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4.xml" ContentType="application/vnd.openxmlformats-officedocument.wordprocessingml.header+xml"/>
  <Override PartName="/word/footer1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390D1" w14:textId="0BA377EA" w:rsidR="00E13F2A" w:rsidRPr="00EC5379" w:rsidRDefault="00E13F2A" w:rsidP="00E13F2A">
      <w:pPr>
        <w:pStyle w:val="ReportTitle"/>
        <w:rPr>
          <w:rFonts w:cs="Arial"/>
        </w:rPr>
      </w:pPr>
      <w:bookmarkStart w:id="0" w:name="_GoBack"/>
      <w:bookmarkEnd w:id="0"/>
      <w:r w:rsidRPr="00EC5379">
        <w:rPr>
          <w:rFonts w:cs="Arial"/>
        </w:rPr>
        <w:t xml:space="preserve">LONG SERVICE BENEFITS PORTABILITY </w:t>
      </w:r>
      <w:r w:rsidR="00F201C4">
        <w:rPr>
          <w:rFonts w:cs="Arial"/>
        </w:rPr>
        <w:t>REGULATIONS 2020</w:t>
      </w:r>
      <w:r w:rsidR="00EE05BF">
        <w:rPr>
          <w:rFonts w:cs="Arial"/>
        </w:rPr>
        <w:t xml:space="preserve"> </w:t>
      </w:r>
    </w:p>
    <w:p w14:paraId="762778C4" w14:textId="0C36BA1E" w:rsidR="00945BEB" w:rsidRPr="00EC5379" w:rsidRDefault="00E13F2A" w:rsidP="00E13F2A">
      <w:pPr>
        <w:pStyle w:val="ReportTitle"/>
        <w:rPr>
          <w:rFonts w:cs="Arial"/>
        </w:rPr>
      </w:pPr>
      <w:r w:rsidRPr="00EC5379">
        <w:rPr>
          <w:rFonts w:cs="Arial"/>
        </w:rPr>
        <w:t>Regulatory Impact Statement</w:t>
      </w:r>
    </w:p>
    <w:p w14:paraId="6350E50C" w14:textId="2D131F32" w:rsidR="00E13F2A" w:rsidRPr="00EC5379" w:rsidRDefault="00E13F2A" w:rsidP="00E13F2A">
      <w:pPr>
        <w:pStyle w:val="ReportSubtitle"/>
        <w:rPr>
          <w:rFonts w:cs="Arial"/>
        </w:rPr>
      </w:pPr>
      <w:r w:rsidRPr="00EC5379">
        <w:rPr>
          <w:rFonts w:cs="Arial"/>
        </w:rPr>
        <w:t xml:space="preserve">Department of </w:t>
      </w:r>
      <w:r w:rsidR="00F752CB" w:rsidRPr="00EC5379">
        <w:rPr>
          <w:rFonts w:cs="Arial"/>
        </w:rPr>
        <w:t>Premier and Cabinet Victoria</w:t>
      </w:r>
    </w:p>
    <w:p w14:paraId="316FE24A" w14:textId="77777777" w:rsidR="00945BEB" w:rsidRPr="00EC5379" w:rsidRDefault="00E13F2A" w:rsidP="00E13F2A">
      <w:pPr>
        <w:pStyle w:val="ReportSubtitle"/>
        <w:rPr>
          <w:rFonts w:cs="Arial"/>
        </w:rPr>
      </w:pPr>
      <w:r w:rsidRPr="00EC5379">
        <w:rPr>
          <w:rFonts w:cs="Arial"/>
        </w:rPr>
        <w:t>—</w:t>
      </w:r>
    </w:p>
    <w:p w14:paraId="2C48FE0F" w14:textId="77777777" w:rsidR="00945BEB" w:rsidRPr="00EC5379" w:rsidRDefault="00945BEB" w:rsidP="00E13F2A">
      <w:pPr>
        <w:pStyle w:val="ReportSubtitle"/>
        <w:rPr>
          <w:rFonts w:cs="Arial"/>
        </w:rPr>
      </w:pPr>
    </w:p>
    <w:p w14:paraId="074762BD" w14:textId="6C58C11B" w:rsidR="00945BEB" w:rsidRPr="00EC5379" w:rsidRDefault="00682E17" w:rsidP="00443C77">
      <w:pPr>
        <w:pStyle w:val="ReportSubtitlelevel2"/>
        <w:tabs>
          <w:tab w:val="center" w:pos="4513"/>
        </w:tabs>
        <w:rPr>
          <w:rFonts w:cs="Arial"/>
        </w:rPr>
      </w:pPr>
      <w:r w:rsidRPr="00FE3ECF">
        <w:rPr>
          <w:rFonts w:cs="Arial"/>
        </w:rPr>
        <w:t xml:space="preserve">April </w:t>
      </w:r>
      <w:r w:rsidR="00F752CB" w:rsidRPr="00FE3ECF">
        <w:rPr>
          <w:rFonts w:cs="Arial"/>
        </w:rPr>
        <w:t>2020</w:t>
      </w:r>
      <w:r w:rsidR="00443C77">
        <w:rPr>
          <w:rFonts w:cs="Arial"/>
        </w:rPr>
        <w:tab/>
      </w:r>
    </w:p>
    <w:p w14:paraId="58A3A59B" w14:textId="77777777" w:rsidR="007D466A" w:rsidRPr="00EC5379" w:rsidRDefault="007D466A" w:rsidP="00E13F2A">
      <w:pPr>
        <w:pStyle w:val="ReportSubtitlelevel2"/>
        <w:rPr>
          <w:rFonts w:cs="Arial"/>
        </w:rPr>
      </w:pPr>
    </w:p>
    <w:p w14:paraId="191506F3" w14:textId="77777777" w:rsidR="00945BEB" w:rsidRPr="00EC5379" w:rsidRDefault="00945BEB" w:rsidP="00945BEB">
      <w:pPr>
        <w:pStyle w:val="BodyText"/>
        <w:rPr>
          <w:rFonts w:cs="Arial"/>
        </w:rPr>
      </w:pPr>
    </w:p>
    <w:p w14:paraId="56B8515F" w14:textId="77777777" w:rsidR="00945BEB" w:rsidRPr="00EC5379" w:rsidRDefault="00945BEB" w:rsidP="00945BEB">
      <w:pPr>
        <w:pStyle w:val="BodyText"/>
        <w:rPr>
          <w:rFonts w:cs="Arial"/>
        </w:rPr>
      </w:pPr>
    </w:p>
    <w:p w14:paraId="78169315" w14:textId="77777777" w:rsidR="00945BEB" w:rsidRPr="00EC5379" w:rsidRDefault="00945BEB" w:rsidP="00E13F2A">
      <w:pPr>
        <w:pStyle w:val="HeadingLevel1NoNumber"/>
        <w:rPr>
          <w:rFonts w:ascii="Arial" w:hAnsi="Arial" w:cs="Arial"/>
        </w:rPr>
        <w:sectPr w:rsidR="00945BEB" w:rsidRPr="00EC5379" w:rsidSect="002B23F3">
          <w:headerReference w:type="even" r:id="rId12"/>
          <w:headerReference w:type="default" r:id="rId13"/>
          <w:footerReference w:type="even" r:id="rId14"/>
          <w:footerReference w:type="default" r:id="rId15"/>
          <w:footerReference w:type="first" r:id="rId16"/>
          <w:pgSz w:w="11906" w:h="16838" w:code="9"/>
          <w:pgMar w:top="5670" w:right="1440" w:bottom="1440" w:left="1440" w:header="709" w:footer="709" w:gutter="0"/>
          <w:cols w:space="708"/>
          <w:titlePg/>
          <w:docGrid w:linePitch="360"/>
        </w:sectPr>
      </w:pPr>
    </w:p>
    <w:p w14:paraId="15158A36" w14:textId="77777777" w:rsidR="00945BEB" w:rsidRPr="00C83B70" w:rsidRDefault="00945BEB" w:rsidP="00E13F2A">
      <w:pPr>
        <w:pStyle w:val="Contentspage"/>
        <w:rPr>
          <w:rFonts w:ascii="Arial" w:hAnsi="Arial" w:cs="Arial"/>
          <w:sz w:val="22"/>
          <w:szCs w:val="22"/>
        </w:rPr>
      </w:pPr>
      <w:r w:rsidRPr="00C83B70">
        <w:rPr>
          <w:rFonts w:ascii="Arial" w:hAnsi="Arial" w:cs="Arial"/>
          <w:sz w:val="22"/>
          <w:szCs w:val="22"/>
        </w:rPr>
        <w:lastRenderedPageBreak/>
        <w:t>Contents</w:t>
      </w:r>
    </w:p>
    <w:p w14:paraId="3857006A" w14:textId="77777777" w:rsidR="004D61A5" w:rsidRPr="00C83B70" w:rsidRDefault="003B0D01">
      <w:pPr>
        <w:pStyle w:val="TOC1"/>
        <w:rPr>
          <w:rFonts w:ascii="Arial" w:eastAsiaTheme="minorEastAsia" w:hAnsi="Arial" w:cs="Arial"/>
          <w:b w:val="0"/>
          <w:color w:val="auto"/>
          <w:lang w:eastAsia="en-AU"/>
        </w:rPr>
      </w:pPr>
      <w:r w:rsidRPr="00C83B70">
        <w:rPr>
          <w:rFonts w:ascii="Arial" w:hAnsi="Arial" w:cs="Arial"/>
        </w:rPr>
        <w:fldChar w:fldCharType="begin"/>
      </w:r>
      <w:r w:rsidRPr="00C83B70">
        <w:rPr>
          <w:rFonts w:ascii="Arial" w:hAnsi="Arial" w:cs="Arial"/>
        </w:rPr>
        <w:instrText xml:space="preserve"> TOC \h \z \t "Heading 1,1,Heading 2,2,HeadingLevel1NoNumber,1,Appendix heading,1" </w:instrText>
      </w:r>
      <w:r w:rsidRPr="00C83B70">
        <w:rPr>
          <w:rFonts w:ascii="Arial" w:hAnsi="Arial" w:cs="Arial"/>
        </w:rPr>
        <w:fldChar w:fldCharType="separate"/>
      </w:r>
      <w:hyperlink w:anchor="_Toc37921469" w:history="1">
        <w:r w:rsidR="004D61A5" w:rsidRPr="00C83B70">
          <w:rPr>
            <w:rStyle w:val="Hyperlink"/>
            <w:rFonts w:ascii="Arial" w:hAnsi="Arial" w:cs="Arial"/>
          </w:rPr>
          <w:t>ABBREVIATIONS AND TERMS</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_Toc37921469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1</w:t>
        </w:r>
        <w:r w:rsidR="004D61A5" w:rsidRPr="00C83B70">
          <w:rPr>
            <w:rFonts w:ascii="Arial" w:hAnsi="Arial" w:cs="Arial"/>
            <w:webHidden/>
          </w:rPr>
          <w:fldChar w:fldCharType="end"/>
        </w:r>
      </w:hyperlink>
    </w:p>
    <w:p w14:paraId="7CB7B287" w14:textId="77777777" w:rsidR="004D61A5" w:rsidRPr="00C83B70" w:rsidRDefault="000D4B5D">
      <w:pPr>
        <w:pStyle w:val="TOC1"/>
        <w:rPr>
          <w:rFonts w:ascii="Arial" w:eastAsiaTheme="minorEastAsia" w:hAnsi="Arial" w:cs="Arial"/>
          <w:b w:val="0"/>
          <w:color w:val="auto"/>
          <w:lang w:eastAsia="en-AU"/>
        </w:rPr>
      </w:pPr>
      <w:hyperlink w:anchor="_Toc37921470" w:history="1">
        <w:r w:rsidR="004D61A5" w:rsidRPr="00C83B70">
          <w:rPr>
            <w:rStyle w:val="Hyperlink"/>
            <w:rFonts w:ascii="Arial" w:hAnsi="Arial" w:cs="Arial"/>
          </w:rPr>
          <w:t>EXECUTIVE SUMMARY</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_Toc37921470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2</w:t>
        </w:r>
        <w:r w:rsidR="004D61A5" w:rsidRPr="00C83B70">
          <w:rPr>
            <w:rFonts w:ascii="Arial" w:hAnsi="Arial" w:cs="Arial"/>
            <w:webHidden/>
          </w:rPr>
          <w:fldChar w:fldCharType="end"/>
        </w:r>
      </w:hyperlink>
    </w:p>
    <w:p w14:paraId="2E48E4F2" w14:textId="77777777" w:rsidR="004D61A5" w:rsidRPr="00C83B70" w:rsidRDefault="000D4B5D">
      <w:pPr>
        <w:pStyle w:val="TOC1"/>
        <w:rPr>
          <w:rFonts w:ascii="Arial" w:eastAsiaTheme="minorEastAsia" w:hAnsi="Arial" w:cs="Arial"/>
          <w:b w:val="0"/>
          <w:color w:val="auto"/>
          <w:lang w:eastAsia="en-AU"/>
        </w:rPr>
      </w:pPr>
      <w:hyperlink w:anchor="_Toc37921471" w:history="1">
        <w:r w:rsidR="004D61A5" w:rsidRPr="00C83B70">
          <w:rPr>
            <w:rStyle w:val="Hyperlink"/>
            <w:rFonts w:ascii="Arial" w:hAnsi="Arial" w:cs="Arial"/>
          </w:rPr>
          <w:t>1</w:t>
        </w:r>
        <w:r w:rsidR="004D61A5" w:rsidRPr="00C83B70">
          <w:rPr>
            <w:rFonts w:ascii="Arial" w:eastAsiaTheme="minorEastAsia" w:hAnsi="Arial" w:cs="Arial"/>
            <w:b w:val="0"/>
            <w:color w:val="auto"/>
            <w:lang w:eastAsia="en-AU"/>
          </w:rPr>
          <w:tab/>
        </w:r>
        <w:r w:rsidR="004D61A5" w:rsidRPr="00C83B70">
          <w:rPr>
            <w:rStyle w:val="Hyperlink"/>
            <w:rFonts w:ascii="Arial" w:hAnsi="Arial" w:cs="Arial"/>
          </w:rPr>
          <w:t>INTRODUCTION</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_Toc37921471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14</w:t>
        </w:r>
        <w:r w:rsidR="004D61A5" w:rsidRPr="00C83B70">
          <w:rPr>
            <w:rFonts w:ascii="Arial" w:hAnsi="Arial" w:cs="Arial"/>
            <w:webHidden/>
          </w:rPr>
          <w:fldChar w:fldCharType="end"/>
        </w:r>
      </w:hyperlink>
    </w:p>
    <w:p w14:paraId="3D83F427" w14:textId="77777777" w:rsidR="004D61A5" w:rsidRPr="00C83B70" w:rsidRDefault="000D4B5D">
      <w:pPr>
        <w:pStyle w:val="TOC2"/>
        <w:rPr>
          <w:rFonts w:ascii="Arial" w:eastAsiaTheme="minorEastAsia" w:hAnsi="Arial" w:cs="Arial"/>
          <w:color w:val="auto"/>
          <w:lang w:eastAsia="en-AU"/>
        </w:rPr>
      </w:pPr>
      <w:hyperlink w:anchor="_Toc37921472" w:history="1">
        <w:r w:rsidR="004D61A5" w:rsidRPr="00C83B70">
          <w:rPr>
            <w:rStyle w:val="Hyperlink"/>
            <w:rFonts w:ascii="Arial" w:hAnsi="Arial" w:cs="Arial"/>
          </w:rPr>
          <w:t>1.1</w:t>
        </w:r>
        <w:r w:rsidR="004D61A5" w:rsidRPr="00C83B70">
          <w:rPr>
            <w:rFonts w:ascii="Arial" w:eastAsiaTheme="minorEastAsia" w:hAnsi="Arial" w:cs="Arial"/>
            <w:color w:val="auto"/>
            <w:lang w:eastAsia="en-AU"/>
          </w:rPr>
          <w:tab/>
        </w:r>
        <w:r w:rsidR="004D61A5" w:rsidRPr="00C83B70">
          <w:rPr>
            <w:rStyle w:val="Hyperlink"/>
            <w:rFonts w:ascii="Arial" w:hAnsi="Arial" w:cs="Arial"/>
          </w:rPr>
          <w:t>Scope of this RIS</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_Toc37921472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14</w:t>
        </w:r>
        <w:r w:rsidR="004D61A5" w:rsidRPr="00C83B70">
          <w:rPr>
            <w:rFonts w:ascii="Arial" w:hAnsi="Arial" w:cs="Arial"/>
            <w:webHidden/>
          </w:rPr>
          <w:fldChar w:fldCharType="end"/>
        </w:r>
      </w:hyperlink>
    </w:p>
    <w:p w14:paraId="0A3A46A6" w14:textId="77777777" w:rsidR="004D61A5" w:rsidRPr="00C83B70" w:rsidRDefault="000D4B5D">
      <w:pPr>
        <w:pStyle w:val="TOC2"/>
        <w:rPr>
          <w:rFonts w:ascii="Arial" w:eastAsiaTheme="minorEastAsia" w:hAnsi="Arial" w:cs="Arial"/>
          <w:color w:val="auto"/>
          <w:lang w:eastAsia="en-AU"/>
        </w:rPr>
      </w:pPr>
      <w:hyperlink w:anchor="_Toc37921473" w:history="1">
        <w:r w:rsidR="004D61A5" w:rsidRPr="00C83B70">
          <w:rPr>
            <w:rStyle w:val="Hyperlink"/>
            <w:rFonts w:ascii="Arial" w:hAnsi="Arial" w:cs="Arial"/>
          </w:rPr>
          <w:t>1.2</w:t>
        </w:r>
        <w:r w:rsidR="004D61A5" w:rsidRPr="00C83B70">
          <w:rPr>
            <w:rFonts w:ascii="Arial" w:eastAsiaTheme="minorEastAsia" w:hAnsi="Arial" w:cs="Arial"/>
            <w:color w:val="auto"/>
            <w:lang w:eastAsia="en-AU"/>
          </w:rPr>
          <w:tab/>
        </w:r>
        <w:r w:rsidR="004D61A5" w:rsidRPr="00C83B70">
          <w:rPr>
            <w:rStyle w:val="Hyperlink"/>
            <w:rFonts w:ascii="Arial" w:hAnsi="Arial" w:cs="Arial"/>
          </w:rPr>
          <w:t>Long Service Schemes in Victoria and Australia</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_Toc37921473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14</w:t>
        </w:r>
        <w:r w:rsidR="004D61A5" w:rsidRPr="00C83B70">
          <w:rPr>
            <w:rFonts w:ascii="Arial" w:hAnsi="Arial" w:cs="Arial"/>
            <w:webHidden/>
          </w:rPr>
          <w:fldChar w:fldCharType="end"/>
        </w:r>
      </w:hyperlink>
    </w:p>
    <w:p w14:paraId="78B516E8" w14:textId="77777777" w:rsidR="004D61A5" w:rsidRPr="00C83B70" w:rsidRDefault="000D4B5D">
      <w:pPr>
        <w:pStyle w:val="TOC2"/>
        <w:rPr>
          <w:rFonts w:ascii="Arial" w:eastAsiaTheme="minorEastAsia" w:hAnsi="Arial" w:cs="Arial"/>
          <w:color w:val="auto"/>
          <w:lang w:eastAsia="en-AU"/>
        </w:rPr>
      </w:pPr>
      <w:hyperlink w:anchor="_Toc37921474" w:history="1">
        <w:r w:rsidR="004D61A5" w:rsidRPr="00C83B70">
          <w:rPr>
            <w:rStyle w:val="Hyperlink"/>
            <w:rFonts w:ascii="Arial" w:hAnsi="Arial" w:cs="Arial"/>
          </w:rPr>
          <w:t>1.3</w:t>
        </w:r>
        <w:r w:rsidR="004D61A5" w:rsidRPr="00C83B70">
          <w:rPr>
            <w:rFonts w:ascii="Arial" w:eastAsiaTheme="minorEastAsia" w:hAnsi="Arial" w:cs="Arial"/>
            <w:color w:val="auto"/>
            <w:lang w:eastAsia="en-AU"/>
          </w:rPr>
          <w:tab/>
        </w:r>
        <w:r w:rsidR="004D61A5" w:rsidRPr="00C83B70">
          <w:rPr>
            <w:rStyle w:val="Hyperlink"/>
            <w:rFonts w:ascii="Arial" w:hAnsi="Arial" w:cs="Arial"/>
          </w:rPr>
          <w:t>Overview of the Long Service Benefits Portability Act 2018</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_Toc37921474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16</w:t>
        </w:r>
        <w:r w:rsidR="004D61A5" w:rsidRPr="00C83B70">
          <w:rPr>
            <w:rFonts w:ascii="Arial" w:hAnsi="Arial" w:cs="Arial"/>
            <w:webHidden/>
          </w:rPr>
          <w:fldChar w:fldCharType="end"/>
        </w:r>
      </w:hyperlink>
    </w:p>
    <w:p w14:paraId="563CC2DB" w14:textId="77777777" w:rsidR="004D61A5" w:rsidRPr="00C83B70" w:rsidRDefault="000D4B5D">
      <w:pPr>
        <w:pStyle w:val="TOC2"/>
        <w:rPr>
          <w:rFonts w:ascii="Arial" w:eastAsiaTheme="minorEastAsia" w:hAnsi="Arial" w:cs="Arial"/>
          <w:color w:val="auto"/>
          <w:lang w:eastAsia="en-AU"/>
        </w:rPr>
      </w:pPr>
      <w:hyperlink w:anchor="_Toc37921475" w:history="1">
        <w:r w:rsidR="004D61A5" w:rsidRPr="00C83B70">
          <w:rPr>
            <w:rStyle w:val="Hyperlink"/>
            <w:rFonts w:ascii="Arial" w:hAnsi="Arial" w:cs="Arial"/>
          </w:rPr>
          <w:t>1.4</w:t>
        </w:r>
        <w:r w:rsidR="004D61A5" w:rsidRPr="00C83B70">
          <w:rPr>
            <w:rFonts w:ascii="Arial" w:eastAsiaTheme="minorEastAsia" w:hAnsi="Arial" w:cs="Arial"/>
            <w:color w:val="auto"/>
            <w:lang w:eastAsia="en-AU"/>
          </w:rPr>
          <w:tab/>
        </w:r>
        <w:r w:rsidR="004D61A5" w:rsidRPr="00C83B70">
          <w:rPr>
            <w:rStyle w:val="Hyperlink"/>
            <w:rFonts w:ascii="Arial" w:hAnsi="Arial" w:cs="Arial"/>
          </w:rPr>
          <w:t>The Long Service Benefits Portability Interim Regulations 2019</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_Toc37921475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19</w:t>
        </w:r>
        <w:r w:rsidR="004D61A5" w:rsidRPr="00C83B70">
          <w:rPr>
            <w:rFonts w:ascii="Arial" w:hAnsi="Arial" w:cs="Arial"/>
            <w:webHidden/>
          </w:rPr>
          <w:fldChar w:fldCharType="end"/>
        </w:r>
      </w:hyperlink>
    </w:p>
    <w:p w14:paraId="740C4012" w14:textId="77777777" w:rsidR="004D61A5" w:rsidRPr="00C83B70" w:rsidRDefault="000D4B5D">
      <w:pPr>
        <w:pStyle w:val="TOC2"/>
        <w:rPr>
          <w:rFonts w:ascii="Arial" w:eastAsiaTheme="minorEastAsia" w:hAnsi="Arial" w:cs="Arial"/>
          <w:color w:val="auto"/>
          <w:lang w:eastAsia="en-AU"/>
        </w:rPr>
      </w:pPr>
      <w:hyperlink w:anchor="_Toc37921476" w:history="1">
        <w:r w:rsidR="004D61A5" w:rsidRPr="00C83B70">
          <w:rPr>
            <w:rStyle w:val="Hyperlink"/>
            <w:rFonts w:ascii="Arial" w:hAnsi="Arial" w:cs="Arial"/>
          </w:rPr>
          <w:t>1.5</w:t>
        </w:r>
        <w:r w:rsidR="004D61A5" w:rsidRPr="00C83B70">
          <w:rPr>
            <w:rFonts w:ascii="Arial" w:eastAsiaTheme="minorEastAsia" w:hAnsi="Arial" w:cs="Arial"/>
            <w:color w:val="auto"/>
            <w:lang w:eastAsia="en-AU"/>
          </w:rPr>
          <w:tab/>
        </w:r>
        <w:r w:rsidR="004D61A5" w:rsidRPr="00C83B70">
          <w:rPr>
            <w:rStyle w:val="Hyperlink"/>
            <w:rFonts w:ascii="Arial" w:hAnsi="Arial" w:cs="Arial"/>
          </w:rPr>
          <w:t>The Long Service Benefits Portability Regulations 2020</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_Toc37921476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22</w:t>
        </w:r>
        <w:r w:rsidR="004D61A5" w:rsidRPr="00C83B70">
          <w:rPr>
            <w:rFonts w:ascii="Arial" w:hAnsi="Arial" w:cs="Arial"/>
            <w:webHidden/>
          </w:rPr>
          <w:fldChar w:fldCharType="end"/>
        </w:r>
      </w:hyperlink>
    </w:p>
    <w:p w14:paraId="1502DDB1" w14:textId="77777777" w:rsidR="004D61A5" w:rsidRPr="00C83B70" w:rsidRDefault="000D4B5D">
      <w:pPr>
        <w:pStyle w:val="TOC2"/>
        <w:rPr>
          <w:rFonts w:ascii="Arial" w:eastAsiaTheme="minorEastAsia" w:hAnsi="Arial" w:cs="Arial"/>
          <w:color w:val="auto"/>
          <w:lang w:eastAsia="en-AU"/>
        </w:rPr>
      </w:pPr>
      <w:hyperlink w:anchor="_Toc37921477" w:history="1">
        <w:r w:rsidR="004D61A5" w:rsidRPr="00C83B70">
          <w:rPr>
            <w:rStyle w:val="Hyperlink"/>
            <w:rFonts w:ascii="Arial" w:hAnsi="Arial" w:cs="Arial"/>
          </w:rPr>
          <w:t>1.6</w:t>
        </w:r>
        <w:r w:rsidR="004D61A5" w:rsidRPr="00C83B70">
          <w:rPr>
            <w:rFonts w:ascii="Arial" w:eastAsiaTheme="minorEastAsia" w:hAnsi="Arial" w:cs="Arial"/>
            <w:color w:val="auto"/>
            <w:lang w:eastAsia="en-AU"/>
          </w:rPr>
          <w:tab/>
        </w:r>
        <w:r w:rsidR="004D61A5" w:rsidRPr="00C83B70">
          <w:rPr>
            <w:rStyle w:val="Hyperlink"/>
            <w:rFonts w:ascii="Arial" w:hAnsi="Arial" w:cs="Arial"/>
          </w:rPr>
          <w:t>What would happen if there were no Regulations?</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_Toc37921477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22</w:t>
        </w:r>
        <w:r w:rsidR="004D61A5" w:rsidRPr="00C83B70">
          <w:rPr>
            <w:rFonts w:ascii="Arial" w:hAnsi="Arial" w:cs="Arial"/>
            <w:webHidden/>
          </w:rPr>
          <w:fldChar w:fldCharType="end"/>
        </w:r>
      </w:hyperlink>
    </w:p>
    <w:p w14:paraId="29FF7930" w14:textId="77777777" w:rsidR="004D61A5" w:rsidRPr="00C83B70" w:rsidRDefault="000D4B5D">
      <w:pPr>
        <w:pStyle w:val="TOC1"/>
        <w:rPr>
          <w:rFonts w:ascii="Arial" w:eastAsiaTheme="minorEastAsia" w:hAnsi="Arial" w:cs="Arial"/>
          <w:b w:val="0"/>
          <w:color w:val="auto"/>
          <w:lang w:eastAsia="en-AU"/>
        </w:rPr>
      </w:pPr>
      <w:hyperlink w:anchor="_Toc37921478" w:history="1">
        <w:r w:rsidR="004D61A5" w:rsidRPr="00C83B70">
          <w:rPr>
            <w:rStyle w:val="Hyperlink"/>
            <w:rFonts w:ascii="Arial" w:hAnsi="Arial" w:cs="Arial"/>
          </w:rPr>
          <w:t>2</w:t>
        </w:r>
        <w:r w:rsidR="004D61A5" w:rsidRPr="00C83B70">
          <w:rPr>
            <w:rFonts w:ascii="Arial" w:eastAsiaTheme="minorEastAsia" w:hAnsi="Arial" w:cs="Arial"/>
            <w:b w:val="0"/>
            <w:color w:val="auto"/>
            <w:lang w:eastAsia="en-AU"/>
          </w:rPr>
          <w:tab/>
        </w:r>
        <w:r w:rsidR="004D61A5" w:rsidRPr="00C83B70">
          <w:rPr>
            <w:rStyle w:val="Hyperlink"/>
            <w:rFonts w:ascii="Arial" w:hAnsi="Arial" w:cs="Arial"/>
          </w:rPr>
          <w:t>THE NATURE OF THE PROBLEM</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_Toc37921478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25</w:t>
        </w:r>
        <w:r w:rsidR="004D61A5" w:rsidRPr="00C83B70">
          <w:rPr>
            <w:rFonts w:ascii="Arial" w:hAnsi="Arial" w:cs="Arial"/>
            <w:webHidden/>
          </w:rPr>
          <w:fldChar w:fldCharType="end"/>
        </w:r>
      </w:hyperlink>
    </w:p>
    <w:p w14:paraId="48D8EE85" w14:textId="77777777" w:rsidR="004D61A5" w:rsidRPr="00C83B70" w:rsidRDefault="000D4B5D">
      <w:pPr>
        <w:pStyle w:val="TOC2"/>
        <w:rPr>
          <w:rFonts w:ascii="Arial" w:eastAsiaTheme="minorEastAsia" w:hAnsi="Arial" w:cs="Arial"/>
          <w:color w:val="auto"/>
          <w:lang w:eastAsia="en-AU"/>
        </w:rPr>
      </w:pPr>
      <w:hyperlink w:anchor="_Toc37921479" w:history="1">
        <w:r w:rsidR="004D61A5" w:rsidRPr="00C83B70">
          <w:rPr>
            <w:rStyle w:val="Hyperlink"/>
            <w:rFonts w:ascii="Arial" w:hAnsi="Arial" w:cs="Arial"/>
          </w:rPr>
          <w:t>2.1</w:t>
        </w:r>
        <w:r w:rsidR="004D61A5" w:rsidRPr="00C83B70">
          <w:rPr>
            <w:rFonts w:ascii="Arial" w:eastAsiaTheme="minorEastAsia" w:hAnsi="Arial" w:cs="Arial"/>
            <w:color w:val="auto"/>
            <w:lang w:eastAsia="en-AU"/>
          </w:rPr>
          <w:tab/>
        </w:r>
        <w:r w:rsidR="004D61A5" w:rsidRPr="00C83B70">
          <w:rPr>
            <w:rStyle w:val="Hyperlink"/>
            <w:rFonts w:ascii="Arial" w:hAnsi="Arial" w:cs="Arial"/>
          </w:rPr>
          <w:t>Primary problem addressed through the LSBP Act</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_Toc37921479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25</w:t>
        </w:r>
        <w:r w:rsidR="004D61A5" w:rsidRPr="00C83B70">
          <w:rPr>
            <w:rFonts w:ascii="Arial" w:hAnsi="Arial" w:cs="Arial"/>
            <w:webHidden/>
          </w:rPr>
          <w:fldChar w:fldCharType="end"/>
        </w:r>
      </w:hyperlink>
    </w:p>
    <w:p w14:paraId="4543341D" w14:textId="77777777" w:rsidR="004D61A5" w:rsidRPr="00C83B70" w:rsidRDefault="000D4B5D">
      <w:pPr>
        <w:pStyle w:val="TOC2"/>
        <w:rPr>
          <w:rFonts w:ascii="Arial" w:eastAsiaTheme="minorEastAsia" w:hAnsi="Arial" w:cs="Arial"/>
          <w:color w:val="auto"/>
          <w:lang w:eastAsia="en-AU"/>
        </w:rPr>
      </w:pPr>
      <w:hyperlink w:anchor="_Toc37921480" w:history="1">
        <w:r w:rsidR="004D61A5" w:rsidRPr="00C83B70">
          <w:rPr>
            <w:rStyle w:val="Hyperlink"/>
            <w:rFonts w:ascii="Arial" w:hAnsi="Arial" w:cs="Arial"/>
          </w:rPr>
          <w:t>2.2</w:t>
        </w:r>
        <w:r w:rsidR="004D61A5" w:rsidRPr="00C83B70">
          <w:rPr>
            <w:rFonts w:ascii="Arial" w:eastAsiaTheme="minorEastAsia" w:hAnsi="Arial" w:cs="Arial"/>
            <w:color w:val="auto"/>
            <w:lang w:eastAsia="en-AU"/>
          </w:rPr>
          <w:tab/>
        </w:r>
        <w:r w:rsidR="004D61A5" w:rsidRPr="00C83B70">
          <w:rPr>
            <w:rStyle w:val="Hyperlink"/>
            <w:rFonts w:ascii="Arial" w:hAnsi="Arial" w:cs="Arial"/>
          </w:rPr>
          <w:t>Problems addressed in the Interim Regulations</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_Toc37921480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25</w:t>
        </w:r>
        <w:r w:rsidR="004D61A5" w:rsidRPr="00C83B70">
          <w:rPr>
            <w:rFonts w:ascii="Arial" w:hAnsi="Arial" w:cs="Arial"/>
            <w:webHidden/>
          </w:rPr>
          <w:fldChar w:fldCharType="end"/>
        </w:r>
      </w:hyperlink>
    </w:p>
    <w:p w14:paraId="3E332788" w14:textId="77777777" w:rsidR="004D61A5" w:rsidRPr="00C83B70" w:rsidRDefault="000D4B5D">
      <w:pPr>
        <w:pStyle w:val="TOC2"/>
        <w:rPr>
          <w:rFonts w:ascii="Arial" w:eastAsiaTheme="minorEastAsia" w:hAnsi="Arial" w:cs="Arial"/>
          <w:color w:val="auto"/>
          <w:lang w:eastAsia="en-AU"/>
        </w:rPr>
      </w:pPr>
      <w:hyperlink w:anchor="_Toc37921481" w:history="1">
        <w:r w:rsidR="004D61A5" w:rsidRPr="00C83B70">
          <w:rPr>
            <w:rStyle w:val="Hyperlink"/>
            <w:rFonts w:ascii="Arial" w:hAnsi="Arial" w:cs="Arial"/>
          </w:rPr>
          <w:t>2.3</w:t>
        </w:r>
        <w:r w:rsidR="004D61A5" w:rsidRPr="00C83B70">
          <w:rPr>
            <w:rFonts w:ascii="Arial" w:eastAsiaTheme="minorEastAsia" w:hAnsi="Arial" w:cs="Arial"/>
            <w:color w:val="auto"/>
            <w:lang w:eastAsia="en-AU"/>
          </w:rPr>
          <w:tab/>
        </w:r>
        <w:r w:rsidR="004D61A5" w:rsidRPr="00C83B70">
          <w:rPr>
            <w:rStyle w:val="Hyperlink"/>
            <w:rFonts w:ascii="Arial" w:hAnsi="Arial" w:cs="Arial"/>
          </w:rPr>
          <w:t>Residual Problems</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_Toc37921481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25</w:t>
        </w:r>
        <w:r w:rsidR="004D61A5" w:rsidRPr="00C83B70">
          <w:rPr>
            <w:rFonts w:ascii="Arial" w:hAnsi="Arial" w:cs="Arial"/>
            <w:webHidden/>
          </w:rPr>
          <w:fldChar w:fldCharType="end"/>
        </w:r>
      </w:hyperlink>
    </w:p>
    <w:p w14:paraId="4B8074EE" w14:textId="77777777" w:rsidR="004D61A5" w:rsidRPr="00C83B70" w:rsidRDefault="000D4B5D">
      <w:pPr>
        <w:pStyle w:val="TOC1"/>
        <w:rPr>
          <w:rFonts w:ascii="Arial" w:eastAsiaTheme="minorEastAsia" w:hAnsi="Arial" w:cs="Arial"/>
          <w:b w:val="0"/>
          <w:color w:val="auto"/>
          <w:lang w:eastAsia="en-AU"/>
        </w:rPr>
      </w:pPr>
      <w:hyperlink w:anchor="_Toc37921482" w:history="1">
        <w:r w:rsidR="004D61A5" w:rsidRPr="00C83B70">
          <w:rPr>
            <w:rStyle w:val="Hyperlink"/>
            <w:rFonts w:ascii="Arial" w:hAnsi="Arial" w:cs="Arial"/>
          </w:rPr>
          <w:t>3</w:t>
        </w:r>
        <w:r w:rsidR="004D61A5" w:rsidRPr="00C83B70">
          <w:rPr>
            <w:rFonts w:ascii="Arial" w:eastAsiaTheme="minorEastAsia" w:hAnsi="Arial" w:cs="Arial"/>
            <w:b w:val="0"/>
            <w:color w:val="auto"/>
            <w:lang w:eastAsia="en-AU"/>
          </w:rPr>
          <w:tab/>
        </w:r>
        <w:r w:rsidR="004D61A5" w:rsidRPr="00C83B70">
          <w:rPr>
            <w:rStyle w:val="Hyperlink"/>
            <w:rFonts w:ascii="Arial" w:hAnsi="Arial" w:cs="Arial"/>
          </w:rPr>
          <w:t>OBJECTIVES</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_Toc37921482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32</w:t>
        </w:r>
        <w:r w:rsidR="004D61A5" w:rsidRPr="00C83B70">
          <w:rPr>
            <w:rFonts w:ascii="Arial" w:hAnsi="Arial" w:cs="Arial"/>
            <w:webHidden/>
          </w:rPr>
          <w:fldChar w:fldCharType="end"/>
        </w:r>
      </w:hyperlink>
    </w:p>
    <w:p w14:paraId="1A12B737" w14:textId="77777777" w:rsidR="004D61A5" w:rsidRPr="00C83B70" w:rsidRDefault="000D4B5D">
      <w:pPr>
        <w:pStyle w:val="TOC2"/>
        <w:rPr>
          <w:rFonts w:ascii="Arial" w:eastAsiaTheme="minorEastAsia" w:hAnsi="Arial" w:cs="Arial"/>
          <w:color w:val="auto"/>
          <w:lang w:eastAsia="en-AU"/>
        </w:rPr>
      </w:pPr>
      <w:hyperlink w:anchor="_Toc37921483" w:history="1">
        <w:r w:rsidR="004D61A5" w:rsidRPr="00C83B70">
          <w:rPr>
            <w:rStyle w:val="Hyperlink"/>
            <w:rFonts w:ascii="Arial" w:hAnsi="Arial" w:cs="Arial"/>
          </w:rPr>
          <w:t>3.1</w:t>
        </w:r>
        <w:r w:rsidR="004D61A5" w:rsidRPr="00C83B70">
          <w:rPr>
            <w:rFonts w:ascii="Arial" w:eastAsiaTheme="minorEastAsia" w:hAnsi="Arial" w:cs="Arial"/>
            <w:color w:val="auto"/>
            <w:lang w:eastAsia="en-AU"/>
          </w:rPr>
          <w:tab/>
        </w:r>
        <w:r w:rsidR="004D61A5" w:rsidRPr="00C83B70">
          <w:rPr>
            <w:rStyle w:val="Hyperlink"/>
            <w:rFonts w:ascii="Arial" w:hAnsi="Arial" w:cs="Arial"/>
          </w:rPr>
          <w:t>What is defined as community service work</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_Toc37921483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32</w:t>
        </w:r>
        <w:r w:rsidR="004D61A5" w:rsidRPr="00C83B70">
          <w:rPr>
            <w:rFonts w:ascii="Arial" w:hAnsi="Arial" w:cs="Arial"/>
            <w:webHidden/>
          </w:rPr>
          <w:fldChar w:fldCharType="end"/>
        </w:r>
      </w:hyperlink>
    </w:p>
    <w:p w14:paraId="5B0B69E8" w14:textId="77777777" w:rsidR="004D61A5" w:rsidRPr="00C83B70" w:rsidRDefault="000D4B5D">
      <w:pPr>
        <w:pStyle w:val="TOC2"/>
        <w:rPr>
          <w:rFonts w:ascii="Arial" w:eastAsiaTheme="minorEastAsia" w:hAnsi="Arial" w:cs="Arial"/>
          <w:color w:val="auto"/>
          <w:lang w:eastAsia="en-AU"/>
        </w:rPr>
      </w:pPr>
      <w:hyperlink w:anchor="_Toc37921484" w:history="1">
        <w:r w:rsidR="004D61A5" w:rsidRPr="00C83B70">
          <w:rPr>
            <w:rStyle w:val="Hyperlink"/>
            <w:rFonts w:ascii="Arial" w:hAnsi="Arial" w:cs="Arial"/>
          </w:rPr>
          <w:t>3.2</w:t>
        </w:r>
        <w:r w:rsidR="004D61A5" w:rsidRPr="00C83B70">
          <w:rPr>
            <w:rFonts w:ascii="Arial" w:eastAsiaTheme="minorEastAsia" w:hAnsi="Arial" w:cs="Arial"/>
            <w:color w:val="auto"/>
            <w:lang w:eastAsia="en-AU"/>
          </w:rPr>
          <w:tab/>
        </w:r>
        <w:r w:rsidR="004D61A5" w:rsidRPr="00C83B70">
          <w:rPr>
            <w:rStyle w:val="Hyperlink"/>
            <w:rFonts w:ascii="Arial" w:hAnsi="Arial" w:cs="Arial"/>
          </w:rPr>
          <w:t>Who is regarded as an employer in the community services sector</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_Toc37921484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32</w:t>
        </w:r>
        <w:r w:rsidR="004D61A5" w:rsidRPr="00C83B70">
          <w:rPr>
            <w:rFonts w:ascii="Arial" w:hAnsi="Arial" w:cs="Arial"/>
            <w:webHidden/>
          </w:rPr>
          <w:fldChar w:fldCharType="end"/>
        </w:r>
      </w:hyperlink>
    </w:p>
    <w:p w14:paraId="5FEADA92" w14:textId="77777777" w:rsidR="004D61A5" w:rsidRPr="00C83B70" w:rsidRDefault="000D4B5D">
      <w:pPr>
        <w:pStyle w:val="TOC2"/>
        <w:rPr>
          <w:rFonts w:ascii="Arial" w:eastAsiaTheme="minorEastAsia" w:hAnsi="Arial" w:cs="Arial"/>
          <w:color w:val="auto"/>
          <w:lang w:eastAsia="en-AU"/>
        </w:rPr>
      </w:pPr>
      <w:hyperlink w:anchor="_Toc37921485" w:history="1">
        <w:r w:rsidR="004D61A5" w:rsidRPr="00C83B70">
          <w:rPr>
            <w:rStyle w:val="Hyperlink"/>
            <w:rFonts w:ascii="Arial" w:hAnsi="Arial" w:cs="Arial"/>
          </w:rPr>
          <w:t>3.3</w:t>
        </w:r>
        <w:r w:rsidR="004D61A5" w:rsidRPr="00C83B70">
          <w:rPr>
            <w:rFonts w:ascii="Arial" w:eastAsiaTheme="minorEastAsia" w:hAnsi="Arial" w:cs="Arial"/>
            <w:color w:val="auto"/>
            <w:lang w:eastAsia="en-AU"/>
          </w:rPr>
          <w:tab/>
        </w:r>
        <w:r w:rsidR="004D61A5" w:rsidRPr="00C83B70">
          <w:rPr>
            <w:rStyle w:val="Hyperlink"/>
            <w:rFonts w:ascii="Arial" w:hAnsi="Arial" w:cs="Arial"/>
          </w:rPr>
          <w:t>Who is regarded as an employee in the community services sector</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_Toc37921485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32</w:t>
        </w:r>
        <w:r w:rsidR="004D61A5" w:rsidRPr="00C83B70">
          <w:rPr>
            <w:rFonts w:ascii="Arial" w:hAnsi="Arial" w:cs="Arial"/>
            <w:webHidden/>
          </w:rPr>
          <w:fldChar w:fldCharType="end"/>
        </w:r>
      </w:hyperlink>
    </w:p>
    <w:p w14:paraId="4FD00574" w14:textId="77777777" w:rsidR="004D61A5" w:rsidRPr="00C83B70" w:rsidRDefault="000D4B5D">
      <w:pPr>
        <w:pStyle w:val="TOC2"/>
        <w:rPr>
          <w:rFonts w:ascii="Arial" w:eastAsiaTheme="minorEastAsia" w:hAnsi="Arial" w:cs="Arial"/>
          <w:color w:val="auto"/>
          <w:lang w:eastAsia="en-AU"/>
        </w:rPr>
      </w:pPr>
      <w:hyperlink w:anchor="_Toc37921486" w:history="1">
        <w:r w:rsidR="004D61A5" w:rsidRPr="00C83B70">
          <w:rPr>
            <w:rStyle w:val="Hyperlink"/>
            <w:rFonts w:ascii="Arial" w:hAnsi="Arial" w:cs="Arial"/>
          </w:rPr>
          <w:t>3.4</w:t>
        </w:r>
        <w:r w:rsidR="004D61A5" w:rsidRPr="00C83B70">
          <w:rPr>
            <w:rFonts w:ascii="Arial" w:eastAsiaTheme="minorEastAsia" w:hAnsi="Arial" w:cs="Arial"/>
            <w:color w:val="auto"/>
            <w:lang w:eastAsia="en-AU"/>
          </w:rPr>
          <w:tab/>
        </w:r>
        <w:r w:rsidR="004D61A5" w:rsidRPr="00C83B70">
          <w:rPr>
            <w:rStyle w:val="Hyperlink"/>
            <w:rFonts w:ascii="Arial" w:hAnsi="Arial" w:cs="Arial"/>
          </w:rPr>
          <w:t>Who is regarded as an employee in the security industry</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_Toc37921486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32</w:t>
        </w:r>
        <w:r w:rsidR="004D61A5" w:rsidRPr="00C83B70">
          <w:rPr>
            <w:rFonts w:ascii="Arial" w:hAnsi="Arial" w:cs="Arial"/>
            <w:webHidden/>
          </w:rPr>
          <w:fldChar w:fldCharType="end"/>
        </w:r>
      </w:hyperlink>
    </w:p>
    <w:p w14:paraId="7A6E1AFD" w14:textId="77777777" w:rsidR="004D61A5" w:rsidRPr="00C83B70" w:rsidRDefault="000D4B5D">
      <w:pPr>
        <w:pStyle w:val="TOC2"/>
        <w:rPr>
          <w:rFonts w:ascii="Arial" w:eastAsiaTheme="minorEastAsia" w:hAnsi="Arial" w:cs="Arial"/>
          <w:color w:val="auto"/>
          <w:lang w:eastAsia="en-AU"/>
        </w:rPr>
      </w:pPr>
      <w:hyperlink w:anchor="_Toc37921487" w:history="1">
        <w:r w:rsidR="004D61A5" w:rsidRPr="00C83B70">
          <w:rPr>
            <w:rStyle w:val="Hyperlink"/>
            <w:rFonts w:ascii="Arial" w:hAnsi="Arial" w:cs="Arial"/>
          </w:rPr>
          <w:t>3.5</w:t>
        </w:r>
        <w:r w:rsidR="004D61A5" w:rsidRPr="00C83B70">
          <w:rPr>
            <w:rFonts w:ascii="Arial" w:eastAsiaTheme="minorEastAsia" w:hAnsi="Arial" w:cs="Arial"/>
            <w:color w:val="auto"/>
            <w:lang w:eastAsia="en-AU"/>
          </w:rPr>
          <w:tab/>
        </w:r>
        <w:r w:rsidR="004D61A5" w:rsidRPr="00C83B70">
          <w:rPr>
            <w:rStyle w:val="Hyperlink"/>
            <w:rFonts w:ascii="Arial" w:hAnsi="Arial" w:cs="Arial"/>
          </w:rPr>
          <w:t>Reimbursing employers for double-dipping claims in the community services sector under the Long Service Leave Act 2018</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_Toc37921487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33</w:t>
        </w:r>
        <w:r w:rsidR="004D61A5" w:rsidRPr="00C83B70">
          <w:rPr>
            <w:rFonts w:ascii="Arial" w:hAnsi="Arial" w:cs="Arial"/>
            <w:webHidden/>
          </w:rPr>
          <w:fldChar w:fldCharType="end"/>
        </w:r>
      </w:hyperlink>
    </w:p>
    <w:p w14:paraId="6D0E52AB" w14:textId="77777777" w:rsidR="004D61A5" w:rsidRPr="00C83B70" w:rsidRDefault="000D4B5D">
      <w:pPr>
        <w:pStyle w:val="TOC1"/>
        <w:rPr>
          <w:rFonts w:ascii="Arial" w:eastAsiaTheme="minorEastAsia" w:hAnsi="Arial" w:cs="Arial"/>
          <w:b w:val="0"/>
          <w:color w:val="auto"/>
          <w:lang w:eastAsia="en-AU"/>
        </w:rPr>
      </w:pPr>
      <w:hyperlink w:anchor="_Toc37921488" w:history="1">
        <w:r w:rsidR="004D61A5" w:rsidRPr="00C83B70">
          <w:rPr>
            <w:rStyle w:val="Hyperlink"/>
            <w:rFonts w:ascii="Arial" w:hAnsi="Arial" w:cs="Arial"/>
          </w:rPr>
          <w:t>4</w:t>
        </w:r>
        <w:r w:rsidR="004D61A5" w:rsidRPr="00C83B70">
          <w:rPr>
            <w:rFonts w:ascii="Arial" w:eastAsiaTheme="minorEastAsia" w:hAnsi="Arial" w:cs="Arial"/>
            <w:b w:val="0"/>
            <w:color w:val="auto"/>
            <w:lang w:eastAsia="en-AU"/>
          </w:rPr>
          <w:tab/>
        </w:r>
        <w:r w:rsidR="004D61A5" w:rsidRPr="00C83B70">
          <w:rPr>
            <w:rStyle w:val="Hyperlink"/>
            <w:rFonts w:ascii="Arial" w:hAnsi="Arial" w:cs="Arial"/>
          </w:rPr>
          <w:t>OPTIONS</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_Toc37921488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34</w:t>
        </w:r>
        <w:r w:rsidR="004D61A5" w:rsidRPr="00C83B70">
          <w:rPr>
            <w:rFonts w:ascii="Arial" w:hAnsi="Arial" w:cs="Arial"/>
            <w:webHidden/>
          </w:rPr>
          <w:fldChar w:fldCharType="end"/>
        </w:r>
      </w:hyperlink>
    </w:p>
    <w:p w14:paraId="59866693" w14:textId="77777777" w:rsidR="004D61A5" w:rsidRPr="00C83B70" w:rsidRDefault="000D4B5D">
      <w:pPr>
        <w:pStyle w:val="TOC2"/>
        <w:rPr>
          <w:rFonts w:ascii="Arial" w:eastAsiaTheme="minorEastAsia" w:hAnsi="Arial" w:cs="Arial"/>
          <w:color w:val="auto"/>
          <w:lang w:eastAsia="en-AU"/>
        </w:rPr>
      </w:pPr>
      <w:hyperlink w:anchor="_Toc37921489" w:history="1">
        <w:r w:rsidR="004D61A5" w:rsidRPr="00C83B70">
          <w:rPr>
            <w:rStyle w:val="Hyperlink"/>
            <w:rFonts w:ascii="Arial" w:hAnsi="Arial" w:cs="Arial"/>
          </w:rPr>
          <w:t>4.1</w:t>
        </w:r>
        <w:r w:rsidR="004D61A5" w:rsidRPr="00C83B70">
          <w:rPr>
            <w:rFonts w:ascii="Arial" w:eastAsiaTheme="minorEastAsia" w:hAnsi="Arial" w:cs="Arial"/>
            <w:color w:val="auto"/>
            <w:lang w:eastAsia="en-AU"/>
          </w:rPr>
          <w:tab/>
        </w:r>
        <w:r w:rsidR="004D61A5" w:rsidRPr="00C83B70">
          <w:rPr>
            <w:rStyle w:val="Hyperlink"/>
            <w:rFonts w:ascii="Arial" w:hAnsi="Arial" w:cs="Arial"/>
          </w:rPr>
          <w:t>What is defined as community service work</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_Toc37921489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34</w:t>
        </w:r>
        <w:r w:rsidR="004D61A5" w:rsidRPr="00C83B70">
          <w:rPr>
            <w:rFonts w:ascii="Arial" w:hAnsi="Arial" w:cs="Arial"/>
            <w:webHidden/>
          </w:rPr>
          <w:fldChar w:fldCharType="end"/>
        </w:r>
      </w:hyperlink>
    </w:p>
    <w:p w14:paraId="141A0A5E" w14:textId="77777777" w:rsidR="004D61A5" w:rsidRPr="00C83B70" w:rsidRDefault="000D4B5D">
      <w:pPr>
        <w:pStyle w:val="TOC2"/>
        <w:rPr>
          <w:rFonts w:ascii="Arial" w:eastAsiaTheme="minorEastAsia" w:hAnsi="Arial" w:cs="Arial"/>
          <w:color w:val="auto"/>
          <w:lang w:eastAsia="en-AU"/>
        </w:rPr>
      </w:pPr>
      <w:hyperlink w:anchor="_Toc37921490" w:history="1">
        <w:r w:rsidR="004D61A5" w:rsidRPr="00C83B70">
          <w:rPr>
            <w:rStyle w:val="Hyperlink"/>
            <w:rFonts w:ascii="Arial" w:hAnsi="Arial" w:cs="Arial"/>
          </w:rPr>
          <w:t>4.2</w:t>
        </w:r>
        <w:r w:rsidR="004D61A5" w:rsidRPr="00C83B70">
          <w:rPr>
            <w:rFonts w:ascii="Arial" w:eastAsiaTheme="minorEastAsia" w:hAnsi="Arial" w:cs="Arial"/>
            <w:color w:val="auto"/>
            <w:lang w:eastAsia="en-AU"/>
          </w:rPr>
          <w:tab/>
        </w:r>
        <w:r w:rsidR="004D61A5" w:rsidRPr="00C83B70">
          <w:rPr>
            <w:rStyle w:val="Hyperlink"/>
            <w:rFonts w:ascii="Arial" w:hAnsi="Arial" w:cs="Arial"/>
          </w:rPr>
          <w:t>Who is regarded as an employer in the community services sector</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_Toc37921490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36</w:t>
        </w:r>
        <w:r w:rsidR="004D61A5" w:rsidRPr="00C83B70">
          <w:rPr>
            <w:rFonts w:ascii="Arial" w:hAnsi="Arial" w:cs="Arial"/>
            <w:webHidden/>
          </w:rPr>
          <w:fldChar w:fldCharType="end"/>
        </w:r>
      </w:hyperlink>
    </w:p>
    <w:p w14:paraId="460C8061" w14:textId="77777777" w:rsidR="004D61A5" w:rsidRPr="00C83B70" w:rsidRDefault="000D4B5D">
      <w:pPr>
        <w:pStyle w:val="TOC2"/>
        <w:rPr>
          <w:rFonts w:ascii="Arial" w:eastAsiaTheme="minorEastAsia" w:hAnsi="Arial" w:cs="Arial"/>
          <w:color w:val="auto"/>
          <w:lang w:eastAsia="en-AU"/>
        </w:rPr>
      </w:pPr>
      <w:hyperlink w:anchor="_Toc37921491" w:history="1">
        <w:r w:rsidR="004D61A5" w:rsidRPr="00C83B70">
          <w:rPr>
            <w:rStyle w:val="Hyperlink"/>
            <w:rFonts w:ascii="Arial" w:hAnsi="Arial" w:cs="Arial"/>
          </w:rPr>
          <w:t>4.3</w:t>
        </w:r>
        <w:r w:rsidR="004D61A5" w:rsidRPr="00C83B70">
          <w:rPr>
            <w:rFonts w:ascii="Arial" w:eastAsiaTheme="minorEastAsia" w:hAnsi="Arial" w:cs="Arial"/>
            <w:color w:val="auto"/>
            <w:lang w:eastAsia="en-AU"/>
          </w:rPr>
          <w:tab/>
        </w:r>
        <w:r w:rsidR="004D61A5" w:rsidRPr="00C83B70">
          <w:rPr>
            <w:rStyle w:val="Hyperlink"/>
            <w:rFonts w:ascii="Arial" w:hAnsi="Arial" w:cs="Arial"/>
          </w:rPr>
          <w:t>Who is regarded as an employee in the community services sector</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_Toc37921491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37</w:t>
        </w:r>
        <w:r w:rsidR="004D61A5" w:rsidRPr="00C83B70">
          <w:rPr>
            <w:rFonts w:ascii="Arial" w:hAnsi="Arial" w:cs="Arial"/>
            <w:webHidden/>
          </w:rPr>
          <w:fldChar w:fldCharType="end"/>
        </w:r>
      </w:hyperlink>
    </w:p>
    <w:p w14:paraId="68A5E6F9" w14:textId="77777777" w:rsidR="004D61A5" w:rsidRPr="00C83B70" w:rsidRDefault="000D4B5D">
      <w:pPr>
        <w:pStyle w:val="TOC2"/>
        <w:rPr>
          <w:rFonts w:ascii="Arial" w:eastAsiaTheme="minorEastAsia" w:hAnsi="Arial" w:cs="Arial"/>
          <w:color w:val="auto"/>
          <w:lang w:eastAsia="en-AU"/>
        </w:rPr>
      </w:pPr>
      <w:hyperlink w:anchor="_Toc37921492" w:history="1">
        <w:r w:rsidR="004D61A5" w:rsidRPr="00C83B70">
          <w:rPr>
            <w:rStyle w:val="Hyperlink"/>
            <w:rFonts w:ascii="Arial" w:hAnsi="Arial" w:cs="Arial"/>
          </w:rPr>
          <w:t>4.4</w:t>
        </w:r>
        <w:r w:rsidR="004D61A5" w:rsidRPr="00C83B70">
          <w:rPr>
            <w:rFonts w:ascii="Arial" w:eastAsiaTheme="minorEastAsia" w:hAnsi="Arial" w:cs="Arial"/>
            <w:color w:val="auto"/>
            <w:lang w:eastAsia="en-AU"/>
          </w:rPr>
          <w:tab/>
        </w:r>
        <w:r w:rsidR="004D61A5" w:rsidRPr="00C83B70">
          <w:rPr>
            <w:rStyle w:val="Hyperlink"/>
            <w:rFonts w:ascii="Arial" w:hAnsi="Arial" w:cs="Arial"/>
          </w:rPr>
          <w:t>Who is regarded as an employee in the security industry</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_Toc37921492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39</w:t>
        </w:r>
        <w:r w:rsidR="004D61A5" w:rsidRPr="00C83B70">
          <w:rPr>
            <w:rFonts w:ascii="Arial" w:hAnsi="Arial" w:cs="Arial"/>
            <w:webHidden/>
          </w:rPr>
          <w:fldChar w:fldCharType="end"/>
        </w:r>
      </w:hyperlink>
    </w:p>
    <w:p w14:paraId="3F9AC136" w14:textId="77777777" w:rsidR="004D61A5" w:rsidRPr="00C83B70" w:rsidRDefault="000D4B5D">
      <w:pPr>
        <w:pStyle w:val="TOC2"/>
        <w:rPr>
          <w:rFonts w:ascii="Arial" w:eastAsiaTheme="minorEastAsia" w:hAnsi="Arial" w:cs="Arial"/>
          <w:color w:val="auto"/>
          <w:lang w:eastAsia="en-AU"/>
        </w:rPr>
      </w:pPr>
      <w:hyperlink w:anchor="_Toc37921493" w:history="1">
        <w:r w:rsidR="004D61A5" w:rsidRPr="00C83B70">
          <w:rPr>
            <w:rStyle w:val="Hyperlink"/>
            <w:rFonts w:ascii="Arial" w:hAnsi="Arial" w:cs="Arial"/>
          </w:rPr>
          <w:t>4.5</w:t>
        </w:r>
        <w:r w:rsidR="004D61A5" w:rsidRPr="00C83B70">
          <w:rPr>
            <w:rFonts w:ascii="Arial" w:eastAsiaTheme="minorEastAsia" w:hAnsi="Arial" w:cs="Arial"/>
            <w:color w:val="auto"/>
            <w:lang w:eastAsia="en-AU"/>
          </w:rPr>
          <w:tab/>
        </w:r>
        <w:r w:rsidR="004D61A5" w:rsidRPr="00C83B70">
          <w:rPr>
            <w:rStyle w:val="Hyperlink"/>
            <w:rFonts w:ascii="Arial" w:hAnsi="Arial" w:cs="Arial"/>
          </w:rPr>
          <w:t>Reimbursing employers for double-dipping claims in the community services sector under the Long Service Leave Act 2018</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_Toc37921493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40</w:t>
        </w:r>
        <w:r w:rsidR="004D61A5" w:rsidRPr="00C83B70">
          <w:rPr>
            <w:rFonts w:ascii="Arial" w:hAnsi="Arial" w:cs="Arial"/>
            <w:webHidden/>
          </w:rPr>
          <w:fldChar w:fldCharType="end"/>
        </w:r>
      </w:hyperlink>
    </w:p>
    <w:p w14:paraId="2EF31DE5" w14:textId="77777777" w:rsidR="004D61A5" w:rsidRPr="00C83B70" w:rsidRDefault="000D4B5D">
      <w:pPr>
        <w:pStyle w:val="TOC2"/>
        <w:rPr>
          <w:rFonts w:ascii="Arial" w:eastAsiaTheme="minorEastAsia" w:hAnsi="Arial" w:cs="Arial"/>
          <w:color w:val="auto"/>
          <w:lang w:eastAsia="en-AU"/>
        </w:rPr>
      </w:pPr>
      <w:hyperlink w:anchor="_Toc37921494" w:history="1">
        <w:r w:rsidR="004D61A5" w:rsidRPr="00C83B70">
          <w:rPr>
            <w:rStyle w:val="Hyperlink"/>
            <w:rFonts w:ascii="Arial" w:hAnsi="Arial" w:cs="Arial"/>
          </w:rPr>
          <w:t>4.6</w:t>
        </w:r>
        <w:r w:rsidR="004D61A5" w:rsidRPr="00C83B70">
          <w:rPr>
            <w:rFonts w:ascii="Arial" w:eastAsiaTheme="minorEastAsia" w:hAnsi="Arial" w:cs="Arial"/>
            <w:color w:val="auto"/>
            <w:lang w:eastAsia="en-AU"/>
          </w:rPr>
          <w:tab/>
        </w:r>
        <w:r w:rsidR="004D61A5" w:rsidRPr="00C83B70">
          <w:rPr>
            <w:rStyle w:val="Hyperlink"/>
            <w:rFonts w:ascii="Arial" w:hAnsi="Arial" w:cs="Arial"/>
          </w:rPr>
          <w:t>Options Not Progressed to Impact Analysis</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_Toc37921494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41</w:t>
        </w:r>
        <w:r w:rsidR="004D61A5" w:rsidRPr="00C83B70">
          <w:rPr>
            <w:rFonts w:ascii="Arial" w:hAnsi="Arial" w:cs="Arial"/>
            <w:webHidden/>
          </w:rPr>
          <w:fldChar w:fldCharType="end"/>
        </w:r>
      </w:hyperlink>
    </w:p>
    <w:p w14:paraId="3FCE9589" w14:textId="77777777" w:rsidR="004D61A5" w:rsidRPr="00C83B70" w:rsidRDefault="000D4B5D">
      <w:pPr>
        <w:pStyle w:val="TOC1"/>
        <w:rPr>
          <w:rFonts w:ascii="Arial" w:eastAsiaTheme="minorEastAsia" w:hAnsi="Arial" w:cs="Arial"/>
          <w:b w:val="0"/>
          <w:color w:val="auto"/>
          <w:lang w:eastAsia="en-AU"/>
        </w:rPr>
      </w:pPr>
      <w:hyperlink w:anchor="_Toc37921495" w:history="1">
        <w:r w:rsidR="004D61A5" w:rsidRPr="00C83B70">
          <w:rPr>
            <w:rStyle w:val="Hyperlink"/>
            <w:rFonts w:ascii="Arial" w:hAnsi="Arial" w:cs="Arial"/>
          </w:rPr>
          <w:t>5</w:t>
        </w:r>
        <w:r w:rsidR="004D61A5" w:rsidRPr="00C83B70">
          <w:rPr>
            <w:rFonts w:ascii="Arial" w:eastAsiaTheme="minorEastAsia" w:hAnsi="Arial" w:cs="Arial"/>
            <w:b w:val="0"/>
            <w:color w:val="auto"/>
            <w:lang w:eastAsia="en-AU"/>
          </w:rPr>
          <w:tab/>
        </w:r>
        <w:r w:rsidR="004D61A5" w:rsidRPr="00C83B70">
          <w:rPr>
            <w:rStyle w:val="Hyperlink"/>
            <w:rFonts w:ascii="Arial" w:hAnsi="Arial" w:cs="Arial"/>
          </w:rPr>
          <w:t>IMPACT ANALYSIS</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_Toc37921495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43</w:t>
        </w:r>
        <w:r w:rsidR="004D61A5" w:rsidRPr="00C83B70">
          <w:rPr>
            <w:rFonts w:ascii="Arial" w:hAnsi="Arial" w:cs="Arial"/>
            <w:webHidden/>
          </w:rPr>
          <w:fldChar w:fldCharType="end"/>
        </w:r>
      </w:hyperlink>
    </w:p>
    <w:p w14:paraId="734B7D36" w14:textId="77777777" w:rsidR="004D61A5" w:rsidRPr="00C83B70" w:rsidRDefault="000D4B5D">
      <w:pPr>
        <w:pStyle w:val="TOC2"/>
        <w:rPr>
          <w:rFonts w:ascii="Arial" w:eastAsiaTheme="minorEastAsia" w:hAnsi="Arial" w:cs="Arial"/>
          <w:color w:val="auto"/>
          <w:lang w:eastAsia="en-AU"/>
        </w:rPr>
      </w:pPr>
      <w:hyperlink w:anchor="_Toc37921496" w:history="1">
        <w:r w:rsidR="004D61A5" w:rsidRPr="00C83B70">
          <w:rPr>
            <w:rStyle w:val="Hyperlink"/>
            <w:rFonts w:ascii="Arial" w:hAnsi="Arial" w:cs="Arial"/>
          </w:rPr>
          <w:t>5.1</w:t>
        </w:r>
        <w:r w:rsidR="004D61A5" w:rsidRPr="00C83B70">
          <w:rPr>
            <w:rFonts w:ascii="Arial" w:eastAsiaTheme="minorEastAsia" w:hAnsi="Arial" w:cs="Arial"/>
            <w:color w:val="auto"/>
            <w:lang w:eastAsia="en-AU"/>
          </w:rPr>
          <w:tab/>
        </w:r>
        <w:r w:rsidR="004D61A5" w:rsidRPr="00C83B70">
          <w:rPr>
            <w:rStyle w:val="Hyperlink"/>
            <w:rFonts w:ascii="Arial" w:hAnsi="Arial" w:cs="Arial"/>
          </w:rPr>
          <w:t>Introduction and Analysis Framework</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_Toc37921496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43</w:t>
        </w:r>
        <w:r w:rsidR="004D61A5" w:rsidRPr="00C83B70">
          <w:rPr>
            <w:rFonts w:ascii="Arial" w:hAnsi="Arial" w:cs="Arial"/>
            <w:webHidden/>
          </w:rPr>
          <w:fldChar w:fldCharType="end"/>
        </w:r>
      </w:hyperlink>
    </w:p>
    <w:p w14:paraId="320F75A8" w14:textId="77777777" w:rsidR="004D61A5" w:rsidRPr="00C83B70" w:rsidRDefault="000D4B5D">
      <w:pPr>
        <w:pStyle w:val="TOC2"/>
        <w:rPr>
          <w:rFonts w:ascii="Arial" w:eastAsiaTheme="minorEastAsia" w:hAnsi="Arial" w:cs="Arial"/>
          <w:color w:val="auto"/>
          <w:lang w:eastAsia="en-AU"/>
        </w:rPr>
      </w:pPr>
      <w:hyperlink w:anchor="_Toc37921497" w:history="1">
        <w:r w:rsidR="004D61A5" w:rsidRPr="00C83B70">
          <w:rPr>
            <w:rStyle w:val="Hyperlink"/>
            <w:rFonts w:ascii="Arial" w:hAnsi="Arial" w:cs="Arial"/>
          </w:rPr>
          <w:t>5.2</w:t>
        </w:r>
        <w:r w:rsidR="004D61A5" w:rsidRPr="00C83B70">
          <w:rPr>
            <w:rFonts w:ascii="Arial" w:eastAsiaTheme="minorEastAsia" w:hAnsi="Arial" w:cs="Arial"/>
            <w:color w:val="auto"/>
            <w:lang w:eastAsia="en-AU"/>
          </w:rPr>
          <w:tab/>
        </w:r>
        <w:r w:rsidR="004D61A5" w:rsidRPr="00C83B70">
          <w:rPr>
            <w:rStyle w:val="Hyperlink"/>
            <w:rFonts w:ascii="Arial" w:hAnsi="Arial" w:cs="Arial"/>
          </w:rPr>
          <w:t>Analysis of options</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_Toc37921497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45</w:t>
        </w:r>
        <w:r w:rsidR="004D61A5" w:rsidRPr="00C83B70">
          <w:rPr>
            <w:rFonts w:ascii="Arial" w:hAnsi="Arial" w:cs="Arial"/>
            <w:webHidden/>
          </w:rPr>
          <w:fldChar w:fldCharType="end"/>
        </w:r>
      </w:hyperlink>
    </w:p>
    <w:p w14:paraId="16217D62" w14:textId="77777777" w:rsidR="004D61A5" w:rsidRPr="00C83B70" w:rsidRDefault="000D4B5D">
      <w:pPr>
        <w:pStyle w:val="TOC1"/>
        <w:rPr>
          <w:rFonts w:ascii="Arial" w:eastAsiaTheme="minorEastAsia" w:hAnsi="Arial" w:cs="Arial"/>
          <w:b w:val="0"/>
          <w:color w:val="auto"/>
          <w:lang w:eastAsia="en-AU"/>
        </w:rPr>
      </w:pPr>
      <w:hyperlink w:anchor="_Toc37921498" w:history="1">
        <w:r w:rsidR="004D61A5" w:rsidRPr="00C83B70">
          <w:rPr>
            <w:rStyle w:val="Hyperlink"/>
            <w:rFonts w:ascii="Arial" w:hAnsi="Arial" w:cs="Arial"/>
          </w:rPr>
          <w:t>6</w:t>
        </w:r>
        <w:r w:rsidR="004D61A5" w:rsidRPr="00C83B70">
          <w:rPr>
            <w:rFonts w:ascii="Arial" w:eastAsiaTheme="minorEastAsia" w:hAnsi="Arial" w:cs="Arial"/>
            <w:b w:val="0"/>
            <w:color w:val="auto"/>
            <w:lang w:eastAsia="en-AU"/>
          </w:rPr>
          <w:tab/>
        </w:r>
        <w:r w:rsidR="004D61A5" w:rsidRPr="00C83B70">
          <w:rPr>
            <w:rStyle w:val="Hyperlink"/>
            <w:rFonts w:ascii="Arial" w:hAnsi="Arial" w:cs="Arial"/>
          </w:rPr>
          <w:t>PREFERRED OPTION</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_Toc37921498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71</w:t>
        </w:r>
        <w:r w:rsidR="004D61A5" w:rsidRPr="00C83B70">
          <w:rPr>
            <w:rFonts w:ascii="Arial" w:hAnsi="Arial" w:cs="Arial"/>
            <w:webHidden/>
          </w:rPr>
          <w:fldChar w:fldCharType="end"/>
        </w:r>
      </w:hyperlink>
    </w:p>
    <w:p w14:paraId="1DD3D9CB" w14:textId="77777777" w:rsidR="004D61A5" w:rsidRPr="00C83B70" w:rsidRDefault="000D4B5D">
      <w:pPr>
        <w:pStyle w:val="TOC2"/>
        <w:rPr>
          <w:rFonts w:ascii="Arial" w:eastAsiaTheme="minorEastAsia" w:hAnsi="Arial" w:cs="Arial"/>
          <w:color w:val="auto"/>
          <w:lang w:eastAsia="en-AU"/>
        </w:rPr>
      </w:pPr>
      <w:hyperlink w:anchor="_Toc37921499" w:history="1">
        <w:r w:rsidR="004D61A5" w:rsidRPr="00C83B70">
          <w:rPr>
            <w:rStyle w:val="Hyperlink"/>
            <w:rFonts w:ascii="Arial" w:hAnsi="Arial" w:cs="Arial"/>
          </w:rPr>
          <w:t>6.1</w:t>
        </w:r>
        <w:r w:rsidR="004D61A5" w:rsidRPr="00C83B70">
          <w:rPr>
            <w:rFonts w:ascii="Arial" w:eastAsiaTheme="minorEastAsia" w:hAnsi="Arial" w:cs="Arial"/>
            <w:color w:val="auto"/>
            <w:lang w:eastAsia="en-AU"/>
          </w:rPr>
          <w:tab/>
        </w:r>
        <w:r w:rsidR="004D61A5" w:rsidRPr="00C83B70">
          <w:rPr>
            <w:rStyle w:val="Hyperlink"/>
            <w:rFonts w:ascii="Arial" w:hAnsi="Arial" w:cs="Arial"/>
          </w:rPr>
          <w:t>Summary of the Proposed Regulations</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_Toc37921499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71</w:t>
        </w:r>
        <w:r w:rsidR="004D61A5" w:rsidRPr="00C83B70">
          <w:rPr>
            <w:rFonts w:ascii="Arial" w:hAnsi="Arial" w:cs="Arial"/>
            <w:webHidden/>
          </w:rPr>
          <w:fldChar w:fldCharType="end"/>
        </w:r>
      </w:hyperlink>
    </w:p>
    <w:p w14:paraId="6356F545" w14:textId="77777777" w:rsidR="004D61A5" w:rsidRPr="00C83B70" w:rsidRDefault="000D4B5D">
      <w:pPr>
        <w:pStyle w:val="TOC2"/>
        <w:rPr>
          <w:rFonts w:ascii="Arial" w:eastAsiaTheme="minorEastAsia" w:hAnsi="Arial" w:cs="Arial"/>
          <w:color w:val="auto"/>
          <w:lang w:eastAsia="en-AU"/>
        </w:rPr>
      </w:pPr>
      <w:hyperlink w:anchor="_Toc37921500" w:history="1">
        <w:r w:rsidR="004D61A5" w:rsidRPr="00C83B70">
          <w:rPr>
            <w:rStyle w:val="Hyperlink"/>
            <w:rFonts w:ascii="Arial" w:hAnsi="Arial" w:cs="Arial"/>
          </w:rPr>
          <w:t>6.2</w:t>
        </w:r>
        <w:r w:rsidR="004D61A5" w:rsidRPr="00C83B70">
          <w:rPr>
            <w:rFonts w:ascii="Arial" w:eastAsiaTheme="minorEastAsia" w:hAnsi="Arial" w:cs="Arial"/>
            <w:color w:val="auto"/>
            <w:lang w:eastAsia="en-AU"/>
          </w:rPr>
          <w:tab/>
        </w:r>
        <w:r w:rsidR="004D61A5" w:rsidRPr="00C83B70">
          <w:rPr>
            <w:rStyle w:val="Hyperlink"/>
            <w:rFonts w:ascii="Arial" w:hAnsi="Arial" w:cs="Arial"/>
          </w:rPr>
          <w:t>Impact on Small Business</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_Toc37921500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74</w:t>
        </w:r>
        <w:r w:rsidR="004D61A5" w:rsidRPr="00C83B70">
          <w:rPr>
            <w:rFonts w:ascii="Arial" w:hAnsi="Arial" w:cs="Arial"/>
            <w:webHidden/>
          </w:rPr>
          <w:fldChar w:fldCharType="end"/>
        </w:r>
      </w:hyperlink>
    </w:p>
    <w:p w14:paraId="1A0C3E92" w14:textId="77777777" w:rsidR="004D61A5" w:rsidRPr="00C83B70" w:rsidRDefault="000D4B5D">
      <w:pPr>
        <w:pStyle w:val="TOC1"/>
        <w:rPr>
          <w:rFonts w:ascii="Arial" w:eastAsiaTheme="minorEastAsia" w:hAnsi="Arial" w:cs="Arial"/>
          <w:b w:val="0"/>
          <w:color w:val="auto"/>
          <w:lang w:eastAsia="en-AU"/>
        </w:rPr>
      </w:pPr>
      <w:hyperlink w:anchor="_Toc37921501" w:history="1">
        <w:r w:rsidR="004D61A5" w:rsidRPr="00C83B70">
          <w:rPr>
            <w:rStyle w:val="Hyperlink"/>
            <w:rFonts w:ascii="Arial" w:hAnsi="Arial" w:cs="Arial"/>
          </w:rPr>
          <w:t>7</w:t>
        </w:r>
        <w:r w:rsidR="004D61A5" w:rsidRPr="00C83B70">
          <w:rPr>
            <w:rFonts w:ascii="Arial" w:eastAsiaTheme="minorEastAsia" w:hAnsi="Arial" w:cs="Arial"/>
            <w:b w:val="0"/>
            <w:color w:val="auto"/>
            <w:lang w:eastAsia="en-AU"/>
          </w:rPr>
          <w:tab/>
        </w:r>
        <w:r w:rsidR="004D61A5" w:rsidRPr="00C83B70">
          <w:rPr>
            <w:rStyle w:val="Hyperlink"/>
            <w:rFonts w:ascii="Arial" w:hAnsi="Arial" w:cs="Arial"/>
          </w:rPr>
          <w:t>IMPLEMENTATION PLAN</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_Toc37921501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79</w:t>
        </w:r>
        <w:r w:rsidR="004D61A5" w:rsidRPr="00C83B70">
          <w:rPr>
            <w:rFonts w:ascii="Arial" w:hAnsi="Arial" w:cs="Arial"/>
            <w:webHidden/>
          </w:rPr>
          <w:fldChar w:fldCharType="end"/>
        </w:r>
      </w:hyperlink>
    </w:p>
    <w:p w14:paraId="62C92D18" w14:textId="77777777" w:rsidR="004D61A5" w:rsidRPr="00C83B70" w:rsidRDefault="000D4B5D">
      <w:pPr>
        <w:pStyle w:val="TOC2"/>
        <w:rPr>
          <w:rFonts w:ascii="Arial" w:eastAsiaTheme="minorEastAsia" w:hAnsi="Arial" w:cs="Arial"/>
          <w:color w:val="auto"/>
          <w:lang w:eastAsia="en-AU"/>
        </w:rPr>
      </w:pPr>
      <w:hyperlink w:anchor="_Toc37921502" w:history="1">
        <w:r w:rsidR="004D61A5" w:rsidRPr="00C83B70">
          <w:rPr>
            <w:rStyle w:val="Hyperlink"/>
            <w:rFonts w:ascii="Arial" w:hAnsi="Arial" w:cs="Arial"/>
          </w:rPr>
          <w:t>7.1</w:t>
        </w:r>
        <w:r w:rsidR="004D61A5" w:rsidRPr="00C83B70">
          <w:rPr>
            <w:rFonts w:ascii="Arial" w:eastAsiaTheme="minorEastAsia" w:hAnsi="Arial" w:cs="Arial"/>
            <w:color w:val="auto"/>
            <w:lang w:eastAsia="en-AU"/>
          </w:rPr>
          <w:tab/>
        </w:r>
        <w:r w:rsidR="004D61A5" w:rsidRPr="00C83B70">
          <w:rPr>
            <w:rStyle w:val="Hyperlink"/>
            <w:rFonts w:ascii="Arial" w:hAnsi="Arial" w:cs="Arial"/>
          </w:rPr>
          <w:t>Industry Information</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_Toc37921502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79</w:t>
        </w:r>
        <w:r w:rsidR="004D61A5" w:rsidRPr="00C83B70">
          <w:rPr>
            <w:rFonts w:ascii="Arial" w:hAnsi="Arial" w:cs="Arial"/>
            <w:webHidden/>
          </w:rPr>
          <w:fldChar w:fldCharType="end"/>
        </w:r>
      </w:hyperlink>
    </w:p>
    <w:p w14:paraId="5AD3EB8D" w14:textId="77777777" w:rsidR="004D61A5" w:rsidRPr="00C83B70" w:rsidRDefault="000D4B5D">
      <w:pPr>
        <w:pStyle w:val="TOC2"/>
        <w:rPr>
          <w:rFonts w:ascii="Arial" w:eastAsiaTheme="minorEastAsia" w:hAnsi="Arial" w:cs="Arial"/>
          <w:color w:val="auto"/>
          <w:lang w:eastAsia="en-AU"/>
        </w:rPr>
      </w:pPr>
      <w:hyperlink w:anchor="_Toc37921503" w:history="1">
        <w:r w:rsidR="004D61A5" w:rsidRPr="00C83B70">
          <w:rPr>
            <w:rStyle w:val="Hyperlink"/>
            <w:rFonts w:ascii="Arial" w:hAnsi="Arial" w:cs="Arial"/>
          </w:rPr>
          <w:t>7.2</w:t>
        </w:r>
        <w:r w:rsidR="004D61A5" w:rsidRPr="00C83B70">
          <w:rPr>
            <w:rFonts w:ascii="Arial" w:eastAsiaTheme="minorEastAsia" w:hAnsi="Arial" w:cs="Arial"/>
            <w:color w:val="auto"/>
            <w:lang w:eastAsia="en-AU"/>
          </w:rPr>
          <w:tab/>
        </w:r>
        <w:r w:rsidR="004D61A5" w:rsidRPr="00C83B70">
          <w:rPr>
            <w:rStyle w:val="Hyperlink"/>
            <w:rFonts w:ascii="Arial" w:hAnsi="Arial" w:cs="Arial"/>
          </w:rPr>
          <w:t>Monitoring</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_Toc37921503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80</w:t>
        </w:r>
        <w:r w:rsidR="004D61A5" w:rsidRPr="00C83B70">
          <w:rPr>
            <w:rFonts w:ascii="Arial" w:hAnsi="Arial" w:cs="Arial"/>
            <w:webHidden/>
          </w:rPr>
          <w:fldChar w:fldCharType="end"/>
        </w:r>
      </w:hyperlink>
    </w:p>
    <w:p w14:paraId="0F006767" w14:textId="77777777" w:rsidR="004D61A5" w:rsidRPr="00C83B70" w:rsidRDefault="000D4B5D">
      <w:pPr>
        <w:pStyle w:val="TOC2"/>
        <w:rPr>
          <w:rFonts w:ascii="Arial" w:eastAsiaTheme="minorEastAsia" w:hAnsi="Arial" w:cs="Arial"/>
          <w:color w:val="auto"/>
          <w:lang w:eastAsia="en-AU"/>
        </w:rPr>
      </w:pPr>
      <w:hyperlink w:anchor="_Toc37921504" w:history="1">
        <w:r w:rsidR="004D61A5" w:rsidRPr="00C83B70">
          <w:rPr>
            <w:rStyle w:val="Hyperlink"/>
            <w:rFonts w:ascii="Arial" w:hAnsi="Arial" w:cs="Arial"/>
          </w:rPr>
          <w:t>7.3</w:t>
        </w:r>
        <w:r w:rsidR="004D61A5" w:rsidRPr="00C83B70">
          <w:rPr>
            <w:rFonts w:ascii="Arial" w:eastAsiaTheme="minorEastAsia" w:hAnsi="Arial" w:cs="Arial"/>
            <w:color w:val="auto"/>
            <w:lang w:eastAsia="en-AU"/>
          </w:rPr>
          <w:tab/>
        </w:r>
        <w:r w:rsidR="004D61A5" w:rsidRPr="00C83B70">
          <w:rPr>
            <w:rStyle w:val="Hyperlink"/>
            <w:rFonts w:ascii="Arial" w:hAnsi="Arial" w:cs="Arial"/>
          </w:rPr>
          <w:t>Risk assessment</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_Toc37921504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80</w:t>
        </w:r>
        <w:r w:rsidR="004D61A5" w:rsidRPr="00C83B70">
          <w:rPr>
            <w:rFonts w:ascii="Arial" w:hAnsi="Arial" w:cs="Arial"/>
            <w:webHidden/>
          </w:rPr>
          <w:fldChar w:fldCharType="end"/>
        </w:r>
      </w:hyperlink>
    </w:p>
    <w:p w14:paraId="1D8B9277" w14:textId="77777777" w:rsidR="004D61A5" w:rsidRPr="00C83B70" w:rsidRDefault="000D4B5D">
      <w:pPr>
        <w:pStyle w:val="TOC1"/>
        <w:rPr>
          <w:rFonts w:ascii="Arial" w:eastAsiaTheme="minorEastAsia" w:hAnsi="Arial" w:cs="Arial"/>
          <w:b w:val="0"/>
          <w:color w:val="auto"/>
          <w:lang w:eastAsia="en-AU"/>
        </w:rPr>
      </w:pPr>
      <w:hyperlink w:anchor="_Toc37921505" w:history="1">
        <w:r w:rsidR="004D61A5" w:rsidRPr="00C83B70">
          <w:rPr>
            <w:rStyle w:val="Hyperlink"/>
            <w:rFonts w:ascii="Arial" w:hAnsi="Arial" w:cs="Arial"/>
          </w:rPr>
          <w:t>8</w:t>
        </w:r>
        <w:r w:rsidR="004D61A5" w:rsidRPr="00C83B70">
          <w:rPr>
            <w:rFonts w:ascii="Arial" w:eastAsiaTheme="minorEastAsia" w:hAnsi="Arial" w:cs="Arial"/>
            <w:b w:val="0"/>
            <w:color w:val="auto"/>
            <w:lang w:eastAsia="en-AU"/>
          </w:rPr>
          <w:tab/>
        </w:r>
        <w:r w:rsidR="004D61A5" w:rsidRPr="00C83B70">
          <w:rPr>
            <w:rStyle w:val="Hyperlink"/>
            <w:rFonts w:ascii="Arial" w:hAnsi="Arial" w:cs="Arial"/>
          </w:rPr>
          <w:t>EVALUATION STRATEGY</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_Toc37921505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85</w:t>
        </w:r>
        <w:r w:rsidR="004D61A5" w:rsidRPr="00C83B70">
          <w:rPr>
            <w:rFonts w:ascii="Arial" w:hAnsi="Arial" w:cs="Arial"/>
            <w:webHidden/>
          </w:rPr>
          <w:fldChar w:fldCharType="end"/>
        </w:r>
      </w:hyperlink>
    </w:p>
    <w:p w14:paraId="0E7EB3FA" w14:textId="77777777" w:rsidR="004D61A5" w:rsidRPr="00C83B70" w:rsidRDefault="000D4B5D">
      <w:pPr>
        <w:pStyle w:val="TOC2"/>
        <w:rPr>
          <w:rFonts w:ascii="Arial" w:eastAsiaTheme="minorEastAsia" w:hAnsi="Arial" w:cs="Arial"/>
          <w:color w:val="auto"/>
          <w:lang w:eastAsia="en-AU"/>
        </w:rPr>
      </w:pPr>
      <w:hyperlink w:anchor="_Toc37921506" w:history="1">
        <w:r w:rsidR="004D61A5" w:rsidRPr="00C83B70">
          <w:rPr>
            <w:rStyle w:val="Hyperlink"/>
            <w:rFonts w:ascii="Arial" w:hAnsi="Arial" w:cs="Arial"/>
          </w:rPr>
          <w:t>8.1</w:t>
        </w:r>
        <w:r w:rsidR="004D61A5" w:rsidRPr="00C83B70">
          <w:rPr>
            <w:rFonts w:ascii="Arial" w:eastAsiaTheme="minorEastAsia" w:hAnsi="Arial" w:cs="Arial"/>
            <w:color w:val="auto"/>
            <w:lang w:eastAsia="en-AU"/>
          </w:rPr>
          <w:tab/>
        </w:r>
        <w:r w:rsidR="004D61A5" w:rsidRPr="00C83B70">
          <w:rPr>
            <w:rStyle w:val="Hyperlink"/>
            <w:rFonts w:ascii="Arial" w:hAnsi="Arial" w:cs="Arial"/>
          </w:rPr>
          <w:t>Year three review</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_Toc37921506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85</w:t>
        </w:r>
        <w:r w:rsidR="004D61A5" w:rsidRPr="00C83B70">
          <w:rPr>
            <w:rFonts w:ascii="Arial" w:hAnsi="Arial" w:cs="Arial"/>
            <w:webHidden/>
          </w:rPr>
          <w:fldChar w:fldCharType="end"/>
        </w:r>
      </w:hyperlink>
    </w:p>
    <w:p w14:paraId="2DCB4202" w14:textId="77777777" w:rsidR="004D61A5" w:rsidRPr="00C83B70" w:rsidRDefault="000D4B5D">
      <w:pPr>
        <w:pStyle w:val="TOC2"/>
        <w:rPr>
          <w:rFonts w:ascii="Arial" w:eastAsiaTheme="minorEastAsia" w:hAnsi="Arial" w:cs="Arial"/>
          <w:color w:val="auto"/>
          <w:lang w:eastAsia="en-AU"/>
        </w:rPr>
      </w:pPr>
      <w:hyperlink w:anchor="_Toc37921507" w:history="1">
        <w:r w:rsidR="004D61A5" w:rsidRPr="00C83B70">
          <w:rPr>
            <w:rStyle w:val="Hyperlink"/>
            <w:rFonts w:ascii="Arial" w:hAnsi="Arial" w:cs="Arial"/>
          </w:rPr>
          <w:t>8.2</w:t>
        </w:r>
        <w:r w:rsidR="004D61A5" w:rsidRPr="00C83B70">
          <w:rPr>
            <w:rFonts w:ascii="Arial" w:eastAsiaTheme="minorEastAsia" w:hAnsi="Arial" w:cs="Arial"/>
            <w:color w:val="auto"/>
            <w:lang w:eastAsia="en-AU"/>
          </w:rPr>
          <w:tab/>
        </w:r>
        <w:r w:rsidR="004D61A5" w:rsidRPr="00C83B70">
          <w:rPr>
            <w:rStyle w:val="Hyperlink"/>
            <w:rFonts w:ascii="Arial" w:hAnsi="Arial" w:cs="Arial"/>
          </w:rPr>
          <w:t>Year seven review</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_Toc37921507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87</w:t>
        </w:r>
        <w:r w:rsidR="004D61A5" w:rsidRPr="00C83B70">
          <w:rPr>
            <w:rFonts w:ascii="Arial" w:hAnsi="Arial" w:cs="Arial"/>
            <w:webHidden/>
          </w:rPr>
          <w:fldChar w:fldCharType="end"/>
        </w:r>
      </w:hyperlink>
    </w:p>
    <w:p w14:paraId="69B00570" w14:textId="77777777" w:rsidR="004D61A5" w:rsidRPr="00C83B70" w:rsidRDefault="000D4B5D">
      <w:pPr>
        <w:pStyle w:val="TOC1"/>
        <w:rPr>
          <w:rFonts w:ascii="Arial" w:eastAsiaTheme="minorEastAsia" w:hAnsi="Arial" w:cs="Arial"/>
          <w:b w:val="0"/>
          <w:color w:val="auto"/>
          <w:lang w:eastAsia="en-AU"/>
        </w:rPr>
      </w:pPr>
      <w:hyperlink w:anchor="_Toc37921508" w:history="1">
        <w:r w:rsidR="004D61A5" w:rsidRPr="00C83B70">
          <w:rPr>
            <w:rStyle w:val="Hyperlink"/>
            <w:rFonts w:ascii="Arial" w:hAnsi="Arial" w:cs="Arial"/>
            <w:caps/>
          </w:rPr>
          <w:t>Appendix A</w:t>
        </w:r>
        <w:r w:rsidR="004D61A5" w:rsidRPr="00C83B70">
          <w:rPr>
            <w:rStyle w:val="Hyperlink"/>
            <w:rFonts w:ascii="Arial" w:hAnsi="Arial" w:cs="Arial"/>
          </w:rPr>
          <w:t xml:space="preserve"> : SCHEDULE 1 AND SCHEDULE 3 OF THE LSBP ACT</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_Toc37921508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90</w:t>
        </w:r>
        <w:r w:rsidR="004D61A5" w:rsidRPr="00C83B70">
          <w:rPr>
            <w:rFonts w:ascii="Arial" w:hAnsi="Arial" w:cs="Arial"/>
            <w:webHidden/>
          </w:rPr>
          <w:fldChar w:fldCharType="end"/>
        </w:r>
      </w:hyperlink>
    </w:p>
    <w:p w14:paraId="20CD9B2A" w14:textId="77777777" w:rsidR="004D61A5" w:rsidRPr="00C83B70" w:rsidRDefault="000D4B5D">
      <w:pPr>
        <w:pStyle w:val="TOC1"/>
        <w:rPr>
          <w:rFonts w:ascii="Arial" w:eastAsiaTheme="minorEastAsia" w:hAnsi="Arial" w:cs="Arial"/>
          <w:b w:val="0"/>
          <w:color w:val="auto"/>
          <w:lang w:eastAsia="en-AU"/>
        </w:rPr>
      </w:pPr>
      <w:hyperlink w:anchor="_Toc37921509" w:history="1">
        <w:r w:rsidR="004D61A5" w:rsidRPr="00C83B70">
          <w:rPr>
            <w:rStyle w:val="Hyperlink"/>
            <w:rFonts w:ascii="Arial" w:hAnsi="Arial" w:cs="Arial"/>
            <w:caps/>
          </w:rPr>
          <w:t>Appendix B</w:t>
        </w:r>
        <w:r w:rsidR="004D61A5" w:rsidRPr="00C83B70">
          <w:rPr>
            <w:rStyle w:val="Hyperlink"/>
            <w:rFonts w:ascii="Arial" w:hAnsi="Arial" w:cs="Arial"/>
          </w:rPr>
          <w:t xml:space="preserve"> : CONSULTATION SUMMARY</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_Toc37921509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99</w:t>
        </w:r>
        <w:r w:rsidR="004D61A5" w:rsidRPr="00C83B70">
          <w:rPr>
            <w:rFonts w:ascii="Arial" w:hAnsi="Arial" w:cs="Arial"/>
            <w:webHidden/>
          </w:rPr>
          <w:fldChar w:fldCharType="end"/>
        </w:r>
      </w:hyperlink>
    </w:p>
    <w:p w14:paraId="0AC66F4E" w14:textId="77777777" w:rsidR="004D61A5" w:rsidRPr="00C83B70" w:rsidRDefault="000D4B5D">
      <w:pPr>
        <w:pStyle w:val="TOC1"/>
        <w:rPr>
          <w:rFonts w:ascii="Arial" w:eastAsiaTheme="minorEastAsia" w:hAnsi="Arial" w:cs="Arial"/>
          <w:b w:val="0"/>
          <w:color w:val="auto"/>
          <w:lang w:eastAsia="en-AU"/>
        </w:rPr>
      </w:pPr>
      <w:hyperlink w:anchor="_Toc37921510" w:history="1">
        <w:r w:rsidR="004D61A5" w:rsidRPr="00C83B70">
          <w:rPr>
            <w:rStyle w:val="Hyperlink"/>
            <w:rFonts w:ascii="Arial" w:hAnsi="Arial" w:cs="Arial"/>
            <w:caps/>
          </w:rPr>
          <w:t>Appendix C</w:t>
        </w:r>
        <w:r w:rsidR="004D61A5" w:rsidRPr="00C83B70">
          <w:rPr>
            <w:rStyle w:val="Hyperlink"/>
            <w:rFonts w:ascii="Arial" w:hAnsi="Arial" w:cs="Arial"/>
          </w:rPr>
          <w:t xml:space="preserve"> : OUT-OF-SCOPE FEEDBACK</w:t>
        </w:r>
        <w:r w:rsidR="004D61A5" w:rsidRPr="00C83B70">
          <w:rPr>
            <w:rFonts w:ascii="Arial" w:hAnsi="Arial" w:cs="Arial"/>
            <w:webHidden/>
          </w:rPr>
          <w:tab/>
        </w:r>
        <w:r w:rsidR="004D61A5" w:rsidRPr="00C83B70">
          <w:rPr>
            <w:rFonts w:ascii="Arial" w:hAnsi="Arial" w:cs="Arial"/>
            <w:webHidden/>
          </w:rPr>
          <w:fldChar w:fldCharType="begin"/>
        </w:r>
        <w:r w:rsidR="004D61A5" w:rsidRPr="00C83B70">
          <w:rPr>
            <w:rFonts w:ascii="Arial" w:hAnsi="Arial" w:cs="Arial"/>
            <w:webHidden/>
          </w:rPr>
          <w:instrText xml:space="preserve"> PAGEREF _Toc37921510 \h </w:instrText>
        </w:r>
        <w:r w:rsidR="004D61A5" w:rsidRPr="00C83B70">
          <w:rPr>
            <w:rFonts w:ascii="Arial" w:hAnsi="Arial" w:cs="Arial"/>
            <w:webHidden/>
          </w:rPr>
        </w:r>
        <w:r w:rsidR="004D61A5" w:rsidRPr="00C83B70">
          <w:rPr>
            <w:rFonts w:ascii="Arial" w:hAnsi="Arial" w:cs="Arial"/>
            <w:webHidden/>
          </w:rPr>
          <w:fldChar w:fldCharType="separate"/>
        </w:r>
        <w:r w:rsidR="00C83B70">
          <w:rPr>
            <w:rFonts w:ascii="Arial" w:hAnsi="Arial" w:cs="Arial"/>
            <w:webHidden/>
          </w:rPr>
          <w:t>100</w:t>
        </w:r>
        <w:r w:rsidR="004D61A5" w:rsidRPr="00C83B70">
          <w:rPr>
            <w:rFonts w:ascii="Arial" w:hAnsi="Arial" w:cs="Arial"/>
            <w:webHidden/>
          </w:rPr>
          <w:fldChar w:fldCharType="end"/>
        </w:r>
      </w:hyperlink>
    </w:p>
    <w:p w14:paraId="7DDE4F39" w14:textId="77777777" w:rsidR="00945BEB" w:rsidRPr="00C83B70" w:rsidRDefault="003B0D01" w:rsidP="00945BEB">
      <w:pPr>
        <w:pStyle w:val="BodyText"/>
        <w:rPr>
          <w:rFonts w:cs="Arial"/>
        </w:rPr>
      </w:pPr>
      <w:r w:rsidRPr="00C83B70">
        <w:rPr>
          <w:rFonts w:cs="Arial"/>
        </w:rPr>
        <w:fldChar w:fldCharType="end"/>
      </w:r>
    </w:p>
    <w:p w14:paraId="54923DAF" w14:textId="77777777" w:rsidR="00945BEB" w:rsidRPr="00C83B70" w:rsidRDefault="00945BEB" w:rsidP="00E13F2A">
      <w:pPr>
        <w:pStyle w:val="HeadingLevel1NoNumber"/>
        <w:rPr>
          <w:rFonts w:ascii="Arial" w:hAnsi="Arial" w:cs="Arial"/>
        </w:rPr>
        <w:sectPr w:rsidR="00945BEB" w:rsidRPr="00C83B70" w:rsidSect="001E3D7B">
          <w:headerReference w:type="even" r:id="rId17"/>
          <w:headerReference w:type="default" r:id="rId18"/>
          <w:footerReference w:type="even" r:id="rId19"/>
          <w:footerReference w:type="default" r:id="rId20"/>
          <w:headerReference w:type="first" r:id="rId21"/>
          <w:footerReference w:type="first" r:id="rId22"/>
          <w:pgSz w:w="11906" w:h="16838"/>
          <w:pgMar w:top="1440" w:right="1440" w:bottom="1440" w:left="1440" w:header="708" w:footer="708" w:gutter="0"/>
          <w:pgNumType w:fmt="lowerRoman" w:start="1"/>
          <w:cols w:space="708"/>
          <w:docGrid w:linePitch="360"/>
        </w:sectPr>
      </w:pPr>
    </w:p>
    <w:p w14:paraId="095545B5" w14:textId="6DC4F442" w:rsidR="00E13F2A" w:rsidRPr="00EC5379" w:rsidRDefault="00E13F2A" w:rsidP="00E13F2A">
      <w:pPr>
        <w:pStyle w:val="HeadingLevel1NoNumber"/>
        <w:rPr>
          <w:rFonts w:ascii="Arial" w:hAnsi="Arial" w:cs="Arial"/>
        </w:rPr>
      </w:pPr>
      <w:bookmarkStart w:id="7" w:name="_Toc4768868"/>
      <w:bookmarkStart w:id="8" w:name="_Toc37921469"/>
      <w:r w:rsidRPr="00EC5379">
        <w:rPr>
          <w:rFonts w:ascii="Arial" w:hAnsi="Arial" w:cs="Arial"/>
        </w:rPr>
        <w:lastRenderedPageBreak/>
        <w:t>ABBREVIATIONS AND TERMS</w:t>
      </w:r>
      <w:bookmarkEnd w:id="7"/>
      <w:bookmarkEnd w:id="8"/>
    </w:p>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3119"/>
        <w:gridCol w:w="5897"/>
      </w:tblGrid>
      <w:tr w:rsidR="00905A24" w:rsidRPr="00905A24" w14:paraId="05CDEF07" w14:textId="77777777" w:rsidTr="00905A24">
        <w:tc>
          <w:tcPr>
            <w:tcW w:w="3119" w:type="dxa"/>
            <w:tcBorders>
              <w:top w:val="single" w:sz="4" w:space="0" w:color="auto"/>
              <w:left w:val="nil"/>
              <w:bottom w:val="single" w:sz="4" w:space="0" w:color="auto"/>
              <w:right w:val="nil"/>
            </w:tcBorders>
            <w:shd w:val="clear" w:color="auto" w:fill="DEEAF6" w:themeFill="accent1" w:themeFillTint="33"/>
            <w:vAlign w:val="center"/>
            <w:hideMark/>
          </w:tcPr>
          <w:p w14:paraId="55437B8C" w14:textId="77777777" w:rsidR="00905A24" w:rsidRPr="00905A24" w:rsidRDefault="00905A24">
            <w:pPr>
              <w:spacing w:before="40" w:after="40"/>
              <w:rPr>
                <w:rFonts w:ascii="Arial" w:hAnsi="Arial" w:cs="Arial"/>
                <w:sz w:val="20"/>
              </w:rPr>
            </w:pPr>
            <w:r w:rsidRPr="00905A24">
              <w:rPr>
                <w:rFonts w:ascii="Arial" w:hAnsi="Arial" w:cs="Arial"/>
                <w:sz w:val="20"/>
              </w:rPr>
              <w:t>The Authority</w:t>
            </w:r>
          </w:p>
        </w:tc>
        <w:tc>
          <w:tcPr>
            <w:tcW w:w="5897" w:type="dxa"/>
            <w:tcBorders>
              <w:top w:val="single" w:sz="4" w:space="0" w:color="auto"/>
              <w:left w:val="nil"/>
              <w:bottom w:val="single" w:sz="4" w:space="0" w:color="auto"/>
              <w:right w:val="nil"/>
            </w:tcBorders>
            <w:shd w:val="clear" w:color="auto" w:fill="DEEAF6" w:themeFill="accent1" w:themeFillTint="33"/>
            <w:vAlign w:val="center"/>
            <w:hideMark/>
          </w:tcPr>
          <w:p w14:paraId="18E78B0B" w14:textId="77777777" w:rsidR="00905A24" w:rsidRPr="00905A24" w:rsidRDefault="00905A24">
            <w:pPr>
              <w:spacing w:before="40" w:after="40"/>
              <w:rPr>
                <w:rFonts w:ascii="Arial" w:hAnsi="Arial" w:cs="Arial"/>
                <w:sz w:val="20"/>
              </w:rPr>
            </w:pPr>
            <w:r w:rsidRPr="00905A24">
              <w:rPr>
                <w:rFonts w:ascii="Arial" w:hAnsi="Arial" w:cs="Arial"/>
                <w:sz w:val="20"/>
              </w:rPr>
              <w:t>The Portable Long Service Benefits Authority</w:t>
            </w:r>
          </w:p>
        </w:tc>
      </w:tr>
      <w:tr w:rsidR="00905A24" w:rsidRPr="00905A24" w14:paraId="3CC64AFF" w14:textId="77777777" w:rsidTr="00905A24">
        <w:tc>
          <w:tcPr>
            <w:tcW w:w="3119" w:type="dxa"/>
            <w:tcBorders>
              <w:top w:val="single" w:sz="4" w:space="0" w:color="auto"/>
              <w:left w:val="nil"/>
              <w:bottom w:val="single" w:sz="4" w:space="0" w:color="auto"/>
              <w:right w:val="nil"/>
            </w:tcBorders>
            <w:shd w:val="clear" w:color="auto" w:fill="DEEAF6" w:themeFill="accent1" w:themeFillTint="33"/>
            <w:vAlign w:val="center"/>
            <w:hideMark/>
          </w:tcPr>
          <w:p w14:paraId="4857A4B4" w14:textId="33F5E514" w:rsidR="00905A24" w:rsidRPr="00905A24" w:rsidRDefault="00905A24">
            <w:pPr>
              <w:spacing w:before="40" w:after="40"/>
              <w:rPr>
                <w:rFonts w:ascii="Arial" w:hAnsi="Arial" w:cs="Arial"/>
                <w:sz w:val="20"/>
              </w:rPr>
            </w:pPr>
            <w:r w:rsidRPr="00905A24">
              <w:rPr>
                <w:rFonts w:ascii="Arial" w:hAnsi="Arial" w:cs="Arial"/>
                <w:sz w:val="20"/>
              </w:rPr>
              <w:t xml:space="preserve">DHHS </w:t>
            </w:r>
          </w:p>
        </w:tc>
        <w:tc>
          <w:tcPr>
            <w:tcW w:w="5897" w:type="dxa"/>
            <w:tcBorders>
              <w:top w:val="single" w:sz="4" w:space="0" w:color="auto"/>
              <w:left w:val="nil"/>
              <w:bottom w:val="single" w:sz="4" w:space="0" w:color="auto"/>
              <w:right w:val="nil"/>
            </w:tcBorders>
            <w:shd w:val="clear" w:color="auto" w:fill="DEEAF6" w:themeFill="accent1" w:themeFillTint="33"/>
            <w:vAlign w:val="center"/>
            <w:hideMark/>
          </w:tcPr>
          <w:p w14:paraId="655659F7" w14:textId="77777777" w:rsidR="00905A24" w:rsidRPr="00905A24" w:rsidRDefault="00905A24">
            <w:pPr>
              <w:spacing w:before="40" w:after="40"/>
              <w:rPr>
                <w:rFonts w:ascii="Arial" w:hAnsi="Arial" w:cs="Arial"/>
                <w:sz w:val="20"/>
              </w:rPr>
            </w:pPr>
            <w:r w:rsidRPr="00905A24">
              <w:rPr>
                <w:rFonts w:ascii="Arial" w:hAnsi="Arial" w:cs="Arial"/>
                <w:sz w:val="20"/>
              </w:rPr>
              <w:t>Department of Health and Human Services Victoria</w:t>
            </w:r>
          </w:p>
        </w:tc>
      </w:tr>
      <w:tr w:rsidR="00905A24" w:rsidRPr="00905A24" w14:paraId="17126A8E" w14:textId="77777777" w:rsidTr="00905A24">
        <w:tc>
          <w:tcPr>
            <w:tcW w:w="3119" w:type="dxa"/>
            <w:tcBorders>
              <w:top w:val="single" w:sz="4" w:space="0" w:color="auto"/>
              <w:left w:val="nil"/>
              <w:bottom w:val="single" w:sz="4" w:space="0" w:color="auto"/>
              <w:right w:val="nil"/>
            </w:tcBorders>
            <w:shd w:val="clear" w:color="auto" w:fill="DEEAF6" w:themeFill="accent1" w:themeFillTint="33"/>
            <w:vAlign w:val="center"/>
            <w:hideMark/>
          </w:tcPr>
          <w:p w14:paraId="1E37F28E" w14:textId="1092C927" w:rsidR="00905A24" w:rsidRPr="00905A24" w:rsidRDefault="00DB3ADD">
            <w:pPr>
              <w:spacing w:before="40" w:after="40"/>
              <w:rPr>
                <w:rFonts w:ascii="Arial" w:hAnsi="Arial" w:cs="Arial"/>
                <w:sz w:val="20"/>
              </w:rPr>
            </w:pPr>
            <w:r>
              <w:rPr>
                <w:rFonts w:ascii="Arial" w:hAnsi="Arial" w:cs="Arial"/>
                <w:sz w:val="20"/>
              </w:rPr>
              <w:t>Double-dipping</w:t>
            </w:r>
          </w:p>
        </w:tc>
        <w:tc>
          <w:tcPr>
            <w:tcW w:w="5897" w:type="dxa"/>
            <w:tcBorders>
              <w:top w:val="single" w:sz="4" w:space="0" w:color="auto"/>
              <w:left w:val="nil"/>
              <w:bottom w:val="single" w:sz="4" w:space="0" w:color="auto"/>
              <w:right w:val="nil"/>
            </w:tcBorders>
            <w:shd w:val="clear" w:color="auto" w:fill="DEEAF6" w:themeFill="accent1" w:themeFillTint="33"/>
            <w:vAlign w:val="center"/>
            <w:hideMark/>
          </w:tcPr>
          <w:p w14:paraId="6360E3DC" w14:textId="6A3B88ED" w:rsidR="00905A24" w:rsidRPr="00905A24" w:rsidRDefault="00DB3ADD" w:rsidP="00905A24">
            <w:pPr>
              <w:spacing w:before="40" w:after="40"/>
              <w:rPr>
                <w:rFonts w:ascii="Arial" w:hAnsi="Arial" w:cs="Arial"/>
                <w:sz w:val="20"/>
              </w:rPr>
            </w:pPr>
            <w:r>
              <w:rPr>
                <w:rFonts w:ascii="Arial" w:hAnsi="Arial" w:cs="Arial"/>
                <w:sz w:val="20"/>
              </w:rPr>
              <w:t>Double-dipping</w:t>
            </w:r>
            <w:r w:rsidR="00905A24" w:rsidRPr="00905A24">
              <w:rPr>
                <w:rFonts w:ascii="Arial" w:hAnsi="Arial" w:cs="Arial"/>
                <w:sz w:val="20"/>
              </w:rPr>
              <w:t xml:space="preserve"> refers to situations where an employer might have or accrue an entitlement to a long service benefit under both the </w:t>
            </w:r>
            <w:r w:rsidR="00905A24">
              <w:rPr>
                <w:rFonts w:ascii="Arial" w:hAnsi="Arial" w:cs="Arial"/>
                <w:sz w:val="20"/>
              </w:rPr>
              <w:t xml:space="preserve">LSBP Act and under an existing workplace entitlement </w:t>
            </w:r>
            <w:r w:rsidR="00905A24" w:rsidRPr="00905A24">
              <w:rPr>
                <w:rFonts w:ascii="Arial" w:hAnsi="Arial" w:cs="Arial"/>
                <w:sz w:val="20"/>
              </w:rPr>
              <w:t>where the service that gives rise to the entitlements overlap.</w:t>
            </w:r>
          </w:p>
        </w:tc>
      </w:tr>
      <w:tr w:rsidR="00786F76" w:rsidRPr="00905A24" w14:paraId="1CBEEB33" w14:textId="77777777" w:rsidTr="00905A24">
        <w:tc>
          <w:tcPr>
            <w:tcW w:w="3119" w:type="dxa"/>
            <w:tcBorders>
              <w:top w:val="single" w:sz="4" w:space="0" w:color="auto"/>
              <w:left w:val="nil"/>
              <w:bottom w:val="single" w:sz="4" w:space="0" w:color="auto"/>
              <w:right w:val="nil"/>
            </w:tcBorders>
            <w:shd w:val="clear" w:color="auto" w:fill="DEEAF6" w:themeFill="accent1" w:themeFillTint="33"/>
            <w:vAlign w:val="center"/>
          </w:tcPr>
          <w:p w14:paraId="69E212D5" w14:textId="6351CF94" w:rsidR="00786F76" w:rsidRPr="00905A24" w:rsidRDefault="00786F76">
            <w:pPr>
              <w:spacing w:before="40" w:after="40"/>
              <w:rPr>
                <w:rFonts w:ascii="Arial" w:hAnsi="Arial" w:cs="Arial"/>
                <w:sz w:val="20"/>
              </w:rPr>
            </w:pPr>
            <w:r>
              <w:rPr>
                <w:rFonts w:ascii="Arial" w:hAnsi="Arial" w:cs="Arial"/>
                <w:sz w:val="20"/>
              </w:rPr>
              <w:t>FTE</w:t>
            </w:r>
          </w:p>
        </w:tc>
        <w:tc>
          <w:tcPr>
            <w:tcW w:w="5897" w:type="dxa"/>
            <w:tcBorders>
              <w:top w:val="single" w:sz="4" w:space="0" w:color="auto"/>
              <w:left w:val="nil"/>
              <w:bottom w:val="single" w:sz="4" w:space="0" w:color="auto"/>
              <w:right w:val="nil"/>
            </w:tcBorders>
            <w:shd w:val="clear" w:color="auto" w:fill="DEEAF6" w:themeFill="accent1" w:themeFillTint="33"/>
            <w:vAlign w:val="center"/>
          </w:tcPr>
          <w:p w14:paraId="20F97309" w14:textId="7E0FA5CB" w:rsidR="00786F76" w:rsidRPr="00905A24" w:rsidRDefault="00786F76" w:rsidP="00905A24">
            <w:pPr>
              <w:spacing w:before="40" w:after="40"/>
              <w:rPr>
                <w:rFonts w:ascii="Arial" w:hAnsi="Arial" w:cs="Arial"/>
                <w:sz w:val="20"/>
              </w:rPr>
            </w:pPr>
            <w:r>
              <w:rPr>
                <w:rFonts w:ascii="Arial" w:hAnsi="Arial" w:cs="Arial"/>
                <w:sz w:val="20"/>
              </w:rPr>
              <w:t xml:space="preserve">Full-time equivalent </w:t>
            </w:r>
          </w:p>
        </w:tc>
      </w:tr>
      <w:tr w:rsidR="00905A24" w:rsidRPr="00905A24" w14:paraId="240CF77F" w14:textId="77777777" w:rsidTr="00905A24">
        <w:tc>
          <w:tcPr>
            <w:tcW w:w="3119" w:type="dxa"/>
            <w:tcBorders>
              <w:top w:val="single" w:sz="4" w:space="0" w:color="auto"/>
              <w:left w:val="nil"/>
              <w:bottom w:val="single" w:sz="4" w:space="0" w:color="auto"/>
              <w:right w:val="nil"/>
            </w:tcBorders>
            <w:shd w:val="clear" w:color="auto" w:fill="DEEAF6" w:themeFill="accent1" w:themeFillTint="33"/>
            <w:vAlign w:val="center"/>
          </w:tcPr>
          <w:p w14:paraId="3B62DA88" w14:textId="207F7DF5" w:rsidR="00905A24" w:rsidRPr="00905A24" w:rsidRDefault="00905A24">
            <w:pPr>
              <w:spacing w:before="40" w:after="40"/>
              <w:rPr>
                <w:rFonts w:ascii="Arial" w:hAnsi="Arial" w:cs="Arial"/>
                <w:sz w:val="20"/>
              </w:rPr>
            </w:pPr>
            <w:r>
              <w:rPr>
                <w:rFonts w:ascii="Arial" w:hAnsi="Arial" w:cs="Arial"/>
                <w:sz w:val="20"/>
              </w:rPr>
              <w:t>IRV</w:t>
            </w:r>
          </w:p>
        </w:tc>
        <w:tc>
          <w:tcPr>
            <w:tcW w:w="5897" w:type="dxa"/>
            <w:tcBorders>
              <w:top w:val="single" w:sz="4" w:space="0" w:color="auto"/>
              <w:left w:val="nil"/>
              <w:bottom w:val="single" w:sz="4" w:space="0" w:color="auto"/>
              <w:right w:val="nil"/>
            </w:tcBorders>
            <w:shd w:val="clear" w:color="auto" w:fill="DEEAF6" w:themeFill="accent1" w:themeFillTint="33"/>
            <w:vAlign w:val="center"/>
          </w:tcPr>
          <w:p w14:paraId="5A665D0F" w14:textId="00BA1D8F" w:rsidR="00905A24" w:rsidRPr="00905A24" w:rsidRDefault="00905A24" w:rsidP="00905A24">
            <w:pPr>
              <w:spacing w:before="40" w:after="40"/>
              <w:rPr>
                <w:rFonts w:ascii="Arial" w:hAnsi="Arial" w:cs="Arial"/>
                <w:sz w:val="20"/>
              </w:rPr>
            </w:pPr>
            <w:r>
              <w:rPr>
                <w:rFonts w:ascii="Arial" w:hAnsi="Arial" w:cs="Arial"/>
                <w:sz w:val="20"/>
              </w:rPr>
              <w:t>Industrial Relations Victoria</w:t>
            </w:r>
          </w:p>
        </w:tc>
      </w:tr>
      <w:tr w:rsidR="00905A24" w:rsidRPr="00905A24" w14:paraId="44CD7088" w14:textId="77777777" w:rsidTr="00905A24">
        <w:tc>
          <w:tcPr>
            <w:tcW w:w="3119" w:type="dxa"/>
            <w:tcBorders>
              <w:top w:val="single" w:sz="4" w:space="0" w:color="auto"/>
              <w:left w:val="nil"/>
              <w:bottom w:val="single" w:sz="4" w:space="0" w:color="auto"/>
              <w:right w:val="nil"/>
            </w:tcBorders>
            <w:shd w:val="clear" w:color="auto" w:fill="DEEAF6" w:themeFill="accent1" w:themeFillTint="33"/>
            <w:vAlign w:val="center"/>
          </w:tcPr>
          <w:p w14:paraId="1BE80F9D" w14:textId="14F3A4F2" w:rsidR="00905A24" w:rsidRDefault="00905A24">
            <w:pPr>
              <w:spacing w:before="40" w:after="40"/>
              <w:rPr>
                <w:rFonts w:ascii="Arial" w:hAnsi="Arial" w:cs="Arial"/>
                <w:sz w:val="20"/>
              </w:rPr>
            </w:pPr>
            <w:r>
              <w:rPr>
                <w:rFonts w:ascii="Arial" w:hAnsi="Arial" w:cs="Arial"/>
                <w:sz w:val="20"/>
              </w:rPr>
              <w:t>Interim Regulations</w:t>
            </w:r>
          </w:p>
        </w:tc>
        <w:tc>
          <w:tcPr>
            <w:tcW w:w="5897" w:type="dxa"/>
            <w:tcBorders>
              <w:top w:val="single" w:sz="4" w:space="0" w:color="auto"/>
              <w:left w:val="nil"/>
              <w:bottom w:val="single" w:sz="4" w:space="0" w:color="auto"/>
              <w:right w:val="nil"/>
            </w:tcBorders>
            <w:shd w:val="clear" w:color="auto" w:fill="DEEAF6" w:themeFill="accent1" w:themeFillTint="33"/>
            <w:vAlign w:val="center"/>
          </w:tcPr>
          <w:p w14:paraId="30ABAB0A" w14:textId="1CFDDFC0" w:rsidR="00905A24" w:rsidRDefault="00905A24" w:rsidP="00905A24">
            <w:pPr>
              <w:spacing w:before="40" w:after="40"/>
              <w:rPr>
                <w:rFonts w:ascii="Arial" w:hAnsi="Arial" w:cs="Arial"/>
                <w:sz w:val="20"/>
              </w:rPr>
            </w:pPr>
            <w:r>
              <w:rPr>
                <w:rFonts w:ascii="Arial" w:hAnsi="Arial" w:cs="Arial"/>
                <w:sz w:val="20"/>
              </w:rPr>
              <w:t>The Long Service Benefits Portability Interim Regulations 2019</w:t>
            </w:r>
          </w:p>
        </w:tc>
      </w:tr>
      <w:tr w:rsidR="00905A24" w:rsidRPr="00905A24" w14:paraId="1E4966BD" w14:textId="77777777" w:rsidTr="00905A24">
        <w:tc>
          <w:tcPr>
            <w:tcW w:w="3119" w:type="dxa"/>
            <w:tcBorders>
              <w:top w:val="single" w:sz="4" w:space="0" w:color="auto"/>
              <w:left w:val="nil"/>
              <w:bottom w:val="single" w:sz="4" w:space="0" w:color="auto"/>
              <w:right w:val="nil"/>
            </w:tcBorders>
            <w:shd w:val="clear" w:color="auto" w:fill="DEEAF6" w:themeFill="accent1" w:themeFillTint="33"/>
            <w:vAlign w:val="center"/>
            <w:hideMark/>
          </w:tcPr>
          <w:p w14:paraId="1AAF4279" w14:textId="77777777" w:rsidR="00905A24" w:rsidRPr="00905A24" w:rsidRDefault="00905A24">
            <w:pPr>
              <w:spacing w:before="40" w:after="40"/>
              <w:rPr>
                <w:rFonts w:ascii="Arial" w:hAnsi="Arial" w:cs="Arial"/>
                <w:sz w:val="20"/>
              </w:rPr>
            </w:pPr>
            <w:r w:rsidRPr="00905A24">
              <w:rPr>
                <w:rFonts w:ascii="Arial" w:hAnsi="Arial" w:cs="Arial"/>
                <w:sz w:val="20"/>
              </w:rPr>
              <w:t>LSBP Act</w:t>
            </w:r>
          </w:p>
        </w:tc>
        <w:tc>
          <w:tcPr>
            <w:tcW w:w="5897" w:type="dxa"/>
            <w:tcBorders>
              <w:top w:val="single" w:sz="4" w:space="0" w:color="auto"/>
              <w:left w:val="nil"/>
              <w:bottom w:val="single" w:sz="4" w:space="0" w:color="auto"/>
              <w:right w:val="nil"/>
            </w:tcBorders>
            <w:shd w:val="clear" w:color="auto" w:fill="DEEAF6" w:themeFill="accent1" w:themeFillTint="33"/>
            <w:vAlign w:val="center"/>
            <w:hideMark/>
          </w:tcPr>
          <w:p w14:paraId="5095CF95" w14:textId="77777777" w:rsidR="00905A24" w:rsidRPr="00905A24" w:rsidRDefault="00905A24">
            <w:pPr>
              <w:spacing w:before="40" w:after="40"/>
              <w:rPr>
                <w:rFonts w:ascii="Arial" w:hAnsi="Arial" w:cs="Arial"/>
                <w:sz w:val="20"/>
              </w:rPr>
            </w:pPr>
            <w:r w:rsidRPr="00905A24">
              <w:rPr>
                <w:rFonts w:ascii="Arial" w:hAnsi="Arial" w:cs="Arial"/>
                <w:i/>
                <w:sz w:val="20"/>
              </w:rPr>
              <w:t xml:space="preserve">The Long Service Benefits Portability Act 2018 </w:t>
            </w:r>
            <w:r w:rsidRPr="00905A24">
              <w:rPr>
                <w:rFonts w:ascii="Arial" w:hAnsi="Arial" w:cs="Arial"/>
                <w:sz w:val="20"/>
              </w:rPr>
              <w:t>(Vic)</w:t>
            </w:r>
          </w:p>
        </w:tc>
      </w:tr>
      <w:tr w:rsidR="001B1C45" w:rsidRPr="00905A24" w14:paraId="149F1D23" w14:textId="77777777" w:rsidTr="00905A24">
        <w:tc>
          <w:tcPr>
            <w:tcW w:w="3119" w:type="dxa"/>
            <w:tcBorders>
              <w:top w:val="single" w:sz="4" w:space="0" w:color="auto"/>
              <w:left w:val="nil"/>
              <w:bottom w:val="single" w:sz="4" w:space="0" w:color="auto"/>
              <w:right w:val="nil"/>
            </w:tcBorders>
            <w:shd w:val="clear" w:color="auto" w:fill="DEEAF6" w:themeFill="accent1" w:themeFillTint="33"/>
            <w:vAlign w:val="center"/>
          </w:tcPr>
          <w:p w14:paraId="43A6E83A" w14:textId="372D8921" w:rsidR="001B1C45" w:rsidRPr="00905A24" w:rsidRDefault="001B1C45">
            <w:pPr>
              <w:spacing w:before="40" w:after="40"/>
              <w:rPr>
                <w:rFonts w:ascii="Arial" w:hAnsi="Arial" w:cs="Arial"/>
                <w:sz w:val="20"/>
              </w:rPr>
            </w:pPr>
            <w:r>
              <w:rPr>
                <w:rFonts w:ascii="Arial" w:hAnsi="Arial" w:cs="Arial"/>
                <w:sz w:val="20"/>
              </w:rPr>
              <w:t>NDIS</w:t>
            </w:r>
          </w:p>
        </w:tc>
        <w:tc>
          <w:tcPr>
            <w:tcW w:w="5897" w:type="dxa"/>
            <w:tcBorders>
              <w:top w:val="single" w:sz="4" w:space="0" w:color="auto"/>
              <w:left w:val="nil"/>
              <w:bottom w:val="single" w:sz="4" w:space="0" w:color="auto"/>
              <w:right w:val="nil"/>
            </w:tcBorders>
            <w:shd w:val="clear" w:color="auto" w:fill="DEEAF6" w:themeFill="accent1" w:themeFillTint="33"/>
            <w:vAlign w:val="center"/>
          </w:tcPr>
          <w:p w14:paraId="7527D83A" w14:textId="31E945CC" w:rsidR="001B1C45" w:rsidRPr="001B1C45" w:rsidRDefault="001B1C45">
            <w:pPr>
              <w:spacing w:before="40" w:after="40"/>
              <w:rPr>
                <w:rFonts w:ascii="Arial" w:hAnsi="Arial" w:cs="Arial"/>
                <w:sz w:val="20"/>
              </w:rPr>
            </w:pPr>
            <w:r>
              <w:rPr>
                <w:rFonts w:ascii="Arial" w:hAnsi="Arial" w:cs="Arial"/>
                <w:sz w:val="20"/>
              </w:rPr>
              <w:t>National Disability Insurance Scheme</w:t>
            </w:r>
          </w:p>
        </w:tc>
      </w:tr>
      <w:tr w:rsidR="00C67CC9" w:rsidRPr="00905A24" w14:paraId="0CF9DBDF" w14:textId="77777777" w:rsidTr="00905A24">
        <w:tc>
          <w:tcPr>
            <w:tcW w:w="3119" w:type="dxa"/>
            <w:tcBorders>
              <w:top w:val="single" w:sz="4" w:space="0" w:color="auto"/>
              <w:left w:val="nil"/>
              <w:bottom w:val="single" w:sz="4" w:space="0" w:color="auto"/>
              <w:right w:val="nil"/>
            </w:tcBorders>
            <w:shd w:val="clear" w:color="auto" w:fill="DEEAF6" w:themeFill="accent1" w:themeFillTint="33"/>
            <w:vAlign w:val="center"/>
          </w:tcPr>
          <w:p w14:paraId="15149AE2" w14:textId="6874C0AB" w:rsidR="00C67CC9" w:rsidRDefault="00C67CC9">
            <w:pPr>
              <w:spacing w:before="40" w:after="40"/>
              <w:rPr>
                <w:rFonts w:ascii="Arial" w:hAnsi="Arial" w:cs="Arial"/>
                <w:sz w:val="20"/>
              </w:rPr>
            </w:pPr>
            <w:r>
              <w:rPr>
                <w:rFonts w:ascii="Arial" w:hAnsi="Arial" w:cs="Arial"/>
                <w:sz w:val="20"/>
              </w:rPr>
              <w:t>NES</w:t>
            </w:r>
          </w:p>
        </w:tc>
        <w:tc>
          <w:tcPr>
            <w:tcW w:w="5897" w:type="dxa"/>
            <w:tcBorders>
              <w:top w:val="single" w:sz="4" w:space="0" w:color="auto"/>
              <w:left w:val="nil"/>
              <w:bottom w:val="single" w:sz="4" w:space="0" w:color="auto"/>
              <w:right w:val="nil"/>
            </w:tcBorders>
            <w:shd w:val="clear" w:color="auto" w:fill="DEEAF6" w:themeFill="accent1" w:themeFillTint="33"/>
            <w:vAlign w:val="center"/>
          </w:tcPr>
          <w:p w14:paraId="5286806E" w14:textId="3904BC6B" w:rsidR="00C67CC9" w:rsidRDefault="00C67CC9">
            <w:pPr>
              <w:spacing w:before="40" w:after="40"/>
              <w:rPr>
                <w:rFonts w:ascii="Arial" w:hAnsi="Arial" w:cs="Arial"/>
                <w:sz w:val="20"/>
              </w:rPr>
            </w:pPr>
            <w:r>
              <w:rPr>
                <w:rFonts w:ascii="Arial" w:hAnsi="Arial" w:cs="Arial"/>
                <w:sz w:val="20"/>
              </w:rPr>
              <w:t>National Employment Standards</w:t>
            </w:r>
          </w:p>
        </w:tc>
      </w:tr>
      <w:tr w:rsidR="007B2C23" w:rsidRPr="00905A24" w14:paraId="1533BACD" w14:textId="77777777" w:rsidTr="00905A24">
        <w:tc>
          <w:tcPr>
            <w:tcW w:w="3119" w:type="dxa"/>
            <w:tcBorders>
              <w:top w:val="single" w:sz="4" w:space="0" w:color="auto"/>
              <w:left w:val="nil"/>
              <w:bottom w:val="single" w:sz="4" w:space="0" w:color="auto"/>
              <w:right w:val="nil"/>
            </w:tcBorders>
            <w:shd w:val="clear" w:color="auto" w:fill="DEEAF6" w:themeFill="accent1" w:themeFillTint="33"/>
            <w:vAlign w:val="center"/>
          </w:tcPr>
          <w:p w14:paraId="1C1E981F" w14:textId="3A647116" w:rsidR="007B2C23" w:rsidRPr="00905A24" w:rsidRDefault="007B2C23" w:rsidP="007B2C23">
            <w:pPr>
              <w:spacing w:before="40" w:after="40"/>
              <w:rPr>
                <w:rFonts w:ascii="Arial" w:hAnsi="Arial" w:cs="Arial"/>
                <w:sz w:val="20"/>
              </w:rPr>
            </w:pPr>
            <w:r>
              <w:rPr>
                <w:rFonts w:ascii="Arial" w:hAnsi="Arial" w:cs="Arial"/>
                <w:sz w:val="20"/>
              </w:rPr>
              <w:t>Proposed Regulations</w:t>
            </w:r>
          </w:p>
        </w:tc>
        <w:tc>
          <w:tcPr>
            <w:tcW w:w="5897" w:type="dxa"/>
            <w:tcBorders>
              <w:top w:val="single" w:sz="4" w:space="0" w:color="auto"/>
              <w:left w:val="nil"/>
              <w:bottom w:val="single" w:sz="4" w:space="0" w:color="auto"/>
              <w:right w:val="nil"/>
            </w:tcBorders>
            <w:shd w:val="clear" w:color="auto" w:fill="DEEAF6" w:themeFill="accent1" w:themeFillTint="33"/>
            <w:vAlign w:val="center"/>
          </w:tcPr>
          <w:p w14:paraId="5CBE8CFD" w14:textId="5186C5F0" w:rsidR="007B2C23" w:rsidRPr="00905A24" w:rsidRDefault="007B2C23" w:rsidP="007B2C23">
            <w:pPr>
              <w:spacing w:before="40" w:after="40"/>
              <w:rPr>
                <w:rFonts w:ascii="Arial" w:hAnsi="Arial" w:cs="Arial"/>
                <w:sz w:val="20"/>
              </w:rPr>
            </w:pPr>
            <w:r>
              <w:rPr>
                <w:rFonts w:ascii="Arial" w:hAnsi="Arial" w:cs="Arial"/>
                <w:sz w:val="20"/>
              </w:rPr>
              <w:t>The Long Service Benefits Portability Regulations 2020</w:t>
            </w:r>
          </w:p>
        </w:tc>
      </w:tr>
      <w:tr w:rsidR="00905A24" w:rsidRPr="00905A24" w14:paraId="571F9EF0" w14:textId="77777777" w:rsidTr="00905A24">
        <w:tc>
          <w:tcPr>
            <w:tcW w:w="3119" w:type="dxa"/>
            <w:tcBorders>
              <w:top w:val="single" w:sz="4" w:space="0" w:color="auto"/>
              <w:left w:val="nil"/>
              <w:bottom w:val="single" w:sz="4" w:space="0" w:color="auto"/>
              <w:right w:val="nil"/>
            </w:tcBorders>
            <w:shd w:val="clear" w:color="auto" w:fill="DEEAF6" w:themeFill="accent1" w:themeFillTint="33"/>
            <w:vAlign w:val="center"/>
            <w:hideMark/>
          </w:tcPr>
          <w:p w14:paraId="7333E805" w14:textId="77777777" w:rsidR="00905A24" w:rsidRPr="00905A24" w:rsidRDefault="00905A24">
            <w:pPr>
              <w:spacing w:before="40" w:after="40"/>
              <w:rPr>
                <w:rFonts w:ascii="Arial" w:hAnsi="Arial" w:cs="Arial"/>
                <w:sz w:val="20"/>
              </w:rPr>
            </w:pPr>
            <w:r w:rsidRPr="00905A24">
              <w:rPr>
                <w:rFonts w:ascii="Arial" w:hAnsi="Arial" w:cs="Arial"/>
                <w:sz w:val="20"/>
              </w:rPr>
              <w:t>RIS</w:t>
            </w:r>
          </w:p>
        </w:tc>
        <w:tc>
          <w:tcPr>
            <w:tcW w:w="5897" w:type="dxa"/>
            <w:tcBorders>
              <w:top w:val="single" w:sz="4" w:space="0" w:color="auto"/>
              <w:left w:val="nil"/>
              <w:bottom w:val="single" w:sz="4" w:space="0" w:color="auto"/>
              <w:right w:val="nil"/>
            </w:tcBorders>
            <w:shd w:val="clear" w:color="auto" w:fill="DEEAF6" w:themeFill="accent1" w:themeFillTint="33"/>
            <w:vAlign w:val="center"/>
            <w:hideMark/>
          </w:tcPr>
          <w:p w14:paraId="295904F3" w14:textId="77777777" w:rsidR="00905A24" w:rsidRPr="00905A24" w:rsidRDefault="00905A24">
            <w:pPr>
              <w:spacing w:before="40" w:after="40"/>
              <w:rPr>
                <w:rFonts w:ascii="Arial" w:hAnsi="Arial" w:cs="Arial"/>
                <w:sz w:val="20"/>
              </w:rPr>
            </w:pPr>
            <w:r w:rsidRPr="00905A24">
              <w:rPr>
                <w:rFonts w:ascii="Arial" w:hAnsi="Arial" w:cs="Arial"/>
                <w:sz w:val="20"/>
              </w:rPr>
              <w:t xml:space="preserve">Regulatory Impact Statement </w:t>
            </w:r>
          </w:p>
        </w:tc>
      </w:tr>
    </w:tbl>
    <w:p w14:paraId="7D8D84AA" w14:textId="77777777" w:rsidR="00E13F2A" w:rsidRPr="00EC5379" w:rsidRDefault="00E13F2A" w:rsidP="00E13F2A">
      <w:pPr>
        <w:rPr>
          <w:rFonts w:ascii="Arial" w:hAnsi="Arial" w:cs="Arial"/>
        </w:rPr>
      </w:pPr>
    </w:p>
    <w:p w14:paraId="392769C4" w14:textId="77777777" w:rsidR="00BD5970" w:rsidRPr="00EC5379" w:rsidRDefault="00BD5970" w:rsidP="00E13F2A">
      <w:pPr>
        <w:rPr>
          <w:rFonts w:ascii="Arial" w:hAnsi="Arial" w:cs="Arial"/>
        </w:rPr>
      </w:pPr>
    </w:p>
    <w:p w14:paraId="38115AE5" w14:textId="77777777" w:rsidR="00BD5970" w:rsidRPr="00EC5379" w:rsidRDefault="00BD5970" w:rsidP="00E13F2A">
      <w:pPr>
        <w:rPr>
          <w:rFonts w:ascii="Arial" w:hAnsi="Arial" w:cs="Arial"/>
        </w:rPr>
        <w:sectPr w:rsidR="00BD5970" w:rsidRPr="00EC5379" w:rsidSect="001E3D7B">
          <w:headerReference w:type="even" r:id="rId23"/>
          <w:footerReference w:type="even" r:id="rId24"/>
          <w:footerReference w:type="default" r:id="rId25"/>
          <w:headerReference w:type="first" r:id="rId26"/>
          <w:footerReference w:type="first" r:id="rId27"/>
          <w:pgSz w:w="11906" w:h="16838"/>
          <w:pgMar w:top="1440" w:right="1440" w:bottom="1440" w:left="1440" w:header="708" w:footer="708" w:gutter="0"/>
          <w:pgNumType w:start="1"/>
          <w:cols w:space="708"/>
          <w:docGrid w:linePitch="360"/>
        </w:sectPr>
      </w:pPr>
    </w:p>
    <w:p w14:paraId="0CD8E31A" w14:textId="77777777" w:rsidR="00E13F2A" w:rsidRPr="00EC5379" w:rsidRDefault="00E13F2A" w:rsidP="00E13F2A">
      <w:pPr>
        <w:pStyle w:val="HeadingLevel1NoNumber"/>
        <w:rPr>
          <w:rFonts w:ascii="Arial" w:hAnsi="Arial" w:cs="Arial"/>
        </w:rPr>
      </w:pPr>
      <w:bookmarkStart w:id="12" w:name="_Toc37921470"/>
      <w:bookmarkStart w:id="13" w:name="_Toc4768869"/>
      <w:r w:rsidRPr="00EC5379">
        <w:rPr>
          <w:rFonts w:ascii="Arial" w:hAnsi="Arial" w:cs="Arial"/>
        </w:rPr>
        <w:lastRenderedPageBreak/>
        <w:t>EXECUTIVE SUMMARY</w:t>
      </w:r>
      <w:bookmarkEnd w:id="12"/>
    </w:p>
    <w:p w14:paraId="3D897014" w14:textId="7445F030" w:rsidR="00D430EE" w:rsidRDefault="00D430EE" w:rsidP="00D430EE">
      <w:pPr>
        <w:rPr>
          <w:rFonts w:ascii="Arial" w:hAnsi="Arial" w:cs="Arial"/>
          <w:color w:val="auto"/>
        </w:rPr>
      </w:pPr>
      <w:r w:rsidRPr="00547C42">
        <w:rPr>
          <w:rFonts w:ascii="Arial" w:hAnsi="Arial" w:cs="Arial"/>
          <w:color w:val="auto"/>
        </w:rPr>
        <w:t xml:space="preserve">The </w:t>
      </w:r>
      <w:r w:rsidRPr="00932888">
        <w:rPr>
          <w:rFonts w:ascii="Arial" w:hAnsi="Arial" w:cs="Arial"/>
          <w:i/>
          <w:color w:val="auto"/>
        </w:rPr>
        <w:t>Long Service Benefits Portability Act</w:t>
      </w:r>
      <w:r>
        <w:rPr>
          <w:rFonts w:ascii="Arial" w:hAnsi="Arial" w:cs="Arial"/>
          <w:i/>
          <w:color w:val="auto"/>
        </w:rPr>
        <w:t xml:space="preserve"> 2018</w:t>
      </w:r>
      <w:r w:rsidRPr="00547C42">
        <w:rPr>
          <w:rFonts w:ascii="Arial" w:hAnsi="Arial" w:cs="Arial"/>
          <w:color w:val="auto"/>
        </w:rPr>
        <w:t xml:space="preserve"> (LSBP Act) was passed by the Victorian Parliament on 4 September 2018. The LSBP Act provides portability of long service benefits to </w:t>
      </w:r>
      <w:r w:rsidR="00BA4E89">
        <w:rPr>
          <w:rFonts w:ascii="Arial" w:hAnsi="Arial" w:cs="Arial"/>
          <w:color w:val="auto"/>
        </w:rPr>
        <w:t>employee</w:t>
      </w:r>
      <w:r w:rsidRPr="00547C42">
        <w:rPr>
          <w:rFonts w:ascii="Arial" w:hAnsi="Arial" w:cs="Arial"/>
          <w:color w:val="auto"/>
        </w:rPr>
        <w:t xml:space="preserve">s in the community services, contract cleaning and security industries. </w:t>
      </w:r>
      <w:r>
        <w:rPr>
          <w:rFonts w:ascii="Arial" w:hAnsi="Arial" w:cs="Arial"/>
          <w:color w:val="auto"/>
        </w:rPr>
        <w:t>The Portable Long Service Benefits Scheme (the Scheme) is administered by the Portable Long Service Authority (the Authority).</w:t>
      </w:r>
    </w:p>
    <w:p w14:paraId="1736122E" w14:textId="48B650C4" w:rsidR="00D430EE" w:rsidRDefault="004C406E" w:rsidP="0071726F">
      <w:pPr>
        <w:pStyle w:val="BodyText"/>
      </w:pPr>
      <w:r>
        <w:t>This portability has been provided for</w:t>
      </w:r>
      <w:r w:rsidRPr="004C406E">
        <w:t xml:space="preserve"> the purposes of </w:t>
      </w:r>
      <w:r>
        <w:t>i</w:t>
      </w:r>
      <w:r w:rsidRPr="00547C42">
        <w:t xml:space="preserve">mproving access for </w:t>
      </w:r>
      <w:r w:rsidR="00BA4E89">
        <w:t>employee</w:t>
      </w:r>
      <w:r w:rsidRPr="00547C42">
        <w:t xml:space="preserve">s to </w:t>
      </w:r>
      <w:r>
        <w:t>long service benefits</w:t>
      </w:r>
      <w:r w:rsidRPr="00547C42">
        <w:t xml:space="preserve"> for which eligibility is often limited</w:t>
      </w:r>
      <w:r>
        <w:t xml:space="preserve">. </w:t>
      </w:r>
      <w:r w:rsidR="00D430EE" w:rsidRPr="00547C42">
        <w:t xml:space="preserve">The LSBP Act recognises that </w:t>
      </w:r>
      <w:r w:rsidR="00BA4E89">
        <w:t>employee</w:t>
      </w:r>
      <w:r w:rsidR="00D430EE" w:rsidRPr="00547C42">
        <w:t xml:space="preserve">s in these industries are often missing out on </w:t>
      </w:r>
      <w:r w:rsidR="00D430EE">
        <w:t>long service benefits</w:t>
      </w:r>
      <w:r w:rsidR="00D430EE" w:rsidRPr="00547C42">
        <w:t xml:space="preserve"> because of the nature of their industry and other factors which are beyond their control. These factors tend to be the contracted nature of these industries, which often see </w:t>
      </w:r>
      <w:r w:rsidR="00BA4E89">
        <w:t>employee</w:t>
      </w:r>
      <w:r w:rsidR="00D430EE" w:rsidRPr="00547C42">
        <w:t xml:space="preserve">s continuing to work in the same position with the same responsibilities, but having a new employer. </w:t>
      </w:r>
    </w:p>
    <w:p w14:paraId="10643BE4" w14:textId="32FF85F2" w:rsidR="00D430EE" w:rsidRDefault="00D430EE" w:rsidP="00CE5D23">
      <w:pPr>
        <w:rPr>
          <w:rFonts w:ascii="Arial" w:hAnsi="Arial" w:cs="Arial"/>
          <w:color w:val="auto"/>
        </w:rPr>
      </w:pPr>
      <w:r w:rsidRPr="00547C42">
        <w:rPr>
          <w:rFonts w:ascii="Arial" w:hAnsi="Arial" w:cs="Arial"/>
          <w:color w:val="auto"/>
        </w:rPr>
        <w:t xml:space="preserve">This Regulatory Impact Statement (RIS) analyses the proposed </w:t>
      </w:r>
      <w:r w:rsidRPr="00CE5D23">
        <w:rPr>
          <w:rFonts w:ascii="Arial" w:hAnsi="Arial" w:cs="Arial"/>
          <w:i/>
          <w:color w:val="auto"/>
        </w:rPr>
        <w:t>Long Service Benefits Portability Regulations 2020</w:t>
      </w:r>
      <w:r w:rsidRPr="00CE5D23">
        <w:rPr>
          <w:rFonts w:ascii="Arial" w:hAnsi="Arial" w:cs="Arial"/>
          <w:color w:val="auto"/>
        </w:rPr>
        <w:t xml:space="preserve"> </w:t>
      </w:r>
      <w:r w:rsidRPr="00547C42">
        <w:rPr>
          <w:rFonts w:ascii="Arial" w:hAnsi="Arial" w:cs="Arial"/>
          <w:color w:val="auto"/>
        </w:rPr>
        <w:t xml:space="preserve">(the </w:t>
      </w:r>
      <w:r>
        <w:rPr>
          <w:rFonts w:ascii="Arial" w:hAnsi="Arial" w:cs="Arial"/>
          <w:color w:val="auto"/>
        </w:rPr>
        <w:t xml:space="preserve">Proposed </w:t>
      </w:r>
      <w:r w:rsidRPr="00547C42">
        <w:rPr>
          <w:rFonts w:ascii="Arial" w:hAnsi="Arial" w:cs="Arial"/>
          <w:color w:val="auto"/>
        </w:rPr>
        <w:t xml:space="preserve">Regulations). The </w:t>
      </w:r>
      <w:r w:rsidR="00866A63">
        <w:rPr>
          <w:rFonts w:ascii="Arial" w:hAnsi="Arial" w:cs="Arial"/>
          <w:color w:val="auto"/>
        </w:rPr>
        <w:t xml:space="preserve">Proposed </w:t>
      </w:r>
      <w:r w:rsidRPr="00547C42">
        <w:rPr>
          <w:rFonts w:ascii="Arial" w:hAnsi="Arial" w:cs="Arial"/>
          <w:color w:val="auto"/>
        </w:rPr>
        <w:t xml:space="preserve">Regulations </w:t>
      </w:r>
      <w:r>
        <w:rPr>
          <w:rFonts w:ascii="Arial" w:hAnsi="Arial" w:cs="Arial"/>
          <w:color w:val="auto"/>
        </w:rPr>
        <w:t xml:space="preserve">will </w:t>
      </w:r>
      <w:r w:rsidRPr="00547C42">
        <w:rPr>
          <w:rFonts w:ascii="Arial" w:hAnsi="Arial" w:cs="Arial"/>
          <w:color w:val="auto"/>
        </w:rPr>
        <w:t xml:space="preserve">replace the </w:t>
      </w:r>
      <w:r w:rsidRPr="00CE5D23">
        <w:rPr>
          <w:rFonts w:ascii="Arial" w:hAnsi="Arial" w:cs="Arial"/>
          <w:i/>
          <w:color w:val="auto"/>
        </w:rPr>
        <w:t>Long Service Benefits Portability Interim Regulations 2019</w:t>
      </w:r>
      <w:r w:rsidRPr="00CE5D23">
        <w:rPr>
          <w:rFonts w:ascii="Arial" w:hAnsi="Arial" w:cs="Arial"/>
          <w:color w:val="auto"/>
        </w:rPr>
        <w:t xml:space="preserve"> </w:t>
      </w:r>
      <w:r w:rsidRPr="00547C42">
        <w:rPr>
          <w:rFonts w:ascii="Arial" w:hAnsi="Arial" w:cs="Arial"/>
          <w:color w:val="auto"/>
        </w:rPr>
        <w:t>(the Interim Regulations), which are due to expire on 6 November 2020.</w:t>
      </w:r>
    </w:p>
    <w:p w14:paraId="1D062F6F" w14:textId="2A4198A1" w:rsidR="00337958" w:rsidRPr="00186BE4" w:rsidRDefault="00337958" w:rsidP="00186BE4">
      <w:pPr>
        <w:spacing w:before="240"/>
        <w:rPr>
          <w:rFonts w:ascii="Arial" w:hAnsi="Arial" w:cs="Arial"/>
        </w:rPr>
      </w:pPr>
      <w:r w:rsidRPr="00186BE4">
        <w:rPr>
          <w:rFonts w:ascii="Arial" w:hAnsi="Arial" w:cs="Arial"/>
          <w:color w:val="auto"/>
        </w:rPr>
        <w:t xml:space="preserve">If the Interim Regulations were to expire on 6 November 2020 and no replacement Regulations are made, the Scheme could not operate as intended. It would reduce clarity for </w:t>
      </w:r>
      <w:r w:rsidR="00DB01D9" w:rsidRPr="00186BE4">
        <w:rPr>
          <w:rFonts w:ascii="Arial" w:hAnsi="Arial" w:cs="Arial"/>
          <w:color w:val="auto"/>
        </w:rPr>
        <w:t>employers</w:t>
      </w:r>
      <w:r w:rsidRPr="00186BE4">
        <w:rPr>
          <w:rFonts w:ascii="Arial" w:hAnsi="Arial" w:cs="Arial"/>
          <w:color w:val="auto"/>
        </w:rPr>
        <w:t xml:space="preserve"> and employees who are covered by the Scheme, remove portable long service entitlements from employees employed by </w:t>
      </w:r>
      <w:r w:rsidR="00866A63" w:rsidRPr="00186BE4">
        <w:rPr>
          <w:rFonts w:ascii="Arial" w:hAnsi="Arial" w:cs="Arial"/>
          <w:color w:val="auto"/>
        </w:rPr>
        <w:t>the National Disability Insurance Scheme (</w:t>
      </w:r>
      <w:r w:rsidRPr="00186BE4">
        <w:rPr>
          <w:rFonts w:ascii="Arial" w:hAnsi="Arial" w:cs="Arial"/>
          <w:color w:val="auto"/>
        </w:rPr>
        <w:t>NDIS</w:t>
      </w:r>
      <w:r w:rsidR="00866A63" w:rsidRPr="00186BE4">
        <w:rPr>
          <w:rFonts w:ascii="Arial" w:hAnsi="Arial" w:cs="Arial"/>
          <w:color w:val="auto"/>
        </w:rPr>
        <w:t>)</w:t>
      </w:r>
      <w:r w:rsidRPr="00186BE4">
        <w:rPr>
          <w:rFonts w:ascii="Arial" w:hAnsi="Arial" w:cs="Arial"/>
          <w:color w:val="auto"/>
        </w:rPr>
        <w:t xml:space="preserve"> and early childhood education entities, and impact the effective and efficient operation of the Authority.</w:t>
      </w:r>
      <w:r>
        <w:t xml:space="preserve"> </w:t>
      </w:r>
      <w:r w:rsidRPr="00186BE4">
        <w:rPr>
          <w:rFonts w:ascii="Arial" w:hAnsi="Arial" w:cs="Arial"/>
        </w:rPr>
        <w:t xml:space="preserve">Also, there would be no </w:t>
      </w:r>
      <w:r w:rsidR="00DB3ADD" w:rsidRPr="00186BE4">
        <w:rPr>
          <w:rFonts w:ascii="Arial" w:hAnsi="Arial" w:cs="Arial"/>
        </w:rPr>
        <w:t>double-dipping</w:t>
      </w:r>
      <w:r w:rsidRPr="00186BE4">
        <w:rPr>
          <w:rFonts w:ascii="Arial" w:hAnsi="Arial" w:cs="Arial"/>
        </w:rPr>
        <w:t xml:space="preserve"> protection for the community services sector, and no reimbursement for community service</w:t>
      </w:r>
      <w:r w:rsidR="00D466D4">
        <w:rPr>
          <w:rFonts w:ascii="Arial" w:hAnsi="Arial" w:cs="Arial"/>
        </w:rPr>
        <w:t>s</w:t>
      </w:r>
      <w:r w:rsidRPr="00186BE4">
        <w:rPr>
          <w:rFonts w:ascii="Arial" w:hAnsi="Arial" w:cs="Arial"/>
        </w:rPr>
        <w:t xml:space="preserve"> sector employers who paid an entitlement mandated by a fair work instrument.</w:t>
      </w:r>
    </w:p>
    <w:p w14:paraId="18A981FA" w14:textId="4B142B25" w:rsidR="004C406E" w:rsidRDefault="004C406E" w:rsidP="00885201">
      <w:pPr>
        <w:pStyle w:val="BodyText"/>
        <w:rPr>
          <w:rFonts w:cs="Arial"/>
        </w:rPr>
      </w:pPr>
      <w:r>
        <w:rPr>
          <w:rFonts w:cs="Arial"/>
        </w:rPr>
        <w:t xml:space="preserve">The </w:t>
      </w:r>
      <w:r w:rsidR="0060532D">
        <w:rPr>
          <w:rFonts w:cs="Arial"/>
        </w:rPr>
        <w:t xml:space="preserve">2019 </w:t>
      </w:r>
      <w:r>
        <w:rPr>
          <w:rFonts w:cs="Arial"/>
        </w:rPr>
        <w:t>RIS</w:t>
      </w:r>
      <w:r w:rsidR="0060532D">
        <w:rPr>
          <w:rFonts w:cs="Arial"/>
        </w:rPr>
        <w:t xml:space="preserve"> relating to the </w:t>
      </w:r>
      <w:r w:rsidR="0060532D" w:rsidRPr="00186BE4">
        <w:rPr>
          <w:rFonts w:cs="Arial"/>
          <w:i/>
        </w:rPr>
        <w:t xml:space="preserve">Long Service Benefits Portability Regulations 2019 </w:t>
      </w:r>
      <w:r>
        <w:rPr>
          <w:rFonts w:cs="Arial"/>
        </w:rPr>
        <w:t>analysed the case for Regulations in detail. A summary is provided in section</w:t>
      </w:r>
      <w:r w:rsidR="002A5AEC">
        <w:rPr>
          <w:rFonts w:cs="Arial"/>
        </w:rPr>
        <w:t xml:space="preserve"> </w:t>
      </w:r>
      <w:r w:rsidR="002A5AEC">
        <w:rPr>
          <w:rFonts w:cs="Arial"/>
        </w:rPr>
        <w:fldChar w:fldCharType="begin"/>
      </w:r>
      <w:r w:rsidR="002A5AEC">
        <w:rPr>
          <w:rFonts w:cs="Arial"/>
        </w:rPr>
        <w:instrText xml:space="preserve"> REF _Ref34831823 \r \h </w:instrText>
      </w:r>
      <w:r w:rsidR="002A5AEC">
        <w:rPr>
          <w:rFonts w:cs="Arial"/>
        </w:rPr>
      </w:r>
      <w:r w:rsidR="002A5AEC">
        <w:rPr>
          <w:rFonts w:cs="Arial"/>
        </w:rPr>
        <w:fldChar w:fldCharType="separate"/>
      </w:r>
      <w:r w:rsidR="009F48BA">
        <w:rPr>
          <w:rFonts w:cs="Arial"/>
        </w:rPr>
        <w:t>1.4.1</w:t>
      </w:r>
      <w:r w:rsidR="002A5AEC">
        <w:rPr>
          <w:rFonts w:cs="Arial"/>
        </w:rPr>
        <w:fldChar w:fldCharType="end"/>
      </w:r>
      <w:r>
        <w:rPr>
          <w:rFonts w:cs="Arial"/>
        </w:rPr>
        <w:t xml:space="preserve">. For further information on the operation of the Regulations as a whole, </w:t>
      </w:r>
      <w:r w:rsidR="0060532D">
        <w:rPr>
          <w:rFonts w:cs="Arial"/>
        </w:rPr>
        <w:t>the</w:t>
      </w:r>
      <w:r w:rsidR="0071726F">
        <w:rPr>
          <w:rFonts w:cs="Arial"/>
        </w:rPr>
        <w:t xml:space="preserve"> </w:t>
      </w:r>
      <w:r>
        <w:rPr>
          <w:rFonts w:cs="Arial"/>
        </w:rPr>
        <w:t xml:space="preserve">RIS can be found at </w:t>
      </w:r>
      <w:hyperlink r:id="rId28" w:anchor="long-service-benefits-portability-regulations-2019" w:history="1">
        <w:r w:rsidR="007B2C23" w:rsidRPr="0081439A">
          <w:rPr>
            <w:rStyle w:val="Hyperlink"/>
            <w:rFonts w:cs="Arial"/>
          </w:rPr>
          <w:t>https://www.vic.gov.au/regulatory-impact-statements-2019#long-service-benefits-portability-regulations-2019</w:t>
        </w:r>
      </w:hyperlink>
      <w:r w:rsidR="007B2C23">
        <w:rPr>
          <w:rFonts w:cs="Arial"/>
        </w:rPr>
        <w:t xml:space="preserve">. </w:t>
      </w:r>
    </w:p>
    <w:p w14:paraId="236BF724" w14:textId="7511CAF4" w:rsidR="003F79D4" w:rsidRPr="00A40F39" w:rsidRDefault="004C406E" w:rsidP="0071726F">
      <w:pPr>
        <w:pStyle w:val="BodyText"/>
        <w:rPr>
          <w:color w:val="auto"/>
        </w:rPr>
      </w:pPr>
      <w:r>
        <w:t>This RIS will treat the Interim Regulations as the reference case</w:t>
      </w:r>
      <w:r w:rsidR="0060532D">
        <w:t xml:space="preserve"> (noting the content of the Interim Regulations was not altered from the </w:t>
      </w:r>
      <w:r w:rsidR="0060532D" w:rsidRPr="00186BE4">
        <w:rPr>
          <w:i/>
        </w:rPr>
        <w:t>Long Service Benefits Portability Regulations 2019</w:t>
      </w:r>
      <w:r w:rsidR="0060532D">
        <w:t>)</w:t>
      </w:r>
      <w:r>
        <w:t xml:space="preserve"> and will </w:t>
      </w:r>
      <w:r>
        <w:rPr>
          <w:color w:val="auto"/>
        </w:rPr>
        <w:t>therefore assess</w:t>
      </w:r>
      <w:r w:rsidRPr="00E07AF7">
        <w:rPr>
          <w:color w:val="auto"/>
        </w:rPr>
        <w:t xml:space="preserve"> the problems, costs and benefits of </w:t>
      </w:r>
      <w:r>
        <w:rPr>
          <w:color w:val="auto"/>
        </w:rPr>
        <w:t>options compared to</w:t>
      </w:r>
      <w:r w:rsidRPr="00E07AF7">
        <w:rPr>
          <w:color w:val="auto"/>
        </w:rPr>
        <w:t xml:space="preserve"> the Interim Regulations.</w:t>
      </w:r>
      <w:r w:rsidR="003F79D4">
        <w:rPr>
          <w:color w:val="auto"/>
        </w:rPr>
        <w:t xml:space="preserve"> </w:t>
      </w:r>
      <w:r w:rsidR="003F79D4">
        <w:t>The status quo provides a clearer point of comparison for stakeholders and avoids repeating recently completed work</w:t>
      </w:r>
      <w:r w:rsidR="0060532D">
        <w:t xml:space="preserve"> in the 2019 RIS</w:t>
      </w:r>
      <w:r w:rsidR="003F79D4">
        <w:t xml:space="preserve">. </w:t>
      </w:r>
      <w:r w:rsidR="003F79D4">
        <w:rPr>
          <w:color w:val="auto"/>
        </w:rPr>
        <w:t>It allows stakeholders to understand the impact of the options against their current experience of the Scheme.</w:t>
      </w:r>
      <w:r w:rsidR="003F79D4" w:rsidRPr="00810970">
        <w:rPr>
          <w:color w:val="auto"/>
        </w:rPr>
        <w:t xml:space="preserve"> </w:t>
      </w:r>
    </w:p>
    <w:p w14:paraId="39EC2066" w14:textId="174F80C2" w:rsidR="004C406E" w:rsidRPr="00547C42" w:rsidRDefault="004C406E" w:rsidP="0071726F">
      <w:pPr>
        <w:pStyle w:val="BodyText"/>
      </w:pPr>
      <w:r w:rsidRPr="00E07AF7">
        <w:t>The analysis</w:t>
      </w:r>
      <w:r w:rsidR="003F79D4">
        <w:t xml:space="preserve"> is</w:t>
      </w:r>
      <w:r w:rsidRPr="00E07AF7">
        <w:t xml:space="preserve"> focused on the marginal impacts compared t</w:t>
      </w:r>
      <w:r w:rsidR="0071726F">
        <w:t>o the Interim Regulations (i.e. </w:t>
      </w:r>
      <w:r w:rsidRPr="00E07AF7">
        <w:t xml:space="preserve">the status quo) as opposed to a case with no regulations. </w:t>
      </w:r>
      <w:r w:rsidR="00AD7B94">
        <w:t xml:space="preserve">Section </w:t>
      </w:r>
      <w:r w:rsidR="00AD7B94">
        <w:fldChar w:fldCharType="begin"/>
      </w:r>
      <w:r w:rsidR="00AD7B94">
        <w:instrText xml:space="preserve"> REF _Ref35506226 \r \h </w:instrText>
      </w:r>
      <w:r w:rsidR="00AD7B94">
        <w:fldChar w:fldCharType="separate"/>
      </w:r>
      <w:r w:rsidR="009F48BA">
        <w:t>1.6</w:t>
      </w:r>
      <w:r w:rsidR="00AD7B94">
        <w:fldChar w:fldCharType="end"/>
      </w:r>
      <w:r w:rsidR="00AD7B94">
        <w:t xml:space="preserve"> summari</w:t>
      </w:r>
      <w:r w:rsidR="0060532D">
        <w:t>s</w:t>
      </w:r>
      <w:r w:rsidR="00AD7B94">
        <w:t>es what would happen if there were no regulations.</w:t>
      </w:r>
    </w:p>
    <w:p w14:paraId="3BA6DC16" w14:textId="77777777" w:rsidR="00D430EE" w:rsidRPr="00547C42" w:rsidRDefault="00D430EE" w:rsidP="00057592">
      <w:pPr>
        <w:pStyle w:val="BodyText"/>
        <w:spacing w:before="240"/>
        <w:rPr>
          <w:rFonts w:cs="Arial"/>
          <w:color w:val="auto"/>
        </w:rPr>
      </w:pPr>
      <w:r w:rsidRPr="00547C42">
        <w:rPr>
          <w:rFonts w:cs="Arial"/>
          <w:color w:val="auto"/>
        </w:rPr>
        <w:t>This RIS is prepared in accordance with the Victorian Guide to R</w:t>
      </w:r>
      <w:r w:rsidRPr="0071726F">
        <w:t>e</w:t>
      </w:r>
      <w:r w:rsidRPr="00547C42">
        <w:rPr>
          <w:rFonts w:cs="Arial"/>
          <w:color w:val="auto"/>
        </w:rPr>
        <w:t xml:space="preserve">gulation (2016), which provides a step-by-step guide to preparing </w:t>
      </w:r>
      <w:r>
        <w:rPr>
          <w:rFonts w:cs="Arial"/>
          <w:color w:val="auto"/>
        </w:rPr>
        <w:t xml:space="preserve">a </w:t>
      </w:r>
      <w:r w:rsidRPr="00547C42">
        <w:rPr>
          <w:rFonts w:cs="Arial"/>
          <w:color w:val="auto"/>
        </w:rPr>
        <w:t>RIS.</w:t>
      </w:r>
    </w:p>
    <w:p w14:paraId="0B561774" w14:textId="77777777" w:rsidR="00D430EE" w:rsidRPr="00EC5379" w:rsidRDefault="00D430EE" w:rsidP="00D430EE">
      <w:pPr>
        <w:pStyle w:val="HeadingLevel2NoNumber"/>
        <w:rPr>
          <w:rFonts w:ascii="Arial" w:hAnsi="Arial" w:cs="Arial"/>
        </w:rPr>
      </w:pPr>
      <w:r w:rsidRPr="00EC5379">
        <w:rPr>
          <w:rFonts w:ascii="Arial" w:hAnsi="Arial" w:cs="Arial"/>
        </w:rPr>
        <w:lastRenderedPageBreak/>
        <w:t>The problems</w:t>
      </w:r>
      <w:r>
        <w:rPr>
          <w:rFonts w:ascii="Arial" w:hAnsi="Arial" w:cs="Arial"/>
        </w:rPr>
        <w:t xml:space="preserve"> of the Interim Regulations</w:t>
      </w:r>
      <w:r w:rsidRPr="00EC5379">
        <w:rPr>
          <w:rFonts w:ascii="Arial" w:hAnsi="Arial" w:cs="Arial"/>
        </w:rPr>
        <w:t xml:space="preserve"> and objectives of the </w:t>
      </w:r>
      <w:r>
        <w:rPr>
          <w:rFonts w:ascii="Arial" w:hAnsi="Arial" w:cs="Arial"/>
        </w:rPr>
        <w:t xml:space="preserve">Proposed </w:t>
      </w:r>
      <w:r w:rsidRPr="00EC5379">
        <w:rPr>
          <w:rFonts w:ascii="Arial" w:hAnsi="Arial" w:cs="Arial"/>
        </w:rPr>
        <w:t>Regulations</w:t>
      </w:r>
    </w:p>
    <w:p w14:paraId="51CB1A3A" w14:textId="77777777" w:rsidR="007B2C23" w:rsidRDefault="007B2C23" w:rsidP="007B2C23">
      <w:pPr>
        <w:rPr>
          <w:rFonts w:ascii="Arial" w:hAnsi="Arial" w:cs="Arial"/>
          <w:color w:val="auto"/>
        </w:rPr>
      </w:pPr>
      <w:r>
        <w:rPr>
          <w:rFonts w:ascii="Arial" w:hAnsi="Arial" w:cs="Arial"/>
          <w:color w:val="auto"/>
        </w:rPr>
        <w:t>T</w:t>
      </w:r>
      <w:r w:rsidRPr="00547C42">
        <w:rPr>
          <w:rFonts w:ascii="Arial" w:hAnsi="Arial" w:cs="Arial"/>
          <w:color w:val="auto"/>
        </w:rPr>
        <w:t xml:space="preserve">o </w:t>
      </w:r>
      <w:r>
        <w:rPr>
          <w:rFonts w:ascii="Arial" w:hAnsi="Arial" w:cs="Arial"/>
          <w:color w:val="auto"/>
        </w:rPr>
        <w:t xml:space="preserve">better support </w:t>
      </w:r>
      <w:r w:rsidRPr="00547C42">
        <w:rPr>
          <w:rFonts w:ascii="Arial" w:hAnsi="Arial" w:cs="Arial"/>
          <w:color w:val="auto"/>
        </w:rPr>
        <w:t>the primary objectives</w:t>
      </w:r>
      <w:r>
        <w:rPr>
          <w:rFonts w:ascii="Arial" w:hAnsi="Arial" w:cs="Arial"/>
          <w:color w:val="auto"/>
        </w:rPr>
        <w:t xml:space="preserve"> of the LSBP Act, the Proposed Regulations seek to address specific problems identified with the Interim Regulations which have been identified by various stakeholders since the Scheme commenced operation on 1 July 2019. </w:t>
      </w:r>
    </w:p>
    <w:p w14:paraId="0D1ED3EA" w14:textId="34B3281C" w:rsidR="00D430EE" w:rsidRPr="003A15C8" w:rsidRDefault="00D430EE" w:rsidP="003A15C8">
      <w:pPr>
        <w:rPr>
          <w:rFonts w:ascii="Arial" w:hAnsi="Arial" w:cs="Arial"/>
        </w:rPr>
      </w:pPr>
      <w:r w:rsidRPr="003A15C8">
        <w:rPr>
          <w:rFonts w:ascii="Arial" w:hAnsi="Arial" w:cs="Arial"/>
        </w:rPr>
        <w:t>Options considered in this RIS seek to support and give effect to the primary</w:t>
      </w:r>
      <w:r w:rsidR="004C406E" w:rsidRPr="003A15C8">
        <w:rPr>
          <w:rFonts w:ascii="Arial" w:hAnsi="Arial" w:cs="Arial"/>
        </w:rPr>
        <w:t xml:space="preserve"> objective of the LSBP Act to provide for the portability </w:t>
      </w:r>
      <w:r w:rsidR="003A15C8" w:rsidRPr="003A15C8">
        <w:rPr>
          <w:rFonts w:ascii="Arial" w:hAnsi="Arial" w:cs="Arial"/>
        </w:rPr>
        <w:t xml:space="preserve">of long service benefits for </w:t>
      </w:r>
      <w:r w:rsidR="00BA4E89">
        <w:rPr>
          <w:rFonts w:ascii="Arial" w:hAnsi="Arial" w:cs="Arial"/>
        </w:rPr>
        <w:t>employee</w:t>
      </w:r>
      <w:r w:rsidR="003A15C8" w:rsidRPr="003A15C8">
        <w:rPr>
          <w:rFonts w:ascii="Arial" w:hAnsi="Arial" w:cs="Arial"/>
        </w:rPr>
        <w:t>s in sectors that rarely quali</w:t>
      </w:r>
      <w:r w:rsidR="00003DFC">
        <w:rPr>
          <w:rFonts w:ascii="Arial" w:hAnsi="Arial" w:cs="Arial"/>
        </w:rPr>
        <w:t>f</w:t>
      </w:r>
      <w:r w:rsidR="003A15C8" w:rsidRPr="003A15C8">
        <w:rPr>
          <w:rFonts w:ascii="Arial" w:hAnsi="Arial" w:cs="Arial"/>
        </w:rPr>
        <w:t xml:space="preserve">y for </w:t>
      </w:r>
      <w:r w:rsidR="004C406E" w:rsidRPr="003A15C8">
        <w:rPr>
          <w:rFonts w:ascii="Arial" w:hAnsi="Arial" w:cs="Arial"/>
        </w:rPr>
        <w:t>long service entitlements under traditional</w:t>
      </w:r>
      <w:r w:rsidR="003A15C8" w:rsidRPr="003A15C8">
        <w:rPr>
          <w:rFonts w:ascii="Arial" w:hAnsi="Arial" w:cs="Arial"/>
        </w:rPr>
        <w:t xml:space="preserve"> </w:t>
      </w:r>
      <w:r w:rsidR="004C406E" w:rsidRPr="003A15C8">
        <w:rPr>
          <w:rFonts w:ascii="Arial" w:hAnsi="Arial" w:cs="Arial"/>
        </w:rPr>
        <w:t>long service schemes, due to the contract and project nature of the industries</w:t>
      </w:r>
      <w:r w:rsidR="003A15C8" w:rsidRPr="003A15C8">
        <w:rPr>
          <w:rFonts w:ascii="Arial" w:hAnsi="Arial" w:cs="Arial"/>
        </w:rPr>
        <w:t xml:space="preserve"> </w:t>
      </w:r>
      <w:r w:rsidR="004C406E" w:rsidRPr="003A15C8">
        <w:rPr>
          <w:rFonts w:ascii="Arial" w:hAnsi="Arial" w:cs="Arial"/>
        </w:rPr>
        <w:t>in which they work.</w:t>
      </w:r>
      <w:r w:rsidR="003A15C8" w:rsidRPr="003A15C8">
        <w:rPr>
          <w:rFonts w:ascii="Arial" w:hAnsi="Arial" w:cs="Arial"/>
        </w:rPr>
        <w:t xml:space="preserve"> I</w:t>
      </w:r>
      <w:r w:rsidR="003A15C8">
        <w:rPr>
          <w:rFonts w:ascii="Arial" w:hAnsi="Arial" w:cs="Arial"/>
        </w:rPr>
        <w:t>mproving access to entitlements will i</w:t>
      </w:r>
      <w:r w:rsidR="003A15C8" w:rsidRPr="003A15C8">
        <w:rPr>
          <w:rFonts w:ascii="Arial" w:hAnsi="Arial" w:cs="Arial"/>
        </w:rPr>
        <w:t>ncrease equity i</w:t>
      </w:r>
      <w:r w:rsidR="003A15C8">
        <w:rPr>
          <w:rFonts w:ascii="Arial" w:hAnsi="Arial" w:cs="Arial"/>
        </w:rPr>
        <w:t>n sectors with comparable work</w:t>
      </w:r>
      <w:r w:rsidR="00F81D91">
        <w:rPr>
          <w:rFonts w:ascii="Arial" w:hAnsi="Arial" w:cs="Arial"/>
        </w:rPr>
        <w:t>.</w:t>
      </w:r>
    </w:p>
    <w:p w14:paraId="0ABDB6C7" w14:textId="2234DECF" w:rsidR="00297B17" w:rsidRPr="00EC5379" w:rsidRDefault="00297B17" w:rsidP="00297B17">
      <w:pPr>
        <w:pStyle w:val="HeadingLevel3NoNumber"/>
        <w:rPr>
          <w:rFonts w:cs="Arial"/>
        </w:rPr>
      </w:pPr>
      <w:r>
        <w:rPr>
          <w:rFonts w:cs="Arial"/>
        </w:rPr>
        <w:t>Clarifying what is community service work</w:t>
      </w:r>
    </w:p>
    <w:p w14:paraId="0A32958B" w14:textId="5BCA2D2B" w:rsidR="00D70046" w:rsidRDefault="00D70046" w:rsidP="00D70046">
      <w:pPr>
        <w:tabs>
          <w:tab w:val="num" w:pos="680"/>
        </w:tabs>
      </w:pPr>
      <w:r w:rsidRPr="00C22E90">
        <w:rPr>
          <w:rFonts w:ascii="Arial" w:hAnsi="Arial" w:cs="Arial"/>
          <w:color w:val="auto"/>
        </w:rPr>
        <w:t xml:space="preserve">The Interim Regulations lack precision as to </w:t>
      </w:r>
      <w:r>
        <w:rPr>
          <w:rFonts w:ascii="Arial" w:hAnsi="Arial" w:cs="Arial"/>
          <w:color w:val="auto"/>
        </w:rPr>
        <w:t xml:space="preserve">whether community service work in a private residence is defined as community service work for the purposes of the Scheme. </w:t>
      </w:r>
      <w:r w:rsidR="0008557C">
        <w:rPr>
          <w:rFonts w:ascii="Arial" w:hAnsi="Arial" w:cs="Arial"/>
          <w:color w:val="auto"/>
        </w:rPr>
        <w:t xml:space="preserve">The intention of the Interim Regulations is that all </w:t>
      </w:r>
      <w:r w:rsidR="000F4BA4">
        <w:rPr>
          <w:rFonts w:ascii="Arial" w:hAnsi="Arial" w:cs="Arial"/>
          <w:color w:val="auto"/>
        </w:rPr>
        <w:t xml:space="preserve">home care work in a private residence is to be treated as community service work, irrespective of the age of the client. </w:t>
      </w:r>
      <w:r>
        <w:rPr>
          <w:rFonts w:ascii="Arial" w:hAnsi="Arial" w:cs="Arial"/>
          <w:color w:val="auto"/>
        </w:rPr>
        <w:t xml:space="preserve">The uncertainty has </w:t>
      </w:r>
      <w:r w:rsidRPr="00C22E90">
        <w:rPr>
          <w:rFonts w:ascii="Arial" w:hAnsi="Arial" w:cs="Arial"/>
          <w:color w:val="auto"/>
        </w:rPr>
        <w:t>caused confusion</w:t>
      </w:r>
      <w:r>
        <w:rPr>
          <w:rFonts w:ascii="Arial" w:hAnsi="Arial" w:cs="Arial"/>
          <w:color w:val="auto"/>
        </w:rPr>
        <w:t xml:space="preserve"> for the sector</w:t>
      </w:r>
      <w:r w:rsidR="009001F4">
        <w:rPr>
          <w:rFonts w:ascii="Arial" w:hAnsi="Arial" w:cs="Arial"/>
          <w:color w:val="auto"/>
        </w:rPr>
        <w:t>, which could lead to</w:t>
      </w:r>
      <w:r>
        <w:rPr>
          <w:rFonts w:ascii="Arial" w:hAnsi="Arial" w:cs="Arial"/>
          <w:color w:val="auto"/>
        </w:rPr>
        <w:t xml:space="preserve"> an administrative burden for employers in determining whether </w:t>
      </w:r>
      <w:r w:rsidR="009F6B64">
        <w:rPr>
          <w:rFonts w:ascii="Arial" w:hAnsi="Arial" w:cs="Arial"/>
          <w:color w:val="auto"/>
        </w:rPr>
        <w:t xml:space="preserve">their organisation </w:t>
      </w:r>
      <w:r>
        <w:rPr>
          <w:rFonts w:ascii="Arial" w:hAnsi="Arial" w:cs="Arial"/>
          <w:color w:val="auto"/>
        </w:rPr>
        <w:t xml:space="preserve">and their employees are engaged in community service work or health and aged care work. </w:t>
      </w:r>
    </w:p>
    <w:p w14:paraId="1DF040CB" w14:textId="77777777" w:rsidR="00D70046" w:rsidRDefault="00D70046" w:rsidP="00D70046">
      <w:pPr>
        <w:pStyle w:val="BodyText"/>
        <w:rPr>
          <w:rFonts w:cs="Arial"/>
        </w:rPr>
      </w:pPr>
      <w:r>
        <w:rPr>
          <w:rFonts w:cs="Arial"/>
        </w:rPr>
        <w:t>In clarifying whether care delivered in a private residence is defined as community service work for the purposes of the Scheme, the Proposed Regulations should look to:</w:t>
      </w:r>
    </w:p>
    <w:p w14:paraId="24F26AB0" w14:textId="78A20FCA" w:rsidR="00D70046" w:rsidRDefault="00D70046" w:rsidP="00D70046">
      <w:pPr>
        <w:pStyle w:val="ListParagraph"/>
        <w:numPr>
          <w:ilvl w:val="0"/>
          <w:numId w:val="12"/>
        </w:numPr>
        <w:spacing w:before="100" w:beforeAutospacing="1" w:after="100" w:afterAutospacing="1"/>
        <w:rPr>
          <w:rFonts w:ascii="Arial" w:hAnsi="Arial" w:cs="Arial"/>
        </w:rPr>
      </w:pPr>
      <w:r>
        <w:rPr>
          <w:rFonts w:ascii="Arial" w:hAnsi="Arial" w:cs="Arial"/>
        </w:rPr>
        <w:t>Provide certainty to employees and employers about the scope of the community services sector to be covered by the LSBP Act</w:t>
      </w:r>
      <w:r w:rsidR="000E5A92">
        <w:rPr>
          <w:rFonts w:ascii="Arial" w:hAnsi="Arial" w:cs="Arial"/>
        </w:rPr>
        <w:t>, consistent with the intent</w:t>
      </w:r>
      <w:r w:rsidR="003D14F1">
        <w:rPr>
          <w:rFonts w:ascii="Arial" w:hAnsi="Arial" w:cs="Arial"/>
        </w:rPr>
        <w:t>i</w:t>
      </w:r>
      <w:r w:rsidR="000E5A92">
        <w:rPr>
          <w:rFonts w:ascii="Arial" w:hAnsi="Arial" w:cs="Arial"/>
        </w:rPr>
        <w:t>on of the Interim Regulations</w:t>
      </w:r>
      <w:r>
        <w:rPr>
          <w:rFonts w:ascii="Arial" w:hAnsi="Arial" w:cs="Arial"/>
        </w:rPr>
        <w:t>; and</w:t>
      </w:r>
    </w:p>
    <w:p w14:paraId="7CCD8485" w14:textId="51C677FC" w:rsidR="00297B17" w:rsidRPr="00DB3ADD" w:rsidRDefault="00D70046" w:rsidP="00DB3ADD">
      <w:pPr>
        <w:pStyle w:val="ListBullet"/>
        <w:numPr>
          <w:ilvl w:val="0"/>
          <w:numId w:val="12"/>
        </w:numPr>
        <w:contextualSpacing w:val="0"/>
        <w:rPr>
          <w:rFonts w:cs="Arial"/>
        </w:rPr>
      </w:pPr>
      <w:r>
        <w:rPr>
          <w:rFonts w:cs="Arial"/>
        </w:rPr>
        <w:t>Ensure employees across the community services sector have fair and equitable access to the Scheme.</w:t>
      </w:r>
    </w:p>
    <w:p w14:paraId="3289EF2B" w14:textId="646239A2" w:rsidR="00E13F2A" w:rsidRPr="00EC5379" w:rsidRDefault="00F02743" w:rsidP="00E13F2A">
      <w:pPr>
        <w:pStyle w:val="HeadingLevel3NoNumber"/>
        <w:rPr>
          <w:rFonts w:cs="Arial"/>
        </w:rPr>
      </w:pPr>
      <w:r>
        <w:rPr>
          <w:rFonts w:cs="Arial"/>
        </w:rPr>
        <w:t>Clarifying w</w:t>
      </w:r>
      <w:r w:rsidR="00C10ABA">
        <w:rPr>
          <w:rFonts w:cs="Arial"/>
        </w:rPr>
        <w:t>ho is</w:t>
      </w:r>
      <w:r w:rsidR="00D10FD4">
        <w:rPr>
          <w:rFonts w:cs="Arial"/>
        </w:rPr>
        <w:t xml:space="preserve"> </w:t>
      </w:r>
      <w:r w:rsidR="0071726F">
        <w:rPr>
          <w:rFonts w:cs="Arial"/>
        </w:rPr>
        <w:t xml:space="preserve">regarded as </w:t>
      </w:r>
      <w:r w:rsidR="00547C42">
        <w:rPr>
          <w:rFonts w:cs="Arial"/>
        </w:rPr>
        <w:t>an employer in the community services sector</w:t>
      </w:r>
    </w:p>
    <w:p w14:paraId="4F96E019" w14:textId="1E2F7B22" w:rsidR="001E34FA" w:rsidRDefault="001E34FA" w:rsidP="001E34FA">
      <w:pPr>
        <w:tabs>
          <w:tab w:val="num" w:pos="680"/>
        </w:tabs>
        <w:rPr>
          <w:rFonts w:ascii="Arial" w:hAnsi="Arial" w:cs="Arial"/>
          <w:color w:val="auto"/>
        </w:rPr>
      </w:pPr>
      <w:r w:rsidRPr="00C22E90">
        <w:rPr>
          <w:rFonts w:ascii="Arial" w:hAnsi="Arial" w:cs="Arial"/>
          <w:color w:val="auto"/>
        </w:rPr>
        <w:t xml:space="preserve">The Interim Regulations lack precision as to who is </w:t>
      </w:r>
      <w:r w:rsidR="0071726F">
        <w:rPr>
          <w:rFonts w:ascii="Arial" w:hAnsi="Arial" w:cs="Arial"/>
          <w:color w:val="auto"/>
        </w:rPr>
        <w:t xml:space="preserve">regarded as </w:t>
      </w:r>
      <w:r w:rsidRPr="00C22E90">
        <w:rPr>
          <w:rFonts w:ascii="Arial" w:hAnsi="Arial" w:cs="Arial"/>
          <w:color w:val="auto"/>
        </w:rPr>
        <w:t>an employer in the community services sector.</w:t>
      </w:r>
      <w:r w:rsidR="00297B17">
        <w:rPr>
          <w:rFonts w:ascii="Arial" w:hAnsi="Arial" w:cs="Arial"/>
          <w:color w:val="auto"/>
        </w:rPr>
        <w:t xml:space="preserve"> Three</w:t>
      </w:r>
      <w:r w:rsidR="00456394">
        <w:rPr>
          <w:rFonts w:ascii="Arial" w:hAnsi="Arial" w:cs="Arial"/>
          <w:color w:val="auto"/>
        </w:rPr>
        <w:t xml:space="preserve"> </w:t>
      </w:r>
      <w:r>
        <w:rPr>
          <w:rFonts w:ascii="Arial" w:hAnsi="Arial" w:cs="Arial"/>
          <w:color w:val="auto"/>
        </w:rPr>
        <w:t>problems have been identified in the Interim Regulations:</w:t>
      </w:r>
    </w:p>
    <w:p w14:paraId="3EDCC8F6" w14:textId="302FE044" w:rsidR="001E34FA" w:rsidRDefault="00D53116" w:rsidP="00D53116">
      <w:pPr>
        <w:pStyle w:val="ListParagraph"/>
        <w:numPr>
          <w:ilvl w:val="0"/>
          <w:numId w:val="32"/>
        </w:numPr>
        <w:tabs>
          <w:tab w:val="num" w:pos="680"/>
        </w:tabs>
        <w:contextualSpacing w:val="0"/>
        <w:rPr>
          <w:rFonts w:ascii="Arial" w:hAnsi="Arial" w:cs="Arial"/>
          <w:color w:val="auto"/>
        </w:rPr>
      </w:pPr>
      <w:r>
        <w:rPr>
          <w:rFonts w:ascii="Arial" w:hAnsi="Arial" w:cs="Arial"/>
          <w:color w:val="auto"/>
        </w:rPr>
        <w:t xml:space="preserve">It is not clear how to </w:t>
      </w:r>
      <w:r w:rsidR="005A35EC">
        <w:rPr>
          <w:rFonts w:ascii="Arial" w:hAnsi="Arial" w:cs="Arial"/>
          <w:color w:val="auto"/>
        </w:rPr>
        <w:t>measure predominance under the</w:t>
      </w:r>
      <w:r>
        <w:rPr>
          <w:rFonts w:ascii="Arial" w:hAnsi="Arial" w:cs="Arial"/>
          <w:color w:val="auto"/>
        </w:rPr>
        <w:t xml:space="preserve"> </w:t>
      </w:r>
      <w:r w:rsidR="00CE5D23">
        <w:rPr>
          <w:rFonts w:ascii="Arial" w:hAnsi="Arial" w:cs="Arial"/>
          <w:color w:val="auto"/>
        </w:rPr>
        <w:t xml:space="preserve">existing </w:t>
      </w:r>
      <w:r>
        <w:rPr>
          <w:rFonts w:ascii="Arial" w:hAnsi="Arial" w:cs="Arial"/>
          <w:color w:val="auto"/>
        </w:rPr>
        <w:t xml:space="preserve">employer predominance test to determine whether employers and their employees are </w:t>
      </w:r>
      <w:r w:rsidR="00F81D91">
        <w:rPr>
          <w:rFonts w:ascii="Arial" w:hAnsi="Arial" w:cs="Arial"/>
          <w:color w:val="auto"/>
        </w:rPr>
        <w:t>undertaking community service work</w:t>
      </w:r>
      <w:r w:rsidR="005A35EC">
        <w:rPr>
          <w:rFonts w:ascii="Arial" w:hAnsi="Arial" w:cs="Arial"/>
          <w:color w:val="auto"/>
        </w:rPr>
        <w:t xml:space="preserve"> (as opposed to health and aged care work)</w:t>
      </w:r>
      <w:r w:rsidR="00F81D91">
        <w:rPr>
          <w:rFonts w:ascii="Arial" w:hAnsi="Arial" w:cs="Arial"/>
          <w:color w:val="auto"/>
        </w:rPr>
        <w:t xml:space="preserve"> to be eligible for the</w:t>
      </w:r>
      <w:r>
        <w:rPr>
          <w:rFonts w:ascii="Arial" w:hAnsi="Arial" w:cs="Arial"/>
          <w:color w:val="auto"/>
        </w:rPr>
        <w:t xml:space="preserve"> Scheme;</w:t>
      </w:r>
    </w:p>
    <w:p w14:paraId="45E938A8" w14:textId="321581F7" w:rsidR="007652F3" w:rsidRPr="00DB3ADD" w:rsidRDefault="00D53116" w:rsidP="00D50857">
      <w:pPr>
        <w:pStyle w:val="ListParagraph"/>
        <w:numPr>
          <w:ilvl w:val="0"/>
          <w:numId w:val="32"/>
        </w:numPr>
        <w:tabs>
          <w:tab w:val="num" w:pos="680"/>
        </w:tabs>
        <w:contextualSpacing w:val="0"/>
        <w:rPr>
          <w:rFonts w:ascii="Arial" w:hAnsi="Arial" w:cs="Arial"/>
          <w:color w:val="auto"/>
        </w:rPr>
      </w:pPr>
      <w:r>
        <w:rPr>
          <w:rFonts w:ascii="Arial" w:hAnsi="Arial" w:cs="Arial"/>
          <w:color w:val="auto"/>
        </w:rPr>
        <w:t xml:space="preserve">It is not clear whether </w:t>
      </w:r>
      <w:r w:rsidR="0072722B">
        <w:rPr>
          <w:rFonts w:ascii="Arial" w:hAnsi="Arial" w:cs="Arial"/>
          <w:color w:val="auto"/>
        </w:rPr>
        <w:t>Community Health</w:t>
      </w:r>
      <w:r>
        <w:rPr>
          <w:rFonts w:ascii="Arial" w:hAnsi="Arial" w:cs="Arial"/>
          <w:color w:val="auto"/>
        </w:rPr>
        <w:t xml:space="preserve"> and </w:t>
      </w:r>
      <w:r w:rsidR="0072722B">
        <w:rPr>
          <w:rFonts w:ascii="Arial" w:hAnsi="Arial" w:cs="Arial"/>
          <w:color w:val="auto"/>
        </w:rPr>
        <w:t>Women’s Health Centre</w:t>
      </w:r>
      <w:r>
        <w:rPr>
          <w:rFonts w:ascii="Arial" w:hAnsi="Arial" w:cs="Arial"/>
          <w:color w:val="auto"/>
        </w:rPr>
        <w:t>s are covered by the Scheme</w:t>
      </w:r>
      <w:r w:rsidR="00222C41">
        <w:rPr>
          <w:rFonts w:ascii="Arial" w:hAnsi="Arial" w:cs="Arial"/>
          <w:color w:val="auto"/>
        </w:rPr>
        <w:t xml:space="preserve">, with the </w:t>
      </w:r>
      <w:r w:rsidR="0072722B">
        <w:rPr>
          <w:rFonts w:ascii="Arial" w:hAnsi="Arial" w:cs="Arial"/>
          <w:color w:val="auto"/>
        </w:rPr>
        <w:t>Community Health</w:t>
      </w:r>
      <w:r w:rsidR="00BB41A4">
        <w:rPr>
          <w:rFonts w:ascii="Arial" w:hAnsi="Arial" w:cs="Arial"/>
          <w:color w:val="auto"/>
        </w:rPr>
        <w:t xml:space="preserve"> </w:t>
      </w:r>
      <w:r w:rsidR="002106A3">
        <w:rPr>
          <w:rFonts w:ascii="Arial" w:hAnsi="Arial" w:cs="Arial"/>
          <w:color w:val="auto"/>
        </w:rPr>
        <w:t>sub</w:t>
      </w:r>
      <w:r w:rsidR="002106A3">
        <w:rPr>
          <w:rFonts w:ascii="Arial" w:hAnsi="Arial" w:cs="Arial"/>
          <w:color w:val="auto"/>
        </w:rPr>
        <w:noBreakHyphen/>
        <w:t>sector</w:t>
      </w:r>
      <w:r w:rsidR="00222C41">
        <w:rPr>
          <w:rFonts w:ascii="Arial" w:hAnsi="Arial" w:cs="Arial"/>
          <w:color w:val="auto"/>
        </w:rPr>
        <w:t xml:space="preserve"> of the firm view</w:t>
      </w:r>
      <w:r w:rsidR="0060532D">
        <w:rPr>
          <w:rFonts w:ascii="Arial" w:hAnsi="Arial" w:cs="Arial"/>
          <w:color w:val="auto"/>
        </w:rPr>
        <w:t xml:space="preserve"> that </w:t>
      </w:r>
      <w:r w:rsidR="0072722B">
        <w:rPr>
          <w:rFonts w:ascii="Arial" w:hAnsi="Arial" w:cs="Arial"/>
          <w:color w:val="auto"/>
        </w:rPr>
        <w:t>Community Health Centre</w:t>
      </w:r>
      <w:r w:rsidR="0060532D">
        <w:rPr>
          <w:rFonts w:ascii="Arial" w:hAnsi="Arial" w:cs="Arial"/>
          <w:color w:val="auto"/>
        </w:rPr>
        <w:t>s</w:t>
      </w:r>
      <w:r w:rsidR="00222C41">
        <w:rPr>
          <w:rFonts w:ascii="Arial" w:hAnsi="Arial" w:cs="Arial"/>
          <w:color w:val="auto"/>
        </w:rPr>
        <w:t xml:space="preserve"> should be excluded</w:t>
      </w:r>
      <w:r>
        <w:rPr>
          <w:rFonts w:ascii="Arial" w:hAnsi="Arial" w:cs="Arial"/>
          <w:color w:val="auto"/>
        </w:rPr>
        <w:t xml:space="preserve">; </w:t>
      </w:r>
      <w:r w:rsidR="007652F3" w:rsidRPr="00DB3ADD">
        <w:rPr>
          <w:rFonts w:ascii="Arial" w:hAnsi="Arial" w:cs="Arial"/>
          <w:color w:val="auto"/>
        </w:rPr>
        <w:t>and</w:t>
      </w:r>
    </w:p>
    <w:p w14:paraId="44B068A8" w14:textId="24E24D28" w:rsidR="00D53116" w:rsidRPr="001E34FA" w:rsidRDefault="00D53116" w:rsidP="00D53116">
      <w:pPr>
        <w:pStyle w:val="ListParagraph"/>
        <w:numPr>
          <w:ilvl w:val="0"/>
          <w:numId w:val="32"/>
        </w:numPr>
        <w:tabs>
          <w:tab w:val="num" w:pos="680"/>
        </w:tabs>
        <w:contextualSpacing w:val="0"/>
        <w:rPr>
          <w:rFonts w:ascii="Arial" w:hAnsi="Arial" w:cs="Arial"/>
          <w:color w:val="auto"/>
        </w:rPr>
      </w:pPr>
      <w:r>
        <w:rPr>
          <w:rFonts w:ascii="Arial" w:hAnsi="Arial" w:cs="Arial"/>
          <w:color w:val="auto"/>
        </w:rPr>
        <w:t xml:space="preserve">It is not clear whether </w:t>
      </w:r>
      <w:r w:rsidR="00D36BC6">
        <w:rPr>
          <w:rFonts w:ascii="Arial" w:hAnsi="Arial" w:cs="Arial"/>
          <w:color w:val="auto"/>
        </w:rPr>
        <w:t>for</w:t>
      </w:r>
      <w:r w:rsidR="00D36BC6">
        <w:rPr>
          <w:rFonts w:ascii="Arial" w:hAnsi="Arial" w:cs="Arial"/>
          <w:color w:val="auto"/>
        </w:rPr>
        <w:noBreakHyphen/>
        <w:t>profit</w:t>
      </w:r>
      <w:r w:rsidRPr="00FB5655">
        <w:rPr>
          <w:rFonts w:ascii="Arial" w:hAnsi="Arial" w:cs="Arial"/>
          <w:color w:val="auto"/>
        </w:rPr>
        <w:t xml:space="preserve"> providers</w:t>
      </w:r>
      <w:r>
        <w:rPr>
          <w:rFonts w:ascii="Arial" w:hAnsi="Arial" w:cs="Arial"/>
          <w:color w:val="auto"/>
        </w:rPr>
        <w:t xml:space="preserve"> of early childhood services are excluded from the Scheme. </w:t>
      </w:r>
    </w:p>
    <w:p w14:paraId="7FBB338B" w14:textId="40EA04FC" w:rsidR="00AF1044" w:rsidRDefault="00B75620" w:rsidP="0071726F">
      <w:pPr>
        <w:pStyle w:val="Bodytextkeepwithnext"/>
      </w:pPr>
      <w:r>
        <w:t>In</w:t>
      </w:r>
      <w:r w:rsidR="00AF1044" w:rsidRPr="00EC5379">
        <w:t xml:space="preserve"> clarifying who is </w:t>
      </w:r>
      <w:r w:rsidR="0071726F">
        <w:rPr>
          <w:rFonts w:cs="Arial"/>
          <w:color w:val="auto"/>
        </w:rPr>
        <w:t xml:space="preserve">regarded as </w:t>
      </w:r>
      <w:r w:rsidR="00AF1044" w:rsidRPr="00EC5379">
        <w:t>an employer in the community services sector</w:t>
      </w:r>
      <w:r>
        <w:t xml:space="preserve">, </w:t>
      </w:r>
      <w:r>
        <w:rPr>
          <w:rFonts w:cs="Arial"/>
        </w:rPr>
        <w:t>the Proposed Regulations should look to</w:t>
      </w:r>
      <w:r w:rsidR="00AF1044" w:rsidRPr="00EC5379">
        <w:t xml:space="preserve">: </w:t>
      </w:r>
    </w:p>
    <w:p w14:paraId="4BB54E49" w14:textId="41D261D3" w:rsidR="00AF1044" w:rsidRPr="009A1FD6" w:rsidRDefault="00AF1044" w:rsidP="00D53116">
      <w:pPr>
        <w:pStyle w:val="ListBullet"/>
        <w:contextualSpacing w:val="0"/>
        <w:rPr>
          <w:rFonts w:cs="Arial"/>
        </w:rPr>
      </w:pPr>
      <w:r w:rsidRPr="007F4727">
        <w:rPr>
          <w:rFonts w:cs="Arial"/>
        </w:rPr>
        <w:t xml:space="preserve">Provide certainty to </w:t>
      </w:r>
      <w:r w:rsidR="00BA4E89">
        <w:rPr>
          <w:rFonts w:cs="Arial"/>
        </w:rPr>
        <w:t>employee</w:t>
      </w:r>
      <w:r w:rsidRPr="007F4727">
        <w:rPr>
          <w:rFonts w:cs="Arial"/>
        </w:rPr>
        <w:t xml:space="preserve">s and </w:t>
      </w:r>
      <w:r w:rsidR="00DB01D9">
        <w:rPr>
          <w:rFonts w:cs="Arial"/>
        </w:rPr>
        <w:t>employers</w:t>
      </w:r>
      <w:r w:rsidR="00DB01D9" w:rsidRPr="007F4727">
        <w:rPr>
          <w:rFonts w:cs="Arial"/>
        </w:rPr>
        <w:t xml:space="preserve"> </w:t>
      </w:r>
      <w:r w:rsidRPr="007F4727">
        <w:rPr>
          <w:rFonts w:cs="Arial"/>
        </w:rPr>
        <w:t xml:space="preserve">in the sector </w:t>
      </w:r>
      <w:r>
        <w:rPr>
          <w:rFonts w:cs="Arial"/>
        </w:rPr>
        <w:t>regarding</w:t>
      </w:r>
      <w:r w:rsidRPr="007F4727">
        <w:rPr>
          <w:rFonts w:cs="Arial"/>
        </w:rPr>
        <w:t xml:space="preserve"> which employers </w:t>
      </w:r>
      <w:r>
        <w:rPr>
          <w:rFonts w:cs="Arial"/>
        </w:rPr>
        <w:t>are covered by the S</w:t>
      </w:r>
      <w:r w:rsidRPr="007F4727">
        <w:rPr>
          <w:rFonts w:cs="Arial"/>
        </w:rPr>
        <w:t>cheme</w:t>
      </w:r>
      <w:r>
        <w:rPr>
          <w:rFonts w:cs="Arial"/>
        </w:rPr>
        <w:t xml:space="preserve">; </w:t>
      </w:r>
      <w:r w:rsidR="0071726F">
        <w:rPr>
          <w:rFonts w:cs="Arial"/>
        </w:rPr>
        <w:t>and</w:t>
      </w:r>
    </w:p>
    <w:p w14:paraId="47EA39E0" w14:textId="1BC5ACE3" w:rsidR="00AF1044" w:rsidRPr="00AF1044" w:rsidRDefault="00AF1044" w:rsidP="00D53116">
      <w:pPr>
        <w:pStyle w:val="ListBullet"/>
        <w:contextualSpacing w:val="0"/>
        <w:rPr>
          <w:rFonts w:cs="Arial"/>
        </w:rPr>
      </w:pPr>
      <w:r>
        <w:rPr>
          <w:rFonts w:cs="Arial"/>
        </w:rPr>
        <w:lastRenderedPageBreak/>
        <w:t>Ensure employees across the community services sector have fair and equitable access to the Scheme.</w:t>
      </w:r>
    </w:p>
    <w:p w14:paraId="2127502A" w14:textId="6035054E" w:rsidR="00E13F2A" w:rsidRPr="00EC5379" w:rsidRDefault="00F02743" w:rsidP="00E13F2A">
      <w:pPr>
        <w:pStyle w:val="HeadingLevel3NoNumber"/>
        <w:rPr>
          <w:rFonts w:cs="Arial"/>
        </w:rPr>
      </w:pPr>
      <w:r>
        <w:rPr>
          <w:rFonts w:cs="Arial"/>
        </w:rPr>
        <w:t>Clarifying w</w:t>
      </w:r>
      <w:r w:rsidR="00547C42">
        <w:rPr>
          <w:rFonts w:cs="Arial"/>
        </w:rPr>
        <w:t>ho is</w:t>
      </w:r>
      <w:r w:rsidR="0071726F">
        <w:rPr>
          <w:rFonts w:cs="Arial"/>
        </w:rPr>
        <w:t xml:space="preserve"> regarded as</w:t>
      </w:r>
      <w:r w:rsidR="00547C42">
        <w:rPr>
          <w:rFonts w:cs="Arial"/>
        </w:rPr>
        <w:t xml:space="preserve"> an employee in the community services sector</w:t>
      </w:r>
    </w:p>
    <w:p w14:paraId="5E8724FE" w14:textId="6CCE2145" w:rsidR="001E34FA" w:rsidRPr="00D53116" w:rsidRDefault="00F81D91" w:rsidP="001E34FA">
      <w:pPr>
        <w:rPr>
          <w:rFonts w:ascii="Arial" w:hAnsi="Arial" w:cs="Arial"/>
          <w:color w:val="auto"/>
        </w:rPr>
      </w:pPr>
      <w:r w:rsidRPr="00C22E90">
        <w:rPr>
          <w:rFonts w:ascii="Arial" w:hAnsi="Arial" w:cs="Arial"/>
          <w:color w:val="auto"/>
        </w:rPr>
        <w:t>The Interim Regulations lack pr</w:t>
      </w:r>
      <w:r w:rsidR="005A35EC">
        <w:rPr>
          <w:rFonts w:ascii="Arial" w:hAnsi="Arial" w:cs="Arial"/>
          <w:color w:val="auto"/>
        </w:rPr>
        <w:t xml:space="preserve">ecision as to who is </w:t>
      </w:r>
      <w:r w:rsidR="0071726F">
        <w:rPr>
          <w:rFonts w:ascii="Arial" w:hAnsi="Arial" w:cs="Arial"/>
          <w:color w:val="auto"/>
        </w:rPr>
        <w:t xml:space="preserve">regarded as </w:t>
      </w:r>
      <w:r w:rsidR="005A35EC">
        <w:rPr>
          <w:rFonts w:ascii="Arial" w:hAnsi="Arial" w:cs="Arial"/>
          <w:color w:val="auto"/>
        </w:rPr>
        <w:t>an employee</w:t>
      </w:r>
      <w:r w:rsidRPr="00C22E90">
        <w:rPr>
          <w:rFonts w:ascii="Arial" w:hAnsi="Arial" w:cs="Arial"/>
          <w:color w:val="auto"/>
        </w:rPr>
        <w:t xml:space="preserve"> in the community services sector. </w:t>
      </w:r>
      <w:r>
        <w:rPr>
          <w:rFonts w:ascii="Arial" w:hAnsi="Arial" w:cs="Arial"/>
          <w:color w:val="auto"/>
        </w:rPr>
        <w:t>It is not clear how to apply t</w:t>
      </w:r>
      <w:r w:rsidR="00003DFC">
        <w:rPr>
          <w:rFonts w:ascii="Arial" w:hAnsi="Arial" w:cs="Arial"/>
          <w:color w:val="auto"/>
        </w:rPr>
        <w:t>he</w:t>
      </w:r>
      <w:r>
        <w:rPr>
          <w:rFonts w:ascii="Arial" w:hAnsi="Arial" w:cs="Arial"/>
          <w:color w:val="auto"/>
        </w:rPr>
        <w:t xml:space="preserve"> current employee predominance test to determine whether employees are predomina</w:t>
      </w:r>
      <w:r w:rsidR="0060532D">
        <w:rPr>
          <w:rFonts w:ascii="Arial" w:hAnsi="Arial" w:cs="Arial"/>
          <w:color w:val="auto"/>
        </w:rPr>
        <w:t>nt</w:t>
      </w:r>
      <w:r>
        <w:rPr>
          <w:rFonts w:ascii="Arial" w:hAnsi="Arial" w:cs="Arial"/>
          <w:color w:val="auto"/>
        </w:rPr>
        <w:t>ly undertaking community service work to be eligible for the Scheme. I</w:t>
      </w:r>
      <w:r w:rsidR="001E34FA" w:rsidRPr="00D53116">
        <w:rPr>
          <w:rFonts w:ascii="Arial" w:hAnsi="Arial" w:cs="Arial"/>
          <w:color w:val="auto"/>
        </w:rPr>
        <w:t xml:space="preserve">t is not clear whether certain employees are covered by the Scheme, such as </w:t>
      </w:r>
      <w:r w:rsidR="0060532D">
        <w:rPr>
          <w:rFonts w:ascii="Arial" w:hAnsi="Arial" w:cs="Arial"/>
          <w:color w:val="auto"/>
        </w:rPr>
        <w:t xml:space="preserve">support staff, </w:t>
      </w:r>
      <w:r w:rsidR="001E34FA" w:rsidRPr="00D53116">
        <w:rPr>
          <w:rFonts w:ascii="Arial" w:hAnsi="Arial" w:cs="Arial"/>
          <w:color w:val="auto"/>
        </w:rPr>
        <w:t>secretarial and managerial employees. Stakeholders across the sector have also reported that it has been difficult to determine whether different activities engaged in by a single employee would cumulatively meet the predominance test for inclusion in the Scheme</w:t>
      </w:r>
      <w:r w:rsidR="00D53116" w:rsidRPr="00D53116">
        <w:rPr>
          <w:rFonts w:ascii="Arial" w:hAnsi="Arial" w:cs="Arial"/>
          <w:color w:val="auto"/>
        </w:rPr>
        <w:t>.</w:t>
      </w:r>
    </w:p>
    <w:p w14:paraId="23D62866" w14:textId="624AA9BB" w:rsidR="00AF1044" w:rsidRPr="00EC5379" w:rsidRDefault="00AF1044" w:rsidP="00AF1044">
      <w:pPr>
        <w:pStyle w:val="BodyText"/>
        <w:rPr>
          <w:rFonts w:cs="Arial"/>
        </w:rPr>
      </w:pPr>
      <w:r w:rsidRPr="00EC5379">
        <w:rPr>
          <w:rFonts w:cs="Arial"/>
        </w:rPr>
        <w:t xml:space="preserve">In clarifying who is </w:t>
      </w:r>
      <w:r w:rsidR="0071726F">
        <w:rPr>
          <w:rFonts w:cs="Arial"/>
          <w:color w:val="auto"/>
        </w:rPr>
        <w:t xml:space="preserve">regarded as </w:t>
      </w:r>
      <w:r w:rsidRPr="00EC5379">
        <w:rPr>
          <w:rFonts w:cs="Arial"/>
        </w:rPr>
        <w:t xml:space="preserve">an employee in the community services sector, the </w:t>
      </w:r>
      <w:r w:rsidR="00B75620">
        <w:rPr>
          <w:rFonts w:cs="Arial"/>
        </w:rPr>
        <w:t xml:space="preserve">Proposed </w:t>
      </w:r>
      <w:r w:rsidRPr="00EC5379">
        <w:rPr>
          <w:rFonts w:cs="Arial"/>
        </w:rPr>
        <w:t>Regulation</w:t>
      </w:r>
      <w:r>
        <w:rPr>
          <w:rFonts w:cs="Arial"/>
        </w:rPr>
        <w:t>s</w:t>
      </w:r>
      <w:r w:rsidRPr="00EC5379">
        <w:rPr>
          <w:rFonts w:cs="Arial"/>
        </w:rPr>
        <w:t xml:space="preserve"> should look to:</w:t>
      </w:r>
    </w:p>
    <w:p w14:paraId="69D89AC8" w14:textId="20A2FB94" w:rsidR="00AF1044" w:rsidRDefault="00AF1044" w:rsidP="00AF1044">
      <w:pPr>
        <w:pStyle w:val="ListBullet"/>
        <w:contextualSpacing w:val="0"/>
        <w:rPr>
          <w:rFonts w:cs="Arial"/>
        </w:rPr>
      </w:pPr>
      <w:r w:rsidRPr="007F4727">
        <w:rPr>
          <w:rFonts w:cs="Arial"/>
        </w:rPr>
        <w:t xml:space="preserve">Provide certainty to </w:t>
      </w:r>
      <w:r w:rsidR="00DB01D9">
        <w:rPr>
          <w:rFonts w:cs="Arial"/>
        </w:rPr>
        <w:t>employers</w:t>
      </w:r>
      <w:r w:rsidRPr="007F4727">
        <w:rPr>
          <w:rFonts w:cs="Arial"/>
        </w:rPr>
        <w:t xml:space="preserve"> on which employees will </w:t>
      </w:r>
      <w:r w:rsidR="005A3ACE">
        <w:rPr>
          <w:rFonts w:cs="Arial"/>
        </w:rPr>
        <w:t>be required</w:t>
      </w:r>
      <w:r w:rsidR="005A3ACE" w:rsidRPr="007F4727">
        <w:rPr>
          <w:rFonts w:cs="Arial"/>
        </w:rPr>
        <w:t xml:space="preserve"> </w:t>
      </w:r>
      <w:r w:rsidR="00EE62A5">
        <w:rPr>
          <w:rFonts w:cs="Arial"/>
        </w:rPr>
        <w:t xml:space="preserve">to be registered for the </w:t>
      </w:r>
      <w:r w:rsidR="0071726F">
        <w:rPr>
          <w:rFonts w:cs="Arial"/>
        </w:rPr>
        <w:t>S</w:t>
      </w:r>
      <w:r w:rsidR="00EE62A5">
        <w:rPr>
          <w:rFonts w:cs="Arial"/>
        </w:rPr>
        <w:t>cheme and</w:t>
      </w:r>
      <w:r w:rsidRPr="007F4727">
        <w:rPr>
          <w:rFonts w:cs="Arial"/>
        </w:rPr>
        <w:t xml:space="preserve"> have levies paid t</w:t>
      </w:r>
      <w:r>
        <w:rPr>
          <w:rFonts w:cs="Arial"/>
        </w:rPr>
        <w:t xml:space="preserve">o the Authority on their behalf; and </w:t>
      </w:r>
    </w:p>
    <w:p w14:paraId="0ACADEE8" w14:textId="0C7562F1" w:rsidR="00AF1044" w:rsidRPr="00AF1044" w:rsidRDefault="00AF1044" w:rsidP="00AF1044">
      <w:pPr>
        <w:pStyle w:val="ListBullet"/>
        <w:contextualSpacing w:val="0"/>
        <w:rPr>
          <w:rFonts w:cs="Arial"/>
        </w:rPr>
      </w:pPr>
      <w:r>
        <w:rPr>
          <w:rFonts w:cs="Arial"/>
        </w:rPr>
        <w:t>Ensure employees undertaking community service work have fair and equitable access to the Scheme.</w:t>
      </w:r>
    </w:p>
    <w:p w14:paraId="635445A9" w14:textId="00C5DF48" w:rsidR="00E13F2A" w:rsidRPr="00EC5379" w:rsidRDefault="00F02743" w:rsidP="00E13F2A">
      <w:pPr>
        <w:pStyle w:val="HeadingLevel3NoNumber"/>
        <w:rPr>
          <w:rFonts w:cs="Arial"/>
        </w:rPr>
      </w:pPr>
      <w:r>
        <w:rPr>
          <w:rFonts w:cs="Arial"/>
        </w:rPr>
        <w:t>Clarifying w</w:t>
      </w:r>
      <w:r w:rsidR="00547C42">
        <w:rPr>
          <w:rFonts w:cs="Arial"/>
        </w:rPr>
        <w:t xml:space="preserve">ho is </w:t>
      </w:r>
      <w:r w:rsidR="0071726F">
        <w:rPr>
          <w:rFonts w:cs="Arial"/>
        </w:rPr>
        <w:t xml:space="preserve">regarded as </w:t>
      </w:r>
      <w:r w:rsidR="00547C42">
        <w:rPr>
          <w:rFonts w:cs="Arial"/>
        </w:rPr>
        <w:t>an employee in the security sector</w:t>
      </w:r>
    </w:p>
    <w:p w14:paraId="0EE7DA2C" w14:textId="5D2E8387" w:rsidR="001E34FA" w:rsidRPr="001E34FA" w:rsidRDefault="001E34FA" w:rsidP="001E34FA">
      <w:pPr>
        <w:tabs>
          <w:tab w:val="num" w:pos="680"/>
        </w:tabs>
        <w:spacing w:before="240"/>
        <w:rPr>
          <w:rFonts w:ascii="Arial" w:hAnsi="Arial" w:cs="Arial"/>
          <w:color w:val="auto"/>
        </w:rPr>
      </w:pPr>
      <w:r w:rsidRPr="00C22E90">
        <w:rPr>
          <w:rFonts w:ascii="Arial" w:hAnsi="Arial" w:cs="Arial"/>
          <w:color w:val="auto"/>
        </w:rPr>
        <w:t xml:space="preserve">The Interim Regulations </w:t>
      </w:r>
      <w:r>
        <w:rPr>
          <w:rFonts w:ascii="Arial" w:hAnsi="Arial" w:cs="Arial"/>
          <w:color w:val="auto"/>
        </w:rPr>
        <w:t>do</w:t>
      </w:r>
      <w:r w:rsidRPr="00C22E90">
        <w:rPr>
          <w:rFonts w:ascii="Arial" w:hAnsi="Arial" w:cs="Arial"/>
          <w:color w:val="auto"/>
        </w:rPr>
        <w:t xml:space="preserve"> not provide a test to clarify who is </w:t>
      </w:r>
      <w:r w:rsidR="0071726F">
        <w:rPr>
          <w:rFonts w:ascii="Arial" w:hAnsi="Arial" w:cs="Arial"/>
          <w:color w:val="auto"/>
        </w:rPr>
        <w:t xml:space="preserve">regarded as </w:t>
      </w:r>
      <w:r w:rsidRPr="00C22E90">
        <w:rPr>
          <w:rFonts w:ascii="Arial" w:hAnsi="Arial" w:cs="Arial"/>
          <w:color w:val="auto"/>
        </w:rPr>
        <w:t>a</w:t>
      </w:r>
      <w:r w:rsidR="00BA4E89">
        <w:rPr>
          <w:rFonts w:ascii="Arial" w:hAnsi="Arial" w:cs="Arial"/>
          <w:color w:val="auto"/>
        </w:rPr>
        <w:t>n</w:t>
      </w:r>
      <w:r w:rsidRPr="00C22E90">
        <w:rPr>
          <w:rFonts w:ascii="Arial" w:hAnsi="Arial" w:cs="Arial"/>
          <w:color w:val="auto"/>
        </w:rPr>
        <w:t xml:space="preserve"> </w:t>
      </w:r>
      <w:r w:rsidR="00BA4E89">
        <w:rPr>
          <w:rFonts w:ascii="Arial" w:hAnsi="Arial" w:cs="Arial"/>
          <w:color w:val="auto"/>
        </w:rPr>
        <w:t>employee</w:t>
      </w:r>
      <w:r w:rsidRPr="00C22E90">
        <w:rPr>
          <w:rFonts w:ascii="Arial" w:hAnsi="Arial" w:cs="Arial"/>
          <w:color w:val="auto"/>
        </w:rPr>
        <w:t xml:space="preserve"> </w:t>
      </w:r>
      <w:r w:rsidR="0071726F">
        <w:rPr>
          <w:rFonts w:ascii="Arial" w:hAnsi="Arial" w:cs="Arial"/>
          <w:color w:val="auto"/>
        </w:rPr>
        <w:t>in</w:t>
      </w:r>
      <w:r w:rsidRPr="00C22E90">
        <w:rPr>
          <w:rFonts w:ascii="Arial" w:hAnsi="Arial" w:cs="Arial"/>
          <w:color w:val="auto"/>
        </w:rPr>
        <w:t xml:space="preserve"> the security sector.</w:t>
      </w:r>
      <w:r>
        <w:rPr>
          <w:rFonts w:ascii="Arial" w:hAnsi="Arial" w:cs="Arial"/>
          <w:color w:val="auto"/>
        </w:rPr>
        <w:t xml:space="preserve"> </w:t>
      </w:r>
      <w:r w:rsidR="00EE62A5">
        <w:rPr>
          <w:rFonts w:ascii="Arial" w:hAnsi="Arial" w:cs="Arial"/>
          <w:color w:val="auto"/>
        </w:rPr>
        <w:t xml:space="preserve">In this respect, Schedule 3 to the LSBP Act provides the only test. </w:t>
      </w:r>
      <w:r w:rsidR="00F81D91">
        <w:rPr>
          <w:rFonts w:ascii="Arial" w:hAnsi="Arial" w:cs="Arial"/>
          <w:color w:val="auto"/>
        </w:rPr>
        <w:t>I</w:t>
      </w:r>
      <w:r w:rsidR="00F81D91" w:rsidRPr="00D53116">
        <w:rPr>
          <w:rFonts w:ascii="Arial" w:hAnsi="Arial" w:cs="Arial"/>
          <w:color w:val="auto"/>
        </w:rPr>
        <w:t>t is not clear whether certain employees are covered by the Scheme, such as secret</w:t>
      </w:r>
      <w:r w:rsidR="00F81D91">
        <w:rPr>
          <w:rFonts w:ascii="Arial" w:hAnsi="Arial" w:cs="Arial"/>
          <w:color w:val="auto"/>
        </w:rPr>
        <w:t xml:space="preserve">arial and managerial employees, or whether an employee needs to undertake a certain amount of security work to be eligible for the Scheme. </w:t>
      </w:r>
      <w:r>
        <w:rPr>
          <w:rFonts w:ascii="Arial" w:hAnsi="Arial" w:cs="Arial"/>
          <w:color w:val="auto"/>
        </w:rPr>
        <w:t>Stakeholders in the sector have been applying their own tests to determine eligibility and have requested additional clarity.</w:t>
      </w:r>
    </w:p>
    <w:p w14:paraId="3527430D" w14:textId="20F2FA66" w:rsidR="00E13B92" w:rsidRPr="00EC5379" w:rsidRDefault="005D6ED3" w:rsidP="00E13B92">
      <w:pPr>
        <w:spacing w:before="240"/>
        <w:rPr>
          <w:rFonts w:ascii="Arial" w:hAnsi="Arial" w:cs="Arial"/>
        </w:rPr>
      </w:pPr>
      <w:r>
        <w:rPr>
          <w:rFonts w:ascii="Arial" w:hAnsi="Arial" w:cs="Arial"/>
        </w:rPr>
        <w:t>In</w:t>
      </w:r>
      <w:r w:rsidR="00E13B92" w:rsidRPr="00EC5379">
        <w:rPr>
          <w:rFonts w:ascii="Arial" w:hAnsi="Arial" w:cs="Arial"/>
        </w:rPr>
        <w:t xml:space="preserve"> clarify</w:t>
      </w:r>
      <w:r>
        <w:rPr>
          <w:rFonts w:ascii="Arial" w:hAnsi="Arial" w:cs="Arial"/>
        </w:rPr>
        <w:t>ing</w:t>
      </w:r>
      <w:r w:rsidR="00E13B92" w:rsidRPr="00EC5379">
        <w:rPr>
          <w:rFonts w:ascii="Arial" w:hAnsi="Arial" w:cs="Arial"/>
        </w:rPr>
        <w:t xml:space="preserve"> who is </w:t>
      </w:r>
      <w:r w:rsidR="0071726F">
        <w:rPr>
          <w:rFonts w:ascii="Arial" w:hAnsi="Arial" w:cs="Arial"/>
          <w:color w:val="auto"/>
        </w:rPr>
        <w:t xml:space="preserve">regarded as </w:t>
      </w:r>
      <w:r w:rsidR="00E13B92" w:rsidRPr="00EC5379">
        <w:rPr>
          <w:rFonts w:ascii="Arial" w:hAnsi="Arial" w:cs="Arial"/>
        </w:rPr>
        <w:t>an employee in the security sector</w:t>
      </w:r>
      <w:r w:rsidRPr="005D6ED3">
        <w:rPr>
          <w:rFonts w:ascii="Arial" w:hAnsi="Arial" w:cs="Arial"/>
        </w:rPr>
        <w:t>, the Proposed Regulations should look to</w:t>
      </w:r>
      <w:r w:rsidR="00E13B92" w:rsidRPr="005D6ED3">
        <w:rPr>
          <w:rFonts w:ascii="Arial" w:hAnsi="Arial" w:cs="Arial"/>
        </w:rPr>
        <w:t>:</w:t>
      </w:r>
    </w:p>
    <w:p w14:paraId="3E44170D" w14:textId="247CE10A" w:rsidR="00E13B92" w:rsidRDefault="00E13B92" w:rsidP="00E13B92">
      <w:pPr>
        <w:pStyle w:val="ListBullet"/>
        <w:contextualSpacing w:val="0"/>
        <w:rPr>
          <w:rFonts w:cs="Arial"/>
        </w:rPr>
      </w:pPr>
      <w:r w:rsidRPr="007F4727">
        <w:rPr>
          <w:rFonts w:cs="Arial"/>
        </w:rPr>
        <w:t xml:space="preserve">Provide certainty to </w:t>
      </w:r>
      <w:r>
        <w:rPr>
          <w:rFonts w:cs="Arial"/>
        </w:rPr>
        <w:t>employers</w:t>
      </w:r>
      <w:r w:rsidRPr="007F4727">
        <w:rPr>
          <w:rFonts w:cs="Arial"/>
        </w:rPr>
        <w:t xml:space="preserve"> on which employees will </w:t>
      </w:r>
      <w:r w:rsidR="005A3ACE">
        <w:rPr>
          <w:rFonts w:cs="Arial"/>
        </w:rPr>
        <w:t>be required</w:t>
      </w:r>
      <w:r w:rsidR="005A3ACE" w:rsidRPr="007F4727">
        <w:rPr>
          <w:rFonts w:cs="Arial"/>
        </w:rPr>
        <w:t xml:space="preserve"> </w:t>
      </w:r>
      <w:r w:rsidRPr="007F4727">
        <w:rPr>
          <w:rFonts w:cs="Arial"/>
        </w:rPr>
        <w:t>to have levies paid t</w:t>
      </w:r>
      <w:r>
        <w:rPr>
          <w:rFonts w:cs="Arial"/>
        </w:rPr>
        <w:t>o the Authority on their behalf; and</w:t>
      </w:r>
    </w:p>
    <w:p w14:paraId="55351295" w14:textId="77777777" w:rsidR="00E13B92" w:rsidRPr="00BE3544" w:rsidRDefault="00E13B92" w:rsidP="00E13B92">
      <w:pPr>
        <w:pStyle w:val="ListBullet"/>
        <w:contextualSpacing w:val="0"/>
        <w:rPr>
          <w:rFonts w:cs="Arial"/>
        </w:rPr>
      </w:pPr>
      <w:r>
        <w:rPr>
          <w:rFonts w:cs="Arial"/>
        </w:rPr>
        <w:t>Ensure employees undertaking security</w:t>
      </w:r>
      <w:r w:rsidRPr="00D44303">
        <w:rPr>
          <w:rFonts w:cs="Arial"/>
        </w:rPr>
        <w:t xml:space="preserve"> work have fair and </w:t>
      </w:r>
      <w:r>
        <w:rPr>
          <w:rFonts w:cs="Arial"/>
        </w:rPr>
        <w:t>equitable access to the Scheme.</w:t>
      </w:r>
    </w:p>
    <w:p w14:paraId="3F69F5E4" w14:textId="070BBED6" w:rsidR="00E13F2A" w:rsidRPr="00EC5379" w:rsidRDefault="00CF5417" w:rsidP="00E13F2A">
      <w:pPr>
        <w:pStyle w:val="HeadingLevel3NoNumber"/>
        <w:rPr>
          <w:rFonts w:cs="Arial"/>
        </w:rPr>
      </w:pPr>
      <w:r>
        <w:rPr>
          <w:rFonts w:cs="Arial"/>
        </w:rPr>
        <w:t xml:space="preserve">Reimbursing employers for </w:t>
      </w:r>
      <w:r w:rsidR="00DB3ADD">
        <w:rPr>
          <w:rFonts w:cs="Arial"/>
        </w:rPr>
        <w:t>double-dipping</w:t>
      </w:r>
      <w:r w:rsidR="000500F9">
        <w:rPr>
          <w:rFonts w:cs="Arial"/>
        </w:rPr>
        <w:t xml:space="preserve"> claims</w:t>
      </w:r>
      <w:r w:rsidR="00547C42">
        <w:rPr>
          <w:rFonts w:cs="Arial"/>
        </w:rPr>
        <w:t xml:space="preserve"> in the community services sector</w:t>
      </w:r>
      <w:r w:rsidR="00AD7B94">
        <w:rPr>
          <w:rFonts w:cs="Arial"/>
        </w:rPr>
        <w:t xml:space="preserve"> under the Long Service Leave Act</w:t>
      </w:r>
      <w:r w:rsidR="00CE5D23">
        <w:rPr>
          <w:rFonts w:cs="Arial"/>
        </w:rPr>
        <w:t xml:space="preserve"> 2018</w:t>
      </w:r>
    </w:p>
    <w:p w14:paraId="0D2B1575" w14:textId="1D830FA3" w:rsidR="000500F9" w:rsidRPr="007B63D7" w:rsidRDefault="000500F9" w:rsidP="00840BC2">
      <w:pPr>
        <w:pStyle w:val="BodyText"/>
        <w:rPr>
          <w:i/>
        </w:rPr>
      </w:pPr>
      <w:r w:rsidRPr="007B63D7">
        <w:rPr>
          <w:i/>
        </w:rPr>
        <w:t>The issue of double-dipping is considered in this RIS</w:t>
      </w:r>
      <w:r w:rsidR="00D466D4">
        <w:rPr>
          <w:i/>
        </w:rPr>
        <w:t>,</w:t>
      </w:r>
      <w:r w:rsidRPr="007B63D7">
        <w:rPr>
          <w:i/>
        </w:rPr>
        <w:t xml:space="preserve"> but any reforms will not be included in the Proposed Regulations as it would require concurrent legislative changes to the LSBP Act.</w:t>
      </w:r>
    </w:p>
    <w:p w14:paraId="058A0C38" w14:textId="45B548A6" w:rsidR="009F6B64" w:rsidRDefault="0060163D" w:rsidP="00840BC2">
      <w:pPr>
        <w:pStyle w:val="BodyText"/>
      </w:pPr>
      <w:r>
        <w:t>Double-</w:t>
      </w:r>
      <w:r w:rsidR="009F6B64" w:rsidRPr="00AB0AA5">
        <w:t>dipping refers</w:t>
      </w:r>
      <w:r w:rsidR="000500F9">
        <w:t xml:space="preserve"> to situations where an employee</w:t>
      </w:r>
      <w:r w:rsidR="009F6B64" w:rsidRPr="00AB0AA5">
        <w:t xml:space="preserve"> might have or accrue an entitlement to a long service benefit under </w:t>
      </w:r>
      <w:r w:rsidR="009F6B64" w:rsidRPr="00696818">
        <w:t xml:space="preserve">more than one of the LSBP Act, the </w:t>
      </w:r>
      <w:r w:rsidR="009F6B64">
        <w:rPr>
          <w:i/>
        </w:rPr>
        <w:t>Long Service Leave Act </w:t>
      </w:r>
      <w:r w:rsidR="009F6B64" w:rsidRPr="00696818">
        <w:rPr>
          <w:i/>
        </w:rPr>
        <w:t>2018</w:t>
      </w:r>
      <w:r w:rsidR="009F6B64" w:rsidRPr="00AB0AA5">
        <w:t xml:space="preserve"> or some other </w:t>
      </w:r>
      <w:r w:rsidR="00771107">
        <w:t>A</w:t>
      </w:r>
      <w:r w:rsidR="00840BC2">
        <w:t xml:space="preserve">ct </w:t>
      </w:r>
      <w:r w:rsidR="009F6B64" w:rsidRPr="00AB0AA5">
        <w:t>and</w:t>
      </w:r>
      <w:r w:rsidR="00840BC2">
        <w:t>/or</w:t>
      </w:r>
      <w:r w:rsidR="009F6B64" w:rsidRPr="00AB0AA5">
        <w:t xml:space="preserve"> under an existing workplace entitlement, for the same period of service. Schedule 1 of the LSBP Act </w:t>
      </w:r>
      <w:r w:rsidR="00840BC2">
        <w:t>states that</w:t>
      </w:r>
      <w:r w:rsidR="009F6B64" w:rsidRPr="00AB0AA5">
        <w:t xml:space="preserve"> this should be avoided. </w:t>
      </w:r>
    </w:p>
    <w:p w14:paraId="1480E532" w14:textId="07AECE7A" w:rsidR="00C67CC9" w:rsidRDefault="00C67CC9" w:rsidP="00C67CC9">
      <w:pPr>
        <w:rPr>
          <w:rFonts w:ascii="Arial" w:hAnsi="Arial" w:cs="Arial"/>
          <w:color w:val="auto"/>
        </w:rPr>
      </w:pPr>
      <w:r>
        <w:rPr>
          <w:rFonts w:ascii="Arial" w:hAnsi="Arial" w:cs="Arial"/>
          <w:color w:val="auto"/>
        </w:rPr>
        <w:t xml:space="preserve">A modern award or enterprise agreement can provide for a long service leave entitlement, which will apply subject to any inconsistency with an applicable State or Territory long </w:t>
      </w:r>
      <w:r>
        <w:rPr>
          <w:rFonts w:ascii="Arial" w:hAnsi="Arial" w:cs="Arial"/>
          <w:color w:val="auto"/>
        </w:rPr>
        <w:lastRenderedPageBreak/>
        <w:t>service leave law.</w:t>
      </w:r>
      <w:r>
        <w:rPr>
          <w:rStyle w:val="FootnoteReference"/>
          <w:rFonts w:ascii="Arial" w:hAnsi="Arial" w:cs="Arial"/>
          <w:color w:val="auto"/>
        </w:rPr>
        <w:footnoteReference w:id="1"/>
      </w:r>
      <w:r>
        <w:rPr>
          <w:rFonts w:ascii="Arial" w:hAnsi="Arial" w:cs="Arial"/>
          <w:color w:val="auto"/>
        </w:rPr>
        <w:t xml:space="preserve"> However, such laws cannot invalidate an entitlement to long service leave under a </w:t>
      </w:r>
      <w:r w:rsidR="00840BC2">
        <w:rPr>
          <w:rFonts w:ascii="Arial" w:hAnsi="Arial" w:cs="Arial"/>
          <w:color w:val="auto"/>
        </w:rPr>
        <w:t>F</w:t>
      </w:r>
      <w:r>
        <w:rPr>
          <w:rFonts w:ascii="Arial" w:hAnsi="Arial" w:cs="Arial"/>
          <w:color w:val="auto"/>
        </w:rPr>
        <w:t>ederal fair work instrument.</w:t>
      </w:r>
      <w:r>
        <w:rPr>
          <w:rFonts w:ascii="Arial" w:hAnsi="Arial" w:cs="Arial"/>
          <w:color w:val="auto"/>
          <w:vertAlign w:val="superscript"/>
        </w:rPr>
        <w:footnoteReference w:id="2"/>
      </w:r>
      <w:r>
        <w:rPr>
          <w:rFonts w:ascii="Arial" w:hAnsi="Arial" w:cs="Arial"/>
          <w:color w:val="auto"/>
          <w:vertAlign w:val="superscript"/>
        </w:rPr>
        <w:t xml:space="preserve"> </w:t>
      </w:r>
      <w:r>
        <w:rPr>
          <w:rFonts w:ascii="Arial" w:hAnsi="Arial" w:cs="Arial"/>
          <w:color w:val="auto"/>
        </w:rPr>
        <w:t>This is to be contrasted with pre-modern awards preserved by the National Employment Standards (</w:t>
      </w:r>
      <w:r w:rsidRPr="00DB3ADD">
        <w:rPr>
          <w:rFonts w:ascii="Arial" w:hAnsi="Arial" w:cs="Arial"/>
          <w:color w:val="auto"/>
        </w:rPr>
        <w:t>NES</w:t>
      </w:r>
      <w:r>
        <w:rPr>
          <w:rFonts w:ascii="Arial" w:hAnsi="Arial" w:cs="Arial"/>
          <w:color w:val="auto"/>
        </w:rPr>
        <w:t xml:space="preserve">) which apply to the exclusion of the </w:t>
      </w:r>
      <w:r>
        <w:rPr>
          <w:rFonts w:ascii="Arial" w:hAnsi="Arial" w:cs="Arial"/>
          <w:i/>
          <w:color w:val="auto"/>
        </w:rPr>
        <w:t>Long Service Leave Act 2018</w:t>
      </w:r>
      <w:r>
        <w:rPr>
          <w:rFonts w:ascii="Arial" w:hAnsi="Arial" w:cs="Arial"/>
          <w:color w:val="auto"/>
        </w:rPr>
        <w:t>.</w:t>
      </w:r>
      <w:r>
        <w:rPr>
          <w:rStyle w:val="FootnoteReference"/>
          <w:rFonts w:ascii="Arial" w:hAnsi="Arial" w:cs="Arial"/>
          <w:color w:val="auto"/>
        </w:rPr>
        <w:footnoteReference w:id="3"/>
      </w:r>
      <w:r>
        <w:rPr>
          <w:rFonts w:ascii="Arial" w:hAnsi="Arial" w:cs="Arial"/>
          <w:color w:val="auto"/>
        </w:rPr>
        <w:t xml:space="preserve"> </w:t>
      </w:r>
    </w:p>
    <w:p w14:paraId="2FE56EC8" w14:textId="4220DE29" w:rsidR="00C67CC9" w:rsidRDefault="00C67CC9" w:rsidP="00C67CC9">
      <w:pPr>
        <w:rPr>
          <w:rFonts w:ascii="Arial" w:hAnsi="Arial" w:cs="Arial"/>
        </w:rPr>
      </w:pPr>
      <w:r>
        <w:rPr>
          <w:rFonts w:ascii="Arial" w:hAnsi="Arial" w:cs="Arial"/>
          <w:color w:val="auto"/>
        </w:rPr>
        <w:t>Therefore, the</w:t>
      </w:r>
      <w:r>
        <w:rPr>
          <w:rFonts w:ascii="Arial" w:hAnsi="Arial" w:cs="Arial"/>
        </w:rPr>
        <w:t xml:space="preserve"> possibility of </w:t>
      </w:r>
      <w:r w:rsidR="00DB3ADD">
        <w:rPr>
          <w:rFonts w:ascii="Arial" w:hAnsi="Arial" w:cs="Arial"/>
        </w:rPr>
        <w:t>double-dipping</w:t>
      </w:r>
      <w:r>
        <w:rPr>
          <w:rFonts w:ascii="Arial" w:hAnsi="Arial" w:cs="Arial"/>
        </w:rPr>
        <w:t xml:space="preserve"> is not eliminated because an employee covered by the LSBP Act is neither excluded from the coverage of the </w:t>
      </w:r>
      <w:r>
        <w:rPr>
          <w:rFonts w:ascii="Arial" w:hAnsi="Arial" w:cs="Arial"/>
          <w:i/>
        </w:rPr>
        <w:t>Long Service Leave Act 2018</w:t>
      </w:r>
      <w:r>
        <w:rPr>
          <w:rFonts w:ascii="Arial" w:hAnsi="Arial" w:cs="Arial"/>
        </w:rPr>
        <w:t xml:space="preserve"> (as compared to employees entitled to long service leave under the </w:t>
      </w:r>
      <w:r>
        <w:rPr>
          <w:rFonts w:ascii="Arial" w:hAnsi="Arial" w:cs="Arial"/>
          <w:i/>
        </w:rPr>
        <w:t>Construction Industry Long Service Leave Act 1997</w:t>
      </w:r>
      <w:r>
        <w:rPr>
          <w:rFonts w:ascii="Arial" w:hAnsi="Arial" w:cs="Arial"/>
        </w:rPr>
        <w:t>)</w:t>
      </w:r>
      <w:r>
        <w:rPr>
          <w:rStyle w:val="FootnoteReference"/>
          <w:rFonts w:ascii="Arial" w:hAnsi="Arial" w:cs="Arial"/>
        </w:rPr>
        <w:footnoteReference w:id="4"/>
      </w:r>
      <w:r>
        <w:rPr>
          <w:rFonts w:ascii="Arial" w:hAnsi="Arial" w:cs="Arial"/>
        </w:rPr>
        <w:t>, nor are they prevented from claiming a long service leave entitlement under a pre-modern award or a fair work instrument.</w:t>
      </w:r>
    </w:p>
    <w:p w14:paraId="6A6E6F9C" w14:textId="1A9E4001" w:rsidR="003B2EDF" w:rsidRPr="00DB3ADD" w:rsidRDefault="000500F9" w:rsidP="00840BC2">
      <w:pPr>
        <w:pStyle w:val="BodyText"/>
        <w:rPr>
          <w:rFonts w:ascii="Times New Roman" w:hAnsi="Times New Roman" w:cs="Times New Roman"/>
          <w:sz w:val="24"/>
          <w:szCs w:val="24"/>
          <w:lang w:eastAsia="en-AU"/>
        </w:rPr>
      </w:pPr>
      <w:r>
        <w:t xml:space="preserve">While </w:t>
      </w:r>
      <w:r w:rsidR="00C67CC9">
        <w:t xml:space="preserve">it is not </w:t>
      </w:r>
      <w:r>
        <w:t xml:space="preserve">wholly </w:t>
      </w:r>
      <w:r w:rsidR="00C67CC9">
        <w:t>possible to prevent</w:t>
      </w:r>
      <w:r>
        <w:t xml:space="preserve"> the potential for</w:t>
      </w:r>
      <w:r w:rsidR="00C67CC9">
        <w:t xml:space="preserve"> employees </w:t>
      </w:r>
      <w:r>
        <w:t>of</w:t>
      </w:r>
      <w:r w:rsidR="00C67CC9">
        <w:t xml:space="preserve"> </w:t>
      </w:r>
      <w:r w:rsidR="00DB3ADD">
        <w:t>double-dipping</w:t>
      </w:r>
      <w:r w:rsidR="00C67CC9">
        <w:t xml:space="preserve">, </w:t>
      </w:r>
      <w:r w:rsidR="003B2EDF">
        <w:t xml:space="preserve">the LSBP Act and Interim Regulations </w:t>
      </w:r>
      <w:r w:rsidR="00840BC2">
        <w:t xml:space="preserve">instead </w:t>
      </w:r>
      <w:r w:rsidR="003B2EDF">
        <w:t xml:space="preserve">include provisions </w:t>
      </w:r>
      <w:r w:rsidR="00A35C1F">
        <w:rPr>
          <w:rFonts w:cs="Arial"/>
          <w:color w:val="auto"/>
        </w:rPr>
        <w:t xml:space="preserve">so that employers are reimbursed levies paid if they are </w:t>
      </w:r>
      <w:r w:rsidR="003B2EDF" w:rsidRPr="00515AD2">
        <w:t>required to pay</w:t>
      </w:r>
      <w:r w:rsidR="003B2EDF">
        <w:t xml:space="preserve"> both</w:t>
      </w:r>
      <w:r w:rsidR="003B2EDF" w:rsidRPr="00515AD2">
        <w:t xml:space="preserve"> a levy to the Authority and pay an employee for a long</w:t>
      </w:r>
      <w:r w:rsidR="003B2EDF">
        <w:t xml:space="preserve"> service entitlement under a fair w</w:t>
      </w:r>
      <w:r w:rsidR="003B2EDF" w:rsidRPr="00C22E90">
        <w:t>ork instrument by the LSBP Act</w:t>
      </w:r>
      <w:r w:rsidR="003B2EDF">
        <w:t xml:space="preserve"> (or the Interim Regulations)</w:t>
      </w:r>
      <w:r w:rsidR="003B2EDF" w:rsidRPr="00C22E90">
        <w:t xml:space="preserve"> </w:t>
      </w:r>
      <w:r w:rsidR="003B2EDF" w:rsidRPr="00515AD2">
        <w:t>for the same period of service.</w:t>
      </w:r>
    </w:p>
    <w:p w14:paraId="368637E4" w14:textId="741CE563" w:rsidR="00F81D91" w:rsidRDefault="00D50857" w:rsidP="00840BC2">
      <w:pPr>
        <w:pStyle w:val="BodyText"/>
      </w:pPr>
      <w:r w:rsidRPr="00C22E90">
        <w:t>The</w:t>
      </w:r>
      <w:r>
        <w:t xml:space="preserve"> </w:t>
      </w:r>
      <w:r w:rsidR="00DB3ADD">
        <w:t>double-dipping</w:t>
      </w:r>
      <w:r>
        <w:t xml:space="preserve"> provisions in the</w:t>
      </w:r>
      <w:r w:rsidRPr="00C22E90">
        <w:t xml:space="preserve"> Interim Regulations and LSBP Act do not </w:t>
      </w:r>
      <w:r w:rsidR="000500F9">
        <w:t>cover</w:t>
      </w:r>
      <w:r w:rsidRPr="00C22E90">
        <w:t xml:space="preserve"> </w:t>
      </w:r>
      <w:r>
        <w:t xml:space="preserve">existing </w:t>
      </w:r>
      <w:r w:rsidRPr="00C22E90">
        <w:t xml:space="preserve">entitlements under the </w:t>
      </w:r>
      <w:r w:rsidRPr="00C22E90">
        <w:rPr>
          <w:i/>
        </w:rPr>
        <w:t>Long Service Leave Act 2018</w:t>
      </w:r>
      <w:r w:rsidRPr="00C22E90">
        <w:t xml:space="preserve">, </w:t>
      </w:r>
      <w:r w:rsidR="000500F9">
        <w:t>because it is not</w:t>
      </w:r>
      <w:r w:rsidRPr="00C22E90">
        <w:t xml:space="preserve"> defined as a fair work instrument by the LSBP Act</w:t>
      </w:r>
      <w:r>
        <w:t xml:space="preserve"> (or the Interim Regulations)</w:t>
      </w:r>
      <w:r w:rsidRPr="00C22E90">
        <w:t xml:space="preserve">. </w:t>
      </w:r>
      <w:r w:rsidR="001E34FA" w:rsidRPr="00C22E90">
        <w:t xml:space="preserve">This </w:t>
      </w:r>
      <w:r w:rsidR="001E34FA">
        <w:t>means</w:t>
      </w:r>
      <w:r w:rsidR="001E34FA" w:rsidRPr="00C22E90">
        <w:t xml:space="preserve"> that</w:t>
      </w:r>
      <w:r w:rsidR="001E34FA">
        <w:t>, in its current form,</w:t>
      </w:r>
      <w:r w:rsidR="001E34FA" w:rsidRPr="00C22E90">
        <w:t xml:space="preserve"> employers </w:t>
      </w:r>
      <w:r w:rsidR="001E34FA">
        <w:t xml:space="preserve">are not </w:t>
      </w:r>
      <w:r w:rsidR="001E34FA" w:rsidRPr="00C22E90">
        <w:t xml:space="preserve">entitled to a reimbursement </w:t>
      </w:r>
      <w:r w:rsidR="001E34FA">
        <w:t>from the Authority if they paid</w:t>
      </w:r>
      <w:r w:rsidR="001E34FA" w:rsidRPr="00C22E90">
        <w:t xml:space="preserve"> an entitlement under the </w:t>
      </w:r>
      <w:r w:rsidR="001E34FA" w:rsidRPr="00C22E90">
        <w:rPr>
          <w:i/>
        </w:rPr>
        <w:t>Long Service Leave Act 2018</w:t>
      </w:r>
      <w:r w:rsidR="001E34FA" w:rsidRPr="00C22E90">
        <w:t xml:space="preserve">. </w:t>
      </w:r>
      <w:r w:rsidR="00FC10AF">
        <w:t xml:space="preserve">This was an oversight in the drafting of the LSBP Act and Interim Regulations, which include provisions to ensure employers </w:t>
      </w:r>
      <w:r w:rsidR="00FC10AF" w:rsidRPr="00515AD2">
        <w:t>are not required to pay</w:t>
      </w:r>
      <w:r w:rsidR="00FC10AF">
        <w:t xml:space="preserve"> both</w:t>
      </w:r>
      <w:r w:rsidR="00FC10AF" w:rsidRPr="00515AD2">
        <w:t xml:space="preserve"> a levy to the Authority and pay an employee for a long</w:t>
      </w:r>
      <w:r w:rsidR="00FC10AF">
        <w:t xml:space="preserve"> service entitlement </w:t>
      </w:r>
      <w:r w:rsidR="00FC10AF" w:rsidRPr="00515AD2">
        <w:t>for the same period of service.</w:t>
      </w:r>
    </w:p>
    <w:p w14:paraId="2EEC378E" w14:textId="0AAF43F4" w:rsidR="00F81D91" w:rsidRPr="00F81D91" w:rsidRDefault="00D50857" w:rsidP="00840BC2">
      <w:pPr>
        <w:pStyle w:val="BodyText"/>
      </w:pPr>
      <w:r>
        <w:t xml:space="preserve">Addressing </w:t>
      </w:r>
      <w:r w:rsidR="003B2EDF">
        <w:t>the residual problem relating to reimbursing employers</w:t>
      </w:r>
      <w:r w:rsidR="00F81D91" w:rsidRPr="00F81D91">
        <w:t xml:space="preserve"> will still require an amendment to the LSBP Act. As a result, </w:t>
      </w:r>
      <w:r w:rsidR="00840BC2" w:rsidRPr="00F81D91">
        <w:t>at this time</w:t>
      </w:r>
      <w:r w:rsidR="00840BC2">
        <w:t>,</w:t>
      </w:r>
      <w:r w:rsidR="00840BC2" w:rsidRPr="00F81D91">
        <w:t xml:space="preserve"> </w:t>
      </w:r>
      <w:r w:rsidR="00F81D91" w:rsidRPr="00F81D91">
        <w:t xml:space="preserve">any regulatory amendments to </w:t>
      </w:r>
      <w:r w:rsidR="003B2EDF" w:rsidRPr="003B2EDF">
        <w:t xml:space="preserve">reimburse employers for </w:t>
      </w:r>
      <w:r w:rsidR="00DB3ADD">
        <w:t>double-dipping</w:t>
      </w:r>
      <w:r w:rsidR="003B2EDF" w:rsidRPr="003B2EDF">
        <w:t xml:space="preserve"> </w:t>
      </w:r>
      <w:r w:rsidR="0072722B">
        <w:t xml:space="preserve">claims </w:t>
      </w:r>
      <w:r w:rsidR="003B2EDF" w:rsidRPr="003B2EDF">
        <w:t xml:space="preserve">in the community services sector under the </w:t>
      </w:r>
      <w:r w:rsidR="003B2EDF" w:rsidRPr="003B2EDF">
        <w:rPr>
          <w:i/>
        </w:rPr>
        <w:t>Long Service Leave Act 2018</w:t>
      </w:r>
      <w:r w:rsidR="003B2EDF">
        <w:t xml:space="preserve"> </w:t>
      </w:r>
      <w:r w:rsidR="00F81D91" w:rsidRPr="00F81D91">
        <w:t xml:space="preserve">will not be included in the Proposed Regulations. Any changes will not proceed until 2021 at the earliest. However, this RIS will consider the impact of future regulatory changes to address this residual problem </w:t>
      </w:r>
      <w:r w:rsidR="00840BC2">
        <w:t>in conjunction with</w:t>
      </w:r>
      <w:r w:rsidR="00840BC2" w:rsidRPr="00F81D91">
        <w:t xml:space="preserve"> </w:t>
      </w:r>
      <w:r w:rsidR="00F81D91" w:rsidRPr="00F81D91">
        <w:t>any amendment to the LSBP Act</w:t>
      </w:r>
      <w:r w:rsidR="0055008B">
        <w:t xml:space="preserve">. </w:t>
      </w:r>
    </w:p>
    <w:p w14:paraId="7333ECD5" w14:textId="0FB76FDE" w:rsidR="00AF1044" w:rsidRPr="00EC5379" w:rsidRDefault="005D6ED3" w:rsidP="00840BC2">
      <w:pPr>
        <w:pStyle w:val="Bodytextkeepwithnext"/>
      </w:pPr>
      <w:r>
        <w:t>Addressing</w:t>
      </w:r>
      <w:r w:rsidR="001E34FA">
        <w:t xml:space="preserve"> this problem</w:t>
      </w:r>
      <w:r w:rsidR="00AF1044">
        <w:t xml:space="preserve"> should</w:t>
      </w:r>
      <w:r w:rsidR="00AF1044" w:rsidRPr="00EC5379">
        <w:t xml:space="preserve"> give ef</w:t>
      </w:r>
      <w:r w:rsidR="003B2EDF">
        <w:t>fect to the following principle</w:t>
      </w:r>
      <w:r w:rsidR="00AF1044" w:rsidRPr="00EC5379">
        <w:t>:</w:t>
      </w:r>
    </w:p>
    <w:p w14:paraId="033426D9" w14:textId="4D5EB92B" w:rsidR="00AF1044" w:rsidRPr="00EC5379" w:rsidRDefault="00AF1044" w:rsidP="00AF1044">
      <w:pPr>
        <w:pStyle w:val="ListBullet"/>
        <w:contextualSpacing w:val="0"/>
        <w:rPr>
          <w:rFonts w:cs="Arial"/>
        </w:rPr>
      </w:pPr>
      <w:r w:rsidRPr="00EC5379">
        <w:rPr>
          <w:rFonts w:cs="Arial"/>
        </w:rPr>
        <w:t>An employer is not to be required to pay a</w:t>
      </w:r>
      <w:r w:rsidR="00BA4E89">
        <w:rPr>
          <w:rFonts w:cs="Arial"/>
        </w:rPr>
        <w:t>n</w:t>
      </w:r>
      <w:r w:rsidRPr="00EC5379">
        <w:rPr>
          <w:rFonts w:cs="Arial"/>
        </w:rPr>
        <w:t xml:space="preserve"> </w:t>
      </w:r>
      <w:r w:rsidR="00BA4E89">
        <w:rPr>
          <w:rFonts w:cs="Arial"/>
        </w:rPr>
        <w:t>employee</w:t>
      </w:r>
      <w:r>
        <w:rPr>
          <w:rFonts w:cs="Arial"/>
        </w:rPr>
        <w:t xml:space="preserve"> for long service leave under an existing workplace law or industrial instrument </w:t>
      </w:r>
      <w:r w:rsidRPr="00186BE4">
        <w:rPr>
          <w:rFonts w:cs="Arial"/>
          <w:i/>
        </w:rPr>
        <w:t>and</w:t>
      </w:r>
      <w:r w:rsidRPr="00EC5379">
        <w:rPr>
          <w:rFonts w:cs="Arial"/>
        </w:rPr>
        <w:t xml:space="preserve"> to pay a levy under the LSBP Act</w:t>
      </w:r>
      <w:r w:rsidRPr="00EC5379" w:rsidDel="00EE442D">
        <w:rPr>
          <w:rFonts w:cs="Arial"/>
        </w:rPr>
        <w:t xml:space="preserve"> </w:t>
      </w:r>
      <w:r w:rsidRPr="00EC5379">
        <w:rPr>
          <w:rFonts w:cs="Arial"/>
        </w:rPr>
        <w:t xml:space="preserve">for the </w:t>
      </w:r>
      <w:r w:rsidR="00BA4E89">
        <w:rPr>
          <w:rFonts w:cs="Arial"/>
        </w:rPr>
        <w:t>employee</w:t>
      </w:r>
      <w:r w:rsidRPr="00EC5379">
        <w:rPr>
          <w:rFonts w:cs="Arial"/>
        </w:rPr>
        <w:t xml:space="preserve"> in respect of the same service period</w:t>
      </w:r>
      <w:r>
        <w:rPr>
          <w:rFonts w:cs="Arial"/>
        </w:rPr>
        <w:t xml:space="preserve"> (without reimbursement)</w:t>
      </w:r>
      <w:r w:rsidR="003B2EDF">
        <w:rPr>
          <w:rFonts w:cs="Arial"/>
        </w:rPr>
        <w:t>.</w:t>
      </w:r>
    </w:p>
    <w:p w14:paraId="75CFDB01" w14:textId="7DA0B3E3" w:rsidR="00E13F2A" w:rsidRPr="00EC5379" w:rsidRDefault="00E13F2A" w:rsidP="00E13F2A">
      <w:pPr>
        <w:pStyle w:val="HeadingLevel2NoNumber"/>
        <w:rPr>
          <w:rFonts w:ascii="Arial" w:hAnsi="Arial" w:cs="Arial"/>
        </w:rPr>
      </w:pPr>
      <w:r w:rsidRPr="00EC5379">
        <w:rPr>
          <w:rFonts w:ascii="Arial" w:hAnsi="Arial" w:cs="Arial"/>
        </w:rPr>
        <w:t>Options for addressing the problems</w:t>
      </w:r>
      <w:r w:rsidR="000500F9">
        <w:rPr>
          <w:rFonts w:ascii="Arial" w:hAnsi="Arial" w:cs="Arial"/>
        </w:rPr>
        <w:t xml:space="preserve"> created by the Interim Regulations</w:t>
      </w:r>
    </w:p>
    <w:p w14:paraId="790CD968" w14:textId="10380B9F" w:rsidR="00DD6EF7" w:rsidRDefault="00E13F2A" w:rsidP="00E13F2A">
      <w:pPr>
        <w:rPr>
          <w:rFonts w:ascii="Arial" w:hAnsi="Arial" w:cs="Arial"/>
        </w:rPr>
      </w:pPr>
      <w:r w:rsidRPr="00EC5379">
        <w:rPr>
          <w:rFonts w:ascii="Arial" w:hAnsi="Arial" w:cs="Arial"/>
        </w:rPr>
        <w:t>In line with the problem statements outlined</w:t>
      </w:r>
      <w:r w:rsidR="00E01771">
        <w:rPr>
          <w:rFonts w:ascii="Arial" w:hAnsi="Arial" w:cs="Arial"/>
        </w:rPr>
        <w:t xml:space="preserve"> above</w:t>
      </w:r>
      <w:r w:rsidRPr="00EC5379">
        <w:rPr>
          <w:rFonts w:ascii="Arial" w:hAnsi="Arial" w:cs="Arial"/>
        </w:rPr>
        <w:t xml:space="preserve">, options in each area have been identified to </w:t>
      </w:r>
      <w:r w:rsidR="00603C52" w:rsidRPr="00EC5379">
        <w:rPr>
          <w:rFonts w:ascii="Arial" w:hAnsi="Arial" w:cs="Arial"/>
        </w:rPr>
        <w:t xml:space="preserve">deliver on the </w:t>
      </w:r>
      <w:r w:rsidRPr="00EC5379">
        <w:rPr>
          <w:rFonts w:ascii="Arial" w:hAnsi="Arial" w:cs="Arial"/>
        </w:rPr>
        <w:t>objectives</w:t>
      </w:r>
      <w:r w:rsidR="00603C52" w:rsidRPr="00EC5379">
        <w:rPr>
          <w:rFonts w:ascii="Arial" w:hAnsi="Arial" w:cs="Arial"/>
        </w:rPr>
        <w:t xml:space="preserve"> identified</w:t>
      </w:r>
      <w:r w:rsidR="0055008B">
        <w:rPr>
          <w:rFonts w:ascii="Arial" w:hAnsi="Arial" w:cs="Arial"/>
        </w:rPr>
        <w:t xml:space="preserve">. </w:t>
      </w:r>
      <w:r w:rsidRPr="00EC5379">
        <w:rPr>
          <w:rFonts w:ascii="Arial" w:hAnsi="Arial" w:cs="Arial"/>
        </w:rPr>
        <w:t xml:space="preserve">For each option identified, the likely </w:t>
      </w:r>
      <w:r w:rsidR="00E947D1">
        <w:rPr>
          <w:rFonts w:ascii="Arial" w:hAnsi="Arial" w:cs="Arial"/>
        </w:rPr>
        <w:t>impacts on employees, employers and</w:t>
      </w:r>
      <w:r w:rsidRPr="00EC5379">
        <w:rPr>
          <w:rFonts w:ascii="Arial" w:hAnsi="Arial" w:cs="Arial"/>
        </w:rPr>
        <w:t xml:space="preserve"> the Authority have been considered. </w:t>
      </w:r>
    </w:p>
    <w:p w14:paraId="22070386" w14:textId="0B4B5F36" w:rsidR="00D466D4" w:rsidRDefault="00E13F2A" w:rsidP="00E13F2A">
      <w:pPr>
        <w:rPr>
          <w:rFonts w:ascii="Arial" w:hAnsi="Arial" w:cs="Arial"/>
        </w:rPr>
      </w:pPr>
      <w:r w:rsidRPr="00EC5379">
        <w:rPr>
          <w:rFonts w:ascii="Arial" w:hAnsi="Arial" w:cs="Arial"/>
        </w:rPr>
        <w:t>These impacts have been appraised against the</w:t>
      </w:r>
      <w:r w:rsidR="00E6474D" w:rsidRPr="00EC5379">
        <w:rPr>
          <w:rFonts w:ascii="Arial" w:hAnsi="Arial" w:cs="Arial"/>
        </w:rPr>
        <w:t xml:space="preserve"> </w:t>
      </w:r>
      <w:r w:rsidR="0013418B">
        <w:rPr>
          <w:rFonts w:ascii="Arial" w:hAnsi="Arial" w:cs="Arial"/>
        </w:rPr>
        <w:t>status quo</w:t>
      </w:r>
      <w:r w:rsidR="00E6474D" w:rsidRPr="00EC5379">
        <w:rPr>
          <w:rFonts w:ascii="Arial" w:hAnsi="Arial" w:cs="Arial"/>
        </w:rPr>
        <w:t xml:space="preserve"> under the Interim Regulations </w:t>
      </w:r>
      <w:r w:rsidRPr="00EC5379">
        <w:rPr>
          <w:rFonts w:ascii="Arial" w:hAnsi="Arial" w:cs="Arial"/>
        </w:rPr>
        <w:t xml:space="preserve">for each residual problem according to an </w:t>
      </w:r>
      <w:r w:rsidR="00A91B24">
        <w:rPr>
          <w:rFonts w:ascii="Arial" w:hAnsi="Arial" w:cs="Arial"/>
        </w:rPr>
        <w:t>assessment</w:t>
      </w:r>
      <w:r w:rsidR="00A91B24" w:rsidRPr="00EC5379">
        <w:rPr>
          <w:rFonts w:ascii="Arial" w:hAnsi="Arial" w:cs="Arial"/>
        </w:rPr>
        <w:t xml:space="preserve"> </w:t>
      </w:r>
      <w:r w:rsidRPr="00EC5379">
        <w:rPr>
          <w:rFonts w:ascii="Arial" w:hAnsi="Arial" w:cs="Arial"/>
        </w:rPr>
        <w:t>framework which classifies and rates</w:t>
      </w:r>
      <w:r w:rsidR="000500F9">
        <w:rPr>
          <w:rFonts w:ascii="Arial" w:hAnsi="Arial" w:cs="Arial"/>
        </w:rPr>
        <w:t xml:space="preserve"> </w:t>
      </w:r>
      <w:r w:rsidR="000500F9">
        <w:rPr>
          <w:rFonts w:ascii="Arial" w:hAnsi="Arial" w:cs="Arial"/>
        </w:rPr>
        <w:lastRenderedPageBreak/>
        <w:t>these</w:t>
      </w:r>
      <w:r w:rsidRPr="00EC5379">
        <w:rPr>
          <w:rFonts w:ascii="Arial" w:hAnsi="Arial" w:cs="Arial"/>
        </w:rPr>
        <w:t xml:space="preserve"> impacts</w:t>
      </w:r>
      <w:r w:rsidR="000500F9">
        <w:rPr>
          <w:rFonts w:ascii="Arial" w:hAnsi="Arial" w:cs="Arial"/>
        </w:rPr>
        <w:t>,</w:t>
      </w:r>
      <w:r w:rsidRPr="00EC5379">
        <w:rPr>
          <w:rFonts w:ascii="Arial" w:hAnsi="Arial" w:cs="Arial"/>
        </w:rPr>
        <w:t xml:space="preserve"> based on their impact on equity for employees, </w:t>
      </w:r>
      <w:r w:rsidR="00D50857">
        <w:rPr>
          <w:rFonts w:ascii="Arial" w:hAnsi="Arial" w:cs="Arial"/>
        </w:rPr>
        <w:t xml:space="preserve">financial and administrative </w:t>
      </w:r>
      <w:r w:rsidRPr="00EC5379">
        <w:rPr>
          <w:rFonts w:ascii="Arial" w:hAnsi="Arial" w:cs="Arial"/>
        </w:rPr>
        <w:t xml:space="preserve">costs to </w:t>
      </w:r>
      <w:r w:rsidR="00B82CEE">
        <w:rPr>
          <w:rFonts w:ascii="Arial" w:hAnsi="Arial" w:cs="Arial"/>
        </w:rPr>
        <w:t>employers</w:t>
      </w:r>
      <w:r w:rsidRPr="00EC5379">
        <w:rPr>
          <w:rFonts w:ascii="Arial" w:hAnsi="Arial" w:cs="Arial"/>
        </w:rPr>
        <w:t xml:space="preserve">, and </w:t>
      </w:r>
      <w:r w:rsidR="00D50857">
        <w:rPr>
          <w:rFonts w:ascii="Arial" w:hAnsi="Arial" w:cs="Arial"/>
        </w:rPr>
        <w:t>the impact on</w:t>
      </w:r>
      <w:r w:rsidRPr="00EC5379">
        <w:rPr>
          <w:rFonts w:ascii="Arial" w:hAnsi="Arial" w:cs="Arial"/>
        </w:rPr>
        <w:t xml:space="preserve"> the Authority. </w:t>
      </w:r>
    </w:p>
    <w:p w14:paraId="5485C50B" w14:textId="021EDFAF" w:rsidR="005D6ED3" w:rsidRDefault="005D6ED3" w:rsidP="007B63D7">
      <w:pPr>
        <w:pStyle w:val="Bodytextkeepwithnext"/>
      </w:pPr>
      <w:r>
        <w:t>The criteria used in this assessment are:</w:t>
      </w:r>
    </w:p>
    <w:p w14:paraId="4B4565D5" w14:textId="13659309" w:rsidR="005D6ED3" w:rsidRDefault="005D6ED3" w:rsidP="00186BE4">
      <w:pPr>
        <w:pStyle w:val="ListParagraph"/>
        <w:numPr>
          <w:ilvl w:val="0"/>
          <w:numId w:val="89"/>
        </w:numPr>
        <w:contextualSpacing w:val="0"/>
        <w:rPr>
          <w:rFonts w:ascii="Arial" w:hAnsi="Arial" w:cs="Arial"/>
        </w:rPr>
      </w:pPr>
      <w:r>
        <w:rPr>
          <w:rFonts w:ascii="Arial" w:hAnsi="Arial" w:cs="Arial"/>
        </w:rPr>
        <w:t>E</w:t>
      </w:r>
      <w:r w:rsidRPr="00EC5379">
        <w:rPr>
          <w:rFonts w:ascii="Arial" w:hAnsi="Arial" w:cs="Arial"/>
        </w:rPr>
        <w:t xml:space="preserve">quity </w:t>
      </w:r>
      <w:r>
        <w:rPr>
          <w:rFonts w:ascii="Arial" w:hAnsi="Arial" w:cs="Arial"/>
        </w:rPr>
        <w:t>for employees within the covered sector (50% weighting);</w:t>
      </w:r>
    </w:p>
    <w:p w14:paraId="33D6BCBF" w14:textId="041ECC4F" w:rsidR="005D6ED3" w:rsidRDefault="005D6ED3" w:rsidP="00186BE4">
      <w:pPr>
        <w:pStyle w:val="ListParagraph"/>
        <w:numPr>
          <w:ilvl w:val="0"/>
          <w:numId w:val="89"/>
        </w:numPr>
        <w:contextualSpacing w:val="0"/>
        <w:rPr>
          <w:rFonts w:ascii="Arial" w:hAnsi="Arial" w:cs="Arial"/>
        </w:rPr>
      </w:pPr>
      <w:r>
        <w:rPr>
          <w:rFonts w:ascii="Arial" w:hAnsi="Arial" w:cs="Arial"/>
        </w:rPr>
        <w:t xml:space="preserve">Impact on employers – </w:t>
      </w:r>
      <w:r w:rsidRPr="002573EB">
        <w:rPr>
          <w:rFonts w:ascii="Arial" w:hAnsi="Arial" w:cs="Arial"/>
        </w:rPr>
        <w:t xml:space="preserve">financial cost </w:t>
      </w:r>
      <w:r>
        <w:rPr>
          <w:rFonts w:ascii="Arial" w:hAnsi="Arial" w:cs="Arial"/>
        </w:rPr>
        <w:t>of levies (20% weighting);</w:t>
      </w:r>
    </w:p>
    <w:p w14:paraId="54D9AB83" w14:textId="746537FC" w:rsidR="005D6ED3" w:rsidRDefault="005D6ED3" w:rsidP="00186BE4">
      <w:pPr>
        <w:pStyle w:val="ListParagraph"/>
        <w:numPr>
          <w:ilvl w:val="0"/>
          <w:numId w:val="89"/>
        </w:numPr>
        <w:contextualSpacing w:val="0"/>
        <w:rPr>
          <w:rFonts w:ascii="Arial" w:hAnsi="Arial" w:cs="Arial"/>
        </w:rPr>
      </w:pPr>
      <w:r>
        <w:rPr>
          <w:rFonts w:ascii="Arial" w:hAnsi="Arial" w:cs="Arial"/>
        </w:rPr>
        <w:t>Impact on employers – cost of uncertainty and administration (20% weighting); and</w:t>
      </w:r>
    </w:p>
    <w:p w14:paraId="3D7957EB" w14:textId="566F800A" w:rsidR="005D6ED3" w:rsidRPr="00186BE4" w:rsidRDefault="005D6ED3" w:rsidP="00186BE4">
      <w:pPr>
        <w:pStyle w:val="ListParagraph"/>
        <w:numPr>
          <w:ilvl w:val="0"/>
          <w:numId w:val="89"/>
        </w:numPr>
        <w:contextualSpacing w:val="0"/>
        <w:rPr>
          <w:rFonts w:ascii="Arial" w:hAnsi="Arial" w:cs="Arial"/>
        </w:rPr>
      </w:pPr>
      <w:r>
        <w:rPr>
          <w:rFonts w:ascii="Arial" w:hAnsi="Arial" w:cs="Arial"/>
        </w:rPr>
        <w:t>Impact on the Authority (10% weighting).</w:t>
      </w:r>
    </w:p>
    <w:p w14:paraId="6BF7A945" w14:textId="6AB93FD8" w:rsidR="005D6ED3" w:rsidRDefault="00A91B24" w:rsidP="00E13F2A">
      <w:pPr>
        <w:rPr>
          <w:rFonts w:ascii="Arial" w:hAnsi="Arial" w:cs="Arial"/>
        </w:rPr>
      </w:pPr>
      <w:r w:rsidRPr="00A40F39">
        <w:rPr>
          <w:rFonts w:ascii="Arial" w:hAnsi="Arial" w:cs="Arial"/>
        </w:rPr>
        <w:t>For each option, scores are assigned against each criteri</w:t>
      </w:r>
      <w:r w:rsidR="000B4581">
        <w:rPr>
          <w:rFonts w:ascii="Arial" w:hAnsi="Arial" w:cs="Arial"/>
        </w:rPr>
        <w:t>on</w:t>
      </w:r>
      <w:r w:rsidRPr="00A40F39">
        <w:rPr>
          <w:rFonts w:ascii="Arial" w:hAnsi="Arial" w:cs="Arial"/>
        </w:rPr>
        <w:t>, ranging from minus three to three, with three representing a high alignment to the criteri</w:t>
      </w:r>
      <w:r w:rsidR="000B4581">
        <w:rPr>
          <w:rFonts w:ascii="Arial" w:hAnsi="Arial" w:cs="Arial"/>
        </w:rPr>
        <w:t>on</w:t>
      </w:r>
      <w:r>
        <w:rPr>
          <w:rFonts w:ascii="Arial" w:hAnsi="Arial" w:cs="Arial"/>
        </w:rPr>
        <w:t xml:space="preserve"> in reference to the status quo</w:t>
      </w:r>
      <w:r w:rsidRPr="00A40F39">
        <w:rPr>
          <w:rFonts w:ascii="Arial" w:hAnsi="Arial" w:cs="Arial"/>
        </w:rPr>
        <w:t>.</w:t>
      </w:r>
      <w:r w:rsidR="005D6ED3">
        <w:rPr>
          <w:rFonts w:ascii="Arial" w:hAnsi="Arial" w:cs="Arial"/>
        </w:rPr>
        <w:t xml:space="preserve">  </w:t>
      </w:r>
    </w:p>
    <w:p w14:paraId="4211A0D0" w14:textId="55293483" w:rsidR="00E13F2A" w:rsidRPr="00EC5379" w:rsidRDefault="00E13F2A" w:rsidP="00E13F2A">
      <w:pPr>
        <w:rPr>
          <w:rFonts w:ascii="Arial" w:hAnsi="Arial" w:cs="Arial"/>
        </w:rPr>
      </w:pPr>
      <w:r w:rsidRPr="00EC5379">
        <w:rPr>
          <w:rFonts w:ascii="Arial" w:hAnsi="Arial" w:cs="Arial"/>
        </w:rPr>
        <w:t xml:space="preserve">This section outlines the options identified, results of analysis, and the preferred options. </w:t>
      </w:r>
    </w:p>
    <w:p w14:paraId="67926C51" w14:textId="42AB81C6" w:rsidR="00D70046" w:rsidRDefault="000500F9" w:rsidP="00034D1B">
      <w:pPr>
        <w:pStyle w:val="HeadingLevel3NoNumber"/>
        <w:rPr>
          <w:rFonts w:cs="Arial"/>
        </w:rPr>
      </w:pPr>
      <w:r>
        <w:rPr>
          <w:rFonts w:cs="Arial"/>
        </w:rPr>
        <w:t>Options to define</w:t>
      </w:r>
      <w:r w:rsidR="00D70046">
        <w:rPr>
          <w:rFonts w:cs="Arial"/>
        </w:rPr>
        <w:t xml:space="preserve"> community service work</w:t>
      </w:r>
    </w:p>
    <w:p w14:paraId="631A4EA8" w14:textId="2F8F6630" w:rsidR="00D70046" w:rsidRDefault="00D70046" w:rsidP="00E01771">
      <w:pPr>
        <w:pStyle w:val="BodyText"/>
      </w:pPr>
      <w:r>
        <w:t>Options to clarify whether community service work undertaken in a private residence is defined as community service work for the purposes of the Scheme include:</w:t>
      </w:r>
    </w:p>
    <w:p w14:paraId="13B96602" w14:textId="6326227B" w:rsidR="00D70046" w:rsidRDefault="00D70046" w:rsidP="00D70046">
      <w:pPr>
        <w:pStyle w:val="ListBullet"/>
        <w:numPr>
          <w:ilvl w:val="0"/>
          <w:numId w:val="13"/>
        </w:numPr>
        <w:contextualSpacing w:val="0"/>
        <w:rPr>
          <w:rFonts w:cs="Arial"/>
          <w:color w:val="auto"/>
        </w:rPr>
      </w:pPr>
      <w:r w:rsidRPr="00F211F6">
        <w:rPr>
          <w:rFonts w:cs="Arial"/>
          <w:color w:val="auto"/>
        </w:rPr>
        <w:t xml:space="preserve">Clarifying that </w:t>
      </w:r>
      <w:r>
        <w:rPr>
          <w:rFonts w:cs="Arial"/>
          <w:color w:val="auto"/>
        </w:rPr>
        <w:t>care provided</w:t>
      </w:r>
      <w:r w:rsidRPr="00F211F6">
        <w:rPr>
          <w:rFonts w:cs="Arial"/>
          <w:color w:val="auto"/>
        </w:rPr>
        <w:t xml:space="preserve"> in a private residence </w:t>
      </w:r>
      <w:r>
        <w:rPr>
          <w:rFonts w:cs="Arial"/>
          <w:color w:val="auto"/>
        </w:rPr>
        <w:t>is defined as community service work for the purposes of the</w:t>
      </w:r>
      <w:r w:rsidRPr="00F211F6">
        <w:rPr>
          <w:rFonts w:cs="Arial"/>
          <w:color w:val="auto"/>
        </w:rPr>
        <w:t xml:space="preserve"> Scheme</w:t>
      </w:r>
      <w:r>
        <w:rPr>
          <w:rFonts w:cs="Arial"/>
          <w:color w:val="auto"/>
        </w:rPr>
        <w:t>, irrespective of the age of the client (Option 1)</w:t>
      </w:r>
      <w:r w:rsidRPr="00F211F6">
        <w:rPr>
          <w:rFonts w:cs="Arial"/>
          <w:color w:val="auto"/>
        </w:rPr>
        <w:t xml:space="preserve">; </w:t>
      </w:r>
    </w:p>
    <w:p w14:paraId="4A8B18EB" w14:textId="017969FD" w:rsidR="00D70046" w:rsidRPr="00F211F6" w:rsidRDefault="00D70046" w:rsidP="00D70046">
      <w:pPr>
        <w:pStyle w:val="ListBullet"/>
        <w:numPr>
          <w:ilvl w:val="0"/>
          <w:numId w:val="13"/>
        </w:numPr>
        <w:contextualSpacing w:val="0"/>
        <w:rPr>
          <w:rFonts w:cs="Arial"/>
          <w:color w:val="auto"/>
        </w:rPr>
      </w:pPr>
      <w:r>
        <w:rPr>
          <w:rFonts w:cs="Arial"/>
          <w:color w:val="auto"/>
        </w:rPr>
        <w:t xml:space="preserve">Excluding home care work involving ‘aged’ clients from the definition of community service work (Option 2); </w:t>
      </w:r>
      <w:r w:rsidRPr="00F211F6">
        <w:rPr>
          <w:rFonts w:cs="Arial"/>
          <w:color w:val="auto"/>
        </w:rPr>
        <w:t>and</w:t>
      </w:r>
    </w:p>
    <w:p w14:paraId="5547C011" w14:textId="2285483B" w:rsidR="00D70046" w:rsidRDefault="00D70046" w:rsidP="00D70046">
      <w:pPr>
        <w:pStyle w:val="ListBullet"/>
        <w:numPr>
          <w:ilvl w:val="0"/>
          <w:numId w:val="13"/>
        </w:numPr>
        <w:rPr>
          <w:rFonts w:cs="Arial"/>
          <w:color w:val="auto"/>
        </w:rPr>
      </w:pPr>
      <w:r>
        <w:rPr>
          <w:rFonts w:cs="Arial"/>
          <w:color w:val="auto"/>
        </w:rPr>
        <w:t>Excluding all work undertaken in a private residence from the definition of community service work for the purposes of the Scheme (Option 3).</w:t>
      </w:r>
    </w:p>
    <w:p w14:paraId="7CC3D3AA" w14:textId="77777777" w:rsidR="00D70046" w:rsidRDefault="00D70046" w:rsidP="00E01771">
      <w:pPr>
        <w:pStyle w:val="BodyText"/>
      </w:pPr>
      <w:r w:rsidRPr="00B31505">
        <w:rPr>
          <w:b/>
        </w:rPr>
        <w:t>Analysis</w:t>
      </w:r>
      <w:r>
        <w:t xml:space="preserve"> of the options found that Option 1 would promote</w:t>
      </w:r>
      <w:r w:rsidRPr="004B3C99">
        <w:t xml:space="preserve"> equity of long service entitlements within the sector</w:t>
      </w:r>
      <w:r>
        <w:t>. Employers and their employees</w:t>
      </w:r>
      <w:r w:rsidRPr="004B3C99">
        <w:t xml:space="preserve"> who deliver community service work,</w:t>
      </w:r>
      <w:r>
        <w:t xml:space="preserve"> regardless of the setting, would</w:t>
      </w:r>
      <w:r w:rsidRPr="004B3C99">
        <w:t xml:space="preserve"> be eligible to be covered by the Scheme. This is consistent with the intent of the </w:t>
      </w:r>
      <w:r>
        <w:t>LSBP</w:t>
      </w:r>
      <w:r w:rsidRPr="004B3C99">
        <w:t xml:space="preserve"> </w:t>
      </w:r>
      <w:r>
        <w:t xml:space="preserve">Act and would provide greater clarity than the status quo. </w:t>
      </w:r>
    </w:p>
    <w:p w14:paraId="7F9C22EF" w14:textId="7F87CE00" w:rsidR="00D70046" w:rsidRDefault="00D70046" w:rsidP="00E01771">
      <w:pPr>
        <w:pStyle w:val="BodyText"/>
      </w:pPr>
      <w:r>
        <w:t>Option</w:t>
      </w:r>
      <w:r w:rsidR="00E01771">
        <w:t>s</w:t>
      </w:r>
      <w:r>
        <w:t xml:space="preserve"> 2 and 3 would be administratively burdensome for employers as they would </w:t>
      </w:r>
      <w:r w:rsidRPr="004B3C99">
        <w:t xml:space="preserve">need to track </w:t>
      </w:r>
      <w:r>
        <w:t xml:space="preserve">either the age of their employees’ clients or </w:t>
      </w:r>
      <w:r w:rsidRPr="004B3C99">
        <w:t xml:space="preserve">where work is undertaken </w:t>
      </w:r>
      <w:r>
        <w:t>to determine</w:t>
      </w:r>
      <w:r w:rsidRPr="004B3C99">
        <w:t xml:space="preserve"> eligibility</w:t>
      </w:r>
      <w:r>
        <w:t xml:space="preserve"> for the Scheme</w:t>
      </w:r>
      <w:r w:rsidRPr="004B3C99">
        <w:t xml:space="preserve">. </w:t>
      </w:r>
      <w:r>
        <w:t>Both options</w:t>
      </w:r>
      <w:r w:rsidRPr="00224EC3">
        <w:t xml:space="preserve"> would </w:t>
      </w:r>
      <w:r>
        <w:t>also</w:t>
      </w:r>
      <w:r w:rsidRPr="00224EC3">
        <w:t xml:space="preserve"> undermine equity within the sector as </w:t>
      </w:r>
      <w:r>
        <w:t xml:space="preserve">some </w:t>
      </w:r>
      <w:r w:rsidRPr="00224EC3">
        <w:t xml:space="preserve">community sector </w:t>
      </w:r>
      <w:r w:rsidRPr="00161DFD">
        <w:t xml:space="preserve">employees would be covered and others </w:t>
      </w:r>
      <w:r w:rsidR="00E01771">
        <w:t>would</w:t>
      </w:r>
      <w:r w:rsidR="00E01771" w:rsidRPr="00161DFD">
        <w:t xml:space="preserve"> </w:t>
      </w:r>
      <w:r w:rsidR="00E01771">
        <w:t xml:space="preserve">not </w:t>
      </w:r>
      <w:r w:rsidRPr="00161DFD">
        <w:t>be</w:t>
      </w:r>
      <w:r w:rsidR="00E01771">
        <w:t xml:space="preserve"> covered</w:t>
      </w:r>
      <w:r w:rsidRPr="00224EC3">
        <w:t xml:space="preserve">. </w:t>
      </w:r>
    </w:p>
    <w:p w14:paraId="501762CC" w14:textId="7DF56DF9" w:rsidR="00A91B24" w:rsidRPr="00D02B7C" w:rsidRDefault="00A91B24" w:rsidP="00D70046">
      <w:r>
        <w:rPr>
          <w:rFonts w:ascii="Arial" w:hAnsi="Arial" w:cs="Arial"/>
          <w:color w:val="auto"/>
        </w:rPr>
        <w:t>Under the impact assessment framework, Option 1 scored 2.2</w:t>
      </w:r>
      <w:r w:rsidR="00E01771">
        <w:rPr>
          <w:rFonts w:ascii="Arial" w:hAnsi="Arial" w:cs="Arial"/>
          <w:color w:val="auto"/>
        </w:rPr>
        <w:t xml:space="preserve">, </w:t>
      </w:r>
      <w:r>
        <w:rPr>
          <w:rFonts w:ascii="Arial" w:hAnsi="Arial" w:cs="Arial"/>
          <w:color w:val="auto"/>
        </w:rPr>
        <w:t>Option 2 scored -</w:t>
      </w:r>
      <w:r w:rsidR="000F2999">
        <w:rPr>
          <w:rFonts w:ascii="Arial" w:hAnsi="Arial" w:cs="Arial"/>
          <w:color w:val="auto"/>
        </w:rPr>
        <w:t>1.0</w:t>
      </w:r>
      <w:r w:rsidR="00E01771">
        <w:rPr>
          <w:rFonts w:ascii="Arial" w:hAnsi="Arial" w:cs="Arial"/>
          <w:color w:val="auto"/>
        </w:rPr>
        <w:t>,</w:t>
      </w:r>
      <w:r>
        <w:rPr>
          <w:rFonts w:ascii="Arial" w:hAnsi="Arial" w:cs="Arial"/>
          <w:color w:val="auto"/>
        </w:rPr>
        <w:t xml:space="preserve"> and Option 3 scored -0.</w:t>
      </w:r>
      <w:r w:rsidR="000F2999">
        <w:rPr>
          <w:rFonts w:ascii="Arial" w:hAnsi="Arial" w:cs="Arial"/>
          <w:color w:val="auto"/>
        </w:rPr>
        <w:t>6</w:t>
      </w:r>
      <w:r>
        <w:rPr>
          <w:rFonts w:ascii="Arial" w:hAnsi="Arial" w:cs="Arial"/>
          <w:color w:val="auto"/>
        </w:rPr>
        <w:t>.</w:t>
      </w:r>
    </w:p>
    <w:p w14:paraId="3F054DFE" w14:textId="4B88E191" w:rsidR="00D70046" w:rsidRPr="00DB3ADD" w:rsidRDefault="00D70046" w:rsidP="00E01771">
      <w:pPr>
        <w:pStyle w:val="BodyText"/>
      </w:pPr>
      <w:r>
        <w:t xml:space="preserve">The </w:t>
      </w:r>
      <w:r w:rsidRPr="00034D1B">
        <w:rPr>
          <w:b/>
        </w:rPr>
        <w:t>preferred option</w:t>
      </w:r>
      <w:r>
        <w:t xml:space="preserve"> is therefore Option 1, c</w:t>
      </w:r>
      <w:r w:rsidRPr="00F211F6">
        <w:t>larifying that</w:t>
      </w:r>
      <w:r>
        <w:t xml:space="preserve"> employers delivering</w:t>
      </w:r>
      <w:r w:rsidRPr="00F211F6">
        <w:t xml:space="preserve"> community service work in a private residence </w:t>
      </w:r>
      <w:r>
        <w:t>are covered by</w:t>
      </w:r>
      <w:r w:rsidRPr="00F211F6">
        <w:t xml:space="preserve"> the Scheme</w:t>
      </w:r>
      <w:r>
        <w:t xml:space="preserve">, irrespective of the age of the client. </w:t>
      </w:r>
      <w:r w:rsidR="009631D4" w:rsidRPr="005A447D">
        <w:t xml:space="preserve">These changes are found in </w:t>
      </w:r>
      <w:r w:rsidR="009631D4" w:rsidRPr="00186BE4">
        <w:t>Regulation 8(1)(b)</w:t>
      </w:r>
      <w:r w:rsidR="009631D4" w:rsidRPr="005A447D">
        <w:t xml:space="preserve"> </w:t>
      </w:r>
      <w:r w:rsidR="009631D4">
        <w:t>of</w:t>
      </w:r>
      <w:r w:rsidR="009631D4" w:rsidRPr="005A447D">
        <w:t xml:space="preserve"> the </w:t>
      </w:r>
      <w:r w:rsidR="005D6ED3">
        <w:t>Proposed</w:t>
      </w:r>
      <w:r w:rsidR="005D6ED3" w:rsidRPr="005A447D">
        <w:t xml:space="preserve"> </w:t>
      </w:r>
      <w:r w:rsidR="009631D4" w:rsidRPr="005A447D">
        <w:t>Regulations.</w:t>
      </w:r>
      <w:r w:rsidR="009631D4">
        <w:t xml:space="preserve"> </w:t>
      </w:r>
    </w:p>
    <w:p w14:paraId="1DB2D0FC" w14:textId="5D42581B" w:rsidR="00547C42" w:rsidRPr="00EC5379" w:rsidRDefault="000500F9" w:rsidP="00034D1B">
      <w:pPr>
        <w:pStyle w:val="HeadingLevel3NoNumber"/>
        <w:rPr>
          <w:rFonts w:cs="Arial"/>
        </w:rPr>
      </w:pPr>
      <w:r>
        <w:rPr>
          <w:rFonts w:cs="Arial"/>
        </w:rPr>
        <w:t>Options to define w</w:t>
      </w:r>
      <w:r w:rsidR="00D10FD4">
        <w:rPr>
          <w:rFonts w:cs="Arial"/>
        </w:rPr>
        <w:t xml:space="preserve">ho is </w:t>
      </w:r>
      <w:r w:rsidR="0071726F">
        <w:rPr>
          <w:rFonts w:cs="Arial"/>
        </w:rPr>
        <w:t xml:space="preserve">regarded as </w:t>
      </w:r>
      <w:r w:rsidR="00D10FD4">
        <w:rPr>
          <w:rFonts w:cs="Arial"/>
        </w:rPr>
        <w:t xml:space="preserve">an </w:t>
      </w:r>
      <w:r w:rsidR="00547C42">
        <w:rPr>
          <w:rFonts w:cs="Arial"/>
        </w:rPr>
        <w:t>employer in the community services sector</w:t>
      </w:r>
    </w:p>
    <w:p w14:paraId="36A36A08" w14:textId="0BCBA458" w:rsidR="00AF1044" w:rsidRPr="00E01771" w:rsidRDefault="00AF1044" w:rsidP="00E01771">
      <w:pPr>
        <w:pStyle w:val="HeadingLevel4NoNumber"/>
      </w:pPr>
      <w:r w:rsidRPr="00E01771">
        <w:t>Employer predominance test</w:t>
      </w:r>
    </w:p>
    <w:p w14:paraId="50446B6C" w14:textId="5C2D4A96" w:rsidR="00B31505" w:rsidRDefault="00B31505" w:rsidP="00B31505">
      <w:pPr>
        <w:rPr>
          <w:rFonts w:ascii="Arial" w:hAnsi="Arial" w:cs="Arial"/>
        </w:rPr>
      </w:pPr>
      <w:r>
        <w:rPr>
          <w:rFonts w:ascii="Arial" w:hAnsi="Arial" w:cs="Arial"/>
        </w:rPr>
        <w:t xml:space="preserve">Options to </w:t>
      </w:r>
      <w:r w:rsidR="00034D1B">
        <w:rPr>
          <w:rFonts w:ascii="Arial" w:hAnsi="Arial" w:cs="Arial"/>
        </w:rPr>
        <w:t xml:space="preserve">address the problems </w:t>
      </w:r>
      <w:r w:rsidR="00F81D91">
        <w:rPr>
          <w:rFonts w:ascii="Arial" w:hAnsi="Arial" w:cs="Arial"/>
        </w:rPr>
        <w:t>applying the</w:t>
      </w:r>
      <w:r w:rsidR="00034D1B">
        <w:rPr>
          <w:rFonts w:ascii="Arial" w:hAnsi="Arial" w:cs="Arial"/>
        </w:rPr>
        <w:t xml:space="preserve"> employer predominance test</w:t>
      </w:r>
      <w:r w:rsidR="00F81D91">
        <w:rPr>
          <w:rFonts w:ascii="Arial" w:hAnsi="Arial" w:cs="Arial"/>
        </w:rPr>
        <w:t xml:space="preserve"> to determine whether an employer is covered under the Scheme</w:t>
      </w:r>
      <w:r w:rsidR="00034D1B">
        <w:rPr>
          <w:rFonts w:ascii="Arial" w:hAnsi="Arial" w:cs="Arial"/>
        </w:rPr>
        <w:t xml:space="preserve"> include</w:t>
      </w:r>
      <w:r>
        <w:rPr>
          <w:rFonts w:ascii="Arial" w:hAnsi="Arial" w:cs="Arial"/>
        </w:rPr>
        <w:t>:</w:t>
      </w:r>
    </w:p>
    <w:p w14:paraId="319F5800" w14:textId="79DA76BB" w:rsidR="00034D1B" w:rsidRPr="00F211F6" w:rsidRDefault="00034D1B" w:rsidP="00034D1B">
      <w:pPr>
        <w:pStyle w:val="ListBullet"/>
        <w:numPr>
          <w:ilvl w:val="0"/>
          <w:numId w:val="33"/>
        </w:numPr>
        <w:contextualSpacing w:val="0"/>
        <w:rPr>
          <w:rFonts w:cs="Arial"/>
          <w:color w:val="auto"/>
        </w:rPr>
      </w:pPr>
      <w:r>
        <w:rPr>
          <w:rFonts w:cs="Arial"/>
          <w:color w:val="auto"/>
        </w:rPr>
        <w:lastRenderedPageBreak/>
        <w:t>Providing additional clarity around the application of the employer predominance test (Option 1)</w:t>
      </w:r>
      <w:r w:rsidRPr="00F211F6">
        <w:rPr>
          <w:rFonts w:cs="Arial"/>
          <w:color w:val="auto"/>
        </w:rPr>
        <w:t>; and</w:t>
      </w:r>
    </w:p>
    <w:p w14:paraId="6BD9E79F" w14:textId="28794049" w:rsidR="00B31505" w:rsidRPr="00034D1B" w:rsidRDefault="00034D1B" w:rsidP="00034D1B">
      <w:pPr>
        <w:pStyle w:val="ListBullet"/>
        <w:numPr>
          <w:ilvl w:val="0"/>
          <w:numId w:val="33"/>
        </w:numPr>
        <w:rPr>
          <w:rFonts w:cs="Arial"/>
          <w:color w:val="auto"/>
        </w:rPr>
      </w:pPr>
      <w:r>
        <w:rPr>
          <w:rFonts w:cs="Arial"/>
          <w:color w:val="auto"/>
        </w:rPr>
        <w:t>Abolishing the employer predominance test</w:t>
      </w:r>
      <w:r w:rsidR="00AA2BBF">
        <w:rPr>
          <w:rFonts w:cs="Arial"/>
          <w:color w:val="auto"/>
        </w:rPr>
        <w:t xml:space="preserve"> </w:t>
      </w:r>
      <w:r w:rsidR="00AA2BBF" w:rsidRPr="00AA2BBF">
        <w:rPr>
          <w:rFonts w:cs="Arial"/>
          <w:color w:val="auto"/>
        </w:rPr>
        <w:t>that applies to health or related services</w:t>
      </w:r>
      <w:r>
        <w:rPr>
          <w:rFonts w:cs="Arial"/>
          <w:color w:val="auto"/>
        </w:rPr>
        <w:t xml:space="preserve"> (Option 2).</w:t>
      </w:r>
    </w:p>
    <w:p w14:paraId="2197B35A" w14:textId="0539B858" w:rsidR="00B31505" w:rsidRDefault="00B31505" w:rsidP="00B31505">
      <w:pPr>
        <w:rPr>
          <w:rFonts w:ascii="Arial" w:hAnsi="Arial" w:cs="Arial"/>
        </w:rPr>
      </w:pPr>
      <w:r w:rsidRPr="00B31505">
        <w:rPr>
          <w:rFonts w:ascii="Arial" w:hAnsi="Arial" w:cs="Arial"/>
          <w:b/>
        </w:rPr>
        <w:t>Analysis</w:t>
      </w:r>
      <w:r>
        <w:rPr>
          <w:rFonts w:ascii="Arial" w:hAnsi="Arial" w:cs="Arial"/>
        </w:rPr>
        <w:t xml:space="preserve"> </w:t>
      </w:r>
      <w:r w:rsidR="002123A2">
        <w:rPr>
          <w:rFonts w:ascii="Arial" w:hAnsi="Arial" w:cs="Arial"/>
        </w:rPr>
        <w:t xml:space="preserve">found both options would provide additional clarity </w:t>
      </w:r>
      <w:r w:rsidR="009F6B64">
        <w:rPr>
          <w:rFonts w:ascii="Arial" w:hAnsi="Arial" w:cs="Arial"/>
        </w:rPr>
        <w:t xml:space="preserve">regarding </w:t>
      </w:r>
      <w:r w:rsidR="002123A2">
        <w:rPr>
          <w:rFonts w:ascii="Arial" w:hAnsi="Arial" w:cs="Arial"/>
        </w:rPr>
        <w:t>whether an employer is covered by the Scheme compared to the status quo.</w:t>
      </w:r>
      <w:r w:rsidRPr="00B31505">
        <w:rPr>
          <w:rFonts w:ascii="Arial" w:hAnsi="Arial" w:cs="Arial"/>
          <w:highlight w:val="yellow"/>
        </w:rPr>
        <w:t xml:space="preserve"> </w:t>
      </w:r>
    </w:p>
    <w:p w14:paraId="6CF18C29" w14:textId="30CF0298" w:rsidR="002123A2" w:rsidRPr="002123A2" w:rsidRDefault="002123A2" w:rsidP="002123A2">
      <w:pPr>
        <w:rPr>
          <w:rFonts w:ascii="Arial" w:hAnsi="Arial" w:cs="Arial"/>
          <w:color w:val="auto"/>
        </w:rPr>
      </w:pPr>
      <w:r>
        <w:rPr>
          <w:rFonts w:ascii="Arial" w:hAnsi="Arial" w:cs="Arial"/>
        </w:rPr>
        <w:t xml:space="preserve">Option 1 </w:t>
      </w:r>
      <w:r w:rsidRPr="004B3C99">
        <w:rPr>
          <w:rFonts w:ascii="Arial" w:hAnsi="Arial" w:cs="Arial"/>
          <w:color w:val="auto"/>
        </w:rPr>
        <w:t>would s</w:t>
      </w:r>
      <w:r>
        <w:rPr>
          <w:rFonts w:ascii="Arial" w:hAnsi="Arial" w:cs="Arial"/>
          <w:color w:val="auto"/>
        </w:rPr>
        <w:t xml:space="preserve">till </w:t>
      </w:r>
      <w:r w:rsidR="00E947D1">
        <w:rPr>
          <w:rFonts w:ascii="Arial" w:hAnsi="Arial" w:cs="Arial"/>
          <w:color w:val="auto"/>
        </w:rPr>
        <w:t>require employers</w:t>
      </w:r>
      <w:r>
        <w:rPr>
          <w:rFonts w:ascii="Arial" w:hAnsi="Arial" w:cs="Arial"/>
          <w:color w:val="auto"/>
        </w:rPr>
        <w:t xml:space="preserve"> to undertake a burdensome</w:t>
      </w:r>
      <w:r w:rsidRPr="004B3C99">
        <w:rPr>
          <w:rFonts w:ascii="Arial" w:hAnsi="Arial" w:cs="Arial"/>
          <w:color w:val="auto"/>
        </w:rPr>
        <w:t xml:space="preserve"> assessment on the share of their workforce that undertakes community </w:t>
      </w:r>
      <w:r w:rsidR="000500F9">
        <w:rPr>
          <w:rFonts w:ascii="Arial" w:hAnsi="Arial" w:cs="Arial"/>
          <w:color w:val="auto"/>
        </w:rPr>
        <w:t xml:space="preserve">service </w:t>
      </w:r>
      <w:r w:rsidRPr="004B3C99">
        <w:rPr>
          <w:rFonts w:ascii="Arial" w:hAnsi="Arial" w:cs="Arial"/>
          <w:color w:val="auto"/>
        </w:rPr>
        <w:t xml:space="preserve">work to determine whether they are required to register with the Authority. </w:t>
      </w:r>
      <w:r>
        <w:rPr>
          <w:rFonts w:ascii="Arial" w:hAnsi="Arial" w:cs="Arial"/>
          <w:color w:val="auto"/>
        </w:rPr>
        <w:t xml:space="preserve">Some </w:t>
      </w:r>
      <w:r w:rsidRPr="004B3C99">
        <w:rPr>
          <w:rFonts w:ascii="Arial" w:hAnsi="Arial" w:cs="Arial"/>
          <w:color w:val="auto"/>
        </w:rPr>
        <w:t>employees who perform community service work will continue to be denied access to portable long service benefits because their employer is not a covered employer for the purposes of the Scheme.</w:t>
      </w:r>
    </w:p>
    <w:p w14:paraId="6DA79CDE" w14:textId="553AFB3E" w:rsidR="002123A2" w:rsidRDefault="002123A2" w:rsidP="002123A2">
      <w:pPr>
        <w:pStyle w:val="BodyText"/>
        <w:rPr>
          <w:rFonts w:cs="Arial"/>
          <w:color w:val="auto"/>
        </w:rPr>
      </w:pPr>
      <w:r>
        <w:rPr>
          <w:rFonts w:cs="Arial"/>
          <w:color w:val="auto"/>
        </w:rPr>
        <w:t xml:space="preserve">Option 2 </w:t>
      </w:r>
      <w:r w:rsidRPr="004B3C99">
        <w:rPr>
          <w:rFonts w:cs="Arial"/>
          <w:color w:val="auto"/>
        </w:rPr>
        <w:t xml:space="preserve">promotes equity of long service entitlements within the sector. Eligible </w:t>
      </w:r>
      <w:r w:rsidR="00BA4E89">
        <w:rPr>
          <w:rFonts w:cs="Arial"/>
          <w:color w:val="auto"/>
        </w:rPr>
        <w:t>employee</w:t>
      </w:r>
      <w:r w:rsidRPr="004B3C99">
        <w:rPr>
          <w:rFonts w:cs="Arial"/>
          <w:color w:val="auto"/>
        </w:rPr>
        <w:t xml:space="preserve">s who deliver community service work will be covered by the Scheme, regardless of whether their employer undertakes community service work as their predominant activity. </w:t>
      </w:r>
      <w:r>
        <w:rPr>
          <w:rFonts w:cs="Arial"/>
          <w:color w:val="auto"/>
        </w:rPr>
        <w:t xml:space="preserve">While this option would increase the scope of covered employers and employees, it would </w:t>
      </w:r>
      <w:r w:rsidRPr="004B3C99">
        <w:rPr>
          <w:rFonts w:cs="Arial"/>
          <w:color w:val="auto"/>
        </w:rPr>
        <w:t>reduce the adm</w:t>
      </w:r>
      <w:r>
        <w:rPr>
          <w:rFonts w:cs="Arial"/>
          <w:color w:val="auto"/>
        </w:rPr>
        <w:t xml:space="preserve">inistrative burden on employers. </w:t>
      </w:r>
    </w:p>
    <w:p w14:paraId="36685FE6" w14:textId="52C567E4" w:rsidR="00A91B24" w:rsidRPr="002123A2" w:rsidRDefault="00A91B24" w:rsidP="002123A2">
      <w:pPr>
        <w:pStyle w:val="BodyText"/>
        <w:rPr>
          <w:rFonts w:cs="Arial"/>
          <w:color w:val="auto"/>
        </w:rPr>
      </w:pPr>
      <w:r>
        <w:rPr>
          <w:rFonts w:cs="Arial"/>
          <w:color w:val="auto"/>
        </w:rPr>
        <w:t>Under the impact assessment framework, Option 1 scored 0.6</w:t>
      </w:r>
      <w:r w:rsidR="00E01771">
        <w:rPr>
          <w:rFonts w:cs="Arial"/>
          <w:color w:val="auto"/>
        </w:rPr>
        <w:t xml:space="preserve">, </w:t>
      </w:r>
      <w:r>
        <w:rPr>
          <w:rFonts w:cs="Arial"/>
          <w:color w:val="auto"/>
        </w:rPr>
        <w:t>and Option 2 scored 2.0.</w:t>
      </w:r>
    </w:p>
    <w:p w14:paraId="542A32AC" w14:textId="7A2F8505" w:rsidR="009631D4" w:rsidRPr="00034D1B" w:rsidRDefault="00034D1B" w:rsidP="009631D4">
      <w:pPr>
        <w:pStyle w:val="BodyText"/>
        <w:rPr>
          <w:rFonts w:cs="Arial"/>
          <w:color w:val="auto"/>
        </w:rPr>
      </w:pPr>
      <w:r>
        <w:rPr>
          <w:rFonts w:cs="Arial"/>
        </w:rPr>
        <w:t xml:space="preserve">The </w:t>
      </w:r>
      <w:r w:rsidRPr="00034D1B">
        <w:rPr>
          <w:rFonts w:cs="Arial"/>
          <w:b/>
        </w:rPr>
        <w:t>preferred option</w:t>
      </w:r>
      <w:r>
        <w:rPr>
          <w:rFonts w:cs="Arial"/>
        </w:rPr>
        <w:t xml:space="preserve"> is therefore Option 2, abolishing the employer predominance test</w:t>
      </w:r>
      <w:r>
        <w:rPr>
          <w:rFonts w:cs="Arial"/>
          <w:color w:val="auto"/>
        </w:rPr>
        <w:t>. E</w:t>
      </w:r>
      <w:r w:rsidRPr="003D1EF2">
        <w:rPr>
          <w:rFonts w:cs="Arial"/>
          <w:color w:val="auto"/>
        </w:rPr>
        <w:t>mployers employing at least one covered employee</w:t>
      </w:r>
      <w:r>
        <w:rPr>
          <w:rFonts w:cs="Arial"/>
          <w:color w:val="auto"/>
        </w:rPr>
        <w:t xml:space="preserve"> who undertakes community service work</w:t>
      </w:r>
      <w:r w:rsidRPr="003D1EF2">
        <w:rPr>
          <w:rFonts w:cs="Arial"/>
          <w:color w:val="auto"/>
        </w:rPr>
        <w:t xml:space="preserve"> would be required to register with the Authority</w:t>
      </w:r>
      <w:r>
        <w:rPr>
          <w:rFonts w:cs="Arial"/>
          <w:color w:val="auto"/>
        </w:rPr>
        <w:t xml:space="preserve"> and pay a levy on their covered employees’ behalf</w:t>
      </w:r>
      <w:r w:rsidRPr="003D1EF2">
        <w:rPr>
          <w:rFonts w:cs="Arial"/>
          <w:color w:val="auto"/>
        </w:rPr>
        <w:t xml:space="preserve">. </w:t>
      </w:r>
      <w:r w:rsidR="009631D4" w:rsidRPr="002D71C2">
        <w:rPr>
          <w:rFonts w:cs="Arial"/>
          <w:color w:val="auto"/>
        </w:rPr>
        <w:t xml:space="preserve">No employer predominance test is included in </w:t>
      </w:r>
      <w:r w:rsidR="009631D4" w:rsidRPr="00186BE4">
        <w:rPr>
          <w:rFonts w:cs="Arial"/>
          <w:color w:val="auto"/>
        </w:rPr>
        <w:t>Regulation 9</w:t>
      </w:r>
      <w:r w:rsidR="009631D4" w:rsidRPr="00D50857">
        <w:rPr>
          <w:rFonts w:cs="Arial"/>
          <w:color w:val="auto"/>
        </w:rPr>
        <w:t xml:space="preserve"> of the </w:t>
      </w:r>
      <w:r w:rsidR="005D6ED3">
        <w:rPr>
          <w:rFonts w:cs="Arial"/>
          <w:color w:val="auto"/>
        </w:rPr>
        <w:t>Proposed</w:t>
      </w:r>
      <w:r w:rsidR="005D6ED3" w:rsidRPr="00D50857">
        <w:rPr>
          <w:rFonts w:cs="Arial"/>
          <w:color w:val="auto"/>
        </w:rPr>
        <w:t xml:space="preserve"> </w:t>
      </w:r>
      <w:r w:rsidR="009631D4" w:rsidRPr="00D50857">
        <w:rPr>
          <w:rFonts w:cs="Arial"/>
          <w:color w:val="auto"/>
        </w:rPr>
        <w:t xml:space="preserve">Regulations, which details who is </w:t>
      </w:r>
      <w:r w:rsidR="0071726F">
        <w:rPr>
          <w:rFonts w:cs="Arial"/>
          <w:color w:val="auto"/>
        </w:rPr>
        <w:t xml:space="preserve">regarded as </w:t>
      </w:r>
      <w:r w:rsidR="009631D4" w:rsidRPr="00D50857">
        <w:rPr>
          <w:rFonts w:cs="Arial"/>
          <w:color w:val="auto"/>
        </w:rPr>
        <w:t xml:space="preserve">an employer for the community services sector. </w:t>
      </w:r>
    </w:p>
    <w:p w14:paraId="2976FC59" w14:textId="3FA6B6DB" w:rsidR="00AF1044" w:rsidRPr="00AF1044" w:rsidRDefault="000500F9" w:rsidP="00E01771">
      <w:pPr>
        <w:pStyle w:val="HeadingLevel4NoNumber"/>
        <w:rPr>
          <w:color w:val="auto"/>
        </w:rPr>
      </w:pPr>
      <w:r>
        <w:t>Options to clarify whether Community H</w:t>
      </w:r>
      <w:r w:rsidR="00E13B92">
        <w:t>ealth</w:t>
      </w:r>
      <w:r>
        <w:t xml:space="preserve"> Centres</w:t>
      </w:r>
      <w:r w:rsidR="00E13B92">
        <w:t xml:space="preserve"> </w:t>
      </w:r>
      <w:r w:rsidR="00AF1044">
        <w:t xml:space="preserve">and </w:t>
      </w:r>
      <w:r>
        <w:t>W</w:t>
      </w:r>
      <w:r w:rsidR="00AF1044">
        <w:t xml:space="preserve">omen’s </w:t>
      </w:r>
      <w:r>
        <w:t>H</w:t>
      </w:r>
      <w:r w:rsidR="00AF1044">
        <w:t xml:space="preserve">ealth </w:t>
      </w:r>
      <w:r>
        <w:t>C</w:t>
      </w:r>
      <w:r w:rsidR="00AF1044">
        <w:t>entres</w:t>
      </w:r>
      <w:r>
        <w:t xml:space="preserve"> are included</w:t>
      </w:r>
    </w:p>
    <w:p w14:paraId="53C84F72" w14:textId="79C1BA55" w:rsidR="00B31505" w:rsidRDefault="00B31505" w:rsidP="00B31505">
      <w:pPr>
        <w:rPr>
          <w:rFonts w:ascii="Arial" w:hAnsi="Arial" w:cs="Arial"/>
        </w:rPr>
      </w:pPr>
      <w:r>
        <w:rPr>
          <w:rFonts w:ascii="Arial" w:hAnsi="Arial" w:cs="Arial"/>
        </w:rPr>
        <w:t xml:space="preserve">Options to clarify </w:t>
      </w:r>
      <w:r w:rsidR="00034D1B">
        <w:rPr>
          <w:rFonts w:ascii="Arial" w:hAnsi="Arial" w:cs="Arial"/>
        </w:rPr>
        <w:t xml:space="preserve">whether community and </w:t>
      </w:r>
      <w:r w:rsidR="0072722B">
        <w:rPr>
          <w:rFonts w:ascii="Arial" w:hAnsi="Arial" w:cs="Arial"/>
        </w:rPr>
        <w:t>Women’s Health Centre</w:t>
      </w:r>
      <w:r w:rsidR="00034D1B">
        <w:rPr>
          <w:rFonts w:ascii="Arial" w:hAnsi="Arial" w:cs="Arial"/>
        </w:rPr>
        <w:t xml:space="preserve">s are covered </w:t>
      </w:r>
      <w:r w:rsidR="00F81D91">
        <w:rPr>
          <w:rFonts w:ascii="Arial" w:hAnsi="Arial" w:cs="Arial"/>
        </w:rPr>
        <w:t>by</w:t>
      </w:r>
      <w:r w:rsidR="00034D1B">
        <w:rPr>
          <w:rFonts w:ascii="Arial" w:hAnsi="Arial" w:cs="Arial"/>
        </w:rPr>
        <w:t xml:space="preserve"> the Scheme </w:t>
      </w:r>
      <w:r w:rsidR="00EA746E">
        <w:rPr>
          <w:rFonts w:ascii="Arial" w:hAnsi="Arial" w:cs="Arial"/>
        </w:rPr>
        <w:t>are as follows</w:t>
      </w:r>
      <w:r w:rsidR="00034D1B">
        <w:rPr>
          <w:rFonts w:ascii="Arial" w:hAnsi="Arial" w:cs="Arial"/>
        </w:rPr>
        <w:t>:</w:t>
      </w:r>
    </w:p>
    <w:p w14:paraId="0D30CFCB" w14:textId="294F15B2" w:rsidR="0072722B" w:rsidRPr="00F211F6" w:rsidRDefault="00E947D1" w:rsidP="00034D1B">
      <w:pPr>
        <w:pStyle w:val="ListBullet"/>
        <w:numPr>
          <w:ilvl w:val="0"/>
          <w:numId w:val="33"/>
        </w:numPr>
        <w:contextualSpacing w:val="0"/>
        <w:rPr>
          <w:rFonts w:cs="Arial"/>
          <w:color w:val="auto"/>
        </w:rPr>
      </w:pPr>
      <w:r>
        <w:rPr>
          <w:rFonts w:cs="Arial"/>
          <w:color w:val="auto"/>
        </w:rPr>
        <w:t>Including</w:t>
      </w:r>
      <w:r w:rsidR="00034D1B">
        <w:rPr>
          <w:rFonts w:cs="Arial"/>
          <w:color w:val="auto"/>
        </w:rPr>
        <w:t xml:space="preserve"> </w:t>
      </w:r>
      <w:r w:rsidR="0072722B">
        <w:rPr>
          <w:rFonts w:cs="Arial"/>
          <w:color w:val="auto"/>
        </w:rPr>
        <w:t>Community Health</w:t>
      </w:r>
      <w:r w:rsidR="00E13B92">
        <w:rPr>
          <w:rFonts w:cs="Arial"/>
          <w:color w:val="auto"/>
        </w:rPr>
        <w:t xml:space="preserve"> </w:t>
      </w:r>
      <w:r w:rsidR="00034D1B">
        <w:rPr>
          <w:rFonts w:cs="Arial"/>
          <w:color w:val="auto"/>
        </w:rPr>
        <w:t xml:space="preserve">and </w:t>
      </w:r>
      <w:r w:rsidR="0072722B">
        <w:rPr>
          <w:rFonts w:cs="Arial"/>
          <w:color w:val="auto"/>
        </w:rPr>
        <w:t>Women’s Health Centre</w:t>
      </w:r>
      <w:r w:rsidR="00034D1B">
        <w:rPr>
          <w:rFonts w:cs="Arial"/>
          <w:color w:val="auto"/>
        </w:rPr>
        <w:t>s in the Scheme (Option 1)</w:t>
      </w:r>
      <w:r w:rsidR="00034D1B" w:rsidRPr="00F211F6">
        <w:rPr>
          <w:rFonts w:cs="Arial"/>
          <w:color w:val="auto"/>
        </w:rPr>
        <w:t>; and</w:t>
      </w:r>
    </w:p>
    <w:p w14:paraId="2CEB9E02" w14:textId="3B72D05D" w:rsidR="0072722B" w:rsidRDefault="00E947D1" w:rsidP="00186BE4">
      <w:pPr>
        <w:pStyle w:val="ListBullet"/>
        <w:numPr>
          <w:ilvl w:val="0"/>
          <w:numId w:val="33"/>
        </w:numPr>
        <w:contextualSpacing w:val="0"/>
        <w:rPr>
          <w:b/>
        </w:rPr>
      </w:pPr>
      <w:r w:rsidRPr="00186BE4">
        <w:rPr>
          <w:rFonts w:cs="Arial"/>
          <w:color w:val="auto"/>
        </w:rPr>
        <w:t>Excluding</w:t>
      </w:r>
      <w:r w:rsidR="00034D1B" w:rsidRPr="00186BE4">
        <w:rPr>
          <w:rFonts w:cs="Arial"/>
          <w:color w:val="auto"/>
        </w:rPr>
        <w:t xml:space="preserve"> </w:t>
      </w:r>
      <w:r w:rsidR="0072722B">
        <w:rPr>
          <w:rFonts w:cs="Arial"/>
          <w:color w:val="auto"/>
        </w:rPr>
        <w:t>Community Health</w:t>
      </w:r>
      <w:r w:rsidR="00034D1B" w:rsidRPr="00186BE4">
        <w:rPr>
          <w:rFonts w:cs="Arial"/>
          <w:color w:val="auto"/>
        </w:rPr>
        <w:t xml:space="preserve"> and </w:t>
      </w:r>
      <w:r w:rsidR="0072722B">
        <w:rPr>
          <w:rFonts w:cs="Arial"/>
          <w:color w:val="auto"/>
        </w:rPr>
        <w:t>Women’s Health Centre</w:t>
      </w:r>
      <w:r w:rsidR="00034D1B" w:rsidRPr="00186BE4">
        <w:rPr>
          <w:rFonts w:cs="Arial"/>
          <w:color w:val="auto"/>
        </w:rPr>
        <w:t>s in the Scheme (Option 2).</w:t>
      </w:r>
    </w:p>
    <w:p w14:paraId="0B80326C" w14:textId="0EE6BB3D" w:rsidR="0072722B" w:rsidRPr="00186BE4" w:rsidRDefault="00B31505" w:rsidP="00186BE4">
      <w:pPr>
        <w:pStyle w:val="ListBullet"/>
        <w:numPr>
          <w:ilvl w:val="0"/>
          <w:numId w:val="0"/>
        </w:numPr>
        <w:rPr>
          <w:rFonts w:cs="Arial"/>
          <w:color w:val="auto"/>
        </w:rPr>
      </w:pPr>
      <w:r w:rsidRPr="00186BE4">
        <w:rPr>
          <w:b/>
        </w:rPr>
        <w:t>Analysis</w:t>
      </w:r>
      <w:r>
        <w:t xml:space="preserve"> of the options found</w:t>
      </w:r>
      <w:r w:rsidR="00D365BD">
        <w:t xml:space="preserve"> that Option 1 would allow employees </w:t>
      </w:r>
      <w:r w:rsidR="00D365BD" w:rsidRPr="00394DEA">
        <w:t xml:space="preserve">in </w:t>
      </w:r>
      <w:r w:rsidR="0072722B">
        <w:t>Community Health Centre</w:t>
      </w:r>
      <w:r w:rsidR="00D365BD" w:rsidRPr="00394DEA">
        <w:t xml:space="preserve">s and </w:t>
      </w:r>
      <w:r w:rsidR="0072722B">
        <w:t>Women’s Health Centre</w:t>
      </w:r>
      <w:r w:rsidR="00D365BD" w:rsidRPr="00394DEA">
        <w:t xml:space="preserve">s </w:t>
      </w:r>
      <w:r w:rsidR="00D365BD">
        <w:t>to move throughout the broader community services sector without losing their long service benefits. However,</w:t>
      </w:r>
      <w:r w:rsidR="0072722B">
        <w:t xml:space="preserve"> this option would have an increased cost impact on providers.</w:t>
      </w:r>
      <w:r w:rsidR="0072722B" w:rsidRPr="0072722B">
        <w:rPr>
          <w:rFonts w:cs="Arial"/>
          <w:color w:val="auto"/>
        </w:rPr>
        <w:t xml:space="preserve"> </w:t>
      </w:r>
      <w:r w:rsidR="0072722B">
        <w:rPr>
          <w:rFonts w:cs="Arial"/>
          <w:color w:val="auto"/>
        </w:rPr>
        <w:t>This is related to the</w:t>
      </w:r>
      <w:r w:rsidR="0072722B" w:rsidRPr="00186BE4">
        <w:rPr>
          <w:rFonts w:cs="Arial"/>
          <w:color w:val="auto"/>
        </w:rPr>
        <w:t xml:space="preserve"> financial cost associated with being covered by the Scheme. </w:t>
      </w:r>
      <w:r w:rsidR="0072722B">
        <w:rPr>
          <w:rFonts w:cs="Arial"/>
          <w:color w:val="auto"/>
        </w:rPr>
        <w:t xml:space="preserve">Compared to the cost to providers of provisioning for existing long service leave entitlements before the introduction of the Scheme, </w:t>
      </w:r>
      <w:r w:rsidR="0072722B" w:rsidRPr="00186BE4">
        <w:rPr>
          <w:rFonts w:cs="Arial"/>
          <w:color w:val="auto"/>
        </w:rPr>
        <w:t xml:space="preserve">actuarial modelling determined that the annual net cost impact for the community services sector as a whole is 0.45 percent of ordinary salary costs for those employees engaged in community service work. This has the potential to increase to 0.85 percent of ordinary salary costs for the </w:t>
      </w:r>
      <w:r w:rsidR="0072722B">
        <w:rPr>
          <w:rFonts w:cs="Arial"/>
          <w:color w:val="auto"/>
        </w:rPr>
        <w:t>Community Health</w:t>
      </w:r>
      <w:r w:rsidR="0072722B" w:rsidRPr="00186BE4">
        <w:rPr>
          <w:rFonts w:cs="Arial"/>
          <w:color w:val="auto"/>
        </w:rPr>
        <w:t xml:space="preserve"> </w:t>
      </w:r>
      <w:r w:rsidR="002106A3">
        <w:rPr>
          <w:rFonts w:cs="Arial"/>
          <w:color w:val="auto"/>
        </w:rPr>
        <w:t>sub</w:t>
      </w:r>
      <w:r w:rsidR="002106A3">
        <w:rPr>
          <w:rFonts w:cs="Arial"/>
          <w:color w:val="auto"/>
        </w:rPr>
        <w:noBreakHyphen/>
        <w:t>sector</w:t>
      </w:r>
      <w:r w:rsidR="0072722B" w:rsidRPr="00186BE4">
        <w:rPr>
          <w:rFonts w:cs="Arial"/>
          <w:color w:val="auto"/>
        </w:rPr>
        <w:t xml:space="preserve"> because of a higher</w:t>
      </w:r>
      <w:r w:rsidR="00771107">
        <w:rPr>
          <w:rFonts w:cs="Arial"/>
          <w:color w:val="auto"/>
        </w:rPr>
        <w:t xml:space="preserve"> employee</w:t>
      </w:r>
      <w:r w:rsidR="0072722B" w:rsidRPr="00186BE4">
        <w:rPr>
          <w:rFonts w:cs="Arial"/>
          <w:color w:val="auto"/>
        </w:rPr>
        <w:t xml:space="preserve"> turnover rate.</w:t>
      </w:r>
    </w:p>
    <w:p w14:paraId="5D5E28F6" w14:textId="38D08BF1" w:rsidR="00D365BD" w:rsidRPr="00D365BD" w:rsidRDefault="0072722B" w:rsidP="00E01771">
      <w:pPr>
        <w:pStyle w:val="BodyText"/>
      </w:pPr>
      <w:r>
        <w:t xml:space="preserve">Based on detailed analysis </w:t>
      </w:r>
      <w:r w:rsidR="00D466D4">
        <w:t>set out</w:t>
      </w:r>
      <w:r>
        <w:t xml:space="preserve"> in this RIS,</w:t>
      </w:r>
      <w:r w:rsidR="00D365BD">
        <w:t xml:space="preserve"> </w:t>
      </w:r>
      <w:r>
        <w:t xml:space="preserve">Option 1 </w:t>
      </w:r>
      <w:r w:rsidR="00D365BD">
        <w:t xml:space="preserve">is expected to have an </w:t>
      </w:r>
      <w:r w:rsidR="00D70046">
        <w:t xml:space="preserve">estimated additional </w:t>
      </w:r>
      <w:r w:rsidR="00EE62A5">
        <w:t xml:space="preserve">sector-wide </w:t>
      </w:r>
      <w:r w:rsidR="00D365BD" w:rsidRPr="00592BAB">
        <w:t xml:space="preserve">cost impact of between </w:t>
      </w:r>
      <w:r w:rsidR="00E13B92">
        <w:t>$215,000</w:t>
      </w:r>
      <w:r>
        <w:t xml:space="preserve"> a year (low share of the workforce undertaking community service work)</w:t>
      </w:r>
      <w:r w:rsidR="00E13B92">
        <w:t xml:space="preserve"> and $2.0 million</w:t>
      </w:r>
      <w:r>
        <w:t xml:space="preserve"> a year (high share of the workforce undertaking community service work)</w:t>
      </w:r>
      <w:r w:rsidR="00D365BD">
        <w:t xml:space="preserve"> </w:t>
      </w:r>
      <w:r w:rsidR="00D365BD" w:rsidRPr="00592BAB">
        <w:t>for the</w:t>
      </w:r>
      <w:r w:rsidR="00D365BD">
        <w:t xml:space="preserve"> </w:t>
      </w:r>
      <w:r>
        <w:t>Community Health</w:t>
      </w:r>
      <w:r w:rsidR="00BB41A4">
        <w:t xml:space="preserve"> </w:t>
      </w:r>
      <w:r w:rsidR="002106A3">
        <w:t>sub</w:t>
      </w:r>
      <w:r w:rsidR="002106A3">
        <w:noBreakHyphen/>
        <w:t>sector</w:t>
      </w:r>
      <w:r>
        <w:t xml:space="preserve">. </w:t>
      </w:r>
      <w:r w:rsidR="00D365BD">
        <w:t xml:space="preserve">It is expected to have an </w:t>
      </w:r>
      <w:r w:rsidR="00D70046">
        <w:t xml:space="preserve">estimated additional </w:t>
      </w:r>
      <w:r w:rsidR="00EE62A5">
        <w:t>sector-wide</w:t>
      </w:r>
      <w:r w:rsidR="00D365BD">
        <w:t xml:space="preserve"> cost impact of </w:t>
      </w:r>
      <w:r w:rsidR="00E947D1">
        <w:t xml:space="preserve">approximately </w:t>
      </w:r>
      <w:r w:rsidR="00E13B92">
        <w:t xml:space="preserve">$154,000 </w:t>
      </w:r>
      <w:r w:rsidR="00D365BD">
        <w:t xml:space="preserve">a year for </w:t>
      </w:r>
      <w:r w:rsidR="00D365BD">
        <w:lastRenderedPageBreak/>
        <w:t xml:space="preserve">the </w:t>
      </w:r>
      <w:r>
        <w:t>Women’s Health</w:t>
      </w:r>
      <w:r w:rsidR="00D365BD">
        <w:t xml:space="preserve"> </w:t>
      </w:r>
      <w:r w:rsidR="002106A3">
        <w:t>sub</w:t>
      </w:r>
      <w:r w:rsidR="002106A3">
        <w:noBreakHyphen/>
        <w:t>sector</w:t>
      </w:r>
      <w:r w:rsidR="00D365BD">
        <w:t xml:space="preserve">. </w:t>
      </w:r>
      <w:r>
        <w:t xml:space="preserve">The cost impact </w:t>
      </w:r>
      <w:r w:rsidR="00D70046">
        <w:t>would vary greatly between providers depending on the number of staff they employ.</w:t>
      </w:r>
    </w:p>
    <w:p w14:paraId="7B6DE447" w14:textId="18AFC806" w:rsidR="00D365BD" w:rsidRDefault="00D365BD" w:rsidP="00D365BD">
      <w:pPr>
        <w:rPr>
          <w:rFonts w:ascii="Arial" w:hAnsi="Arial" w:cs="Arial"/>
          <w:color w:val="auto"/>
        </w:rPr>
      </w:pPr>
      <w:r>
        <w:rPr>
          <w:rFonts w:ascii="Arial" w:hAnsi="Arial" w:cs="Arial"/>
        </w:rPr>
        <w:t xml:space="preserve">Option 2 would </w:t>
      </w:r>
      <w:r w:rsidRPr="00EE1D8A">
        <w:rPr>
          <w:rFonts w:ascii="Arial" w:hAnsi="Arial" w:cs="Arial"/>
          <w:color w:val="auto"/>
        </w:rPr>
        <w:t xml:space="preserve">reduce equity within the community services </w:t>
      </w:r>
      <w:r w:rsidR="00E947D1">
        <w:rPr>
          <w:rFonts w:ascii="Arial" w:hAnsi="Arial" w:cs="Arial"/>
          <w:color w:val="auto"/>
        </w:rPr>
        <w:t>workforce</w:t>
      </w:r>
      <w:r w:rsidR="00AC7046">
        <w:rPr>
          <w:rFonts w:ascii="Arial" w:hAnsi="Arial" w:cs="Arial"/>
          <w:color w:val="auto"/>
        </w:rPr>
        <w:t xml:space="preserve"> by clarifying that employees in the </w:t>
      </w:r>
      <w:r w:rsidR="0072722B">
        <w:rPr>
          <w:rFonts w:ascii="Arial" w:hAnsi="Arial" w:cs="Arial"/>
          <w:color w:val="auto"/>
        </w:rPr>
        <w:t>Community Health</w:t>
      </w:r>
      <w:r w:rsidR="00AC7046">
        <w:rPr>
          <w:rFonts w:ascii="Arial" w:hAnsi="Arial" w:cs="Arial"/>
          <w:color w:val="auto"/>
        </w:rPr>
        <w:t xml:space="preserve"> and </w:t>
      </w:r>
      <w:r w:rsidR="0072722B">
        <w:rPr>
          <w:rFonts w:ascii="Arial" w:hAnsi="Arial" w:cs="Arial"/>
          <w:color w:val="auto"/>
        </w:rPr>
        <w:t>Women’s Health</w:t>
      </w:r>
      <w:r w:rsidR="00AC7046">
        <w:rPr>
          <w:rFonts w:ascii="Arial" w:hAnsi="Arial" w:cs="Arial"/>
          <w:color w:val="auto"/>
        </w:rPr>
        <w:t xml:space="preserve"> </w:t>
      </w:r>
      <w:r w:rsidR="002106A3">
        <w:rPr>
          <w:rFonts w:ascii="Arial" w:hAnsi="Arial" w:cs="Arial"/>
          <w:color w:val="auto"/>
        </w:rPr>
        <w:t>sub</w:t>
      </w:r>
      <w:r w:rsidR="002106A3">
        <w:rPr>
          <w:rFonts w:ascii="Arial" w:hAnsi="Arial" w:cs="Arial"/>
          <w:color w:val="auto"/>
        </w:rPr>
        <w:noBreakHyphen/>
        <w:t>sector</w:t>
      </w:r>
      <w:r w:rsidR="00AC7046">
        <w:rPr>
          <w:rFonts w:ascii="Arial" w:hAnsi="Arial" w:cs="Arial"/>
          <w:color w:val="auto"/>
        </w:rPr>
        <w:t>s are not covered by the Scheme</w:t>
      </w:r>
      <w:r w:rsidRPr="00EE1D8A">
        <w:rPr>
          <w:rFonts w:ascii="Arial" w:hAnsi="Arial" w:cs="Arial"/>
          <w:color w:val="auto"/>
        </w:rPr>
        <w:t xml:space="preserve">. </w:t>
      </w:r>
      <w:r>
        <w:rPr>
          <w:rFonts w:ascii="Arial" w:hAnsi="Arial" w:cs="Arial"/>
          <w:color w:val="auto"/>
        </w:rPr>
        <w:t xml:space="preserve">Employees who move in and out of </w:t>
      </w:r>
      <w:r w:rsidR="0072722B">
        <w:rPr>
          <w:rFonts w:ascii="Arial" w:hAnsi="Arial" w:cs="Arial"/>
          <w:color w:val="auto"/>
        </w:rPr>
        <w:t>Community Health</w:t>
      </w:r>
      <w:r>
        <w:rPr>
          <w:rFonts w:ascii="Arial" w:hAnsi="Arial" w:cs="Arial"/>
          <w:color w:val="auto"/>
        </w:rPr>
        <w:t xml:space="preserve"> and </w:t>
      </w:r>
      <w:r w:rsidR="0072722B">
        <w:rPr>
          <w:rFonts w:ascii="Arial" w:hAnsi="Arial" w:cs="Arial"/>
          <w:color w:val="auto"/>
        </w:rPr>
        <w:t>Women’s Health Centre</w:t>
      </w:r>
      <w:r>
        <w:rPr>
          <w:rFonts w:ascii="Arial" w:hAnsi="Arial" w:cs="Arial"/>
          <w:color w:val="auto"/>
        </w:rPr>
        <w:t>s from the broader social services sector would not have their service recognised as these employers are not covered by the Scheme.</w:t>
      </w:r>
      <w:r>
        <w:rPr>
          <w:rFonts w:ascii="Arial" w:hAnsi="Arial" w:cs="Arial"/>
        </w:rPr>
        <w:t xml:space="preserve"> </w:t>
      </w:r>
      <w:r w:rsidRPr="00EE1D8A">
        <w:rPr>
          <w:rFonts w:ascii="Arial" w:hAnsi="Arial" w:cs="Arial"/>
          <w:color w:val="auto"/>
        </w:rPr>
        <w:t xml:space="preserve">While </w:t>
      </w:r>
      <w:r w:rsidR="00E2508E">
        <w:rPr>
          <w:rFonts w:ascii="Arial" w:hAnsi="Arial" w:cs="Arial"/>
          <w:color w:val="auto"/>
        </w:rPr>
        <w:t>an indeterminate number of</w:t>
      </w:r>
      <w:r w:rsidR="00E2508E" w:rsidRPr="00EE1D8A">
        <w:rPr>
          <w:rFonts w:ascii="Arial" w:hAnsi="Arial" w:cs="Arial"/>
          <w:color w:val="auto"/>
        </w:rPr>
        <w:t xml:space="preserve"> </w:t>
      </w:r>
      <w:r w:rsidRPr="00EE1D8A">
        <w:rPr>
          <w:rFonts w:ascii="Arial" w:hAnsi="Arial" w:cs="Arial"/>
          <w:color w:val="auto"/>
        </w:rPr>
        <w:t xml:space="preserve">employees </w:t>
      </w:r>
      <w:r w:rsidR="00E2508E">
        <w:rPr>
          <w:rFonts w:ascii="Arial" w:hAnsi="Arial" w:cs="Arial"/>
          <w:color w:val="auto"/>
        </w:rPr>
        <w:t>in</w:t>
      </w:r>
      <w:r w:rsidR="00E2508E" w:rsidRPr="00EE1D8A">
        <w:rPr>
          <w:rFonts w:ascii="Arial" w:hAnsi="Arial" w:cs="Arial"/>
          <w:color w:val="auto"/>
        </w:rPr>
        <w:t xml:space="preserve"> </w:t>
      </w:r>
      <w:r w:rsidR="0072722B">
        <w:rPr>
          <w:rFonts w:ascii="Arial" w:hAnsi="Arial" w:cs="Arial"/>
          <w:color w:val="auto"/>
        </w:rPr>
        <w:t>Community Health Centre</w:t>
      </w:r>
      <w:r w:rsidRPr="00EE1D8A">
        <w:rPr>
          <w:rFonts w:ascii="Arial" w:hAnsi="Arial" w:cs="Arial"/>
          <w:color w:val="auto"/>
        </w:rPr>
        <w:t xml:space="preserve">s currently have access to existing portability entitlements under </w:t>
      </w:r>
      <w:r>
        <w:rPr>
          <w:rFonts w:ascii="Arial" w:hAnsi="Arial" w:cs="Arial"/>
          <w:color w:val="auto"/>
        </w:rPr>
        <w:t>f</w:t>
      </w:r>
      <w:r w:rsidRPr="00EE1D8A">
        <w:rPr>
          <w:rFonts w:ascii="Arial" w:hAnsi="Arial" w:cs="Arial"/>
          <w:color w:val="auto"/>
        </w:rPr>
        <w:t xml:space="preserve">air </w:t>
      </w:r>
      <w:r>
        <w:rPr>
          <w:rFonts w:ascii="Arial" w:hAnsi="Arial" w:cs="Arial"/>
          <w:color w:val="auto"/>
        </w:rPr>
        <w:t>w</w:t>
      </w:r>
      <w:r w:rsidRPr="00EE1D8A">
        <w:rPr>
          <w:rFonts w:ascii="Arial" w:hAnsi="Arial" w:cs="Arial"/>
          <w:color w:val="auto"/>
        </w:rPr>
        <w:t xml:space="preserve">ork instruments (including multi-enterprise agreements), the existing portability entitlements do not cover employees who move between </w:t>
      </w:r>
      <w:r w:rsidR="009F6B64">
        <w:rPr>
          <w:rFonts w:ascii="Arial" w:hAnsi="Arial" w:cs="Arial"/>
          <w:color w:val="auto"/>
        </w:rPr>
        <w:t xml:space="preserve">certain </w:t>
      </w:r>
      <w:r w:rsidR="0072722B">
        <w:rPr>
          <w:rFonts w:ascii="Arial" w:hAnsi="Arial" w:cs="Arial"/>
          <w:color w:val="auto"/>
        </w:rPr>
        <w:t>Community Health Centre</w:t>
      </w:r>
      <w:r w:rsidRPr="00EE1D8A">
        <w:rPr>
          <w:rFonts w:ascii="Arial" w:hAnsi="Arial" w:cs="Arial"/>
          <w:color w:val="auto"/>
        </w:rPr>
        <w:t>s</w:t>
      </w:r>
      <w:r w:rsidR="009F6B64">
        <w:rPr>
          <w:rFonts w:ascii="Arial" w:hAnsi="Arial" w:cs="Arial"/>
          <w:color w:val="auto"/>
        </w:rPr>
        <w:t xml:space="preserve"> (i.e. those </w:t>
      </w:r>
      <w:r w:rsidR="00E01771">
        <w:rPr>
          <w:rFonts w:ascii="Arial" w:hAnsi="Arial" w:cs="Arial"/>
          <w:color w:val="auto"/>
        </w:rPr>
        <w:t>who</w:t>
      </w:r>
      <w:r w:rsidR="009F6B64">
        <w:rPr>
          <w:rFonts w:ascii="Arial" w:hAnsi="Arial" w:cs="Arial"/>
          <w:color w:val="auto"/>
        </w:rPr>
        <w:t xml:space="preserve"> are not expressly covered by the relevant multi-enterprise agreements) </w:t>
      </w:r>
      <w:r w:rsidRPr="00EE1D8A">
        <w:rPr>
          <w:rFonts w:ascii="Arial" w:hAnsi="Arial" w:cs="Arial"/>
          <w:color w:val="auto"/>
        </w:rPr>
        <w:t>and the broader community services sector.</w:t>
      </w:r>
      <w:r w:rsidR="00E2508E">
        <w:rPr>
          <w:rFonts w:ascii="Arial" w:hAnsi="Arial" w:cs="Arial"/>
          <w:color w:val="auto"/>
        </w:rPr>
        <w:t xml:space="preserve"> Under this option, employees would retain portability of long service benefits within the </w:t>
      </w:r>
      <w:r w:rsidR="0072722B">
        <w:rPr>
          <w:rFonts w:ascii="Arial" w:hAnsi="Arial" w:cs="Arial"/>
          <w:color w:val="auto"/>
        </w:rPr>
        <w:t>Community Health</w:t>
      </w:r>
      <w:r w:rsidR="00E2508E">
        <w:rPr>
          <w:rFonts w:ascii="Arial" w:hAnsi="Arial" w:cs="Arial"/>
          <w:color w:val="auto"/>
        </w:rPr>
        <w:t xml:space="preserve"> </w:t>
      </w:r>
      <w:r w:rsidR="002106A3">
        <w:rPr>
          <w:rFonts w:ascii="Arial" w:hAnsi="Arial" w:cs="Arial"/>
          <w:color w:val="auto"/>
        </w:rPr>
        <w:t>sub</w:t>
      </w:r>
      <w:r w:rsidR="002106A3">
        <w:rPr>
          <w:rFonts w:ascii="Arial" w:hAnsi="Arial" w:cs="Arial"/>
          <w:color w:val="auto"/>
        </w:rPr>
        <w:noBreakHyphen/>
        <w:t>sector</w:t>
      </w:r>
      <w:r w:rsidR="00E2508E">
        <w:rPr>
          <w:rFonts w:ascii="Arial" w:hAnsi="Arial" w:cs="Arial"/>
          <w:color w:val="auto"/>
        </w:rPr>
        <w:t xml:space="preserve"> only.</w:t>
      </w:r>
    </w:p>
    <w:p w14:paraId="58527730" w14:textId="342B7FE7" w:rsidR="00A91B24" w:rsidRDefault="00A91B24" w:rsidP="00D365BD">
      <w:pPr>
        <w:rPr>
          <w:rFonts w:ascii="Arial" w:hAnsi="Arial" w:cs="Arial"/>
        </w:rPr>
      </w:pPr>
      <w:r>
        <w:rPr>
          <w:rFonts w:ascii="Arial" w:hAnsi="Arial" w:cs="Arial"/>
          <w:color w:val="auto"/>
        </w:rPr>
        <w:t>Under the impact assessment framework, Option 1 scored 1.</w:t>
      </w:r>
      <w:r w:rsidR="00D73984">
        <w:rPr>
          <w:rFonts w:ascii="Arial" w:hAnsi="Arial" w:cs="Arial"/>
          <w:color w:val="auto"/>
        </w:rPr>
        <w:t>3</w:t>
      </w:r>
      <w:r w:rsidR="00E01771">
        <w:rPr>
          <w:rFonts w:ascii="Arial" w:hAnsi="Arial" w:cs="Arial"/>
          <w:color w:val="auto"/>
        </w:rPr>
        <w:t>,</w:t>
      </w:r>
      <w:r>
        <w:rPr>
          <w:rFonts w:ascii="Arial" w:hAnsi="Arial" w:cs="Arial"/>
          <w:color w:val="auto"/>
        </w:rPr>
        <w:t xml:space="preserve"> and Option 2 scored 0.</w:t>
      </w:r>
      <w:r w:rsidR="00D73984">
        <w:rPr>
          <w:rFonts w:ascii="Arial" w:hAnsi="Arial" w:cs="Arial"/>
          <w:color w:val="auto"/>
        </w:rPr>
        <w:t>6</w:t>
      </w:r>
      <w:r>
        <w:rPr>
          <w:rFonts w:ascii="Arial" w:hAnsi="Arial" w:cs="Arial"/>
          <w:color w:val="auto"/>
        </w:rPr>
        <w:t>.</w:t>
      </w:r>
    </w:p>
    <w:p w14:paraId="1F6D8EBD" w14:textId="57E279D7" w:rsidR="00034D1B" w:rsidRPr="00DB3ADD" w:rsidRDefault="00034D1B" w:rsidP="00DB3ADD">
      <w:pPr>
        <w:tabs>
          <w:tab w:val="num" w:pos="680"/>
        </w:tabs>
        <w:rPr>
          <w:rFonts w:ascii="Arial" w:hAnsi="Arial" w:cs="Arial"/>
          <w:color w:val="auto"/>
        </w:rPr>
      </w:pPr>
      <w:r>
        <w:rPr>
          <w:rFonts w:ascii="Arial" w:hAnsi="Arial" w:cs="Arial"/>
        </w:rPr>
        <w:t xml:space="preserve">The </w:t>
      </w:r>
      <w:r w:rsidRPr="00034D1B">
        <w:rPr>
          <w:rFonts w:ascii="Arial" w:hAnsi="Arial" w:cs="Arial"/>
          <w:b/>
        </w:rPr>
        <w:t>preferred option</w:t>
      </w:r>
      <w:r>
        <w:rPr>
          <w:rFonts w:ascii="Arial" w:hAnsi="Arial" w:cs="Arial"/>
        </w:rPr>
        <w:t xml:space="preserve"> is therefore Option 1, including community and </w:t>
      </w:r>
      <w:r w:rsidR="0072722B">
        <w:rPr>
          <w:rFonts w:ascii="Arial" w:hAnsi="Arial" w:cs="Arial"/>
        </w:rPr>
        <w:t>Women’s Health Centre</w:t>
      </w:r>
      <w:r>
        <w:rPr>
          <w:rFonts w:ascii="Arial" w:hAnsi="Arial" w:cs="Arial"/>
        </w:rPr>
        <w:t>s in the Scheme</w:t>
      </w:r>
      <w:r>
        <w:rPr>
          <w:rFonts w:ascii="Arial" w:hAnsi="Arial" w:cs="Arial"/>
          <w:color w:val="auto"/>
        </w:rPr>
        <w:t xml:space="preserve">. </w:t>
      </w:r>
      <w:r w:rsidR="009631D4">
        <w:rPr>
          <w:rFonts w:ascii="Arial" w:hAnsi="Arial" w:cs="Arial"/>
          <w:color w:val="auto"/>
        </w:rPr>
        <w:t>This change is</w:t>
      </w:r>
      <w:r w:rsidR="009631D4" w:rsidRPr="005A447D">
        <w:rPr>
          <w:rFonts w:ascii="Arial" w:hAnsi="Arial" w:cs="Arial"/>
          <w:color w:val="auto"/>
        </w:rPr>
        <w:t xml:space="preserve"> found in </w:t>
      </w:r>
      <w:r w:rsidR="009631D4" w:rsidRPr="00186BE4">
        <w:rPr>
          <w:rFonts w:ascii="Arial" w:hAnsi="Arial" w:cs="Arial"/>
          <w:color w:val="auto"/>
        </w:rPr>
        <w:t>Regulation 9(d)</w:t>
      </w:r>
      <w:r w:rsidR="009631D4" w:rsidRPr="005A447D">
        <w:rPr>
          <w:rFonts w:ascii="Arial" w:hAnsi="Arial" w:cs="Arial"/>
          <w:color w:val="auto"/>
        </w:rPr>
        <w:t xml:space="preserve"> </w:t>
      </w:r>
      <w:r w:rsidR="009631D4">
        <w:rPr>
          <w:rFonts w:ascii="Arial" w:hAnsi="Arial" w:cs="Arial"/>
          <w:color w:val="auto"/>
        </w:rPr>
        <w:t>of</w:t>
      </w:r>
      <w:r w:rsidR="009631D4" w:rsidRPr="005A447D">
        <w:rPr>
          <w:rFonts w:ascii="Arial" w:hAnsi="Arial" w:cs="Arial"/>
          <w:color w:val="auto"/>
        </w:rPr>
        <w:t xml:space="preserve"> the </w:t>
      </w:r>
      <w:r w:rsidR="005D6ED3">
        <w:rPr>
          <w:rFonts w:ascii="Arial" w:hAnsi="Arial" w:cs="Arial"/>
          <w:color w:val="auto"/>
        </w:rPr>
        <w:t>Proposed</w:t>
      </w:r>
      <w:r w:rsidR="005D6ED3" w:rsidRPr="005A447D">
        <w:rPr>
          <w:rFonts w:ascii="Arial" w:hAnsi="Arial" w:cs="Arial"/>
          <w:color w:val="auto"/>
        </w:rPr>
        <w:t xml:space="preserve"> </w:t>
      </w:r>
      <w:r w:rsidR="009631D4" w:rsidRPr="005A447D">
        <w:rPr>
          <w:rFonts w:ascii="Arial" w:hAnsi="Arial" w:cs="Arial"/>
          <w:color w:val="auto"/>
        </w:rPr>
        <w:t>Regulations.</w:t>
      </w:r>
      <w:r w:rsidR="009631D4">
        <w:rPr>
          <w:rFonts w:ascii="Arial" w:hAnsi="Arial" w:cs="Arial"/>
          <w:color w:val="auto"/>
        </w:rPr>
        <w:t xml:space="preserve"> </w:t>
      </w:r>
    </w:p>
    <w:p w14:paraId="0D9BC39C" w14:textId="26691F5F" w:rsidR="00AF1044" w:rsidRPr="00AF1044" w:rsidRDefault="0072722B" w:rsidP="00274787">
      <w:pPr>
        <w:keepNext/>
        <w:rPr>
          <w:rFonts w:ascii="Arial" w:eastAsiaTheme="majorEastAsia" w:hAnsi="Arial" w:cs="Arial"/>
          <w:i/>
          <w:iCs/>
          <w:color w:val="2E74B5" w:themeColor="accent1" w:themeShade="BF"/>
        </w:rPr>
      </w:pPr>
      <w:r>
        <w:rPr>
          <w:rFonts w:ascii="Arial" w:eastAsiaTheme="majorEastAsia" w:hAnsi="Arial" w:cs="Arial"/>
          <w:i/>
          <w:iCs/>
          <w:color w:val="2E74B5" w:themeColor="accent1" w:themeShade="BF"/>
        </w:rPr>
        <w:t xml:space="preserve">Option to clarify coverage of </w:t>
      </w:r>
      <w:r w:rsidR="00D36BC6">
        <w:rPr>
          <w:rFonts w:ascii="Arial" w:eastAsiaTheme="majorEastAsia" w:hAnsi="Arial" w:cs="Arial"/>
          <w:i/>
          <w:iCs/>
          <w:color w:val="2E74B5" w:themeColor="accent1" w:themeShade="BF"/>
        </w:rPr>
        <w:t>for</w:t>
      </w:r>
      <w:r w:rsidR="00D36BC6">
        <w:rPr>
          <w:rFonts w:ascii="Arial" w:eastAsiaTheme="majorEastAsia" w:hAnsi="Arial" w:cs="Arial"/>
          <w:i/>
          <w:iCs/>
          <w:color w:val="2E74B5" w:themeColor="accent1" w:themeShade="BF"/>
        </w:rPr>
        <w:noBreakHyphen/>
        <w:t>profit</w:t>
      </w:r>
      <w:r w:rsidR="00AF1044" w:rsidRPr="00AF1044">
        <w:rPr>
          <w:rFonts w:ascii="Arial" w:eastAsiaTheme="majorEastAsia" w:hAnsi="Arial" w:cs="Arial"/>
          <w:i/>
          <w:iCs/>
          <w:color w:val="2E74B5" w:themeColor="accent1" w:themeShade="BF"/>
        </w:rPr>
        <w:t xml:space="preserve"> providers of early childhood services</w:t>
      </w:r>
    </w:p>
    <w:p w14:paraId="200AC0E5" w14:textId="7163F01D" w:rsidR="00AF1044" w:rsidRPr="00AF1044" w:rsidRDefault="00AF1044" w:rsidP="00E01771">
      <w:pPr>
        <w:pStyle w:val="BodyText"/>
      </w:pPr>
      <w:r>
        <w:t xml:space="preserve">Due to the specific nature of the residual problem, there is only one </w:t>
      </w:r>
      <w:r w:rsidRPr="00AF1044">
        <w:rPr>
          <w:b/>
        </w:rPr>
        <w:t>option</w:t>
      </w:r>
      <w:r w:rsidR="002A50A9" w:rsidRPr="002A50A9">
        <w:t>,</w:t>
      </w:r>
      <w:r>
        <w:t xml:space="preserve"> aside from the status quo</w:t>
      </w:r>
      <w:r w:rsidR="002A50A9">
        <w:t>,</w:t>
      </w:r>
      <w:r>
        <w:t xml:space="preserve"> to </w:t>
      </w:r>
      <w:r w:rsidR="00F81D91">
        <w:t>clarify whether</w:t>
      </w:r>
      <w:r>
        <w:t xml:space="preserve"> </w:t>
      </w:r>
      <w:r w:rsidR="00D36BC6">
        <w:t>for</w:t>
      </w:r>
      <w:r w:rsidR="00D36BC6">
        <w:noBreakHyphen/>
        <w:t>profit</w:t>
      </w:r>
      <w:r>
        <w:t xml:space="preserve"> provider</w:t>
      </w:r>
      <w:r w:rsidR="00F81D91">
        <w:t>s of early childhood services are</w:t>
      </w:r>
      <w:r>
        <w:t xml:space="preserve"> </w:t>
      </w:r>
      <w:r w:rsidR="00F81D91">
        <w:t>excluded from the Scheme</w:t>
      </w:r>
      <w:r w:rsidRPr="00AF1044">
        <w:t>. This is to s</w:t>
      </w:r>
      <w:r w:rsidRPr="00AF1044">
        <w:rPr>
          <w:color w:val="auto"/>
        </w:rPr>
        <w:t xml:space="preserve">pecifically exclude </w:t>
      </w:r>
      <w:r w:rsidR="00D36BC6">
        <w:rPr>
          <w:color w:val="auto"/>
        </w:rPr>
        <w:t>for</w:t>
      </w:r>
      <w:r w:rsidR="00D36BC6">
        <w:rPr>
          <w:color w:val="auto"/>
        </w:rPr>
        <w:noBreakHyphen/>
        <w:t>profit</w:t>
      </w:r>
      <w:r w:rsidRPr="00AF1044">
        <w:rPr>
          <w:color w:val="auto"/>
        </w:rPr>
        <w:t xml:space="preserve"> providers from the Scheme.</w:t>
      </w:r>
      <w:r w:rsidR="00D70046">
        <w:rPr>
          <w:color w:val="auto"/>
        </w:rPr>
        <w:t xml:space="preserve"> Excluding </w:t>
      </w:r>
      <w:r w:rsidR="00D36BC6">
        <w:rPr>
          <w:color w:val="auto"/>
        </w:rPr>
        <w:t>for</w:t>
      </w:r>
      <w:r w:rsidR="00D36BC6">
        <w:rPr>
          <w:color w:val="auto"/>
        </w:rPr>
        <w:noBreakHyphen/>
        <w:t>profit</w:t>
      </w:r>
      <w:r w:rsidR="00D70046">
        <w:rPr>
          <w:color w:val="auto"/>
        </w:rPr>
        <w:t xml:space="preserve"> providers is consistent with the intent of the </w:t>
      </w:r>
      <w:r w:rsidR="005D6ED3">
        <w:rPr>
          <w:color w:val="auto"/>
        </w:rPr>
        <w:t xml:space="preserve">LSBP </w:t>
      </w:r>
      <w:r w:rsidR="00D70046">
        <w:rPr>
          <w:color w:val="auto"/>
        </w:rPr>
        <w:t>Act.</w:t>
      </w:r>
    </w:p>
    <w:p w14:paraId="7BFA632C" w14:textId="684B906D" w:rsidR="009631D4" w:rsidRPr="00DB3ADD" w:rsidRDefault="00AF1044" w:rsidP="009631D4">
      <w:pPr>
        <w:pStyle w:val="HeadingLevel3NoNumber"/>
        <w:rPr>
          <w:rFonts w:cs="Arial"/>
          <w:color w:val="FF0000"/>
        </w:rPr>
      </w:pPr>
      <w:r w:rsidRPr="00AF1044">
        <w:rPr>
          <w:rFonts w:cs="Arial"/>
          <w:i w:val="0"/>
          <w:color w:val="000000" w:themeColor="text1"/>
          <w:sz w:val="22"/>
          <w:szCs w:val="22"/>
        </w:rPr>
        <w:t xml:space="preserve">Analysis shows this </w:t>
      </w:r>
      <w:r w:rsidRPr="00AF1044">
        <w:rPr>
          <w:rFonts w:cs="Arial"/>
          <w:b/>
          <w:i w:val="0"/>
          <w:color w:val="000000" w:themeColor="text1"/>
          <w:sz w:val="22"/>
          <w:szCs w:val="22"/>
        </w:rPr>
        <w:t>option</w:t>
      </w:r>
      <w:r w:rsidRPr="00AF1044">
        <w:rPr>
          <w:rFonts w:cs="Arial"/>
          <w:i w:val="0"/>
          <w:color w:val="000000" w:themeColor="text1"/>
          <w:sz w:val="22"/>
          <w:szCs w:val="22"/>
        </w:rPr>
        <w:t xml:space="preserve"> is preferable to the status quo. </w:t>
      </w:r>
      <w:r w:rsidR="00A91B24">
        <w:rPr>
          <w:rFonts w:cs="Arial"/>
          <w:i w:val="0"/>
          <w:color w:val="000000" w:themeColor="text1"/>
          <w:sz w:val="22"/>
          <w:szCs w:val="22"/>
        </w:rPr>
        <w:t xml:space="preserve">Under the impact assessment framework, it scored </w:t>
      </w:r>
      <w:r w:rsidR="00F35678">
        <w:rPr>
          <w:rFonts w:cs="Arial"/>
          <w:i w:val="0"/>
          <w:color w:val="000000" w:themeColor="text1"/>
          <w:sz w:val="22"/>
          <w:szCs w:val="22"/>
        </w:rPr>
        <w:t>0.5</w:t>
      </w:r>
      <w:r w:rsidR="00A91B24">
        <w:rPr>
          <w:rFonts w:cs="Arial"/>
          <w:i w:val="0"/>
          <w:color w:val="000000" w:themeColor="text1"/>
          <w:sz w:val="22"/>
          <w:szCs w:val="22"/>
        </w:rPr>
        <w:t xml:space="preserve">. </w:t>
      </w:r>
      <w:r w:rsidRPr="00AF1044">
        <w:rPr>
          <w:rFonts w:cs="Arial"/>
          <w:i w:val="0"/>
          <w:color w:val="000000" w:themeColor="text1"/>
          <w:sz w:val="22"/>
          <w:szCs w:val="22"/>
        </w:rPr>
        <w:t xml:space="preserve">This </w:t>
      </w:r>
      <w:r w:rsidRPr="00034D1B">
        <w:rPr>
          <w:rFonts w:cs="Arial"/>
          <w:b/>
          <w:i w:val="0"/>
          <w:color w:val="000000" w:themeColor="text1"/>
          <w:sz w:val="22"/>
          <w:szCs w:val="22"/>
        </w:rPr>
        <w:t>preferred option</w:t>
      </w:r>
      <w:r w:rsidRPr="00AF1044">
        <w:rPr>
          <w:rFonts w:cs="Arial"/>
          <w:i w:val="0"/>
          <w:color w:val="000000" w:themeColor="text1"/>
          <w:sz w:val="22"/>
          <w:szCs w:val="22"/>
        </w:rPr>
        <w:t xml:space="preserve"> is </w:t>
      </w:r>
      <w:r w:rsidR="009631D4" w:rsidRPr="00DB3ADD">
        <w:rPr>
          <w:rFonts w:cs="Arial"/>
          <w:i w:val="0"/>
          <w:color w:val="auto"/>
          <w:sz w:val="22"/>
          <w:szCs w:val="22"/>
        </w:rPr>
        <w:t xml:space="preserve">found in </w:t>
      </w:r>
      <w:r w:rsidR="009631D4" w:rsidRPr="00186BE4">
        <w:rPr>
          <w:rFonts w:cs="Arial"/>
          <w:i w:val="0"/>
          <w:color w:val="auto"/>
          <w:sz w:val="22"/>
          <w:szCs w:val="22"/>
        </w:rPr>
        <w:t>Regulation 9(e)</w:t>
      </w:r>
      <w:r w:rsidR="009631D4" w:rsidRPr="00DB3ADD">
        <w:rPr>
          <w:rFonts w:cs="Arial"/>
          <w:i w:val="0"/>
          <w:color w:val="auto"/>
          <w:sz w:val="22"/>
          <w:szCs w:val="22"/>
        </w:rPr>
        <w:t xml:space="preserve"> of the </w:t>
      </w:r>
      <w:r w:rsidR="005D6ED3">
        <w:rPr>
          <w:rFonts w:cs="Arial"/>
          <w:i w:val="0"/>
          <w:color w:val="auto"/>
          <w:sz w:val="22"/>
          <w:szCs w:val="22"/>
        </w:rPr>
        <w:t>Proposed</w:t>
      </w:r>
      <w:r w:rsidR="005D6ED3" w:rsidRPr="00DB3ADD">
        <w:rPr>
          <w:rFonts w:cs="Arial"/>
          <w:i w:val="0"/>
          <w:color w:val="auto"/>
          <w:sz w:val="22"/>
          <w:szCs w:val="22"/>
        </w:rPr>
        <w:t xml:space="preserve"> </w:t>
      </w:r>
      <w:r w:rsidR="009631D4" w:rsidRPr="00DB3ADD">
        <w:rPr>
          <w:rFonts w:cs="Arial"/>
          <w:i w:val="0"/>
          <w:color w:val="auto"/>
          <w:sz w:val="22"/>
          <w:szCs w:val="22"/>
        </w:rPr>
        <w:t>Regulations.</w:t>
      </w:r>
      <w:r w:rsidR="009631D4">
        <w:rPr>
          <w:rFonts w:cs="Arial"/>
          <w:color w:val="auto"/>
        </w:rPr>
        <w:t xml:space="preserve"> </w:t>
      </w:r>
    </w:p>
    <w:p w14:paraId="01DC6202" w14:textId="6A664E8B" w:rsidR="00547C42" w:rsidRPr="00EC5379" w:rsidRDefault="0072722B" w:rsidP="00AF1044">
      <w:pPr>
        <w:pStyle w:val="HeadingLevel3NoNumber"/>
        <w:rPr>
          <w:rFonts w:cs="Arial"/>
        </w:rPr>
      </w:pPr>
      <w:r>
        <w:rPr>
          <w:rFonts w:cs="Arial"/>
        </w:rPr>
        <w:t>Options or clarif</w:t>
      </w:r>
      <w:r w:rsidR="004C3990">
        <w:rPr>
          <w:rFonts w:cs="Arial"/>
        </w:rPr>
        <w:t>ication of</w:t>
      </w:r>
      <w:r>
        <w:rPr>
          <w:rFonts w:cs="Arial"/>
        </w:rPr>
        <w:t xml:space="preserve"> who </w:t>
      </w:r>
      <w:r w:rsidR="00547C42">
        <w:rPr>
          <w:rFonts w:cs="Arial"/>
        </w:rPr>
        <w:t>is</w:t>
      </w:r>
      <w:r w:rsidR="0071726F">
        <w:rPr>
          <w:rFonts w:cs="Arial"/>
        </w:rPr>
        <w:t xml:space="preserve"> regarded as</w:t>
      </w:r>
      <w:r w:rsidR="00547C42">
        <w:rPr>
          <w:rFonts w:cs="Arial"/>
        </w:rPr>
        <w:t xml:space="preserve"> an employee in the community services sector</w:t>
      </w:r>
    </w:p>
    <w:p w14:paraId="1A0A3129" w14:textId="19AE5F99" w:rsidR="00B31505" w:rsidRDefault="00B31505" w:rsidP="00B31505">
      <w:pPr>
        <w:rPr>
          <w:rFonts w:ascii="Arial" w:hAnsi="Arial" w:cs="Arial"/>
        </w:rPr>
      </w:pPr>
      <w:r>
        <w:rPr>
          <w:rFonts w:ascii="Arial" w:hAnsi="Arial" w:cs="Arial"/>
        </w:rPr>
        <w:t xml:space="preserve">Options to clarify who is </w:t>
      </w:r>
      <w:r w:rsidR="0071726F">
        <w:rPr>
          <w:rFonts w:ascii="Arial" w:hAnsi="Arial" w:cs="Arial"/>
          <w:color w:val="auto"/>
        </w:rPr>
        <w:t xml:space="preserve">regarded as </w:t>
      </w:r>
      <w:r>
        <w:rPr>
          <w:rFonts w:ascii="Arial" w:hAnsi="Arial" w:cs="Arial"/>
        </w:rPr>
        <w:t xml:space="preserve">an employee in the community services sector include: </w:t>
      </w:r>
    </w:p>
    <w:p w14:paraId="10936BA9" w14:textId="5FE25273" w:rsidR="00846CF0" w:rsidRPr="00F211F6" w:rsidRDefault="00846CF0" w:rsidP="00846CF0">
      <w:pPr>
        <w:pStyle w:val="ListBullet"/>
        <w:numPr>
          <w:ilvl w:val="0"/>
          <w:numId w:val="33"/>
        </w:numPr>
        <w:contextualSpacing w:val="0"/>
        <w:rPr>
          <w:rFonts w:cs="Arial"/>
          <w:color w:val="auto"/>
        </w:rPr>
      </w:pPr>
      <w:r>
        <w:rPr>
          <w:rFonts w:cs="Arial"/>
          <w:color w:val="auto"/>
        </w:rPr>
        <w:t>Providing additional clarity around the application of the employe</w:t>
      </w:r>
      <w:r w:rsidR="00D70046">
        <w:rPr>
          <w:rFonts w:cs="Arial"/>
          <w:color w:val="auto"/>
        </w:rPr>
        <w:t>e</w:t>
      </w:r>
      <w:r>
        <w:rPr>
          <w:rFonts w:cs="Arial"/>
          <w:color w:val="auto"/>
        </w:rPr>
        <w:t xml:space="preserve"> predominance test (Option 1); </w:t>
      </w:r>
    </w:p>
    <w:p w14:paraId="7DDE52E2" w14:textId="4A9239D7" w:rsidR="00034D1B" w:rsidRPr="00F211F6" w:rsidRDefault="00034D1B" w:rsidP="00034D1B">
      <w:pPr>
        <w:pStyle w:val="ListBullet"/>
        <w:numPr>
          <w:ilvl w:val="0"/>
          <w:numId w:val="33"/>
        </w:numPr>
        <w:contextualSpacing w:val="0"/>
        <w:rPr>
          <w:rFonts w:cs="Arial"/>
          <w:color w:val="auto"/>
        </w:rPr>
      </w:pPr>
      <w:r w:rsidRPr="00F211F6">
        <w:rPr>
          <w:rFonts w:cs="Arial"/>
          <w:color w:val="auto"/>
        </w:rPr>
        <w:t xml:space="preserve">Replacing the employee predominance test with a </w:t>
      </w:r>
      <w:r>
        <w:rPr>
          <w:rFonts w:cs="Arial"/>
          <w:color w:val="auto"/>
        </w:rPr>
        <w:t xml:space="preserve">modern award </w:t>
      </w:r>
      <w:r w:rsidRPr="00F211F6">
        <w:rPr>
          <w:rFonts w:cs="Arial"/>
          <w:color w:val="auto"/>
        </w:rPr>
        <w:t>coverage test</w:t>
      </w:r>
      <w:r w:rsidR="00846CF0">
        <w:rPr>
          <w:rFonts w:cs="Arial"/>
          <w:color w:val="auto"/>
        </w:rPr>
        <w:t xml:space="preserve"> (Option 2</w:t>
      </w:r>
      <w:r>
        <w:rPr>
          <w:rFonts w:cs="Arial"/>
          <w:color w:val="auto"/>
        </w:rPr>
        <w:t>)</w:t>
      </w:r>
      <w:r w:rsidRPr="00F211F6">
        <w:rPr>
          <w:rFonts w:cs="Arial"/>
          <w:color w:val="auto"/>
        </w:rPr>
        <w:t>; and</w:t>
      </w:r>
    </w:p>
    <w:p w14:paraId="551E9499" w14:textId="439EEB3C" w:rsidR="00034D1B" w:rsidRPr="00FE45BE" w:rsidRDefault="00E947D1" w:rsidP="00FE45BE">
      <w:pPr>
        <w:pStyle w:val="ListBullet"/>
        <w:numPr>
          <w:ilvl w:val="0"/>
          <w:numId w:val="33"/>
        </w:numPr>
        <w:rPr>
          <w:rFonts w:cs="Arial"/>
          <w:color w:val="auto"/>
        </w:rPr>
      </w:pPr>
      <w:r>
        <w:rPr>
          <w:rFonts w:cs="Arial"/>
          <w:color w:val="auto"/>
        </w:rPr>
        <w:t>Excluding</w:t>
      </w:r>
      <w:r w:rsidR="00FE45BE">
        <w:rPr>
          <w:rFonts w:cs="Arial"/>
          <w:color w:val="auto"/>
        </w:rPr>
        <w:t xml:space="preserve"> management and administrative activities from the existing employee test </w:t>
      </w:r>
      <w:r w:rsidR="00846CF0">
        <w:rPr>
          <w:rFonts w:cs="Arial"/>
          <w:color w:val="auto"/>
        </w:rPr>
        <w:t>(Option 3</w:t>
      </w:r>
      <w:r w:rsidR="00034D1B" w:rsidRPr="00FE45BE">
        <w:rPr>
          <w:rFonts w:cs="Arial"/>
          <w:color w:val="auto"/>
        </w:rPr>
        <w:t>).</w:t>
      </w:r>
    </w:p>
    <w:p w14:paraId="06786432" w14:textId="1BBFBE22" w:rsidR="00D70046" w:rsidRDefault="00D70046" w:rsidP="00DB3ADD">
      <w:pPr>
        <w:pStyle w:val="BodyText"/>
      </w:pPr>
      <w:r w:rsidRPr="00B31505">
        <w:rPr>
          <w:rFonts w:cs="Arial"/>
          <w:b/>
        </w:rPr>
        <w:t>Analysis</w:t>
      </w:r>
      <w:r>
        <w:rPr>
          <w:rFonts w:cs="Arial"/>
        </w:rPr>
        <w:t xml:space="preserve"> of the options found that Option 1 would assist employers to determine who is </w:t>
      </w:r>
      <w:r w:rsidR="0071726F">
        <w:rPr>
          <w:rFonts w:cs="Arial"/>
          <w:color w:val="auto"/>
        </w:rPr>
        <w:t xml:space="preserve">regarded as </w:t>
      </w:r>
      <w:r>
        <w:rPr>
          <w:rFonts w:cs="Arial"/>
        </w:rPr>
        <w:t>an eligible employee. Although this would reduce administrative burdens for employers</w:t>
      </w:r>
      <w:r w:rsidR="002A50A9">
        <w:rPr>
          <w:rFonts w:cs="Arial"/>
        </w:rPr>
        <w:t>,</w:t>
      </w:r>
      <w:r>
        <w:rPr>
          <w:rFonts w:cs="Arial"/>
        </w:rPr>
        <w:t xml:space="preserve"> the employee predominance test would </w:t>
      </w:r>
      <w:r w:rsidRPr="004B3C99">
        <w:rPr>
          <w:rFonts w:cs="Arial"/>
          <w:color w:val="auto"/>
        </w:rPr>
        <w:t>remain an administrative burden on employers.</w:t>
      </w:r>
      <w:r>
        <w:rPr>
          <w:rFonts w:cs="Arial"/>
          <w:color w:val="auto"/>
        </w:rPr>
        <w:t xml:space="preserve"> </w:t>
      </w:r>
    </w:p>
    <w:p w14:paraId="525A17C0" w14:textId="71E0083B" w:rsidR="00F263B1" w:rsidRPr="00F263B1" w:rsidRDefault="00D365BD" w:rsidP="00B31505">
      <w:pPr>
        <w:rPr>
          <w:rFonts w:ascii="Arial" w:hAnsi="Arial" w:cs="Arial"/>
          <w:color w:val="auto"/>
        </w:rPr>
      </w:pPr>
      <w:r>
        <w:rPr>
          <w:rFonts w:ascii="Arial" w:hAnsi="Arial" w:cs="Arial"/>
        </w:rPr>
        <w:t xml:space="preserve">Option 2 </w:t>
      </w:r>
      <w:r w:rsidR="00F263B1">
        <w:rPr>
          <w:rFonts w:ascii="Arial" w:hAnsi="Arial" w:cs="Arial"/>
        </w:rPr>
        <w:t xml:space="preserve">would </w:t>
      </w:r>
      <w:r w:rsidR="00F263B1">
        <w:rPr>
          <w:rFonts w:ascii="Arial" w:hAnsi="Arial" w:cs="Arial"/>
          <w:color w:val="auto"/>
        </w:rPr>
        <w:t xml:space="preserve">improve </w:t>
      </w:r>
      <w:r w:rsidR="00F263B1" w:rsidRPr="004B3C99">
        <w:rPr>
          <w:rFonts w:ascii="Arial" w:hAnsi="Arial" w:cs="Arial"/>
          <w:color w:val="auto"/>
        </w:rPr>
        <w:t>equity of long service entitlements within the sector.</w:t>
      </w:r>
      <w:r w:rsidR="00F263B1">
        <w:rPr>
          <w:rFonts w:ascii="Arial" w:hAnsi="Arial" w:cs="Arial"/>
          <w:color w:val="auto"/>
        </w:rPr>
        <w:t xml:space="preserve"> It provides the greatest clarity to employees and employers as to whether they are covered by the Scheme. </w:t>
      </w:r>
      <w:r w:rsidR="00F263B1" w:rsidRPr="00B95D05">
        <w:rPr>
          <w:rFonts w:ascii="Arial" w:hAnsi="Arial" w:cs="Arial"/>
          <w:color w:val="auto"/>
        </w:rPr>
        <w:t xml:space="preserve">This option is expected to result in more employees being covered by the Scheme, </w:t>
      </w:r>
      <w:r w:rsidR="00F263B1">
        <w:rPr>
          <w:rFonts w:ascii="Arial" w:hAnsi="Arial" w:cs="Arial"/>
          <w:color w:val="auto"/>
        </w:rPr>
        <w:t>which would increase</w:t>
      </w:r>
      <w:r w:rsidR="00F263B1" w:rsidRPr="00B95D05">
        <w:rPr>
          <w:rFonts w:ascii="Arial" w:hAnsi="Arial" w:cs="Arial"/>
          <w:color w:val="auto"/>
        </w:rPr>
        <w:t xml:space="preserve"> the financial impact on </w:t>
      </w:r>
      <w:r w:rsidR="00DB01D9">
        <w:rPr>
          <w:rFonts w:ascii="Arial" w:hAnsi="Arial" w:cs="Arial"/>
          <w:color w:val="auto"/>
        </w:rPr>
        <w:t>employers</w:t>
      </w:r>
      <w:r w:rsidR="00F263B1">
        <w:rPr>
          <w:rFonts w:ascii="Arial" w:hAnsi="Arial" w:cs="Arial"/>
          <w:color w:val="auto"/>
        </w:rPr>
        <w:t xml:space="preserve">. </w:t>
      </w:r>
      <w:r w:rsidR="009631D4">
        <w:rPr>
          <w:rFonts w:ascii="Arial" w:hAnsi="Arial" w:cs="Arial"/>
          <w:color w:val="auto"/>
        </w:rPr>
        <w:t xml:space="preserve">Feedback from stakeholders indicated </w:t>
      </w:r>
      <w:r w:rsidR="009631D4">
        <w:rPr>
          <w:rFonts w:ascii="Arial" w:hAnsi="Arial" w:cs="Arial"/>
          <w:color w:val="auto"/>
        </w:rPr>
        <w:lastRenderedPageBreak/>
        <w:t>that this</w:t>
      </w:r>
      <w:r w:rsidR="0060417C">
        <w:rPr>
          <w:rFonts w:ascii="Arial" w:hAnsi="Arial" w:cs="Arial"/>
          <w:color w:val="auto"/>
        </w:rPr>
        <w:t xml:space="preserve"> option </w:t>
      </w:r>
      <w:r w:rsidR="0072722B">
        <w:rPr>
          <w:rFonts w:ascii="Arial" w:hAnsi="Arial" w:cs="Arial"/>
          <w:color w:val="auto"/>
        </w:rPr>
        <w:t xml:space="preserve">may </w:t>
      </w:r>
      <w:r w:rsidR="0060417C">
        <w:rPr>
          <w:rFonts w:ascii="Arial" w:hAnsi="Arial" w:cs="Arial"/>
          <w:color w:val="auto"/>
        </w:rPr>
        <w:t>increase coverage by 10 to 20 percent</w:t>
      </w:r>
      <w:r w:rsidR="009631D4">
        <w:rPr>
          <w:rFonts w:ascii="Arial" w:hAnsi="Arial" w:cs="Arial"/>
          <w:color w:val="auto"/>
        </w:rPr>
        <w:t xml:space="preserve">, although it was not possible to estimate a precise number of </w:t>
      </w:r>
      <w:r w:rsidR="002A50A9">
        <w:rPr>
          <w:rFonts w:ascii="Arial" w:hAnsi="Arial" w:cs="Arial"/>
          <w:color w:val="auto"/>
        </w:rPr>
        <w:t xml:space="preserve">affected </w:t>
      </w:r>
      <w:r w:rsidR="009631D4">
        <w:rPr>
          <w:rFonts w:ascii="Arial" w:hAnsi="Arial" w:cs="Arial"/>
          <w:color w:val="auto"/>
        </w:rPr>
        <w:t>employees.</w:t>
      </w:r>
    </w:p>
    <w:p w14:paraId="0CF2D068" w14:textId="3AA8A231" w:rsidR="00D365BD" w:rsidRDefault="00D365BD" w:rsidP="00D365BD">
      <w:pPr>
        <w:pStyle w:val="BodyText"/>
        <w:rPr>
          <w:rFonts w:cs="Arial"/>
          <w:color w:val="auto"/>
        </w:rPr>
      </w:pPr>
      <w:r>
        <w:rPr>
          <w:rFonts w:cs="Arial"/>
        </w:rPr>
        <w:t xml:space="preserve">Option 3 </w:t>
      </w:r>
      <w:r>
        <w:rPr>
          <w:rFonts w:cs="Arial"/>
          <w:color w:val="auto"/>
        </w:rPr>
        <w:t>reduces</w:t>
      </w:r>
      <w:r w:rsidRPr="004B3C99">
        <w:rPr>
          <w:rFonts w:cs="Arial"/>
          <w:color w:val="auto"/>
        </w:rPr>
        <w:t xml:space="preserve"> equity of long service entitlements within the sector</w:t>
      </w:r>
      <w:r>
        <w:rPr>
          <w:rFonts w:cs="Arial"/>
          <w:color w:val="auto"/>
        </w:rPr>
        <w:t>. This is because it is not easy to differentiate between employees directly delivering community services and employees supporting the delivery of community service work through administrative or managerial roles. These activities are often indivisible in the sector</w:t>
      </w:r>
      <w:r w:rsidR="0072722B">
        <w:rPr>
          <w:rFonts w:cs="Arial"/>
          <w:color w:val="auto"/>
        </w:rPr>
        <w:t xml:space="preserve"> and can be carried out by the same employee.</w:t>
      </w:r>
    </w:p>
    <w:p w14:paraId="7473F7F1" w14:textId="59588B90" w:rsidR="00A91B24" w:rsidRPr="00D365BD" w:rsidRDefault="00A91B24" w:rsidP="00D365BD">
      <w:pPr>
        <w:pStyle w:val="BodyText"/>
        <w:rPr>
          <w:rFonts w:cs="Arial"/>
          <w:color w:val="auto"/>
        </w:rPr>
      </w:pPr>
      <w:r>
        <w:rPr>
          <w:rFonts w:cs="Arial"/>
          <w:color w:val="auto"/>
        </w:rPr>
        <w:t>Under the impact assessment framework, Option 1 scored 0.6</w:t>
      </w:r>
      <w:r w:rsidR="002A50A9">
        <w:rPr>
          <w:rFonts w:cs="Arial"/>
          <w:color w:val="auto"/>
        </w:rPr>
        <w:t xml:space="preserve">, </w:t>
      </w:r>
      <w:r>
        <w:rPr>
          <w:rFonts w:cs="Arial"/>
          <w:color w:val="auto"/>
        </w:rPr>
        <w:t>Option</w:t>
      </w:r>
      <w:r w:rsidR="002A50A9">
        <w:rPr>
          <w:rFonts w:cs="Arial"/>
          <w:color w:val="auto"/>
        </w:rPr>
        <w:t> 2</w:t>
      </w:r>
      <w:r>
        <w:rPr>
          <w:rFonts w:cs="Arial"/>
          <w:color w:val="auto"/>
        </w:rPr>
        <w:t xml:space="preserve"> scored 2.0</w:t>
      </w:r>
      <w:r w:rsidR="002A50A9">
        <w:rPr>
          <w:rFonts w:cs="Arial"/>
          <w:color w:val="auto"/>
        </w:rPr>
        <w:t xml:space="preserve">, </w:t>
      </w:r>
      <w:r>
        <w:rPr>
          <w:rFonts w:cs="Arial"/>
          <w:color w:val="auto"/>
        </w:rPr>
        <w:t>and Option 3 scored -0.5.</w:t>
      </w:r>
    </w:p>
    <w:p w14:paraId="459D52F2" w14:textId="34EF0607" w:rsidR="009631D4" w:rsidRPr="00DB3ADD" w:rsidRDefault="00FE45BE" w:rsidP="00B31505">
      <w:pPr>
        <w:rPr>
          <w:rFonts w:ascii="Arial" w:hAnsi="Arial" w:cs="Arial"/>
          <w:color w:val="auto"/>
        </w:rPr>
      </w:pPr>
      <w:r>
        <w:rPr>
          <w:rFonts w:ascii="Arial" w:hAnsi="Arial" w:cs="Arial"/>
        </w:rPr>
        <w:t xml:space="preserve">The </w:t>
      </w:r>
      <w:r w:rsidRPr="00034D1B">
        <w:rPr>
          <w:rFonts w:ascii="Arial" w:hAnsi="Arial" w:cs="Arial"/>
          <w:b/>
        </w:rPr>
        <w:t>preferred option</w:t>
      </w:r>
      <w:r w:rsidR="00846CF0">
        <w:rPr>
          <w:rFonts w:ascii="Arial" w:hAnsi="Arial" w:cs="Arial"/>
        </w:rPr>
        <w:t xml:space="preserve"> is therefore Option 2</w:t>
      </w:r>
      <w:r>
        <w:rPr>
          <w:rFonts w:ascii="Arial" w:hAnsi="Arial" w:cs="Arial"/>
        </w:rPr>
        <w:t>, replacing the employee predominance test with a modern award coverage test</w:t>
      </w:r>
      <w:r>
        <w:rPr>
          <w:rFonts w:ascii="Arial" w:hAnsi="Arial" w:cs="Arial"/>
          <w:color w:val="auto"/>
        </w:rPr>
        <w:t xml:space="preserve">. </w:t>
      </w:r>
      <w:r w:rsidR="009631D4" w:rsidRPr="005A447D">
        <w:rPr>
          <w:rFonts w:ascii="Arial" w:hAnsi="Arial" w:cs="Arial"/>
          <w:color w:val="auto"/>
        </w:rPr>
        <w:t>T</w:t>
      </w:r>
      <w:r w:rsidR="009631D4">
        <w:rPr>
          <w:rFonts w:ascii="Arial" w:hAnsi="Arial" w:cs="Arial"/>
          <w:color w:val="auto"/>
        </w:rPr>
        <w:t>his change is</w:t>
      </w:r>
      <w:r w:rsidR="009631D4" w:rsidRPr="005A447D">
        <w:rPr>
          <w:rFonts w:ascii="Arial" w:hAnsi="Arial" w:cs="Arial"/>
          <w:color w:val="auto"/>
        </w:rPr>
        <w:t xml:space="preserve"> found in </w:t>
      </w:r>
      <w:r w:rsidR="009631D4" w:rsidRPr="007B63D7">
        <w:rPr>
          <w:rFonts w:ascii="Arial" w:hAnsi="Arial" w:cs="Arial"/>
          <w:color w:val="auto"/>
        </w:rPr>
        <w:t>Regulation 10</w:t>
      </w:r>
      <w:r w:rsidR="009631D4" w:rsidRPr="005A447D">
        <w:rPr>
          <w:rFonts w:ascii="Arial" w:hAnsi="Arial" w:cs="Arial"/>
          <w:color w:val="auto"/>
        </w:rPr>
        <w:t xml:space="preserve"> </w:t>
      </w:r>
      <w:r w:rsidR="009631D4">
        <w:rPr>
          <w:rFonts w:ascii="Arial" w:hAnsi="Arial" w:cs="Arial"/>
          <w:color w:val="auto"/>
        </w:rPr>
        <w:t>of</w:t>
      </w:r>
      <w:r w:rsidR="009631D4" w:rsidRPr="005A447D">
        <w:rPr>
          <w:rFonts w:ascii="Arial" w:hAnsi="Arial" w:cs="Arial"/>
          <w:color w:val="auto"/>
        </w:rPr>
        <w:t xml:space="preserve"> the </w:t>
      </w:r>
      <w:r w:rsidR="005D6ED3">
        <w:rPr>
          <w:rFonts w:ascii="Arial" w:hAnsi="Arial" w:cs="Arial"/>
          <w:color w:val="auto"/>
        </w:rPr>
        <w:t>Proposed</w:t>
      </w:r>
      <w:r w:rsidR="005D6ED3" w:rsidRPr="005A447D">
        <w:rPr>
          <w:rFonts w:ascii="Arial" w:hAnsi="Arial" w:cs="Arial"/>
          <w:color w:val="auto"/>
        </w:rPr>
        <w:t xml:space="preserve"> </w:t>
      </w:r>
      <w:r w:rsidR="009631D4" w:rsidRPr="005A447D">
        <w:rPr>
          <w:rFonts w:ascii="Arial" w:hAnsi="Arial" w:cs="Arial"/>
          <w:color w:val="auto"/>
        </w:rPr>
        <w:t>Regulations.</w:t>
      </w:r>
      <w:r w:rsidR="009631D4">
        <w:rPr>
          <w:rFonts w:ascii="Arial" w:hAnsi="Arial" w:cs="Arial"/>
          <w:color w:val="auto"/>
        </w:rPr>
        <w:t xml:space="preserve"> </w:t>
      </w:r>
    </w:p>
    <w:p w14:paraId="237BA239" w14:textId="50C717E7" w:rsidR="00547C42" w:rsidRPr="00EC5379" w:rsidRDefault="0072722B" w:rsidP="00547C42">
      <w:pPr>
        <w:pStyle w:val="HeadingLevel3NoNumber"/>
        <w:rPr>
          <w:rFonts w:cs="Arial"/>
        </w:rPr>
      </w:pPr>
      <w:r>
        <w:rPr>
          <w:rFonts w:cs="Arial"/>
        </w:rPr>
        <w:t>Options to clarify w</w:t>
      </w:r>
      <w:r w:rsidR="00547C42">
        <w:rPr>
          <w:rFonts w:cs="Arial"/>
        </w:rPr>
        <w:t xml:space="preserve">ho is </w:t>
      </w:r>
      <w:r w:rsidR="0071726F">
        <w:rPr>
          <w:rFonts w:cs="Arial"/>
        </w:rPr>
        <w:t xml:space="preserve">regarded as </w:t>
      </w:r>
      <w:r w:rsidR="00547C42">
        <w:rPr>
          <w:rFonts w:cs="Arial"/>
        </w:rPr>
        <w:t>an employee in the security sector</w:t>
      </w:r>
    </w:p>
    <w:p w14:paraId="07535D97" w14:textId="4B7831E6" w:rsidR="00B31505" w:rsidRDefault="00B31505" w:rsidP="00B31505">
      <w:pPr>
        <w:rPr>
          <w:rFonts w:ascii="Arial" w:hAnsi="Arial" w:cs="Arial"/>
        </w:rPr>
      </w:pPr>
      <w:r>
        <w:rPr>
          <w:rFonts w:ascii="Arial" w:hAnsi="Arial" w:cs="Arial"/>
        </w:rPr>
        <w:t xml:space="preserve">Options to clarify who is </w:t>
      </w:r>
      <w:r w:rsidR="0071726F">
        <w:rPr>
          <w:rFonts w:ascii="Arial" w:hAnsi="Arial" w:cs="Arial"/>
          <w:color w:val="auto"/>
        </w:rPr>
        <w:t xml:space="preserve">regarded as </w:t>
      </w:r>
      <w:r>
        <w:rPr>
          <w:rFonts w:ascii="Arial" w:hAnsi="Arial" w:cs="Arial"/>
        </w:rPr>
        <w:t>an employee in the security sector include:</w:t>
      </w:r>
    </w:p>
    <w:p w14:paraId="52D96F01" w14:textId="0333A7FD" w:rsidR="00034D1B" w:rsidRPr="00F211F6" w:rsidRDefault="00034D1B" w:rsidP="00034D1B">
      <w:pPr>
        <w:pStyle w:val="ListBullet"/>
        <w:numPr>
          <w:ilvl w:val="0"/>
          <w:numId w:val="33"/>
        </w:numPr>
        <w:contextualSpacing w:val="0"/>
        <w:rPr>
          <w:rFonts w:cs="Arial"/>
          <w:color w:val="auto"/>
        </w:rPr>
      </w:pPr>
      <w:r w:rsidRPr="00F211F6">
        <w:rPr>
          <w:rFonts w:cs="Arial"/>
          <w:color w:val="auto"/>
        </w:rPr>
        <w:t>Introducing an activity-based predominance test for the security industry</w:t>
      </w:r>
      <w:r w:rsidR="00D70046">
        <w:rPr>
          <w:rFonts w:cs="Arial"/>
          <w:color w:val="auto"/>
        </w:rPr>
        <w:t xml:space="preserve"> (Option 1)</w:t>
      </w:r>
      <w:r w:rsidRPr="00F211F6">
        <w:rPr>
          <w:rFonts w:cs="Arial"/>
          <w:color w:val="auto"/>
        </w:rPr>
        <w:t>;</w:t>
      </w:r>
    </w:p>
    <w:p w14:paraId="7A844E2E" w14:textId="3B35F99B" w:rsidR="00034D1B" w:rsidRPr="00F211F6" w:rsidRDefault="00E947D1" w:rsidP="00034D1B">
      <w:pPr>
        <w:pStyle w:val="ListBullet"/>
        <w:numPr>
          <w:ilvl w:val="0"/>
          <w:numId w:val="33"/>
        </w:numPr>
        <w:contextualSpacing w:val="0"/>
        <w:rPr>
          <w:rFonts w:cs="Arial"/>
          <w:color w:val="auto"/>
        </w:rPr>
      </w:pPr>
      <w:r>
        <w:rPr>
          <w:rFonts w:cs="Arial"/>
          <w:color w:val="auto"/>
        </w:rPr>
        <w:t>Defining</w:t>
      </w:r>
      <w:r w:rsidR="00034D1B" w:rsidRPr="00F211F6">
        <w:rPr>
          <w:rFonts w:cs="Arial"/>
          <w:color w:val="auto"/>
        </w:rPr>
        <w:t xml:space="preserve"> employees in reference to the </w:t>
      </w:r>
      <w:r w:rsidR="00034D1B" w:rsidRPr="00F211F6">
        <w:rPr>
          <w:rFonts w:cs="Arial"/>
          <w:i/>
          <w:color w:val="auto"/>
        </w:rPr>
        <w:t>Private Security Act 2004</w:t>
      </w:r>
      <w:r w:rsidR="00D70046">
        <w:rPr>
          <w:rFonts w:cs="Arial"/>
          <w:i/>
          <w:color w:val="auto"/>
        </w:rPr>
        <w:t xml:space="preserve"> </w:t>
      </w:r>
      <w:r w:rsidR="00D70046" w:rsidRPr="00DB3ADD">
        <w:rPr>
          <w:rFonts w:cs="Arial"/>
          <w:color w:val="auto"/>
        </w:rPr>
        <w:t>(Option 2)</w:t>
      </w:r>
      <w:r w:rsidR="00034D1B" w:rsidRPr="00D70046">
        <w:rPr>
          <w:rFonts w:cs="Arial"/>
          <w:color w:val="auto"/>
        </w:rPr>
        <w:t>;</w:t>
      </w:r>
      <w:r w:rsidR="00034D1B" w:rsidRPr="00F211F6">
        <w:rPr>
          <w:rFonts w:cs="Arial"/>
          <w:color w:val="auto"/>
        </w:rPr>
        <w:t xml:space="preserve"> and</w:t>
      </w:r>
    </w:p>
    <w:p w14:paraId="243A231A" w14:textId="00ECDF33" w:rsidR="00B31505" w:rsidRPr="00034D1B" w:rsidRDefault="00E947D1" w:rsidP="00034D1B">
      <w:pPr>
        <w:pStyle w:val="ListBullet"/>
        <w:numPr>
          <w:ilvl w:val="0"/>
          <w:numId w:val="33"/>
        </w:numPr>
        <w:contextualSpacing w:val="0"/>
        <w:rPr>
          <w:rFonts w:cs="Arial"/>
          <w:color w:val="auto"/>
        </w:rPr>
      </w:pPr>
      <w:r>
        <w:rPr>
          <w:rFonts w:cs="Arial"/>
          <w:color w:val="auto"/>
        </w:rPr>
        <w:t>Defining</w:t>
      </w:r>
      <w:r w:rsidR="00034D1B" w:rsidRPr="00F211F6">
        <w:rPr>
          <w:rFonts w:cs="Arial"/>
          <w:color w:val="auto"/>
        </w:rPr>
        <w:t xml:space="preserve"> employees in reference to </w:t>
      </w:r>
      <w:r w:rsidR="009F6B64">
        <w:rPr>
          <w:rFonts w:cs="Arial"/>
          <w:color w:val="auto"/>
        </w:rPr>
        <w:t xml:space="preserve">coverage of </w:t>
      </w:r>
      <w:r w:rsidR="00034D1B" w:rsidRPr="00F211F6">
        <w:rPr>
          <w:rFonts w:cs="Arial"/>
          <w:color w:val="auto"/>
        </w:rPr>
        <w:t xml:space="preserve">the </w:t>
      </w:r>
      <w:r w:rsidR="00034D1B" w:rsidRPr="004D5E10">
        <w:rPr>
          <w:rFonts w:cs="Arial"/>
          <w:i/>
          <w:color w:val="auto"/>
        </w:rPr>
        <w:t>Security Services Industry Award</w:t>
      </w:r>
      <w:r w:rsidR="009F6B64">
        <w:rPr>
          <w:rFonts w:cs="Arial"/>
          <w:i/>
          <w:color w:val="auto"/>
        </w:rPr>
        <w:t> </w:t>
      </w:r>
      <w:r w:rsidR="00034D1B" w:rsidRPr="004D5E10">
        <w:rPr>
          <w:rFonts w:cs="Arial"/>
          <w:i/>
          <w:color w:val="auto"/>
        </w:rPr>
        <w:t>2010</w:t>
      </w:r>
      <w:r w:rsidR="00D70046">
        <w:rPr>
          <w:rFonts w:cs="Arial"/>
          <w:i/>
          <w:color w:val="auto"/>
        </w:rPr>
        <w:t xml:space="preserve"> </w:t>
      </w:r>
      <w:r w:rsidR="00D70046">
        <w:rPr>
          <w:rFonts w:cs="Arial"/>
          <w:color w:val="auto"/>
        </w:rPr>
        <w:t>(Option 3)</w:t>
      </w:r>
      <w:r w:rsidR="00034D1B" w:rsidRPr="00F211F6">
        <w:rPr>
          <w:rFonts w:cs="Arial"/>
          <w:color w:val="auto"/>
        </w:rPr>
        <w:t>.</w:t>
      </w:r>
    </w:p>
    <w:p w14:paraId="76E166D0" w14:textId="61BD5085" w:rsidR="00A91B24" w:rsidRDefault="002123A2" w:rsidP="00D02B7C">
      <w:pPr>
        <w:rPr>
          <w:rFonts w:ascii="Arial" w:hAnsi="Arial" w:cs="Arial"/>
          <w:color w:val="auto"/>
        </w:rPr>
      </w:pPr>
      <w:r>
        <w:rPr>
          <w:rFonts w:ascii="Arial" w:hAnsi="Arial" w:cs="Arial"/>
        </w:rPr>
        <w:t xml:space="preserve">Compared to the status quo, </w:t>
      </w:r>
      <w:r>
        <w:rPr>
          <w:rFonts w:ascii="Arial" w:hAnsi="Arial" w:cs="Arial"/>
          <w:b/>
        </w:rPr>
        <w:t>a</w:t>
      </w:r>
      <w:r w:rsidR="00B31505" w:rsidRPr="00B31505">
        <w:rPr>
          <w:rFonts w:ascii="Arial" w:hAnsi="Arial" w:cs="Arial"/>
          <w:b/>
        </w:rPr>
        <w:t>nalysis</w:t>
      </w:r>
      <w:r w:rsidR="00B31505">
        <w:rPr>
          <w:rFonts w:ascii="Arial" w:hAnsi="Arial" w:cs="Arial"/>
        </w:rPr>
        <w:t xml:space="preserve"> found </w:t>
      </w:r>
      <w:r w:rsidR="00D02B7C">
        <w:rPr>
          <w:rFonts w:ascii="Arial" w:hAnsi="Arial" w:cs="Arial"/>
        </w:rPr>
        <w:t xml:space="preserve">that all three options </w:t>
      </w:r>
      <w:r w:rsidR="00D02B7C" w:rsidRPr="000F2163">
        <w:rPr>
          <w:rFonts w:ascii="Arial" w:hAnsi="Arial" w:cs="Arial"/>
          <w:color w:val="auto"/>
        </w:rPr>
        <w:t>would increase clarity for employers in the sector as to which of their employees they need to register with the Authority.</w:t>
      </w:r>
      <w:r w:rsidR="00D02B7C">
        <w:rPr>
          <w:rFonts w:ascii="Arial" w:hAnsi="Arial" w:cs="Arial"/>
          <w:color w:val="auto"/>
        </w:rPr>
        <w:t xml:space="preserve"> </w:t>
      </w:r>
      <w:r w:rsidR="008837AA">
        <w:rPr>
          <w:rFonts w:ascii="Arial" w:hAnsi="Arial" w:cs="Arial"/>
          <w:color w:val="auto"/>
        </w:rPr>
        <w:t xml:space="preserve">Option 1 adopts an approach consistent </w:t>
      </w:r>
      <w:r w:rsidR="002A50A9">
        <w:rPr>
          <w:rFonts w:ascii="Arial" w:hAnsi="Arial" w:cs="Arial"/>
          <w:color w:val="auto"/>
        </w:rPr>
        <w:t xml:space="preserve">with </w:t>
      </w:r>
      <w:r w:rsidR="008837AA">
        <w:rPr>
          <w:rFonts w:ascii="Arial" w:hAnsi="Arial" w:cs="Arial"/>
          <w:color w:val="auto"/>
        </w:rPr>
        <w:t>the existing test in the Interim Regulations for the contract cleaning sector, which has been simple for employers to implement.</w:t>
      </w:r>
      <w:r w:rsidR="00E947D1">
        <w:rPr>
          <w:rFonts w:ascii="Arial" w:hAnsi="Arial" w:cs="Arial"/>
          <w:color w:val="auto"/>
        </w:rPr>
        <w:t xml:space="preserve"> It would also ensure only </w:t>
      </w:r>
      <w:r w:rsidR="00BA4E89">
        <w:rPr>
          <w:rFonts w:ascii="Arial" w:hAnsi="Arial" w:cs="Arial"/>
          <w:color w:val="auto"/>
        </w:rPr>
        <w:t>employee</w:t>
      </w:r>
      <w:r w:rsidR="00E947D1">
        <w:rPr>
          <w:rFonts w:ascii="Arial" w:hAnsi="Arial" w:cs="Arial"/>
          <w:color w:val="auto"/>
        </w:rPr>
        <w:t xml:space="preserve">s who predominantly perform security activities are covered by the Scheme, preventing ineligible employees from unintentionally being </w:t>
      </w:r>
      <w:r w:rsidR="001D7D00">
        <w:rPr>
          <w:rFonts w:ascii="Arial" w:hAnsi="Arial" w:cs="Arial"/>
          <w:color w:val="auto"/>
        </w:rPr>
        <w:t>covered, without any impact on equity</w:t>
      </w:r>
      <w:r w:rsidR="00E947D1">
        <w:rPr>
          <w:rFonts w:ascii="Arial" w:hAnsi="Arial" w:cs="Arial"/>
          <w:color w:val="auto"/>
        </w:rPr>
        <w:t>.</w:t>
      </w:r>
      <w:r w:rsidR="008837AA">
        <w:rPr>
          <w:rFonts w:ascii="Arial" w:hAnsi="Arial" w:cs="Arial"/>
          <w:color w:val="auto"/>
        </w:rPr>
        <w:t xml:space="preserve"> </w:t>
      </w:r>
      <w:r w:rsidR="009631D4">
        <w:rPr>
          <w:rFonts w:ascii="Arial" w:hAnsi="Arial" w:cs="Arial"/>
          <w:color w:val="auto"/>
        </w:rPr>
        <w:t>Option</w:t>
      </w:r>
      <w:r w:rsidR="002A50A9">
        <w:rPr>
          <w:rFonts w:ascii="Arial" w:hAnsi="Arial" w:cs="Arial"/>
          <w:color w:val="auto"/>
        </w:rPr>
        <w:t>s</w:t>
      </w:r>
      <w:r w:rsidR="009631D4">
        <w:rPr>
          <w:rFonts w:ascii="Arial" w:hAnsi="Arial" w:cs="Arial"/>
          <w:color w:val="auto"/>
        </w:rPr>
        <w:t xml:space="preserve"> 2 and 3 might reduce the </w:t>
      </w:r>
      <w:r w:rsidR="009631D4" w:rsidRPr="00B45BD9">
        <w:rPr>
          <w:rFonts w:ascii="Arial" w:hAnsi="Arial" w:cs="Arial"/>
          <w:color w:val="auto"/>
        </w:rPr>
        <w:t>equity of the Scheme for employees in the security industry</w:t>
      </w:r>
      <w:r w:rsidR="009631D4">
        <w:rPr>
          <w:rFonts w:ascii="Arial" w:hAnsi="Arial" w:cs="Arial"/>
          <w:color w:val="auto"/>
        </w:rPr>
        <w:t xml:space="preserve"> as some employees intended to be within or outside the scope of the Scheme may be incorrectly excluded or included</w:t>
      </w:r>
      <w:r w:rsidR="001D7D00">
        <w:rPr>
          <w:rFonts w:ascii="Arial" w:hAnsi="Arial" w:cs="Arial"/>
          <w:color w:val="auto"/>
        </w:rPr>
        <w:t>, which is why these are not preferred.</w:t>
      </w:r>
    </w:p>
    <w:p w14:paraId="45607849" w14:textId="5CA8C1CC" w:rsidR="00D02B7C" w:rsidRPr="002123A2" w:rsidRDefault="00A91B24" w:rsidP="00D02B7C">
      <w:pPr>
        <w:rPr>
          <w:rFonts w:ascii="Arial" w:hAnsi="Arial" w:cs="Arial"/>
          <w:color w:val="auto"/>
        </w:rPr>
      </w:pPr>
      <w:r>
        <w:rPr>
          <w:rFonts w:ascii="Arial" w:hAnsi="Arial" w:cs="Arial"/>
          <w:color w:val="auto"/>
        </w:rPr>
        <w:t>Under the impact assessment framework, Option 1 scored 0.7</w:t>
      </w:r>
      <w:r w:rsidR="002A50A9">
        <w:rPr>
          <w:rFonts w:ascii="Arial" w:hAnsi="Arial" w:cs="Arial"/>
          <w:color w:val="auto"/>
        </w:rPr>
        <w:t xml:space="preserve">, </w:t>
      </w:r>
      <w:r>
        <w:rPr>
          <w:rFonts w:ascii="Arial" w:hAnsi="Arial" w:cs="Arial"/>
          <w:color w:val="auto"/>
        </w:rPr>
        <w:t>Option 2 scored 0.6</w:t>
      </w:r>
      <w:r w:rsidR="002A50A9">
        <w:rPr>
          <w:rFonts w:ascii="Arial" w:hAnsi="Arial" w:cs="Arial"/>
          <w:color w:val="auto"/>
        </w:rPr>
        <w:t xml:space="preserve">, </w:t>
      </w:r>
      <w:r>
        <w:rPr>
          <w:rFonts w:ascii="Arial" w:hAnsi="Arial" w:cs="Arial"/>
          <w:color w:val="auto"/>
        </w:rPr>
        <w:t>and Option 3 scored 0.</w:t>
      </w:r>
      <w:r w:rsidR="00AC1C2E">
        <w:rPr>
          <w:rFonts w:ascii="Arial" w:hAnsi="Arial" w:cs="Arial"/>
          <w:color w:val="auto"/>
        </w:rPr>
        <w:t>3</w:t>
      </w:r>
      <w:r>
        <w:rPr>
          <w:rFonts w:ascii="Arial" w:hAnsi="Arial" w:cs="Arial"/>
          <w:color w:val="auto"/>
        </w:rPr>
        <w:t>.</w:t>
      </w:r>
    </w:p>
    <w:p w14:paraId="4463392D" w14:textId="42655D7C" w:rsidR="009631D4" w:rsidRPr="00DB3ADD" w:rsidRDefault="00FE45BE" w:rsidP="00B31505">
      <w:pPr>
        <w:rPr>
          <w:rFonts w:ascii="Arial" w:hAnsi="Arial" w:cs="Arial"/>
          <w:color w:val="FF0000"/>
        </w:rPr>
      </w:pPr>
      <w:r>
        <w:rPr>
          <w:rFonts w:ascii="Arial" w:hAnsi="Arial" w:cs="Arial"/>
        </w:rPr>
        <w:t xml:space="preserve">The </w:t>
      </w:r>
      <w:r w:rsidRPr="00034D1B">
        <w:rPr>
          <w:rFonts w:ascii="Arial" w:hAnsi="Arial" w:cs="Arial"/>
          <w:b/>
        </w:rPr>
        <w:t>preferred option</w:t>
      </w:r>
      <w:r w:rsidR="008837AA">
        <w:rPr>
          <w:rFonts w:ascii="Arial" w:hAnsi="Arial" w:cs="Arial"/>
        </w:rPr>
        <w:t xml:space="preserve"> is therefore Option 1</w:t>
      </w:r>
      <w:r>
        <w:rPr>
          <w:rFonts w:ascii="Arial" w:hAnsi="Arial" w:cs="Arial"/>
        </w:rPr>
        <w:t xml:space="preserve">, </w:t>
      </w:r>
      <w:r w:rsidR="008837AA">
        <w:rPr>
          <w:rFonts w:ascii="Arial" w:hAnsi="Arial" w:cs="Arial"/>
        </w:rPr>
        <w:t>introducing a predominance test for the security industry</w:t>
      </w:r>
      <w:r>
        <w:rPr>
          <w:rFonts w:ascii="Arial" w:hAnsi="Arial" w:cs="Arial"/>
        </w:rPr>
        <w:t>.</w:t>
      </w:r>
      <w:r>
        <w:rPr>
          <w:rFonts w:ascii="Arial" w:hAnsi="Arial" w:cs="Arial"/>
          <w:color w:val="auto"/>
        </w:rPr>
        <w:t xml:space="preserve"> This is </w:t>
      </w:r>
      <w:r w:rsidR="009631D4" w:rsidRPr="005A447D">
        <w:rPr>
          <w:rFonts w:ascii="Arial" w:hAnsi="Arial" w:cs="Arial"/>
          <w:color w:val="auto"/>
        </w:rPr>
        <w:t xml:space="preserve">found in </w:t>
      </w:r>
      <w:r w:rsidR="009631D4" w:rsidRPr="00AD518C">
        <w:rPr>
          <w:rFonts w:ascii="Arial" w:hAnsi="Arial" w:cs="Arial"/>
          <w:color w:val="auto"/>
        </w:rPr>
        <w:t>Regulation 14</w:t>
      </w:r>
      <w:r w:rsidR="009631D4" w:rsidRPr="005A447D">
        <w:rPr>
          <w:rFonts w:ascii="Arial" w:hAnsi="Arial" w:cs="Arial"/>
          <w:color w:val="auto"/>
        </w:rPr>
        <w:t xml:space="preserve"> </w:t>
      </w:r>
      <w:r w:rsidR="009631D4">
        <w:rPr>
          <w:rFonts w:ascii="Arial" w:hAnsi="Arial" w:cs="Arial"/>
          <w:color w:val="auto"/>
        </w:rPr>
        <w:t xml:space="preserve">of </w:t>
      </w:r>
      <w:r w:rsidR="009631D4" w:rsidRPr="005A447D">
        <w:rPr>
          <w:rFonts w:ascii="Arial" w:hAnsi="Arial" w:cs="Arial"/>
          <w:color w:val="auto"/>
        </w:rPr>
        <w:t xml:space="preserve">the </w:t>
      </w:r>
      <w:r w:rsidR="005D6ED3">
        <w:rPr>
          <w:rFonts w:ascii="Arial" w:hAnsi="Arial" w:cs="Arial"/>
          <w:color w:val="auto"/>
        </w:rPr>
        <w:t>Proposed</w:t>
      </w:r>
      <w:r w:rsidR="005D6ED3" w:rsidRPr="005A447D">
        <w:rPr>
          <w:rFonts w:ascii="Arial" w:hAnsi="Arial" w:cs="Arial"/>
          <w:color w:val="auto"/>
        </w:rPr>
        <w:t xml:space="preserve"> </w:t>
      </w:r>
      <w:r w:rsidR="009631D4" w:rsidRPr="005A447D">
        <w:rPr>
          <w:rFonts w:ascii="Arial" w:hAnsi="Arial" w:cs="Arial"/>
          <w:color w:val="auto"/>
        </w:rPr>
        <w:t>Regulations.</w:t>
      </w:r>
      <w:r w:rsidR="009631D4">
        <w:rPr>
          <w:rFonts w:ascii="Arial" w:hAnsi="Arial" w:cs="Arial"/>
          <w:color w:val="auto"/>
        </w:rPr>
        <w:t xml:space="preserve"> The test is consistent </w:t>
      </w:r>
      <w:r w:rsidR="009F6B64">
        <w:rPr>
          <w:rFonts w:ascii="Arial" w:hAnsi="Arial" w:cs="Arial"/>
          <w:color w:val="auto"/>
        </w:rPr>
        <w:t xml:space="preserve">with </w:t>
      </w:r>
      <w:r w:rsidR="009631D4">
        <w:rPr>
          <w:rFonts w:ascii="Arial" w:hAnsi="Arial" w:cs="Arial"/>
          <w:color w:val="auto"/>
        </w:rPr>
        <w:t xml:space="preserve">the existing </w:t>
      </w:r>
      <w:r w:rsidR="009F6B64">
        <w:rPr>
          <w:rFonts w:ascii="Arial" w:hAnsi="Arial" w:cs="Arial"/>
          <w:color w:val="auto"/>
        </w:rPr>
        <w:t xml:space="preserve">employee predominance </w:t>
      </w:r>
      <w:r w:rsidR="009631D4">
        <w:rPr>
          <w:rFonts w:ascii="Arial" w:hAnsi="Arial" w:cs="Arial"/>
          <w:color w:val="auto"/>
        </w:rPr>
        <w:t>test in the Interim Regulations for the contract cleaning sector.</w:t>
      </w:r>
    </w:p>
    <w:p w14:paraId="1EF297F7" w14:textId="45C02933" w:rsidR="00547C42" w:rsidRPr="00EC5379" w:rsidRDefault="0072722B" w:rsidP="00547C42">
      <w:pPr>
        <w:pStyle w:val="HeadingLevel3NoNumber"/>
        <w:rPr>
          <w:rFonts w:cs="Arial"/>
        </w:rPr>
      </w:pPr>
      <w:r>
        <w:rPr>
          <w:rFonts w:cs="Arial"/>
        </w:rPr>
        <w:t xml:space="preserve">Option to reimburse </w:t>
      </w:r>
      <w:r w:rsidR="00CF5417">
        <w:rPr>
          <w:rFonts w:cs="Arial"/>
        </w:rPr>
        <w:t xml:space="preserve">employers for </w:t>
      </w:r>
      <w:r w:rsidR="00DB3ADD">
        <w:rPr>
          <w:rFonts w:cs="Arial"/>
        </w:rPr>
        <w:t>double-dipping</w:t>
      </w:r>
      <w:r w:rsidR="000500F9">
        <w:rPr>
          <w:rFonts w:cs="Arial"/>
        </w:rPr>
        <w:t xml:space="preserve"> claims</w:t>
      </w:r>
      <w:r w:rsidR="00547C42">
        <w:rPr>
          <w:rFonts w:cs="Arial"/>
        </w:rPr>
        <w:t xml:space="preserve"> in the community services sector</w:t>
      </w:r>
      <w:r w:rsidR="00AD7B94">
        <w:rPr>
          <w:rFonts w:cs="Arial"/>
        </w:rPr>
        <w:t xml:space="preserve"> under the Long Service Leave Act</w:t>
      </w:r>
      <w:r w:rsidR="00A264A4">
        <w:rPr>
          <w:rFonts w:cs="Arial"/>
        </w:rPr>
        <w:t> 2018</w:t>
      </w:r>
    </w:p>
    <w:p w14:paraId="660DBFB1" w14:textId="4D9534E5" w:rsidR="00F81D91" w:rsidRPr="00AF1044" w:rsidRDefault="00AF1044" w:rsidP="00DB3ADD">
      <w:pPr>
        <w:spacing w:before="240"/>
        <w:rPr>
          <w:rFonts w:ascii="Arial" w:hAnsi="Arial" w:cs="Arial"/>
        </w:rPr>
      </w:pPr>
      <w:r w:rsidRPr="00AF1044">
        <w:rPr>
          <w:rFonts w:ascii="Arial" w:hAnsi="Arial" w:cs="Arial"/>
        </w:rPr>
        <w:t xml:space="preserve">Due to the specific nature of the residual problem, there is only one </w:t>
      </w:r>
      <w:r w:rsidRPr="00AF1044">
        <w:rPr>
          <w:rFonts w:ascii="Arial" w:hAnsi="Arial" w:cs="Arial"/>
          <w:b/>
        </w:rPr>
        <w:t>option</w:t>
      </w:r>
      <w:r w:rsidR="002A50A9">
        <w:rPr>
          <w:rFonts w:ascii="Arial" w:hAnsi="Arial" w:cs="Arial"/>
          <w:b/>
        </w:rPr>
        <w:t>,</w:t>
      </w:r>
      <w:r w:rsidRPr="00AF1044">
        <w:rPr>
          <w:rFonts w:ascii="Arial" w:hAnsi="Arial" w:cs="Arial"/>
        </w:rPr>
        <w:t xml:space="preserve"> aside from the status quo</w:t>
      </w:r>
      <w:r w:rsidR="002A50A9">
        <w:rPr>
          <w:rFonts w:ascii="Arial" w:hAnsi="Arial" w:cs="Arial"/>
        </w:rPr>
        <w:t>,</w:t>
      </w:r>
      <w:r w:rsidRPr="00AF1044">
        <w:rPr>
          <w:rFonts w:ascii="Arial" w:hAnsi="Arial" w:cs="Arial"/>
        </w:rPr>
        <w:t xml:space="preserve"> to </w:t>
      </w:r>
      <w:r w:rsidR="003B2EDF">
        <w:rPr>
          <w:rFonts w:ascii="Arial" w:hAnsi="Arial" w:cs="Arial"/>
        </w:rPr>
        <w:t xml:space="preserve">ensure </w:t>
      </w:r>
      <w:r w:rsidR="00CF5417">
        <w:rPr>
          <w:rFonts w:ascii="Arial" w:hAnsi="Arial" w:cs="Arial"/>
        </w:rPr>
        <w:t>employers</w:t>
      </w:r>
      <w:r w:rsidR="003B2EDF">
        <w:rPr>
          <w:rFonts w:ascii="Arial" w:hAnsi="Arial" w:cs="Arial"/>
        </w:rPr>
        <w:t xml:space="preserve"> are reimbursed</w:t>
      </w:r>
      <w:r w:rsidR="00CF5417">
        <w:rPr>
          <w:rFonts w:ascii="Arial" w:hAnsi="Arial" w:cs="Arial"/>
        </w:rPr>
        <w:t xml:space="preserve"> for </w:t>
      </w:r>
      <w:r w:rsidR="00DB3ADD">
        <w:rPr>
          <w:rFonts w:ascii="Arial" w:hAnsi="Arial" w:cs="Arial"/>
        </w:rPr>
        <w:t>double-dipping</w:t>
      </w:r>
      <w:r w:rsidR="0072722B">
        <w:rPr>
          <w:rFonts w:ascii="Arial" w:hAnsi="Arial" w:cs="Arial"/>
        </w:rPr>
        <w:t xml:space="preserve"> claims</w:t>
      </w:r>
      <w:r w:rsidRPr="00AF1044">
        <w:rPr>
          <w:rFonts w:ascii="Arial" w:hAnsi="Arial" w:cs="Arial"/>
        </w:rPr>
        <w:t xml:space="preserve"> in the community services sector</w:t>
      </w:r>
      <w:r w:rsidR="00AD7B94">
        <w:rPr>
          <w:rFonts w:ascii="Arial" w:hAnsi="Arial" w:cs="Arial"/>
        </w:rPr>
        <w:t xml:space="preserve"> under the </w:t>
      </w:r>
      <w:r w:rsidR="00AD7B94" w:rsidRPr="00274787">
        <w:rPr>
          <w:rFonts w:ascii="Arial" w:hAnsi="Arial" w:cs="Arial"/>
          <w:i/>
        </w:rPr>
        <w:t>Long Service Leave Act</w:t>
      </w:r>
      <w:r w:rsidR="00EA746E" w:rsidRPr="00274787">
        <w:rPr>
          <w:rFonts w:ascii="Arial" w:hAnsi="Arial" w:cs="Arial"/>
          <w:i/>
        </w:rPr>
        <w:t xml:space="preserve"> 2018</w:t>
      </w:r>
      <w:r w:rsidRPr="00AF1044">
        <w:rPr>
          <w:rFonts w:ascii="Arial" w:hAnsi="Arial" w:cs="Arial"/>
        </w:rPr>
        <w:t xml:space="preserve">. This is to allow employers who pay entitlements under the </w:t>
      </w:r>
      <w:r w:rsidRPr="00AD7B94">
        <w:rPr>
          <w:rFonts w:ascii="Arial" w:hAnsi="Arial" w:cs="Arial"/>
          <w:i/>
        </w:rPr>
        <w:t xml:space="preserve">Long Service Leave Act 2018 </w:t>
      </w:r>
      <w:r w:rsidRPr="00AF1044">
        <w:rPr>
          <w:rFonts w:ascii="Arial" w:hAnsi="Arial" w:cs="Arial"/>
        </w:rPr>
        <w:t>to be entitled to reimbursement.</w:t>
      </w:r>
    </w:p>
    <w:p w14:paraId="78B3B6C0" w14:textId="77F96A7B" w:rsidR="00A91B24" w:rsidRDefault="00AF1044" w:rsidP="00012E12">
      <w:pPr>
        <w:tabs>
          <w:tab w:val="num" w:pos="680"/>
        </w:tabs>
        <w:rPr>
          <w:rFonts w:ascii="Arial" w:hAnsi="Arial" w:cs="Arial"/>
          <w:color w:val="auto"/>
        </w:rPr>
      </w:pPr>
      <w:r>
        <w:rPr>
          <w:rFonts w:ascii="Arial" w:hAnsi="Arial" w:cs="Arial"/>
          <w:b/>
          <w:color w:val="auto"/>
        </w:rPr>
        <w:lastRenderedPageBreak/>
        <w:t xml:space="preserve">Analysis </w:t>
      </w:r>
      <w:r>
        <w:rPr>
          <w:rFonts w:ascii="Arial" w:hAnsi="Arial" w:cs="Arial"/>
          <w:color w:val="auto"/>
        </w:rPr>
        <w:t>shows this option is considered preferable to the status quo.</w:t>
      </w:r>
      <w:r w:rsidR="001D7D00">
        <w:rPr>
          <w:rFonts w:ascii="Arial" w:hAnsi="Arial" w:cs="Arial"/>
          <w:color w:val="auto"/>
        </w:rPr>
        <w:t xml:space="preserve"> It reduces financial and uncertainty costs for employers without reducing equity for employees.</w:t>
      </w:r>
      <w:r w:rsidR="00A91B24">
        <w:rPr>
          <w:rFonts w:ascii="Arial" w:hAnsi="Arial" w:cs="Arial"/>
          <w:color w:val="auto"/>
        </w:rPr>
        <w:t xml:space="preserve"> Under the impact assessment framework, it scored </w:t>
      </w:r>
      <w:r w:rsidR="00903F53">
        <w:rPr>
          <w:rFonts w:ascii="Arial" w:hAnsi="Arial" w:cs="Arial"/>
          <w:color w:val="auto"/>
        </w:rPr>
        <w:t>0.9</w:t>
      </w:r>
      <w:r w:rsidR="00A91B24">
        <w:rPr>
          <w:rFonts w:ascii="Arial" w:hAnsi="Arial" w:cs="Arial"/>
          <w:color w:val="auto"/>
        </w:rPr>
        <w:t>.</w:t>
      </w:r>
      <w:r>
        <w:rPr>
          <w:rFonts w:ascii="Arial" w:hAnsi="Arial" w:cs="Arial"/>
          <w:color w:val="auto"/>
        </w:rPr>
        <w:t xml:space="preserve"> </w:t>
      </w:r>
    </w:p>
    <w:p w14:paraId="0793E9FE" w14:textId="0C43435F" w:rsidR="009631D4" w:rsidRPr="00F81D91" w:rsidRDefault="00012E12" w:rsidP="00012E12">
      <w:pPr>
        <w:tabs>
          <w:tab w:val="num" w:pos="680"/>
        </w:tabs>
        <w:rPr>
          <w:rFonts w:ascii="Arial" w:hAnsi="Arial" w:cs="Arial"/>
          <w:color w:val="auto"/>
        </w:rPr>
      </w:pPr>
      <w:r>
        <w:rPr>
          <w:rFonts w:ascii="Arial" w:hAnsi="Arial" w:cs="Arial"/>
          <w:color w:val="auto"/>
        </w:rPr>
        <w:t>This change will not be progressed through the Proposed Regulations</w:t>
      </w:r>
      <w:r w:rsidR="00F81D91">
        <w:rPr>
          <w:rFonts w:ascii="Arial" w:hAnsi="Arial" w:cs="Arial"/>
          <w:color w:val="auto"/>
        </w:rPr>
        <w:t xml:space="preserve"> as concurrent l</w:t>
      </w:r>
      <w:r w:rsidR="008942FC">
        <w:rPr>
          <w:rFonts w:ascii="Arial" w:hAnsi="Arial" w:cs="Arial"/>
          <w:color w:val="auto"/>
        </w:rPr>
        <w:t>egislative amendments to the LS</w:t>
      </w:r>
      <w:r w:rsidR="00F81D91">
        <w:rPr>
          <w:rFonts w:ascii="Arial" w:hAnsi="Arial" w:cs="Arial"/>
          <w:color w:val="auto"/>
        </w:rPr>
        <w:t>B</w:t>
      </w:r>
      <w:r w:rsidR="008942FC">
        <w:rPr>
          <w:rFonts w:ascii="Arial" w:hAnsi="Arial" w:cs="Arial"/>
          <w:color w:val="auto"/>
        </w:rPr>
        <w:t>P</w:t>
      </w:r>
      <w:r w:rsidR="00F81D91">
        <w:rPr>
          <w:rFonts w:ascii="Arial" w:hAnsi="Arial" w:cs="Arial"/>
          <w:color w:val="auto"/>
        </w:rPr>
        <w:t xml:space="preserve"> Act are also required to enact this option</w:t>
      </w:r>
      <w:r>
        <w:rPr>
          <w:rFonts w:ascii="Arial" w:hAnsi="Arial" w:cs="Arial"/>
          <w:color w:val="auto"/>
        </w:rPr>
        <w:t xml:space="preserve">. </w:t>
      </w:r>
      <w:r w:rsidR="00701469">
        <w:rPr>
          <w:rFonts w:ascii="Arial" w:hAnsi="Arial" w:cs="Arial"/>
          <w:color w:val="auto"/>
        </w:rPr>
        <w:t>Subject to parliamentary approval, a</w:t>
      </w:r>
      <w:r w:rsidR="00701469" w:rsidRPr="00C22E90">
        <w:rPr>
          <w:rFonts w:ascii="Arial" w:hAnsi="Arial" w:cs="Arial"/>
          <w:color w:val="auto"/>
        </w:rPr>
        <w:t xml:space="preserve">ny </w:t>
      </w:r>
      <w:r w:rsidRPr="00C22E90">
        <w:rPr>
          <w:rFonts w:ascii="Arial" w:hAnsi="Arial" w:cs="Arial"/>
          <w:color w:val="auto"/>
        </w:rPr>
        <w:t>changes will not proceed until 2021 at the earliest</w:t>
      </w:r>
      <w:r w:rsidR="001D7D00">
        <w:rPr>
          <w:rFonts w:ascii="Arial" w:hAnsi="Arial" w:cs="Arial"/>
          <w:color w:val="auto"/>
        </w:rPr>
        <w:t xml:space="preserve"> and are subject to passage of legislative amendments through Parliament</w:t>
      </w:r>
      <w:r w:rsidR="009631D4" w:rsidRPr="00131734">
        <w:rPr>
          <w:rFonts w:ascii="Arial" w:hAnsi="Arial" w:cs="Arial"/>
          <w:color w:val="auto"/>
        </w:rPr>
        <w:t>.</w:t>
      </w:r>
      <w:r w:rsidR="009631D4">
        <w:rPr>
          <w:rFonts w:ascii="Arial" w:hAnsi="Arial" w:cs="Arial"/>
          <w:color w:val="auto"/>
        </w:rPr>
        <w:t xml:space="preserve"> </w:t>
      </w:r>
      <w:r w:rsidR="009631D4" w:rsidRPr="00AD518C">
        <w:rPr>
          <w:rFonts w:ascii="Arial" w:hAnsi="Arial" w:cs="Arial"/>
          <w:color w:val="auto"/>
        </w:rPr>
        <w:t>Regulation</w:t>
      </w:r>
      <w:r w:rsidR="00701469" w:rsidRPr="00AD518C">
        <w:rPr>
          <w:rFonts w:ascii="Arial" w:hAnsi="Arial" w:cs="Arial"/>
          <w:color w:val="auto"/>
        </w:rPr>
        <w:t> </w:t>
      </w:r>
      <w:r w:rsidR="009631D4" w:rsidRPr="00AD518C">
        <w:rPr>
          <w:rFonts w:ascii="Arial" w:hAnsi="Arial" w:cs="Arial"/>
          <w:color w:val="auto"/>
        </w:rPr>
        <w:t>12</w:t>
      </w:r>
      <w:r w:rsidR="009631D4">
        <w:rPr>
          <w:rFonts w:ascii="Arial" w:hAnsi="Arial" w:cs="Arial"/>
          <w:color w:val="auto"/>
        </w:rPr>
        <w:t xml:space="preserve"> of the </w:t>
      </w:r>
      <w:r w:rsidR="005D6ED3">
        <w:rPr>
          <w:rFonts w:ascii="Arial" w:hAnsi="Arial" w:cs="Arial"/>
          <w:color w:val="auto"/>
        </w:rPr>
        <w:t xml:space="preserve">Proposed </w:t>
      </w:r>
      <w:r w:rsidR="009631D4">
        <w:rPr>
          <w:rFonts w:ascii="Arial" w:hAnsi="Arial" w:cs="Arial"/>
          <w:color w:val="auto"/>
        </w:rPr>
        <w:t>Regulations reflects the status</w:t>
      </w:r>
      <w:r w:rsidR="002A50A9">
        <w:rPr>
          <w:rFonts w:ascii="Arial" w:hAnsi="Arial" w:cs="Arial"/>
          <w:color w:val="auto"/>
        </w:rPr>
        <w:t xml:space="preserve"> </w:t>
      </w:r>
      <w:r w:rsidR="009631D4">
        <w:rPr>
          <w:rFonts w:ascii="Arial" w:hAnsi="Arial" w:cs="Arial"/>
          <w:color w:val="auto"/>
        </w:rPr>
        <w:t>quo under the Interim Regulations.</w:t>
      </w:r>
    </w:p>
    <w:p w14:paraId="30188A92" w14:textId="77777777" w:rsidR="00E13F2A" w:rsidRPr="00EC5379" w:rsidRDefault="00E13F2A" w:rsidP="00E13F2A">
      <w:pPr>
        <w:pStyle w:val="HeadingLevel2NoNumber"/>
        <w:rPr>
          <w:rFonts w:ascii="Arial" w:hAnsi="Arial" w:cs="Arial"/>
        </w:rPr>
      </w:pPr>
      <w:r w:rsidRPr="00EC5379">
        <w:rPr>
          <w:rFonts w:ascii="Arial" w:hAnsi="Arial" w:cs="Arial"/>
        </w:rPr>
        <w:t xml:space="preserve">Implementation and evaluation plans </w:t>
      </w:r>
    </w:p>
    <w:bookmarkEnd w:id="13"/>
    <w:p w14:paraId="06897BCB" w14:textId="6C895454" w:rsidR="004F4AFD" w:rsidRDefault="00AA3452" w:rsidP="00186BE4">
      <w:pPr>
        <w:rPr>
          <w:rFonts w:ascii="Arial" w:hAnsi="Arial" w:cs="Arial"/>
        </w:rPr>
      </w:pPr>
      <w:r w:rsidRPr="00AA3452">
        <w:rPr>
          <w:rFonts w:ascii="Arial" w:hAnsi="Arial" w:cs="Arial"/>
        </w:rPr>
        <w:t xml:space="preserve">The key requirement for the successful implementation of the </w:t>
      </w:r>
      <w:r w:rsidR="009F6B64">
        <w:rPr>
          <w:rFonts w:ascii="Arial" w:hAnsi="Arial" w:cs="Arial"/>
        </w:rPr>
        <w:t>P</w:t>
      </w:r>
      <w:r w:rsidRPr="00AA3452">
        <w:rPr>
          <w:rFonts w:ascii="Arial" w:hAnsi="Arial" w:cs="Arial"/>
        </w:rPr>
        <w:t xml:space="preserve">roposed Regulations will be to provide quality information to the affected employers as to their new obligations. It is expected that information </w:t>
      </w:r>
      <w:r w:rsidR="002A50A9">
        <w:rPr>
          <w:rFonts w:ascii="Arial" w:hAnsi="Arial" w:cs="Arial"/>
        </w:rPr>
        <w:t xml:space="preserve">will </w:t>
      </w:r>
      <w:r w:rsidRPr="00AA3452">
        <w:rPr>
          <w:rFonts w:ascii="Arial" w:hAnsi="Arial" w:cs="Arial"/>
        </w:rPr>
        <w:t>be compiled and sent to affected employers</w:t>
      </w:r>
      <w:r w:rsidR="0072722B">
        <w:rPr>
          <w:rFonts w:ascii="Arial" w:hAnsi="Arial" w:cs="Arial"/>
        </w:rPr>
        <w:t xml:space="preserve">. </w:t>
      </w:r>
    </w:p>
    <w:p w14:paraId="0CB99CC5" w14:textId="7D19A2F9" w:rsidR="00AA3452" w:rsidRPr="00AA3452" w:rsidRDefault="0072722B" w:rsidP="00AD518C">
      <w:pPr>
        <w:rPr>
          <w:rFonts w:cs="Arial"/>
        </w:rPr>
      </w:pPr>
      <w:r>
        <w:rPr>
          <w:rFonts w:ascii="Arial" w:hAnsi="Arial" w:cs="Arial"/>
          <w:color w:val="auto"/>
        </w:rPr>
        <w:t>All decisions on registration and compliance with the Scheme rest with the Authority.</w:t>
      </w:r>
    </w:p>
    <w:p w14:paraId="54170FBF" w14:textId="5B8E1EAB" w:rsidR="00AA3452" w:rsidRPr="00AA3452" w:rsidRDefault="00AA3452" w:rsidP="00AA3452">
      <w:pPr>
        <w:spacing w:before="240"/>
        <w:rPr>
          <w:rFonts w:ascii="Arial" w:hAnsi="Arial" w:cs="Arial"/>
        </w:rPr>
      </w:pPr>
      <w:r w:rsidRPr="00AA3452">
        <w:rPr>
          <w:rFonts w:ascii="Arial" w:hAnsi="Arial" w:cs="Arial"/>
        </w:rPr>
        <w:t xml:space="preserve">Evaluation of the </w:t>
      </w:r>
      <w:r>
        <w:rPr>
          <w:rFonts w:ascii="Arial" w:hAnsi="Arial" w:cs="Arial"/>
        </w:rPr>
        <w:t xml:space="preserve">Proposed </w:t>
      </w:r>
      <w:r w:rsidRPr="00AA3452">
        <w:rPr>
          <w:rFonts w:ascii="Arial" w:hAnsi="Arial" w:cs="Arial"/>
        </w:rPr>
        <w:t xml:space="preserve">Regulations should be tied to the review periods mandated in the </w:t>
      </w:r>
      <w:r>
        <w:rPr>
          <w:rFonts w:ascii="Arial" w:hAnsi="Arial" w:cs="Arial"/>
        </w:rPr>
        <w:t>LSBP </w:t>
      </w:r>
      <w:r w:rsidRPr="00AA3452">
        <w:rPr>
          <w:rFonts w:ascii="Arial" w:hAnsi="Arial" w:cs="Arial"/>
        </w:rPr>
        <w:t xml:space="preserve">Act. This will allow streamlined and comprehensive review, including a full understanding of the interactions between the </w:t>
      </w:r>
      <w:r w:rsidR="002A50A9">
        <w:rPr>
          <w:rFonts w:ascii="Arial" w:hAnsi="Arial" w:cs="Arial"/>
        </w:rPr>
        <w:t xml:space="preserve">Proposed </w:t>
      </w:r>
      <w:r w:rsidRPr="00AA3452">
        <w:rPr>
          <w:rFonts w:ascii="Arial" w:hAnsi="Arial" w:cs="Arial"/>
        </w:rPr>
        <w:t xml:space="preserve">Regulations and the LSBP Act, as well as their combined impact on the sector. This means evaluation should be conducted as close as possible to the three and seven year anniversaries of the </w:t>
      </w:r>
      <w:r w:rsidR="009F6B64">
        <w:rPr>
          <w:rFonts w:ascii="Arial" w:hAnsi="Arial" w:cs="Arial"/>
        </w:rPr>
        <w:t>commencement of the</w:t>
      </w:r>
      <w:r w:rsidR="009F6B64" w:rsidRPr="00AA3452">
        <w:rPr>
          <w:rFonts w:ascii="Arial" w:hAnsi="Arial" w:cs="Arial"/>
        </w:rPr>
        <w:t xml:space="preserve"> </w:t>
      </w:r>
      <w:r w:rsidR="009F6B64">
        <w:rPr>
          <w:rFonts w:ascii="Arial" w:hAnsi="Arial" w:cs="Arial"/>
        </w:rPr>
        <w:t>LSBP</w:t>
      </w:r>
      <w:r w:rsidR="009F6B64" w:rsidRPr="00AA3452">
        <w:rPr>
          <w:rFonts w:ascii="Arial" w:hAnsi="Arial" w:cs="Arial"/>
        </w:rPr>
        <w:t xml:space="preserve"> Act</w:t>
      </w:r>
      <w:r w:rsidR="009F6B64">
        <w:rPr>
          <w:rFonts w:ascii="Arial" w:hAnsi="Arial" w:cs="Arial"/>
        </w:rPr>
        <w:t xml:space="preserve"> (being 1 July 2022 and 1 July 2026)</w:t>
      </w:r>
      <w:r w:rsidR="009F6B64" w:rsidRPr="00AA3452">
        <w:rPr>
          <w:rFonts w:ascii="Arial" w:hAnsi="Arial" w:cs="Arial"/>
        </w:rPr>
        <w:t>.</w:t>
      </w:r>
    </w:p>
    <w:p w14:paraId="13C3F78B" w14:textId="0913C2FC" w:rsidR="00AA3452" w:rsidRPr="00AA3452" w:rsidRDefault="00AA3452" w:rsidP="00AA3452">
      <w:pPr>
        <w:rPr>
          <w:rFonts w:ascii="Arial" w:hAnsi="Arial" w:cs="Arial"/>
        </w:rPr>
      </w:pPr>
      <w:r w:rsidRPr="00AA3452">
        <w:rPr>
          <w:rFonts w:ascii="Arial" w:hAnsi="Arial" w:cs="Arial"/>
        </w:rPr>
        <w:t xml:space="preserve">The year three evaluation will be an ‘implementation review’ which covers the experience of the </w:t>
      </w:r>
      <w:r>
        <w:rPr>
          <w:rFonts w:ascii="Arial" w:hAnsi="Arial" w:cs="Arial"/>
        </w:rPr>
        <w:t xml:space="preserve">three </w:t>
      </w:r>
      <w:r w:rsidRPr="00AA3452">
        <w:rPr>
          <w:rFonts w:ascii="Arial" w:hAnsi="Arial" w:cs="Arial"/>
        </w:rPr>
        <w:t>sector</w:t>
      </w:r>
      <w:r>
        <w:rPr>
          <w:rFonts w:ascii="Arial" w:hAnsi="Arial" w:cs="Arial"/>
        </w:rPr>
        <w:t>s</w:t>
      </w:r>
      <w:r w:rsidRPr="00AA3452">
        <w:rPr>
          <w:rFonts w:ascii="Arial" w:hAnsi="Arial" w:cs="Arial"/>
        </w:rPr>
        <w:t xml:space="preserve"> in the first phase of implementation </w:t>
      </w:r>
      <w:r>
        <w:rPr>
          <w:rFonts w:ascii="Arial" w:hAnsi="Arial" w:cs="Arial"/>
        </w:rPr>
        <w:t>of the S</w:t>
      </w:r>
      <w:r w:rsidRPr="00AA3452">
        <w:rPr>
          <w:rFonts w:ascii="Arial" w:hAnsi="Arial" w:cs="Arial"/>
        </w:rPr>
        <w:t xml:space="preserve">cheme and </w:t>
      </w:r>
      <w:r w:rsidR="002A50A9">
        <w:rPr>
          <w:rFonts w:ascii="Arial" w:hAnsi="Arial" w:cs="Arial"/>
        </w:rPr>
        <w:t xml:space="preserve">Proposed </w:t>
      </w:r>
      <w:r w:rsidRPr="00AA3452">
        <w:rPr>
          <w:rFonts w:ascii="Arial" w:hAnsi="Arial" w:cs="Arial"/>
        </w:rPr>
        <w:t>Regulations. Its focus should be on matters such as</w:t>
      </w:r>
      <w:r>
        <w:rPr>
          <w:rFonts w:ascii="Arial" w:hAnsi="Arial" w:cs="Arial"/>
        </w:rPr>
        <w:t xml:space="preserve"> the</w:t>
      </w:r>
      <w:r w:rsidRPr="00AA3452">
        <w:rPr>
          <w:rFonts w:ascii="Arial" w:hAnsi="Arial" w:cs="Arial"/>
        </w:rPr>
        <w:t xml:space="preserve"> financial and administrative concerns of </w:t>
      </w:r>
      <w:r w:rsidR="00DB01D9">
        <w:rPr>
          <w:rFonts w:ascii="Arial" w:hAnsi="Arial" w:cs="Arial"/>
        </w:rPr>
        <w:t>employers</w:t>
      </w:r>
      <w:r>
        <w:rPr>
          <w:rFonts w:ascii="Arial" w:hAnsi="Arial" w:cs="Arial"/>
        </w:rPr>
        <w:t xml:space="preserve"> and the uptake of the S</w:t>
      </w:r>
      <w:r w:rsidRPr="00AA3452">
        <w:rPr>
          <w:rFonts w:ascii="Arial" w:hAnsi="Arial" w:cs="Arial"/>
        </w:rPr>
        <w:t>cheme.</w:t>
      </w:r>
    </w:p>
    <w:p w14:paraId="5FFC4B36" w14:textId="64E6E609" w:rsidR="00AA3452" w:rsidRPr="00AA3452" w:rsidRDefault="00AA3452" w:rsidP="00AA3452">
      <w:pPr>
        <w:rPr>
          <w:rFonts w:ascii="Arial" w:hAnsi="Arial" w:cs="Arial"/>
        </w:rPr>
      </w:pPr>
      <w:r w:rsidRPr="00AA3452">
        <w:rPr>
          <w:rFonts w:ascii="Arial" w:hAnsi="Arial" w:cs="Arial"/>
        </w:rPr>
        <w:t xml:space="preserve">The year seven review will focus on measuring the extent to which the </w:t>
      </w:r>
      <w:r w:rsidR="002A50A9">
        <w:rPr>
          <w:rFonts w:ascii="Arial" w:hAnsi="Arial" w:cs="Arial"/>
        </w:rPr>
        <w:t xml:space="preserve">Proposed </w:t>
      </w:r>
      <w:r w:rsidRPr="00AA3452">
        <w:rPr>
          <w:rFonts w:ascii="Arial" w:hAnsi="Arial" w:cs="Arial"/>
        </w:rPr>
        <w:t xml:space="preserve">Regulations have met the objectives stated in section </w:t>
      </w:r>
      <w:r>
        <w:rPr>
          <w:rFonts w:ascii="Arial" w:hAnsi="Arial" w:cs="Arial"/>
        </w:rPr>
        <w:fldChar w:fldCharType="begin"/>
      </w:r>
      <w:r>
        <w:rPr>
          <w:rFonts w:ascii="Arial" w:hAnsi="Arial" w:cs="Arial"/>
        </w:rPr>
        <w:instrText xml:space="preserve"> REF _Ref35864425 \r \h </w:instrText>
      </w:r>
      <w:r>
        <w:rPr>
          <w:rFonts w:ascii="Arial" w:hAnsi="Arial" w:cs="Arial"/>
        </w:rPr>
      </w:r>
      <w:r>
        <w:rPr>
          <w:rFonts w:ascii="Arial" w:hAnsi="Arial" w:cs="Arial"/>
        </w:rPr>
        <w:fldChar w:fldCharType="separate"/>
      </w:r>
      <w:r>
        <w:rPr>
          <w:rFonts w:ascii="Arial" w:hAnsi="Arial" w:cs="Arial"/>
        </w:rPr>
        <w:t>3</w:t>
      </w:r>
      <w:r>
        <w:rPr>
          <w:rFonts w:ascii="Arial" w:hAnsi="Arial" w:cs="Arial"/>
        </w:rPr>
        <w:fldChar w:fldCharType="end"/>
      </w:r>
      <w:r w:rsidRPr="00AA3452">
        <w:rPr>
          <w:rFonts w:ascii="Arial" w:hAnsi="Arial" w:cs="Arial"/>
        </w:rPr>
        <w:t xml:space="preserve"> of this RIS.</w:t>
      </w:r>
    </w:p>
    <w:p w14:paraId="6EF4B7C9" w14:textId="5411C70B" w:rsidR="006C6DE6" w:rsidRPr="00EC5379" w:rsidRDefault="006C6DE6" w:rsidP="00AA3452">
      <w:pPr>
        <w:pStyle w:val="HeadingLevel2NoNumber"/>
        <w:rPr>
          <w:rFonts w:ascii="Arial" w:hAnsi="Arial" w:cs="Arial"/>
        </w:rPr>
      </w:pPr>
      <w:r w:rsidRPr="00EC5379">
        <w:rPr>
          <w:rFonts w:ascii="Arial" w:hAnsi="Arial" w:cs="Arial"/>
        </w:rPr>
        <w:t>Summary of questions to stakeholders</w:t>
      </w:r>
    </w:p>
    <w:p w14:paraId="697E916F" w14:textId="6D5EE0F7" w:rsidR="0072722B" w:rsidRPr="00EC5379" w:rsidRDefault="0072722B" w:rsidP="0072722B">
      <w:pPr>
        <w:rPr>
          <w:rFonts w:ascii="Arial" w:hAnsi="Arial" w:cs="Arial"/>
        </w:rPr>
      </w:pPr>
      <w:r>
        <w:rPr>
          <w:rFonts w:ascii="Arial" w:hAnsi="Arial" w:cs="Arial"/>
        </w:rPr>
        <w:t>In preparing this</w:t>
      </w:r>
      <w:r w:rsidRPr="00EC5379">
        <w:rPr>
          <w:rFonts w:ascii="Arial" w:hAnsi="Arial" w:cs="Arial"/>
        </w:rPr>
        <w:t xml:space="preserve"> RIS</w:t>
      </w:r>
      <w:r>
        <w:rPr>
          <w:rFonts w:ascii="Arial" w:hAnsi="Arial" w:cs="Arial"/>
        </w:rPr>
        <w:t>, meetings were held with stakeholders, at which</w:t>
      </w:r>
      <w:r w:rsidRPr="00EC5379">
        <w:rPr>
          <w:rFonts w:ascii="Arial" w:hAnsi="Arial" w:cs="Arial"/>
        </w:rPr>
        <w:t xml:space="preserve"> stakeholders </w:t>
      </w:r>
      <w:r>
        <w:rPr>
          <w:rFonts w:ascii="Arial" w:hAnsi="Arial" w:cs="Arial"/>
        </w:rPr>
        <w:t>were asked a number of questions</w:t>
      </w:r>
      <w:r w:rsidRPr="00EC5379">
        <w:rPr>
          <w:rFonts w:ascii="Arial" w:hAnsi="Arial" w:cs="Arial"/>
        </w:rPr>
        <w:t>. The below table provides a summary of these questions.</w:t>
      </w:r>
      <w:r>
        <w:rPr>
          <w:rFonts w:ascii="Arial" w:hAnsi="Arial" w:cs="Arial"/>
        </w:rPr>
        <w:t xml:space="preserve"> Answers to these questions helped develop the various options, and </w:t>
      </w:r>
      <w:r w:rsidR="004C3990">
        <w:rPr>
          <w:rFonts w:ascii="Arial" w:hAnsi="Arial" w:cs="Arial"/>
        </w:rPr>
        <w:t xml:space="preserve">to </w:t>
      </w:r>
      <w:r>
        <w:rPr>
          <w:rFonts w:ascii="Arial" w:hAnsi="Arial" w:cs="Arial"/>
        </w:rPr>
        <w:t>assess which of the options should be recommended. Stakeholders are welcome to respond to these questions as they review the RIS.</w:t>
      </w:r>
    </w:p>
    <w:p w14:paraId="2E8D7D03" w14:textId="77777777" w:rsidR="008C56DF" w:rsidRPr="00EC5379" w:rsidRDefault="008C56DF" w:rsidP="008C56DF">
      <w:pPr>
        <w:pStyle w:val="Caption"/>
        <w:rPr>
          <w:rFonts w:ascii="Arial" w:hAnsi="Arial" w:cs="Arial"/>
        </w:rPr>
      </w:pPr>
      <w:r w:rsidRPr="00EC5379">
        <w:rPr>
          <w:rFonts w:ascii="Arial" w:hAnsi="Arial" w:cs="Arial"/>
        </w:rPr>
        <w:lastRenderedPageBreak/>
        <w:t xml:space="preserve">Table </w:t>
      </w:r>
      <w:r w:rsidR="00C23D08" w:rsidRPr="00EC5379">
        <w:rPr>
          <w:rFonts w:ascii="Arial" w:hAnsi="Arial" w:cs="Arial"/>
          <w:noProof/>
        </w:rPr>
        <w:fldChar w:fldCharType="begin"/>
      </w:r>
      <w:r w:rsidR="00C23D08" w:rsidRPr="00EC5379">
        <w:rPr>
          <w:rFonts w:ascii="Arial" w:hAnsi="Arial" w:cs="Arial"/>
          <w:noProof/>
        </w:rPr>
        <w:instrText xml:space="preserve"> SEQ Table \* ARABIC </w:instrText>
      </w:r>
      <w:r w:rsidR="00C23D08" w:rsidRPr="00EC5379">
        <w:rPr>
          <w:rFonts w:ascii="Arial" w:hAnsi="Arial" w:cs="Arial"/>
          <w:noProof/>
        </w:rPr>
        <w:fldChar w:fldCharType="separate"/>
      </w:r>
      <w:r w:rsidR="00EB4037">
        <w:rPr>
          <w:rFonts w:ascii="Arial" w:hAnsi="Arial" w:cs="Arial"/>
          <w:noProof/>
        </w:rPr>
        <w:t>1</w:t>
      </w:r>
      <w:r w:rsidR="00C23D08" w:rsidRPr="00EC5379">
        <w:rPr>
          <w:rFonts w:ascii="Arial" w:hAnsi="Arial" w:cs="Arial"/>
          <w:noProof/>
        </w:rPr>
        <w:fldChar w:fldCharType="end"/>
      </w:r>
      <w:r w:rsidRPr="00EC5379">
        <w:rPr>
          <w:rFonts w:ascii="Arial" w:hAnsi="Arial" w:cs="Arial"/>
        </w:rPr>
        <w:t>: Summary of questions to stakeholders</w:t>
      </w:r>
    </w:p>
    <w:tbl>
      <w:tblPr>
        <w:tblStyle w:val="TableGrid"/>
        <w:tblW w:w="9026" w:type="dxa"/>
        <w:tblLook w:val="04A0" w:firstRow="1" w:lastRow="0" w:firstColumn="1" w:lastColumn="0" w:noHBand="0" w:noVBand="1"/>
      </w:tblPr>
      <w:tblGrid>
        <w:gridCol w:w="9026"/>
      </w:tblGrid>
      <w:tr w:rsidR="008C56DF" w:rsidRPr="00F738AD" w14:paraId="2CC4679C" w14:textId="77777777" w:rsidTr="004C2072">
        <w:trPr>
          <w:trHeight w:val="333"/>
          <w:tblHeader/>
        </w:trPr>
        <w:tc>
          <w:tcPr>
            <w:tcW w:w="9026" w:type="dxa"/>
            <w:tcBorders>
              <w:left w:val="nil"/>
            </w:tcBorders>
            <w:shd w:val="clear" w:color="auto" w:fill="002060"/>
            <w:vAlign w:val="center"/>
          </w:tcPr>
          <w:p w14:paraId="0501AFDD" w14:textId="77777777" w:rsidR="008C56DF" w:rsidRPr="00F738AD" w:rsidRDefault="008C56DF" w:rsidP="00B06AD2">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8C56DF" w:rsidRPr="00EC5379" w14:paraId="2F3CEE0D" w14:textId="77777777" w:rsidTr="004C2072">
        <w:trPr>
          <w:trHeight w:val="4461"/>
        </w:trPr>
        <w:tc>
          <w:tcPr>
            <w:tcW w:w="9026" w:type="dxa"/>
            <w:tcBorders>
              <w:left w:val="nil"/>
            </w:tcBorders>
            <w:shd w:val="clear" w:color="auto" w:fill="DEEAF6" w:themeFill="accent1" w:themeFillTint="33"/>
          </w:tcPr>
          <w:p w14:paraId="41ECFA07" w14:textId="59E268C4" w:rsidR="00D77837" w:rsidRPr="004C2072" w:rsidRDefault="00D77837" w:rsidP="004C2072">
            <w:pPr>
              <w:spacing w:before="240" w:line="260" w:lineRule="atLeast"/>
              <w:ind w:left="601" w:hanging="601"/>
              <w:rPr>
                <w:rFonts w:ascii="Arial" w:hAnsi="Arial" w:cs="Arial"/>
              </w:rPr>
            </w:pPr>
            <w:r w:rsidRPr="004C2072">
              <w:rPr>
                <w:rFonts w:ascii="Arial" w:hAnsi="Arial" w:cs="Arial"/>
                <w:b/>
              </w:rPr>
              <w:t>S.1</w:t>
            </w:r>
            <w:r w:rsidR="0055008B" w:rsidRPr="004C2072">
              <w:rPr>
                <w:rFonts w:ascii="Arial" w:hAnsi="Arial" w:cs="Arial"/>
                <w:b/>
              </w:rPr>
              <w:t xml:space="preserve"> </w:t>
            </w:r>
            <w:r w:rsidR="002A50A9" w:rsidRPr="004C2072">
              <w:rPr>
                <w:rFonts w:ascii="Arial" w:hAnsi="Arial" w:cs="Arial"/>
                <w:b/>
              </w:rPr>
              <w:tab/>
            </w:r>
            <w:r w:rsidRPr="004C2072">
              <w:rPr>
                <w:rFonts w:ascii="Arial" w:hAnsi="Arial" w:cs="Arial"/>
              </w:rPr>
              <w:t xml:space="preserve">Are there any other challenges employers in the community services sector face </w:t>
            </w:r>
            <w:r w:rsidR="0063565D">
              <w:rPr>
                <w:rFonts w:ascii="Arial" w:hAnsi="Arial" w:cs="Arial"/>
              </w:rPr>
              <w:t xml:space="preserve">in </w:t>
            </w:r>
            <w:r w:rsidRPr="004C2072">
              <w:rPr>
                <w:rFonts w:ascii="Arial" w:hAnsi="Arial" w:cs="Arial"/>
              </w:rPr>
              <w:t>determining what is defined as community service work?</w:t>
            </w:r>
          </w:p>
          <w:p w14:paraId="33262871" w14:textId="1568A074" w:rsidR="00D77837" w:rsidRPr="004C2072" w:rsidRDefault="00D77837" w:rsidP="004C2072">
            <w:pPr>
              <w:spacing w:before="240"/>
              <w:ind w:left="601" w:hanging="601"/>
              <w:rPr>
                <w:rFonts w:ascii="Arial" w:hAnsi="Arial" w:cs="Arial"/>
              </w:rPr>
            </w:pPr>
            <w:r w:rsidRPr="004C2072">
              <w:rPr>
                <w:rFonts w:ascii="Arial" w:hAnsi="Arial" w:cs="Arial"/>
                <w:b/>
              </w:rPr>
              <w:t>S.2</w:t>
            </w:r>
            <w:r w:rsidR="0055008B" w:rsidRPr="004C2072">
              <w:rPr>
                <w:rFonts w:ascii="Arial" w:hAnsi="Arial" w:cs="Arial"/>
                <w:b/>
              </w:rPr>
              <w:t xml:space="preserve"> </w:t>
            </w:r>
            <w:r w:rsidR="002A50A9" w:rsidRPr="004C2072">
              <w:rPr>
                <w:rFonts w:ascii="Arial" w:hAnsi="Arial" w:cs="Arial"/>
                <w:b/>
              </w:rPr>
              <w:tab/>
            </w:r>
            <w:r w:rsidRPr="004C2072">
              <w:rPr>
                <w:rFonts w:ascii="Arial" w:hAnsi="Arial" w:cs="Arial"/>
              </w:rPr>
              <w:t xml:space="preserve">Are there any other challenges employers in the community services sector face </w:t>
            </w:r>
            <w:r w:rsidR="00CB029E">
              <w:rPr>
                <w:rFonts w:ascii="Arial" w:hAnsi="Arial" w:cs="Arial"/>
              </w:rPr>
              <w:t xml:space="preserve">in </w:t>
            </w:r>
            <w:r w:rsidRPr="004C2072">
              <w:rPr>
                <w:rFonts w:ascii="Arial" w:hAnsi="Arial" w:cs="Arial"/>
              </w:rPr>
              <w:t>determining what share of their work is not health or aged care work under the existing employer predominance test?</w:t>
            </w:r>
          </w:p>
          <w:p w14:paraId="5F98E3A3" w14:textId="446BF235" w:rsidR="00D77837" w:rsidRPr="004C2072" w:rsidRDefault="00D77837" w:rsidP="004C2072">
            <w:pPr>
              <w:spacing w:before="240"/>
              <w:ind w:left="601" w:hanging="601"/>
              <w:rPr>
                <w:rFonts w:ascii="Arial" w:hAnsi="Arial" w:cs="Arial"/>
              </w:rPr>
            </w:pPr>
            <w:r w:rsidRPr="004C2072">
              <w:rPr>
                <w:rFonts w:ascii="Arial" w:hAnsi="Arial" w:cs="Arial"/>
                <w:b/>
              </w:rPr>
              <w:t>S.3</w:t>
            </w:r>
            <w:r w:rsidR="0055008B" w:rsidRPr="004C2072">
              <w:rPr>
                <w:rFonts w:ascii="Arial" w:hAnsi="Arial" w:cs="Arial"/>
                <w:b/>
              </w:rPr>
              <w:t xml:space="preserve"> </w:t>
            </w:r>
            <w:r w:rsidR="002A50A9" w:rsidRPr="004C2072">
              <w:rPr>
                <w:rFonts w:ascii="Arial" w:hAnsi="Arial" w:cs="Arial"/>
                <w:b/>
              </w:rPr>
              <w:tab/>
            </w:r>
            <w:r w:rsidRPr="004C2072">
              <w:rPr>
                <w:rFonts w:ascii="Arial" w:hAnsi="Arial" w:cs="Arial"/>
              </w:rPr>
              <w:t xml:space="preserve">Are there any other </w:t>
            </w:r>
            <w:r w:rsidR="002106A3">
              <w:rPr>
                <w:rFonts w:ascii="Arial" w:hAnsi="Arial" w:cs="Arial"/>
              </w:rPr>
              <w:t>sub</w:t>
            </w:r>
            <w:r w:rsidR="002106A3">
              <w:rPr>
                <w:rFonts w:ascii="Arial" w:hAnsi="Arial" w:cs="Arial"/>
              </w:rPr>
              <w:noBreakHyphen/>
              <w:t>sector</w:t>
            </w:r>
            <w:r w:rsidRPr="004C2072">
              <w:rPr>
                <w:rFonts w:ascii="Arial" w:hAnsi="Arial" w:cs="Arial"/>
              </w:rPr>
              <w:t>s that have been unintentionally excluded from the Scheme through the definition of health and aged care work in the Interim Regulations?</w:t>
            </w:r>
          </w:p>
          <w:p w14:paraId="0761C387" w14:textId="3280D1BC" w:rsidR="00D77837" w:rsidRPr="004C2072" w:rsidRDefault="00D77837" w:rsidP="004C2072">
            <w:pPr>
              <w:spacing w:before="240"/>
              <w:ind w:left="601" w:hanging="601"/>
              <w:rPr>
                <w:rFonts w:ascii="Arial" w:hAnsi="Arial" w:cs="Arial"/>
              </w:rPr>
            </w:pPr>
            <w:r w:rsidRPr="004C2072">
              <w:rPr>
                <w:rFonts w:ascii="Arial" w:hAnsi="Arial" w:cs="Arial"/>
                <w:b/>
              </w:rPr>
              <w:t>S.4</w:t>
            </w:r>
            <w:r w:rsidR="0055008B" w:rsidRPr="004C2072">
              <w:rPr>
                <w:rFonts w:ascii="Arial" w:hAnsi="Arial" w:cs="Arial"/>
                <w:b/>
              </w:rPr>
              <w:t xml:space="preserve"> </w:t>
            </w:r>
            <w:r w:rsidR="002A50A9" w:rsidRPr="004C2072">
              <w:rPr>
                <w:rFonts w:ascii="Arial" w:hAnsi="Arial" w:cs="Arial"/>
                <w:b/>
              </w:rPr>
              <w:tab/>
            </w:r>
            <w:r w:rsidRPr="004C2072">
              <w:rPr>
                <w:rFonts w:ascii="Arial" w:hAnsi="Arial" w:cs="Arial"/>
              </w:rPr>
              <w:t>Are there any other viable options to improve clarity as to whether care delivered in a private residence is defined as community service work for the purposes of the Scheme?</w:t>
            </w:r>
          </w:p>
          <w:p w14:paraId="4C96C751" w14:textId="12FADBFC" w:rsidR="00D77837" w:rsidRPr="004C2072" w:rsidRDefault="00D77837" w:rsidP="004C2072">
            <w:pPr>
              <w:pStyle w:val="BodyText"/>
              <w:spacing w:before="240" w:after="160"/>
              <w:ind w:left="601" w:hanging="601"/>
              <w:rPr>
                <w:rFonts w:cs="Arial"/>
              </w:rPr>
            </w:pPr>
            <w:r w:rsidRPr="004C2072">
              <w:rPr>
                <w:rFonts w:cs="Arial"/>
                <w:b/>
              </w:rPr>
              <w:t>S.5</w:t>
            </w:r>
            <w:r w:rsidR="0055008B" w:rsidRPr="004C2072">
              <w:rPr>
                <w:rFonts w:cs="Arial"/>
              </w:rPr>
              <w:t xml:space="preserve"> </w:t>
            </w:r>
            <w:r w:rsidR="002A50A9" w:rsidRPr="004C2072">
              <w:rPr>
                <w:rFonts w:cs="Arial"/>
              </w:rPr>
              <w:tab/>
            </w:r>
            <w:r w:rsidRPr="004C2072">
              <w:rPr>
                <w:rFonts w:cs="Arial"/>
              </w:rPr>
              <w:t>In relation to the employer predominance test, which option provides employers in the community services sector with the greatest clarity in relation to when they are in-scope?</w:t>
            </w:r>
          </w:p>
          <w:p w14:paraId="4B1645D0" w14:textId="3CD61F59" w:rsidR="00D77837" w:rsidRPr="004C2072" w:rsidRDefault="00D77837" w:rsidP="004C2072">
            <w:pPr>
              <w:pStyle w:val="BodyText"/>
              <w:spacing w:before="240"/>
              <w:ind w:left="601" w:hanging="601"/>
              <w:rPr>
                <w:rFonts w:cs="Arial"/>
              </w:rPr>
            </w:pPr>
            <w:r w:rsidRPr="004C2072">
              <w:rPr>
                <w:rFonts w:cs="Arial"/>
                <w:b/>
              </w:rPr>
              <w:t>S.6</w:t>
            </w:r>
            <w:r w:rsidR="0055008B" w:rsidRPr="004C2072">
              <w:rPr>
                <w:rFonts w:cs="Arial"/>
                <w:b/>
              </w:rPr>
              <w:t xml:space="preserve"> </w:t>
            </w:r>
            <w:r w:rsidR="002A50A9" w:rsidRPr="004C2072">
              <w:rPr>
                <w:rFonts w:cs="Arial"/>
                <w:b/>
              </w:rPr>
              <w:tab/>
            </w:r>
            <w:r w:rsidRPr="004C2072">
              <w:rPr>
                <w:rFonts w:cs="Arial"/>
              </w:rPr>
              <w:t xml:space="preserve">Are there any other viable options to improve clarity as to who is </w:t>
            </w:r>
            <w:r w:rsidR="0071726F" w:rsidRPr="004C2072">
              <w:rPr>
                <w:rFonts w:cs="Arial"/>
                <w:color w:val="auto"/>
              </w:rPr>
              <w:t xml:space="preserve">regarded as </w:t>
            </w:r>
            <w:r w:rsidRPr="004C2072">
              <w:rPr>
                <w:rFonts w:cs="Arial"/>
              </w:rPr>
              <w:t>an employer in the community services sector?</w:t>
            </w:r>
          </w:p>
          <w:p w14:paraId="15DDC0AE" w14:textId="7D7D7A23" w:rsidR="00D77837" w:rsidRPr="004C2072" w:rsidRDefault="00D77837" w:rsidP="004C2072">
            <w:pPr>
              <w:pStyle w:val="BodyText"/>
              <w:spacing w:before="240"/>
              <w:ind w:left="601" w:hanging="601"/>
              <w:rPr>
                <w:rFonts w:cs="Arial"/>
              </w:rPr>
            </w:pPr>
            <w:r w:rsidRPr="004C2072">
              <w:rPr>
                <w:rFonts w:cs="Arial"/>
                <w:b/>
              </w:rPr>
              <w:t>S.7</w:t>
            </w:r>
            <w:r w:rsidR="0055008B" w:rsidRPr="004C2072">
              <w:rPr>
                <w:rFonts w:cs="Arial"/>
                <w:b/>
              </w:rPr>
              <w:t xml:space="preserve"> </w:t>
            </w:r>
            <w:r w:rsidR="002A50A9" w:rsidRPr="004C2072">
              <w:rPr>
                <w:rFonts w:cs="Arial"/>
                <w:b/>
              </w:rPr>
              <w:tab/>
            </w:r>
            <w:r w:rsidRPr="004C2072">
              <w:rPr>
                <w:rFonts w:cs="Arial"/>
              </w:rPr>
              <w:t xml:space="preserve">Are there any other viable options to improve clarity as to who is </w:t>
            </w:r>
            <w:r w:rsidR="0071726F" w:rsidRPr="004C2072">
              <w:rPr>
                <w:rFonts w:cs="Arial"/>
                <w:color w:val="auto"/>
              </w:rPr>
              <w:t xml:space="preserve">regarded as </w:t>
            </w:r>
            <w:r w:rsidRPr="004C2072">
              <w:rPr>
                <w:rFonts w:cs="Arial"/>
              </w:rPr>
              <w:t>an employee in the community services sector?</w:t>
            </w:r>
          </w:p>
          <w:p w14:paraId="77358410" w14:textId="51C384A1" w:rsidR="00D77837" w:rsidRPr="004C2072" w:rsidRDefault="00D77837" w:rsidP="004C2072">
            <w:pPr>
              <w:spacing w:before="240"/>
              <w:ind w:left="601" w:hanging="601"/>
              <w:rPr>
                <w:rFonts w:ascii="Arial" w:hAnsi="Arial" w:cs="Arial"/>
              </w:rPr>
            </w:pPr>
            <w:r w:rsidRPr="004C2072">
              <w:rPr>
                <w:rFonts w:ascii="Arial" w:hAnsi="Arial" w:cs="Arial"/>
                <w:b/>
              </w:rPr>
              <w:t>S.8</w:t>
            </w:r>
            <w:r w:rsidR="0055008B" w:rsidRPr="004C2072">
              <w:rPr>
                <w:rFonts w:ascii="Arial" w:hAnsi="Arial" w:cs="Arial"/>
                <w:b/>
              </w:rPr>
              <w:t xml:space="preserve"> </w:t>
            </w:r>
            <w:r w:rsidR="002A50A9" w:rsidRPr="004C2072">
              <w:rPr>
                <w:rFonts w:ascii="Arial" w:hAnsi="Arial" w:cs="Arial"/>
                <w:b/>
              </w:rPr>
              <w:tab/>
            </w:r>
            <w:r w:rsidRPr="004C2072">
              <w:rPr>
                <w:rFonts w:ascii="Arial" w:hAnsi="Arial" w:cs="Arial"/>
              </w:rPr>
              <w:t xml:space="preserve">Are there any other viable options to improve clarity as to who is </w:t>
            </w:r>
            <w:r w:rsidR="0071726F" w:rsidRPr="004C2072">
              <w:rPr>
                <w:rFonts w:ascii="Arial" w:hAnsi="Arial" w:cs="Arial"/>
                <w:color w:val="auto"/>
              </w:rPr>
              <w:t xml:space="preserve">regarded as </w:t>
            </w:r>
            <w:r w:rsidRPr="004C2072">
              <w:rPr>
                <w:rFonts w:ascii="Arial" w:hAnsi="Arial" w:cs="Arial"/>
              </w:rPr>
              <w:t>an employee in the security sector?</w:t>
            </w:r>
          </w:p>
          <w:p w14:paraId="72734491" w14:textId="54C3EE54" w:rsidR="00D77837" w:rsidRPr="004C2072" w:rsidRDefault="00D77837" w:rsidP="004C2072">
            <w:pPr>
              <w:spacing w:before="240"/>
              <w:ind w:left="601" w:hanging="601"/>
              <w:rPr>
                <w:rFonts w:ascii="Arial" w:hAnsi="Arial" w:cs="Arial"/>
              </w:rPr>
            </w:pPr>
            <w:r w:rsidRPr="004C2072">
              <w:rPr>
                <w:rFonts w:ascii="Arial" w:hAnsi="Arial" w:cs="Arial"/>
                <w:b/>
              </w:rPr>
              <w:t>S.9</w:t>
            </w:r>
            <w:r w:rsidR="0055008B" w:rsidRPr="004C2072">
              <w:rPr>
                <w:rFonts w:ascii="Arial" w:hAnsi="Arial" w:cs="Arial"/>
                <w:b/>
              </w:rPr>
              <w:t xml:space="preserve"> </w:t>
            </w:r>
            <w:r w:rsidR="002A50A9" w:rsidRPr="004C2072">
              <w:rPr>
                <w:rFonts w:ascii="Arial" w:hAnsi="Arial" w:cs="Arial"/>
                <w:b/>
              </w:rPr>
              <w:tab/>
            </w:r>
            <w:r w:rsidRPr="004C2072">
              <w:rPr>
                <w:rFonts w:ascii="Arial" w:hAnsi="Arial" w:cs="Arial"/>
              </w:rPr>
              <w:t>In relation to work undertaken in a private residence, which option best ensures that employees across the community services sector have fair and equitable access to the Scheme?</w:t>
            </w:r>
          </w:p>
          <w:p w14:paraId="4B1A6D01" w14:textId="404D91DC" w:rsidR="00D77837" w:rsidRPr="004C2072" w:rsidRDefault="00D77837" w:rsidP="004C2072">
            <w:pPr>
              <w:pStyle w:val="BodyText"/>
              <w:spacing w:before="240" w:after="160"/>
              <w:ind w:left="601" w:hanging="601"/>
              <w:rPr>
                <w:rFonts w:cs="Arial"/>
              </w:rPr>
            </w:pPr>
            <w:r w:rsidRPr="004C2072">
              <w:rPr>
                <w:rFonts w:cs="Arial"/>
                <w:b/>
              </w:rPr>
              <w:t>S.10</w:t>
            </w:r>
            <w:r w:rsidR="0055008B" w:rsidRPr="004C2072">
              <w:rPr>
                <w:rFonts w:cs="Arial"/>
                <w:b/>
              </w:rPr>
              <w:t xml:space="preserve"> </w:t>
            </w:r>
            <w:r w:rsidR="002A50A9" w:rsidRPr="004C2072">
              <w:rPr>
                <w:rFonts w:cs="Arial"/>
                <w:b/>
              </w:rPr>
              <w:tab/>
            </w:r>
            <w:r w:rsidRPr="004C2072">
              <w:rPr>
                <w:rFonts w:cs="Arial"/>
              </w:rPr>
              <w:t xml:space="preserve">What </w:t>
            </w:r>
            <w:r w:rsidR="004C2072" w:rsidRPr="004C2072">
              <w:rPr>
                <w:rFonts w:cs="Arial"/>
              </w:rPr>
              <w:t>type</w:t>
            </w:r>
            <w:r w:rsidRPr="004C2072">
              <w:rPr>
                <w:rFonts w:cs="Arial"/>
              </w:rPr>
              <w:t xml:space="preserve"> </w:t>
            </w:r>
            <w:r w:rsidR="00A931F0" w:rsidRPr="004C2072">
              <w:rPr>
                <w:rFonts w:cs="Arial"/>
              </w:rPr>
              <w:t>of</w:t>
            </w:r>
            <w:r w:rsidRPr="004C2072">
              <w:rPr>
                <w:rFonts w:cs="Arial"/>
              </w:rPr>
              <w:t xml:space="preserve"> employers</w:t>
            </w:r>
            <w:r w:rsidR="00A931F0" w:rsidRPr="004C2072">
              <w:rPr>
                <w:rFonts w:cs="Arial"/>
              </w:rPr>
              <w:t xml:space="preserve"> (and how many)</w:t>
            </w:r>
            <w:r w:rsidRPr="004C2072">
              <w:rPr>
                <w:rFonts w:cs="Arial"/>
              </w:rPr>
              <w:t xml:space="preserve"> would be brought within the scope of the Scheme if the employer predominance test was abolished? </w:t>
            </w:r>
          </w:p>
          <w:p w14:paraId="4FD4A2CB" w14:textId="7F4AB0D3" w:rsidR="00D77837" w:rsidRPr="004C2072" w:rsidRDefault="00D77837" w:rsidP="004C2072">
            <w:pPr>
              <w:pStyle w:val="BodyText"/>
              <w:spacing w:before="240" w:after="160"/>
              <w:ind w:left="601" w:hanging="601"/>
              <w:rPr>
                <w:rFonts w:cs="Arial"/>
              </w:rPr>
            </w:pPr>
            <w:r w:rsidRPr="004C2072">
              <w:rPr>
                <w:rFonts w:cs="Arial"/>
                <w:b/>
              </w:rPr>
              <w:t>S.11</w:t>
            </w:r>
            <w:r w:rsidR="0055008B" w:rsidRPr="004C2072">
              <w:rPr>
                <w:rFonts w:cs="Arial"/>
                <w:b/>
              </w:rPr>
              <w:t xml:space="preserve"> </w:t>
            </w:r>
            <w:r w:rsidR="002A50A9" w:rsidRPr="004C2072">
              <w:rPr>
                <w:rFonts w:cs="Arial"/>
                <w:b/>
              </w:rPr>
              <w:tab/>
            </w:r>
            <w:r w:rsidR="00FB2269" w:rsidRPr="004C2072">
              <w:rPr>
                <w:rFonts w:cs="Arial"/>
              </w:rPr>
              <w:t>A</w:t>
            </w:r>
            <w:r w:rsidRPr="004C2072">
              <w:rPr>
                <w:rFonts w:cs="Arial"/>
              </w:rPr>
              <w:t>re there any additional impacts on employers and employees of the options</w:t>
            </w:r>
            <w:r w:rsidR="00FB2269" w:rsidRPr="004C2072">
              <w:rPr>
                <w:rFonts w:cs="Arial"/>
              </w:rPr>
              <w:t xml:space="preserve"> to reform the employer predominance test</w:t>
            </w:r>
            <w:r w:rsidRPr="004C2072">
              <w:rPr>
                <w:rFonts w:cs="Arial"/>
              </w:rPr>
              <w:t xml:space="preserve"> that are no</w:t>
            </w:r>
            <w:r w:rsidR="00FB2269" w:rsidRPr="004C2072">
              <w:rPr>
                <w:rFonts w:cs="Arial"/>
              </w:rPr>
              <w:t>t</w:t>
            </w:r>
            <w:r w:rsidRPr="004C2072">
              <w:rPr>
                <w:rFonts w:cs="Arial"/>
              </w:rPr>
              <w:t xml:space="preserve"> reflected in this analysis? </w:t>
            </w:r>
          </w:p>
          <w:p w14:paraId="2B762103" w14:textId="6F6E8350" w:rsidR="00D77837" w:rsidRPr="004C2072" w:rsidRDefault="00D77837" w:rsidP="004C2072">
            <w:pPr>
              <w:spacing w:before="240"/>
              <w:ind w:left="601" w:hanging="601"/>
              <w:rPr>
                <w:rFonts w:ascii="Arial" w:hAnsi="Arial" w:cs="Arial"/>
              </w:rPr>
            </w:pPr>
            <w:r w:rsidRPr="004C2072">
              <w:rPr>
                <w:rFonts w:ascii="Arial" w:hAnsi="Arial" w:cs="Arial"/>
                <w:b/>
              </w:rPr>
              <w:t>S.12</w:t>
            </w:r>
            <w:r w:rsidR="0055008B" w:rsidRPr="004C2072">
              <w:rPr>
                <w:rFonts w:ascii="Arial" w:hAnsi="Arial" w:cs="Arial"/>
              </w:rPr>
              <w:t xml:space="preserve"> </w:t>
            </w:r>
            <w:r w:rsidR="002A50A9" w:rsidRPr="004C2072">
              <w:rPr>
                <w:rFonts w:ascii="Arial" w:hAnsi="Arial" w:cs="Arial"/>
              </w:rPr>
              <w:tab/>
            </w:r>
            <w:r w:rsidR="00FB2269" w:rsidRPr="004C2072">
              <w:rPr>
                <w:rFonts w:ascii="Arial" w:hAnsi="Arial" w:cs="Arial"/>
              </w:rPr>
              <w:t>In relation to the employer predominance test, w</w:t>
            </w:r>
            <w:r w:rsidRPr="004C2072">
              <w:rPr>
                <w:rFonts w:ascii="Arial" w:hAnsi="Arial" w:cs="Arial"/>
              </w:rPr>
              <w:t>hich option best ensures that employees across the community services sector have fair and equitable access to the Scheme?</w:t>
            </w:r>
          </w:p>
          <w:p w14:paraId="6DDD2CB4" w14:textId="52D9FA90" w:rsidR="00D77837" w:rsidRPr="004C2072" w:rsidRDefault="00D77837" w:rsidP="004C2072">
            <w:pPr>
              <w:spacing w:before="240"/>
              <w:ind w:left="601" w:hanging="601"/>
              <w:rPr>
                <w:rFonts w:ascii="Arial" w:hAnsi="Arial" w:cs="Arial"/>
              </w:rPr>
            </w:pPr>
            <w:r w:rsidRPr="004C2072">
              <w:rPr>
                <w:rFonts w:ascii="Arial" w:hAnsi="Arial" w:cs="Arial"/>
                <w:b/>
              </w:rPr>
              <w:t>S.13</w:t>
            </w:r>
            <w:r w:rsidR="0055008B" w:rsidRPr="004C2072">
              <w:rPr>
                <w:rFonts w:ascii="Arial" w:hAnsi="Arial" w:cs="Arial"/>
                <w:b/>
              </w:rPr>
              <w:t xml:space="preserve"> </w:t>
            </w:r>
            <w:r w:rsidR="002A50A9" w:rsidRPr="004C2072">
              <w:rPr>
                <w:rFonts w:ascii="Arial" w:hAnsi="Arial" w:cs="Arial"/>
                <w:b/>
              </w:rPr>
              <w:tab/>
            </w:r>
            <w:r w:rsidRPr="004C2072">
              <w:rPr>
                <w:rFonts w:ascii="Arial" w:hAnsi="Arial" w:cs="Arial"/>
              </w:rPr>
              <w:t xml:space="preserve">What share of the </w:t>
            </w:r>
            <w:r w:rsidR="0072722B">
              <w:rPr>
                <w:rFonts w:ascii="Arial" w:hAnsi="Arial" w:cs="Arial"/>
              </w:rPr>
              <w:t>Community Health</w:t>
            </w:r>
            <w:r w:rsidRPr="004C2072">
              <w:rPr>
                <w:rFonts w:ascii="Arial" w:hAnsi="Arial" w:cs="Arial"/>
              </w:rPr>
              <w:t xml:space="preserve"> workforce move into and out of the broader community services sector?</w:t>
            </w:r>
          </w:p>
          <w:p w14:paraId="5908F392" w14:textId="128076C7" w:rsidR="00D77837" w:rsidRPr="004C2072" w:rsidRDefault="00D77837" w:rsidP="004C2072">
            <w:pPr>
              <w:pStyle w:val="BodyText"/>
              <w:spacing w:before="240" w:after="160"/>
              <w:ind w:left="601" w:hanging="601"/>
              <w:rPr>
                <w:rFonts w:cs="Arial"/>
              </w:rPr>
            </w:pPr>
            <w:r w:rsidRPr="004C2072">
              <w:rPr>
                <w:rFonts w:cs="Arial"/>
                <w:b/>
              </w:rPr>
              <w:t>S.14</w:t>
            </w:r>
            <w:r w:rsidR="0055008B" w:rsidRPr="004C2072">
              <w:rPr>
                <w:rFonts w:cs="Arial"/>
                <w:b/>
              </w:rPr>
              <w:t xml:space="preserve"> </w:t>
            </w:r>
            <w:r w:rsidR="002A50A9" w:rsidRPr="004C2072">
              <w:rPr>
                <w:rFonts w:cs="Arial"/>
                <w:b/>
              </w:rPr>
              <w:tab/>
            </w:r>
            <w:r w:rsidR="00FB2269" w:rsidRPr="004C2072">
              <w:rPr>
                <w:rFonts w:cs="Arial"/>
              </w:rPr>
              <w:t>Does the</w:t>
            </w:r>
            <w:r w:rsidRPr="004C2072">
              <w:rPr>
                <w:rFonts w:cs="Arial"/>
              </w:rPr>
              <w:t xml:space="preserve"> assessment accurately represent the scope and scale of the </w:t>
            </w:r>
            <w:r w:rsidR="0072722B">
              <w:rPr>
                <w:rFonts w:cs="Arial"/>
              </w:rPr>
              <w:t>Community Health</w:t>
            </w:r>
            <w:r w:rsidRPr="004C2072">
              <w:rPr>
                <w:rFonts w:cs="Arial"/>
              </w:rPr>
              <w:t xml:space="preserve"> workforce that delivers community service work?</w:t>
            </w:r>
          </w:p>
          <w:p w14:paraId="4774FD62" w14:textId="48ED120F" w:rsidR="00D77837" w:rsidRPr="004C2072" w:rsidRDefault="00D77837" w:rsidP="004C2072">
            <w:pPr>
              <w:pStyle w:val="BodyText"/>
              <w:spacing w:before="240" w:after="160"/>
              <w:ind w:left="601" w:hanging="601"/>
              <w:rPr>
                <w:rFonts w:cs="Arial"/>
              </w:rPr>
            </w:pPr>
            <w:r w:rsidRPr="004C2072">
              <w:rPr>
                <w:rFonts w:cs="Arial"/>
                <w:b/>
              </w:rPr>
              <w:t>S.15</w:t>
            </w:r>
            <w:r w:rsidR="0055008B" w:rsidRPr="004C2072">
              <w:rPr>
                <w:rFonts w:cs="Arial"/>
                <w:b/>
              </w:rPr>
              <w:t xml:space="preserve"> </w:t>
            </w:r>
            <w:r w:rsidR="002A50A9" w:rsidRPr="004C2072">
              <w:rPr>
                <w:rFonts w:cs="Arial"/>
                <w:b/>
              </w:rPr>
              <w:tab/>
            </w:r>
            <w:r w:rsidR="00FB2269" w:rsidRPr="004C2072">
              <w:rPr>
                <w:rFonts w:cs="Arial"/>
              </w:rPr>
              <w:t>Does the</w:t>
            </w:r>
            <w:r w:rsidRPr="004C2072">
              <w:rPr>
                <w:rFonts w:cs="Arial"/>
              </w:rPr>
              <w:t xml:space="preserve"> assessment accurately represent the scope and scale of the </w:t>
            </w:r>
            <w:r w:rsidR="0072722B">
              <w:rPr>
                <w:rFonts w:cs="Arial"/>
              </w:rPr>
              <w:t>Women’s Health</w:t>
            </w:r>
            <w:r w:rsidRPr="004C2072">
              <w:rPr>
                <w:rFonts w:cs="Arial"/>
              </w:rPr>
              <w:t xml:space="preserve"> workforce that delivers community service work?</w:t>
            </w:r>
          </w:p>
          <w:p w14:paraId="57B20AA8" w14:textId="7AE18D85" w:rsidR="00D77837" w:rsidRPr="004C2072" w:rsidRDefault="00D77837" w:rsidP="004C2072">
            <w:pPr>
              <w:pStyle w:val="BodyText"/>
              <w:spacing w:before="240" w:after="160"/>
              <w:ind w:left="601" w:hanging="601"/>
              <w:rPr>
                <w:rFonts w:cs="Arial"/>
              </w:rPr>
            </w:pPr>
            <w:r w:rsidRPr="004C2072">
              <w:rPr>
                <w:rFonts w:cs="Arial"/>
                <w:b/>
              </w:rPr>
              <w:lastRenderedPageBreak/>
              <w:t>S.16</w:t>
            </w:r>
            <w:r w:rsidR="0055008B" w:rsidRPr="004C2072">
              <w:rPr>
                <w:rFonts w:cs="Arial"/>
              </w:rPr>
              <w:t xml:space="preserve"> </w:t>
            </w:r>
            <w:r w:rsidR="002A50A9" w:rsidRPr="004C2072">
              <w:rPr>
                <w:rFonts w:cs="Arial"/>
              </w:rPr>
              <w:tab/>
            </w:r>
            <w:r w:rsidR="00FB2269" w:rsidRPr="004C2072">
              <w:rPr>
                <w:rFonts w:cs="Arial"/>
              </w:rPr>
              <w:t xml:space="preserve">Referring to the inclusion of the </w:t>
            </w:r>
            <w:r w:rsidR="0072722B">
              <w:rPr>
                <w:rFonts w:cs="Arial"/>
              </w:rPr>
              <w:t>Community Health</w:t>
            </w:r>
            <w:r w:rsidR="00FB2269" w:rsidRPr="004C2072">
              <w:rPr>
                <w:rFonts w:cs="Arial"/>
              </w:rPr>
              <w:t xml:space="preserve"> and </w:t>
            </w:r>
            <w:r w:rsidR="0072722B">
              <w:rPr>
                <w:rFonts w:cs="Arial"/>
              </w:rPr>
              <w:t>Women’s Health</w:t>
            </w:r>
            <w:r w:rsidR="00FB2269" w:rsidRPr="004C2072">
              <w:rPr>
                <w:rFonts w:cs="Arial"/>
              </w:rPr>
              <w:t xml:space="preserve"> sub</w:t>
            </w:r>
            <w:r w:rsidR="00E87382">
              <w:rPr>
                <w:rFonts w:cs="Arial"/>
              </w:rPr>
              <w:noBreakHyphen/>
            </w:r>
            <w:r w:rsidR="00FB2269" w:rsidRPr="004C2072">
              <w:rPr>
                <w:rFonts w:cs="Arial"/>
              </w:rPr>
              <w:t>sectors in the Scheme, w</w:t>
            </w:r>
            <w:r w:rsidRPr="004C2072">
              <w:rPr>
                <w:rFonts w:cs="Arial"/>
              </w:rPr>
              <w:t>hich option best ensures that employees across the community services sector have fair and equitable access to the Scheme?</w:t>
            </w:r>
          </w:p>
          <w:p w14:paraId="46745218" w14:textId="562B3B7E" w:rsidR="00D77837" w:rsidRPr="004C2072" w:rsidRDefault="00D77837" w:rsidP="004C2072">
            <w:pPr>
              <w:pStyle w:val="BodyText"/>
              <w:spacing w:before="240" w:after="160"/>
              <w:ind w:left="601" w:hanging="601"/>
              <w:rPr>
                <w:rFonts w:cs="Arial"/>
              </w:rPr>
            </w:pPr>
            <w:r w:rsidRPr="004C2072">
              <w:rPr>
                <w:rFonts w:cs="Arial"/>
                <w:b/>
              </w:rPr>
              <w:t>S.17</w:t>
            </w:r>
            <w:r w:rsidR="0055008B" w:rsidRPr="004C2072">
              <w:rPr>
                <w:rFonts w:cs="Arial"/>
                <w:b/>
              </w:rPr>
              <w:t xml:space="preserve"> </w:t>
            </w:r>
            <w:r w:rsidR="002A50A9" w:rsidRPr="004C2072">
              <w:rPr>
                <w:rFonts w:cs="Arial"/>
                <w:b/>
              </w:rPr>
              <w:tab/>
            </w:r>
            <w:r w:rsidR="00FB2269" w:rsidRPr="004C2072">
              <w:rPr>
                <w:rFonts w:cs="Arial"/>
              </w:rPr>
              <w:t>Does the</w:t>
            </w:r>
            <w:r w:rsidRPr="004C2072">
              <w:rPr>
                <w:rFonts w:cs="Arial"/>
              </w:rPr>
              <w:t xml:space="preserve"> assessment accurately represent the likely change in the number of employees covered under each of these options relative to the number of employees covered under the current employee predominance test?</w:t>
            </w:r>
          </w:p>
          <w:p w14:paraId="777E40E7" w14:textId="53962837" w:rsidR="00D77837" w:rsidRPr="004C2072" w:rsidRDefault="00D77837" w:rsidP="004C2072">
            <w:pPr>
              <w:pStyle w:val="BodyText"/>
              <w:spacing w:before="240" w:after="160"/>
              <w:ind w:left="601" w:hanging="601"/>
              <w:rPr>
                <w:rFonts w:cs="Arial"/>
              </w:rPr>
            </w:pPr>
            <w:r w:rsidRPr="004C2072">
              <w:rPr>
                <w:rFonts w:cs="Arial"/>
                <w:b/>
              </w:rPr>
              <w:t>S.18</w:t>
            </w:r>
            <w:r w:rsidR="0055008B" w:rsidRPr="004C2072">
              <w:rPr>
                <w:rFonts w:cs="Arial"/>
                <w:b/>
              </w:rPr>
              <w:t xml:space="preserve"> </w:t>
            </w:r>
            <w:r w:rsidR="002A50A9" w:rsidRPr="004C2072">
              <w:rPr>
                <w:rFonts w:cs="Arial"/>
                <w:b/>
              </w:rPr>
              <w:tab/>
            </w:r>
            <w:r w:rsidR="00FB2269" w:rsidRPr="004C2072">
              <w:rPr>
                <w:rFonts w:cs="Arial"/>
              </w:rPr>
              <w:t xml:space="preserve">Referring to who is </w:t>
            </w:r>
            <w:r w:rsidR="0071726F" w:rsidRPr="004C2072">
              <w:rPr>
                <w:rFonts w:cs="Arial"/>
                <w:color w:val="auto"/>
              </w:rPr>
              <w:t xml:space="preserve">regarded as </w:t>
            </w:r>
            <w:r w:rsidR="00FB2269" w:rsidRPr="004C2072">
              <w:rPr>
                <w:rFonts w:cs="Arial"/>
              </w:rPr>
              <w:t>an employee in the community services sector, does the</w:t>
            </w:r>
            <w:r w:rsidRPr="004C2072">
              <w:rPr>
                <w:rFonts w:cs="Arial"/>
              </w:rPr>
              <w:t xml:space="preserve"> assessment accurately represent the financial and administrative costs to employers associated with each option?</w:t>
            </w:r>
          </w:p>
          <w:p w14:paraId="418CC41F" w14:textId="42919ED8" w:rsidR="00D77837" w:rsidRPr="004C2072" w:rsidRDefault="00D77837" w:rsidP="004C2072">
            <w:pPr>
              <w:pStyle w:val="BodyText"/>
              <w:spacing w:before="240" w:after="160"/>
              <w:ind w:left="601" w:hanging="601"/>
              <w:rPr>
                <w:rFonts w:cs="Arial"/>
              </w:rPr>
            </w:pPr>
            <w:r w:rsidRPr="004C2072">
              <w:rPr>
                <w:rFonts w:cs="Arial"/>
                <w:b/>
              </w:rPr>
              <w:t>S.19</w:t>
            </w:r>
            <w:r w:rsidR="0055008B" w:rsidRPr="004C2072">
              <w:rPr>
                <w:rFonts w:cs="Arial"/>
                <w:b/>
              </w:rPr>
              <w:t xml:space="preserve"> </w:t>
            </w:r>
            <w:r w:rsidR="002A50A9" w:rsidRPr="004C2072">
              <w:rPr>
                <w:rFonts w:cs="Arial"/>
                <w:b/>
              </w:rPr>
              <w:tab/>
            </w:r>
            <w:r w:rsidR="00FB2269" w:rsidRPr="004C2072">
              <w:rPr>
                <w:rFonts w:cs="Arial"/>
              </w:rPr>
              <w:t xml:space="preserve">Referring to who is </w:t>
            </w:r>
            <w:r w:rsidR="0071726F" w:rsidRPr="004C2072">
              <w:rPr>
                <w:rFonts w:cs="Arial"/>
                <w:color w:val="auto"/>
              </w:rPr>
              <w:t xml:space="preserve">regarded as </w:t>
            </w:r>
            <w:r w:rsidR="00FB2269" w:rsidRPr="004C2072">
              <w:rPr>
                <w:rFonts w:cs="Arial"/>
              </w:rPr>
              <w:t>an employee in the community services sector, w</w:t>
            </w:r>
            <w:r w:rsidRPr="004C2072">
              <w:rPr>
                <w:rFonts w:cs="Arial"/>
              </w:rPr>
              <w:t>hich option best ensures that employees across the community services sector have fair and equitable access to the Scheme?</w:t>
            </w:r>
          </w:p>
          <w:p w14:paraId="0982175C" w14:textId="35F62646" w:rsidR="00D77837" w:rsidRPr="004C2072" w:rsidRDefault="00D77837" w:rsidP="004C2072">
            <w:pPr>
              <w:spacing w:before="240"/>
              <w:ind w:left="601" w:hanging="601"/>
              <w:rPr>
                <w:rFonts w:ascii="Arial" w:hAnsi="Arial" w:cs="Arial"/>
              </w:rPr>
            </w:pPr>
            <w:r w:rsidRPr="004C2072">
              <w:rPr>
                <w:rFonts w:ascii="Arial" w:hAnsi="Arial" w:cs="Arial"/>
                <w:b/>
              </w:rPr>
              <w:t>S.20</w:t>
            </w:r>
            <w:r w:rsidR="0055008B" w:rsidRPr="004C2072">
              <w:rPr>
                <w:rFonts w:ascii="Arial" w:hAnsi="Arial" w:cs="Arial"/>
                <w:b/>
              </w:rPr>
              <w:t xml:space="preserve"> </w:t>
            </w:r>
            <w:r w:rsidR="002A50A9" w:rsidRPr="004C2072">
              <w:rPr>
                <w:rFonts w:ascii="Arial" w:hAnsi="Arial" w:cs="Arial"/>
                <w:b/>
              </w:rPr>
              <w:tab/>
            </w:r>
            <w:r w:rsidRPr="004C2072">
              <w:rPr>
                <w:rFonts w:ascii="Arial" w:hAnsi="Arial" w:cs="Arial"/>
              </w:rPr>
              <w:t xml:space="preserve">Would the adoption of a modern awards test to determine who is </w:t>
            </w:r>
            <w:r w:rsidR="0071726F" w:rsidRPr="004C2072">
              <w:rPr>
                <w:rFonts w:ascii="Arial" w:hAnsi="Arial" w:cs="Arial"/>
                <w:color w:val="auto"/>
              </w:rPr>
              <w:t xml:space="preserve">regarded as </w:t>
            </w:r>
            <w:r w:rsidRPr="004C2072">
              <w:rPr>
                <w:rFonts w:ascii="Arial" w:hAnsi="Arial" w:cs="Arial"/>
              </w:rPr>
              <w:t>an employee in the community services sector</w:t>
            </w:r>
            <w:r w:rsidR="001D7D00">
              <w:rPr>
                <w:rFonts w:ascii="Arial" w:hAnsi="Arial" w:cs="Arial"/>
              </w:rPr>
              <w:t xml:space="preserve"> </w:t>
            </w:r>
            <w:r w:rsidR="001D7D00" w:rsidRPr="00E95DC9">
              <w:rPr>
                <w:rFonts w:ascii="Arial" w:hAnsi="Arial" w:cs="Arial"/>
              </w:rPr>
              <w:t>exclude employees from the Scheme w</w:t>
            </w:r>
            <w:r w:rsidR="001D7D00">
              <w:rPr>
                <w:rFonts w:ascii="Arial" w:hAnsi="Arial" w:cs="Arial"/>
              </w:rPr>
              <w:t>ho should otherwise be included</w:t>
            </w:r>
            <w:r w:rsidRPr="004C2072">
              <w:rPr>
                <w:rFonts w:ascii="Arial" w:hAnsi="Arial" w:cs="Arial"/>
              </w:rPr>
              <w:t>?</w:t>
            </w:r>
          </w:p>
          <w:p w14:paraId="281B4E28" w14:textId="5B43B22D" w:rsidR="00D77837" w:rsidRPr="004C2072" w:rsidRDefault="00D77837" w:rsidP="004C2072">
            <w:pPr>
              <w:spacing w:before="240"/>
              <w:ind w:left="601" w:hanging="601"/>
              <w:rPr>
                <w:rFonts w:ascii="Arial" w:hAnsi="Arial" w:cs="Arial"/>
              </w:rPr>
            </w:pPr>
            <w:r w:rsidRPr="004C2072">
              <w:rPr>
                <w:rFonts w:ascii="Arial" w:hAnsi="Arial" w:cs="Arial"/>
                <w:b/>
              </w:rPr>
              <w:t>S.21</w:t>
            </w:r>
            <w:r w:rsidR="0055008B" w:rsidRPr="004C2072">
              <w:rPr>
                <w:rFonts w:ascii="Arial" w:hAnsi="Arial" w:cs="Arial"/>
                <w:b/>
              </w:rPr>
              <w:t xml:space="preserve"> </w:t>
            </w:r>
            <w:r w:rsidR="002A50A9" w:rsidRPr="004C2072">
              <w:rPr>
                <w:rFonts w:ascii="Arial" w:hAnsi="Arial" w:cs="Arial"/>
                <w:b/>
              </w:rPr>
              <w:tab/>
            </w:r>
            <w:r w:rsidR="00FB2269" w:rsidRPr="004C2072">
              <w:rPr>
                <w:rFonts w:ascii="Arial" w:hAnsi="Arial" w:cs="Arial"/>
              </w:rPr>
              <w:t xml:space="preserve">Referring to who is </w:t>
            </w:r>
            <w:r w:rsidR="0071726F" w:rsidRPr="004C2072">
              <w:rPr>
                <w:rFonts w:ascii="Arial" w:hAnsi="Arial" w:cs="Arial"/>
                <w:color w:val="auto"/>
              </w:rPr>
              <w:t xml:space="preserve">regarded as </w:t>
            </w:r>
            <w:r w:rsidR="00FB2269" w:rsidRPr="004C2072">
              <w:rPr>
                <w:rFonts w:ascii="Arial" w:hAnsi="Arial" w:cs="Arial"/>
              </w:rPr>
              <w:t>an employee in the security sector, does the</w:t>
            </w:r>
            <w:r w:rsidRPr="004C2072">
              <w:rPr>
                <w:rFonts w:ascii="Arial" w:hAnsi="Arial" w:cs="Arial"/>
              </w:rPr>
              <w:t xml:space="preserve"> assessment accurately represent the likely change in employees covered under each of these options relative to how stakeholders are currently defining employees under the status quo?</w:t>
            </w:r>
          </w:p>
          <w:p w14:paraId="3A9213D9" w14:textId="4F175811" w:rsidR="00D77837" w:rsidRPr="004C2072" w:rsidRDefault="00D77837" w:rsidP="004C2072">
            <w:pPr>
              <w:pStyle w:val="BodyText"/>
              <w:spacing w:before="240" w:after="160"/>
              <w:ind w:left="601" w:hanging="601"/>
              <w:rPr>
                <w:rFonts w:cs="Arial"/>
              </w:rPr>
            </w:pPr>
            <w:r w:rsidRPr="004C2072">
              <w:rPr>
                <w:rFonts w:cs="Arial"/>
                <w:b/>
              </w:rPr>
              <w:t>S.22</w:t>
            </w:r>
            <w:r w:rsidR="0055008B" w:rsidRPr="004C2072">
              <w:rPr>
                <w:rFonts w:cs="Arial"/>
              </w:rPr>
              <w:t xml:space="preserve"> </w:t>
            </w:r>
            <w:r w:rsidR="002A50A9" w:rsidRPr="004C2072">
              <w:rPr>
                <w:rFonts w:cs="Arial"/>
              </w:rPr>
              <w:tab/>
            </w:r>
            <w:r w:rsidR="00FB2269" w:rsidRPr="004C2072">
              <w:rPr>
                <w:rFonts w:cs="Arial"/>
              </w:rPr>
              <w:t xml:space="preserve">Referring to who is </w:t>
            </w:r>
            <w:r w:rsidR="0071726F" w:rsidRPr="004C2072">
              <w:rPr>
                <w:rFonts w:cs="Arial"/>
                <w:color w:val="auto"/>
              </w:rPr>
              <w:t xml:space="preserve">regarded as </w:t>
            </w:r>
            <w:r w:rsidR="00FB2269" w:rsidRPr="004C2072">
              <w:rPr>
                <w:rFonts w:cs="Arial"/>
              </w:rPr>
              <w:t>an employee in the security sector, w</w:t>
            </w:r>
            <w:r w:rsidRPr="004C2072">
              <w:rPr>
                <w:rFonts w:cs="Arial"/>
              </w:rPr>
              <w:t>hich option provides employers with the greatest clarity in relation to when employees in the security industry are in-scope?</w:t>
            </w:r>
          </w:p>
          <w:p w14:paraId="2AF681DC" w14:textId="4D9A5758" w:rsidR="00D77837" w:rsidRPr="004C2072" w:rsidRDefault="00D77837" w:rsidP="004C2072">
            <w:pPr>
              <w:pStyle w:val="BodyText"/>
              <w:spacing w:before="240"/>
              <w:ind w:left="601" w:hanging="601"/>
              <w:rPr>
                <w:rFonts w:cs="Arial"/>
              </w:rPr>
            </w:pPr>
            <w:r w:rsidRPr="004C2072">
              <w:rPr>
                <w:rFonts w:cs="Arial"/>
                <w:b/>
              </w:rPr>
              <w:t>S.23</w:t>
            </w:r>
            <w:r w:rsidR="0055008B" w:rsidRPr="004C2072">
              <w:rPr>
                <w:rFonts w:cs="Arial"/>
                <w:b/>
              </w:rPr>
              <w:t xml:space="preserve"> </w:t>
            </w:r>
            <w:r w:rsidR="002A50A9" w:rsidRPr="004C2072">
              <w:rPr>
                <w:rFonts w:cs="Arial"/>
                <w:b/>
              </w:rPr>
              <w:tab/>
            </w:r>
            <w:r w:rsidR="00FB2269" w:rsidRPr="004C2072">
              <w:rPr>
                <w:rFonts w:cs="Arial"/>
              </w:rPr>
              <w:t xml:space="preserve">Referring to who is </w:t>
            </w:r>
            <w:r w:rsidR="0071726F" w:rsidRPr="004C2072">
              <w:rPr>
                <w:rFonts w:cs="Arial"/>
                <w:color w:val="auto"/>
              </w:rPr>
              <w:t xml:space="preserve">regarded as </w:t>
            </w:r>
            <w:r w:rsidR="00FB2269" w:rsidRPr="004C2072">
              <w:rPr>
                <w:rFonts w:cs="Arial"/>
              </w:rPr>
              <w:t>an employee in the security sector, w</w:t>
            </w:r>
            <w:r w:rsidRPr="004C2072">
              <w:rPr>
                <w:rFonts w:cs="Arial"/>
              </w:rPr>
              <w:t>hich option best ensures that employees across the security sector have fair and equitable access to the Scheme?</w:t>
            </w:r>
          </w:p>
          <w:p w14:paraId="3559AB2B" w14:textId="0A238785" w:rsidR="00D77837" w:rsidRPr="004C2072" w:rsidRDefault="00D77837" w:rsidP="004C2072">
            <w:pPr>
              <w:pStyle w:val="BodyText"/>
              <w:spacing w:before="240"/>
              <w:ind w:left="601" w:hanging="601"/>
              <w:rPr>
                <w:rFonts w:cs="Arial"/>
              </w:rPr>
            </w:pPr>
            <w:r w:rsidRPr="004C2072">
              <w:rPr>
                <w:rFonts w:cs="Arial"/>
                <w:b/>
              </w:rPr>
              <w:t>S.24</w:t>
            </w:r>
            <w:r w:rsidR="0055008B" w:rsidRPr="004C2072">
              <w:rPr>
                <w:rFonts w:cs="Arial"/>
                <w:b/>
              </w:rPr>
              <w:t xml:space="preserve"> </w:t>
            </w:r>
            <w:r w:rsidR="002A50A9" w:rsidRPr="004C2072">
              <w:rPr>
                <w:rFonts w:cs="Arial"/>
                <w:b/>
              </w:rPr>
              <w:tab/>
            </w:r>
            <w:r w:rsidR="00FB2269" w:rsidRPr="004C2072">
              <w:rPr>
                <w:rFonts w:cs="Arial"/>
              </w:rPr>
              <w:t xml:space="preserve">Referring to the preferred option to </w:t>
            </w:r>
            <w:r w:rsidR="0060163D" w:rsidRPr="004C2072">
              <w:rPr>
                <w:rFonts w:cs="Arial"/>
              </w:rPr>
              <w:t>remove</w:t>
            </w:r>
            <w:r w:rsidR="00FB2269" w:rsidRPr="004C2072">
              <w:rPr>
                <w:rFonts w:cs="Arial"/>
              </w:rPr>
              <w:t xml:space="preserve"> the employer predominance test </w:t>
            </w:r>
            <w:r w:rsidR="00FB2269" w:rsidRPr="00AD518C">
              <w:rPr>
                <w:rFonts w:cs="Arial"/>
                <w:color w:val="auto"/>
              </w:rPr>
              <w:t>that applies to health or related services</w:t>
            </w:r>
            <w:r w:rsidRPr="004C2072">
              <w:rPr>
                <w:rFonts w:cs="Arial"/>
              </w:rPr>
              <w:t xml:space="preserve">, </w:t>
            </w:r>
            <w:r w:rsidR="0060163D" w:rsidRPr="004C2072">
              <w:rPr>
                <w:rFonts w:cs="Arial"/>
              </w:rPr>
              <w:t>which organisations that were not previously in</w:t>
            </w:r>
            <w:r w:rsidR="004C2072" w:rsidRPr="004C2072">
              <w:rPr>
                <w:rFonts w:cs="Arial"/>
              </w:rPr>
              <w:noBreakHyphen/>
            </w:r>
            <w:r w:rsidR="0060163D" w:rsidRPr="004C2072">
              <w:rPr>
                <w:rFonts w:cs="Arial"/>
              </w:rPr>
              <w:t>scope of the Scheme under the Interim Regulations, will now be in</w:t>
            </w:r>
            <w:r w:rsidR="004C2072" w:rsidRPr="004C2072">
              <w:rPr>
                <w:rFonts w:cs="Arial"/>
              </w:rPr>
              <w:noBreakHyphen/>
            </w:r>
            <w:r w:rsidR="0060163D" w:rsidRPr="004C2072">
              <w:rPr>
                <w:rFonts w:cs="Arial"/>
              </w:rPr>
              <w:t>scope?</w:t>
            </w:r>
          </w:p>
          <w:p w14:paraId="4C0873AD" w14:textId="7B684FA1" w:rsidR="00D77837" w:rsidRPr="004C2072" w:rsidRDefault="00D77837" w:rsidP="004C2072">
            <w:pPr>
              <w:pStyle w:val="BodyText"/>
              <w:spacing w:before="240" w:after="160"/>
              <w:ind w:left="601" w:hanging="601"/>
              <w:rPr>
                <w:rFonts w:cs="Arial"/>
              </w:rPr>
            </w:pPr>
            <w:r w:rsidRPr="004C2072">
              <w:rPr>
                <w:rFonts w:cs="Arial"/>
                <w:b/>
              </w:rPr>
              <w:t>S.25</w:t>
            </w:r>
            <w:r w:rsidR="0055008B" w:rsidRPr="004C2072">
              <w:rPr>
                <w:rFonts w:cs="Arial"/>
                <w:b/>
              </w:rPr>
              <w:t xml:space="preserve"> </w:t>
            </w:r>
            <w:r w:rsidR="002A50A9" w:rsidRPr="004C2072">
              <w:rPr>
                <w:rFonts w:cs="Arial"/>
                <w:b/>
              </w:rPr>
              <w:tab/>
            </w:r>
            <w:r w:rsidR="00FB2269" w:rsidRPr="004C2072">
              <w:rPr>
                <w:rFonts w:cs="Arial"/>
              </w:rPr>
              <w:t>Referring to the preferred option to introduce an Awards coverage test, a</w:t>
            </w:r>
            <w:r w:rsidRPr="004C2072">
              <w:rPr>
                <w:rFonts w:cs="Arial"/>
              </w:rPr>
              <w:t>re employees in the community services sector covered by any other Awards?</w:t>
            </w:r>
          </w:p>
          <w:p w14:paraId="14B5A8E1" w14:textId="7234B3E8" w:rsidR="00D77837" w:rsidRPr="004C2072" w:rsidRDefault="00D77837" w:rsidP="004C2072">
            <w:pPr>
              <w:pStyle w:val="BodyText"/>
              <w:spacing w:before="240"/>
              <w:ind w:left="601" w:hanging="601"/>
              <w:rPr>
                <w:rFonts w:cs="Arial"/>
              </w:rPr>
            </w:pPr>
            <w:r w:rsidRPr="004C2072">
              <w:rPr>
                <w:rFonts w:cs="Arial"/>
                <w:b/>
              </w:rPr>
              <w:t>S.26</w:t>
            </w:r>
            <w:r w:rsidR="0055008B" w:rsidRPr="004C2072">
              <w:rPr>
                <w:rFonts w:cs="Arial"/>
                <w:b/>
              </w:rPr>
              <w:t xml:space="preserve"> </w:t>
            </w:r>
            <w:r w:rsidR="002A50A9" w:rsidRPr="004C2072">
              <w:rPr>
                <w:rFonts w:cs="Arial"/>
                <w:b/>
              </w:rPr>
              <w:tab/>
            </w:r>
            <w:r w:rsidRPr="004C2072">
              <w:rPr>
                <w:rFonts w:cs="Arial"/>
              </w:rPr>
              <w:t>Does the introduction of an Awards test repres</w:t>
            </w:r>
            <w:r w:rsidR="0060163D" w:rsidRPr="004C2072">
              <w:rPr>
                <w:rFonts w:cs="Arial"/>
              </w:rPr>
              <w:t>ent a significant expansion of</w:t>
            </w:r>
            <w:r w:rsidRPr="004C2072">
              <w:rPr>
                <w:rFonts w:cs="Arial"/>
              </w:rPr>
              <w:t xml:space="preserve"> the scope of the Scheme?</w:t>
            </w:r>
          </w:p>
          <w:p w14:paraId="76E82212" w14:textId="6AE6AF29" w:rsidR="00D77837" w:rsidRPr="004C2072" w:rsidRDefault="00D77837" w:rsidP="004C2072">
            <w:pPr>
              <w:pStyle w:val="BodyText"/>
              <w:spacing w:before="240"/>
              <w:ind w:left="601" w:hanging="601"/>
              <w:rPr>
                <w:rFonts w:cs="Arial"/>
              </w:rPr>
            </w:pPr>
            <w:r w:rsidRPr="004C2072">
              <w:rPr>
                <w:rFonts w:cs="Arial"/>
                <w:b/>
              </w:rPr>
              <w:t>S.27</w:t>
            </w:r>
            <w:r w:rsidR="0055008B" w:rsidRPr="004C2072">
              <w:rPr>
                <w:rFonts w:cs="Arial"/>
                <w:b/>
              </w:rPr>
              <w:t xml:space="preserve"> </w:t>
            </w:r>
            <w:r w:rsidR="002A50A9" w:rsidRPr="004C2072">
              <w:rPr>
                <w:rFonts w:cs="Arial"/>
                <w:b/>
              </w:rPr>
              <w:tab/>
            </w:r>
            <w:r w:rsidRPr="004C2072">
              <w:rPr>
                <w:rFonts w:cs="Arial"/>
              </w:rPr>
              <w:t xml:space="preserve">Would the adoption of a test to determine who is </w:t>
            </w:r>
            <w:r w:rsidR="0071726F" w:rsidRPr="004C2072">
              <w:rPr>
                <w:rFonts w:cs="Arial"/>
                <w:color w:val="auto"/>
              </w:rPr>
              <w:t xml:space="preserve">regarded as </w:t>
            </w:r>
            <w:r w:rsidRPr="004C2072">
              <w:rPr>
                <w:rFonts w:cs="Arial"/>
              </w:rPr>
              <w:t>an employee in the security industry exclude employees from the Scheme who should otherwise be included?</w:t>
            </w:r>
          </w:p>
          <w:p w14:paraId="4A18A9F5" w14:textId="3659667B" w:rsidR="008C56DF" w:rsidRPr="004C2072" w:rsidRDefault="00D77837" w:rsidP="004C2072">
            <w:pPr>
              <w:spacing w:before="240"/>
              <w:ind w:left="601" w:hanging="601"/>
              <w:rPr>
                <w:rFonts w:ascii="Arial" w:hAnsi="Arial" w:cs="Arial"/>
              </w:rPr>
            </w:pPr>
            <w:r w:rsidRPr="004C2072">
              <w:rPr>
                <w:rFonts w:ascii="Arial" w:hAnsi="Arial" w:cs="Arial"/>
                <w:b/>
              </w:rPr>
              <w:t>S.28</w:t>
            </w:r>
            <w:r w:rsidR="0055008B" w:rsidRPr="004C2072">
              <w:rPr>
                <w:rFonts w:ascii="Arial" w:hAnsi="Arial" w:cs="Arial"/>
                <w:b/>
              </w:rPr>
              <w:t xml:space="preserve"> </w:t>
            </w:r>
            <w:r w:rsidR="002A50A9" w:rsidRPr="004C2072">
              <w:rPr>
                <w:rFonts w:ascii="Arial" w:hAnsi="Arial" w:cs="Arial"/>
                <w:b/>
              </w:rPr>
              <w:tab/>
            </w:r>
            <w:r w:rsidRPr="004C2072">
              <w:rPr>
                <w:rFonts w:ascii="Arial" w:hAnsi="Arial" w:cs="Arial"/>
              </w:rPr>
              <w:t xml:space="preserve">Under the proposed updated double-dipping provisions, can stakeholders foresee any circumstances where they </w:t>
            </w:r>
            <w:r w:rsidR="004C2072" w:rsidRPr="004C2072">
              <w:rPr>
                <w:rFonts w:ascii="Arial" w:hAnsi="Arial" w:cs="Arial"/>
              </w:rPr>
              <w:t>would not</w:t>
            </w:r>
            <w:r w:rsidRPr="004C2072">
              <w:rPr>
                <w:rFonts w:ascii="Arial" w:hAnsi="Arial" w:cs="Arial"/>
              </w:rPr>
              <w:t xml:space="preserve"> be able to claim a reimbursement </w:t>
            </w:r>
            <w:r w:rsidRPr="004C2072">
              <w:rPr>
                <w:rFonts w:ascii="Arial" w:hAnsi="Arial" w:cs="Arial"/>
                <w:color w:val="auto"/>
              </w:rPr>
              <w:t>from the Authority for any levy paid once an employee accesses an entitlement under an existing long service entitlement?</w:t>
            </w:r>
          </w:p>
        </w:tc>
      </w:tr>
    </w:tbl>
    <w:p w14:paraId="4C7633BB" w14:textId="77777777" w:rsidR="00E13F2A" w:rsidRPr="00EC5379" w:rsidRDefault="00E13F2A" w:rsidP="00E13F2A">
      <w:pPr>
        <w:rPr>
          <w:rFonts w:ascii="Arial" w:hAnsi="Arial" w:cs="Arial"/>
        </w:rPr>
      </w:pPr>
    </w:p>
    <w:p w14:paraId="6DAB6DAA" w14:textId="21C33B3A" w:rsidR="00E13F2A" w:rsidRPr="00EC5379" w:rsidRDefault="00E13F2A" w:rsidP="00E13F2A">
      <w:pPr>
        <w:pStyle w:val="Heading1"/>
        <w:rPr>
          <w:rFonts w:ascii="Arial" w:hAnsi="Arial" w:cs="Arial"/>
        </w:rPr>
      </w:pPr>
      <w:bookmarkStart w:id="14" w:name="_Toc4768876"/>
      <w:bookmarkStart w:id="15" w:name="_Toc37921471"/>
      <w:r w:rsidRPr="00EC5379">
        <w:rPr>
          <w:rFonts w:ascii="Arial" w:hAnsi="Arial" w:cs="Arial"/>
        </w:rPr>
        <w:lastRenderedPageBreak/>
        <w:t>INTRODUCTION</w:t>
      </w:r>
      <w:bookmarkEnd w:id="14"/>
      <w:bookmarkEnd w:id="15"/>
    </w:p>
    <w:p w14:paraId="649AFFB4" w14:textId="3C664874" w:rsidR="00E13F2A" w:rsidRPr="00EC5379" w:rsidRDefault="00E13F2A" w:rsidP="00807495">
      <w:pPr>
        <w:pStyle w:val="Heading2"/>
        <w:rPr>
          <w:rFonts w:ascii="Arial" w:hAnsi="Arial" w:cs="Arial"/>
        </w:rPr>
      </w:pPr>
      <w:bookmarkStart w:id="16" w:name="_Toc4768877"/>
      <w:bookmarkStart w:id="17" w:name="_Toc37921472"/>
      <w:r w:rsidRPr="00EC5379">
        <w:rPr>
          <w:rFonts w:ascii="Arial" w:hAnsi="Arial" w:cs="Arial"/>
        </w:rPr>
        <w:t>Scope of this RIS</w:t>
      </w:r>
      <w:bookmarkEnd w:id="16"/>
      <w:bookmarkEnd w:id="17"/>
    </w:p>
    <w:p w14:paraId="29507A6D" w14:textId="4B5D94CC" w:rsidR="00E13F2A" w:rsidRPr="00EB2F4E" w:rsidRDefault="00E13F2A" w:rsidP="00BD5970">
      <w:pPr>
        <w:pStyle w:val="BodyText"/>
        <w:rPr>
          <w:rFonts w:cs="Arial"/>
          <w:color w:val="auto"/>
        </w:rPr>
      </w:pPr>
      <w:r w:rsidRPr="00EB2F4E">
        <w:rPr>
          <w:rFonts w:cs="Arial"/>
          <w:color w:val="auto"/>
        </w:rPr>
        <w:t>This Regulatory Impact Statement (RIS) anal</w:t>
      </w:r>
      <w:r w:rsidR="00BB00F5">
        <w:rPr>
          <w:rFonts w:cs="Arial"/>
          <w:color w:val="auto"/>
        </w:rPr>
        <w:t>yses the implementation of the Portable Long Service Benefits S</w:t>
      </w:r>
      <w:r w:rsidRPr="00EB2F4E">
        <w:rPr>
          <w:rFonts w:cs="Arial"/>
          <w:color w:val="auto"/>
        </w:rPr>
        <w:t>cheme</w:t>
      </w:r>
      <w:r w:rsidR="00905A24">
        <w:rPr>
          <w:rFonts w:cs="Arial"/>
          <w:color w:val="auto"/>
        </w:rPr>
        <w:t xml:space="preserve"> (the Scheme)</w:t>
      </w:r>
      <w:r w:rsidRPr="00EB2F4E">
        <w:rPr>
          <w:rFonts w:cs="Arial"/>
          <w:color w:val="auto"/>
        </w:rPr>
        <w:t xml:space="preserve"> for the proposed </w:t>
      </w:r>
      <w:r w:rsidRPr="00EB2F4E">
        <w:rPr>
          <w:rFonts w:cs="Arial"/>
          <w:i/>
          <w:color w:val="auto"/>
        </w:rPr>
        <w:t>Long Service Benef</w:t>
      </w:r>
      <w:r w:rsidR="00DA0A83" w:rsidRPr="00EB2F4E">
        <w:rPr>
          <w:rFonts w:cs="Arial"/>
          <w:i/>
          <w:color w:val="auto"/>
        </w:rPr>
        <w:t>its Portability Regulations 2020</w:t>
      </w:r>
      <w:r w:rsidRPr="00EB2F4E">
        <w:rPr>
          <w:rFonts w:cs="Arial"/>
          <w:color w:val="auto"/>
        </w:rPr>
        <w:t xml:space="preserve"> (the </w:t>
      </w:r>
      <w:r w:rsidR="001B1C45">
        <w:rPr>
          <w:rFonts w:cs="Arial"/>
          <w:color w:val="auto"/>
        </w:rPr>
        <w:t xml:space="preserve">Proposed </w:t>
      </w:r>
      <w:r w:rsidR="003A3D7A" w:rsidRPr="00EB2F4E">
        <w:rPr>
          <w:rFonts w:cs="Arial"/>
          <w:color w:val="auto"/>
        </w:rPr>
        <w:t>Regulation</w:t>
      </w:r>
      <w:r w:rsidRPr="00EB2F4E">
        <w:rPr>
          <w:rFonts w:cs="Arial"/>
          <w:color w:val="auto"/>
        </w:rPr>
        <w:t xml:space="preserve">s). </w:t>
      </w:r>
      <w:r w:rsidR="00EB2F4E" w:rsidRPr="00547C42">
        <w:rPr>
          <w:rFonts w:cs="Arial"/>
          <w:color w:val="auto"/>
        </w:rPr>
        <w:t xml:space="preserve">The </w:t>
      </w:r>
      <w:r w:rsidR="00EA746E">
        <w:rPr>
          <w:rFonts w:cs="Arial"/>
          <w:color w:val="auto"/>
        </w:rPr>
        <w:t xml:space="preserve">Proposed </w:t>
      </w:r>
      <w:r w:rsidR="00EB2F4E" w:rsidRPr="00547C42">
        <w:rPr>
          <w:rFonts w:cs="Arial"/>
          <w:color w:val="auto"/>
        </w:rPr>
        <w:t xml:space="preserve">Regulations are intended to replace the </w:t>
      </w:r>
      <w:r w:rsidR="00EB2F4E" w:rsidRPr="00547C42">
        <w:rPr>
          <w:rFonts w:cs="Arial"/>
          <w:i/>
          <w:color w:val="auto"/>
        </w:rPr>
        <w:t>Long Service Benefits Portability</w:t>
      </w:r>
      <w:r w:rsidR="00EE05BF">
        <w:rPr>
          <w:rFonts w:cs="Arial"/>
          <w:i/>
          <w:color w:val="auto"/>
        </w:rPr>
        <w:t xml:space="preserve"> Interim</w:t>
      </w:r>
      <w:r w:rsidR="00EB2F4E" w:rsidRPr="00547C42">
        <w:rPr>
          <w:rFonts w:cs="Arial"/>
          <w:i/>
          <w:color w:val="auto"/>
        </w:rPr>
        <w:t xml:space="preserve"> Regulations 2019 </w:t>
      </w:r>
      <w:r w:rsidR="00EB2F4E" w:rsidRPr="00547C42">
        <w:rPr>
          <w:rFonts w:cs="Arial"/>
          <w:color w:val="auto"/>
        </w:rPr>
        <w:t>(the Interim Regulations), which are due to expire on 6 November 2020.</w:t>
      </w:r>
    </w:p>
    <w:p w14:paraId="0F757FDE" w14:textId="77777777" w:rsidR="00E13F2A" w:rsidRPr="00EB2F4E" w:rsidRDefault="00E13F2A" w:rsidP="008639FE">
      <w:pPr>
        <w:pStyle w:val="BodyText"/>
        <w:rPr>
          <w:rFonts w:cs="Arial"/>
          <w:color w:val="auto"/>
        </w:rPr>
      </w:pPr>
      <w:r w:rsidRPr="00EB2F4E">
        <w:rPr>
          <w:rFonts w:cs="Arial"/>
          <w:color w:val="auto"/>
        </w:rPr>
        <w:t>The purpose of this RIS is to:</w:t>
      </w:r>
    </w:p>
    <w:p w14:paraId="29B71A14" w14:textId="1EBD504E" w:rsidR="00E13F2A" w:rsidRPr="00EB2F4E" w:rsidRDefault="00B53F17" w:rsidP="008639FE">
      <w:pPr>
        <w:pStyle w:val="ListBullet"/>
        <w:contextualSpacing w:val="0"/>
        <w:rPr>
          <w:rFonts w:cs="Arial"/>
          <w:color w:val="auto"/>
        </w:rPr>
      </w:pPr>
      <w:r>
        <w:rPr>
          <w:rFonts w:cs="Arial"/>
          <w:color w:val="auto"/>
        </w:rPr>
        <w:t>E</w:t>
      </w:r>
      <w:r w:rsidR="00E13F2A" w:rsidRPr="00EB2F4E">
        <w:rPr>
          <w:rFonts w:cs="Arial"/>
          <w:color w:val="auto"/>
        </w:rPr>
        <w:t xml:space="preserve">stablish the nature and extent of the problems that would exist </w:t>
      </w:r>
      <w:r w:rsidR="00EB2F4E" w:rsidRPr="00EB2F4E">
        <w:rPr>
          <w:rFonts w:cs="Arial"/>
          <w:color w:val="auto"/>
        </w:rPr>
        <w:t>if the Interim Regulations were not amended;</w:t>
      </w:r>
    </w:p>
    <w:p w14:paraId="70702E1B" w14:textId="5FBE8F15" w:rsidR="00E13F2A" w:rsidRPr="00EB2F4E" w:rsidRDefault="00B53F17" w:rsidP="008639FE">
      <w:pPr>
        <w:pStyle w:val="ListBullet"/>
        <w:contextualSpacing w:val="0"/>
        <w:rPr>
          <w:rFonts w:cs="Arial"/>
          <w:color w:val="auto"/>
        </w:rPr>
      </w:pPr>
      <w:r>
        <w:rPr>
          <w:rFonts w:cs="Arial"/>
          <w:color w:val="auto"/>
        </w:rPr>
        <w:t>A</w:t>
      </w:r>
      <w:r w:rsidR="00E13F2A" w:rsidRPr="00EB2F4E">
        <w:rPr>
          <w:rFonts w:cs="Arial"/>
          <w:color w:val="auto"/>
        </w:rPr>
        <w:t>rticulate the desired objectives of addressing the identified problem;</w:t>
      </w:r>
    </w:p>
    <w:p w14:paraId="1AA5AE88" w14:textId="2C841529" w:rsidR="00E13F2A" w:rsidRPr="00EB2F4E" w:rsidRDefault="00B53F17" w:rsidP="008639FE">
      <w:pPr>
        <w:pStyle w:val="ListBullet"/>
        <w:contextualSpacing w:val="0"/>
        <w:rPr>
          <w:rFonts w:cs="Arial"/>
          <w:color w:val="auto"/>
        </w:rPr>
      </w:pPr>
      <w:r>
        <w:rPr>
          <w:rFonts w:cs="Arial"/>
          <w:color w:val="auto"/>
        </w:rPr>
        <w:t>I</w:t>
      </w:r>
      <w:r w:rsidR="00E13F2A" w:rsidRPr="00EB2F4E">
        <w:rPr>
          <w:rFonts w:cs="Arial"/>
          <w:color w:val="auto"/>
        </w:rPr>
        <w:t>dentify a set of viable options to address the established problem;</w:t>
      </w:r>
    </w:p>
    <w:p w14:paraId="61256076" w14:textId="622C9B63" w:rsidR="00E13F2A" w:rsidRPr="00EB2F4E" w:rsidRDefault="00B53F17" w:rsidP="008639FE">
      <w:pPr>
        <w:pStyle w:val="ListBullet"/>
        <w:contextualSpacing w:val="0"/>
        <w:rPr>
          <w:rFonts w:cs="Arial"/>
          <w:color w:val="auto"/>
        </w:rPr>
      </w:pPr>
      <w:r>
        <w:rPr>
          <w:rFonts w:cs="Arial"/>
          <w:color w:val="auto"/>
        </w:rPr>
        <w:t>A</w:t>
      </w:r>
      <w:r w:rsidR="00E13F2A" w:rsidRPr="00EB2F4E">
        <w:rPr>
          <w:rFonts w:cs="Arial"/>
          <w:color w:val="auto"/>
        </w:rPr>
        <w:t>ssess the impacts of these options, and the expected effectiveness of each option in addressing the problem;</w:t>
      </w:r>
    </w:p>
    <w:p w14:paraId="4F41FDCF" w14:textId="64520878" w:rsidR="00D430EE" w:rsidRPr="00EB2F4E" w:rsidRDefault="00B53F17" w:rsidP="00D430EE">
      <w:pPr>
        <w:pStyle w:val="ListBullet"/>
        <w:contextualSpacing w:val="0"/>
        <w:rPr>
          <w:rFonts w:cs="Arial"/>
          <w:color w:val="auto"/>
        </w:rPr>
      </w:pPr>
      <w:bookmarkStart w:id="18" w:name="_Toc4768878"/>
      <w:bookmarkStart w:id="19" w:name="_Ref32928059"/>
      <w:r>
        <w:rPr>
          <w:rFonts w:cs="Arial"/>
          <w:color w:val="auto"/>
        </w:rPr>
        <w:t>I</w:t>
      </w:r>
      <w:r w:rsidR="00D430EE" w:rsidRPr="00EB2F4E">
        <w:rPr>
          <w:rFonts w:cs="Arial"/>
          <w:color w:val="auto"/>
        </w:rPr>
        <w:t>dentify and describe a preferred option to achieve the desired objectives;</w:t>
      </w:r>
      <w:r w:rsidR="00D430EE">
        <w:rPr>
          <w:rFonts w:cs="Arial"/>
          <w:color w:val="auto"/>
        </w:rPr>
        <w:t xml:space="preserve"> and</w:t>
      </w:r>
    </w:p>
    <w:p w14:paraId="31B2D6E0" w14:textId="3A1BC5D3" w:rsidR="00D430EE" w:rsidRPr="00EB2F4E" w:rsidRDefault="00B53F17" w:rsidP="00D430EE">
      <w:pPr>
        <w:pStyle w:val="ListBullet"/>
        <w:contextualSpacing w:val="0"/>
        <w:rPr>
          <w:rFonts w:cs="Arial"/>
          <w:color w:val="auto"/>
        </w:rPr>
      </w:pPr>
      <w:r>
        <w:rPr>
          <w:rFonts w:cs="Arial"/>
          <w:color w:val="auto"/>
        </w:rPr>
        <w:t>D</w:t>
      </w:r>
      <w:r w:rsidR="00D430EE" w:rsidRPr="00EB2F4E">
        <w:rPr>
          <w:rFonts w:cs="Arial"/>
          <w:color w:val="auto"/>
        </w:rPr>
        <w:t>evelop an implementation plan and evaluation strategy for the preferred option</w:t>
      </w:r>
      <w:r w:rsidR="00D430EE">
        <w:rPr>
          <w:rFonts w:cs="Arial"/>
          <w:color w:val="auto"/>
        </w:rPr>
        <w:t xml:space="preserve">. </w:t>
      </w:r>
    </w:p>
    <w:p w14:paraId="34EA1FB3" w14:textId="6DEFD8A5" w:rsidR="00D430EE" w:rsidRPr="00BB00F5" w:rsidRDefault="00D430EE" w:rsidP="00D430EE">
      <w:pPr>
        <w:pStyle w:val="BodyText"/>
        <w:rPr>
          <w:rFonts w:cs="Arial"/>
          <w:color w:val="auto"/>
        </w:rPr>
      </w:pPr>
      <w:r w:rsidRPr="00BB00F5">
        <w:rPr>
          <w:rFonts w:cs="Arial"/>
          <w:color w:val="auto"/>
        </w:rPr>
        <w:t>The regulatory options explored in this RIS are compared to the current status quo under the Interim Regulations. This allows for stakeholders to understand the impact of the options against their current experience participating in the Scheme. The 2019 RIS</w:t>
      </w:r>
      <w:r>
        <w:rPr>
          <w:rFonts w:cs="Arial"/>
          <w:color w:val="auto"/>
        </w:rPr>
        <w:t xml:space="preserve"> prepared for the </w:t>
      </w:r>
      <w:r w:rsidR="0060532D" w:rsidRPr="00AD518C">
        <w:rPr>
          <w:rFonts w:cs="Arial"/>
          <w:i/>
          <w:color w:val="auto"/>
        </w:rPr>
        <w:t xml:space="preserve">Long Service Benefits Regulations 2019 </w:t>
      </w:r>
      <w:r>
        <w:rPr>
          <w:rFonts w:cs="Arial"/>
          <w:color w:val="auto"/>
        </w:rPr>
        <w:t>prosecuted the need for R</w:t>
      </w:r>
      <w:r w:rsidRPr="00BB00F5">
        <w:rPr>
          <w:rFonts w:cs="Arial"/>
          <w:color w:val="auto"/>
        </w:rPr>
        <w:t>egulations</w:t>
      </w:r>
      <w:r>
        <w:rPr>
          <w:rFonts w:cs="Arial"/>
          <w:color w:val="auto"/>
        </w:rPr>
        <w:t xml:space="preserve"> to support the operation of the Scheme</w:t>
      </w:r>
      <w:r w:rsidRPr="00BB00F5">
        <w:rPr>
          <w:rFonts w:cs="Arial"/>
          <w:color w:val="auto"/>
        </w:rPr>
        <w:t>.</w:t>
      </w:r>
      <w:r w:rsidR="0072722B">
        <w:rPr>
          <w:rFonts w:cs="Arial"/>
          <w:color w:val="auto"/>
        </w:rPr>
        <w:t xml:space="preserve"> The Interim Regulations (which </w:t>
      </w:r>
      <w:r w:rsidR="00E87382">
        <w:rPr>
          <w:rFonts w:cs="Arial"/>
          <w:color w:val="auto"/>
        </w:rPr>
        <w:t>are</w:t>
      </w:r>
      <w:r w:rsidR="0072722B">
        <w:rPr>
          <w:rFonts w:cs="Arial"/>
          <w:color w:val="auto"/>
        </w:rPr>
        <w:t xml:space="preserve"> substantively the same as the </w:t>
      </w:r>
      <w:r w:rsidR="0072722B" w:rsidRPr="00262A04">
        <w:rPr>
          <w:rFonts w:cs="Arial"/>
          <w:i/>
          <w:color w:val="auto"/>
        </w:rPr>
        <w:t>Long Service Benefits Regulations 2019</w:t>
      </w:r>
      <w:r w:rsidR="0072722B">
        <w:rPr>
          <w:rFonts w:cs="Arial"/>
          <w:color w:val="auto"/>
        </w:rPr>
        <w:t>) reflect the preferred options in the 2019 RIS.</w:t>
      </w:r>
      <w:r w:rsidR="003A15C8">
        <w:rPr>
          <w:rFonts w:cs="Arial"/>
          <w:color w:val="auto"/>
        </w:rPr>
        <w:t xml:space="preserve"> A summary of the 2019 RIS is provided in section</w:t>
      </w:r>
      <w:r w:rsidR="002A5AEC">
        <w:rPr>
          <w:rFonts w:cs="Arial"/>
          <w:color w:val="auto"/>
        </w:rPr>
        <w:t xml:space="preserve"> </w:t>
      </w:r>
      <w:r w:rsidR="002A5AEC">
        <w:rPr>
          <w:rFonts w:cs="Arial"/>
          <w:color w:val="auto"/>
        </w:rPr>
        <w:fldChar w:fldCharType="begin"/>
      </w:r>
      <w:r w:rsidR="002A5AEC">
        <w:rPr>
          <w:rFonts w:cs="Arial"/>
          <w:color w:val="auto"/>
        </w:rPr>
        <w:instrText xml:space="preserve"> REF _Ref34831823 \r \h </w:instrText>
      </w:r>
      <w:r w:rsidR="002A5AEC">
        <w:rPr>
          <w:rFonts w:cs="Arial"/>
          <w:color w:val="auto"/>
        </w:rPr>
      </w:r>
      <w:r w:rsidR="002A5AEC">
        <w:rPr>
          <w:rFonts w:cs="Arial"/>
          <w:color w:val="auto"/>
        </w:rPr>
        <w:fldChar w:fldCharType="separate"/>
      </w:r>
      <w:r w:rsidR="009F48BA">
        <w:rPr>
          <w:rFonts w:cs="Arial"/>
          <w:color w:val="auto"/>
        </w:rPr>
        <w:t>1.4.1</w:t>
      </w:r>
      <w:r w:rsidR="002A5AEC">
        <w:rPr>
          <w:rFonts w:cs="Arial"/>
          <w:color w:val="auto"/>
        </w:rPr>
        <w:fldChar w:fldCharType="end"/>
      </w:r>
      <w:r w:rsidR="003A15C8">
        <w:rPr>
          <w:rFonts w:cs="Arial"/>
          <w:color w:val="auto"/>
        </w:rPr>
        <w:t>.</w:t>
      </w:r>
      <w:r w:rsidR="005A35EC">
        <w:rPr>
          <w:rFonts w:cs="Arial"/>
          <w:color w:val="auto"/>
        </w:rPr>
        <w:t xml:space="preserve"> Section</w:t>
      </w:r>
      <w:r w:rsidR="0072722B">
        <w:rPr>
          <w:rFonts w:cs="Arial"/>
          <w:color w:val="auto"/>
        </w:rPr>
        <w:t> </w:t>
      </w:r>
      <w:r w:rsidR="005A35EC">
        <w:rPr>
          <w:rFonts w:cs="Arial"/>
          <w:color w:val="auto"/>
        </w:rPr>
        <w:fldChar w:fldCharType="begin"/>
      </w:r>
      <w:r w:rsidR="005A35EC">
        <w:rPr>
          <w:rFonts w:cs="Arial"/>
          <w:color w:val="auto"/>
        </w:rPr>
        <w:instrText xml:space="preserve"> REF _Ref35506226 \r \h </w:instrText>
      </w:r>
      <w:r w:rsidR="005A35EC">
        <w:rPr>
          <w:rFonts w:cs="Arial"/>
          <w:color w:val="auto"/>
        </w:rPr>
      </w:r>
      <w:r w:rsidR="005A35EC">
        <w:rPr>
          <w:rFonts w:cs="Arial"/>
          <w:color w:val="auto"/>
        </w:rPr>
        <w:fldChar w:fldCharType="separate"/>
      </w:r>
      <w:r w:rsidR="009F48BA">
        <w:rPr>
          <w:rFonts w:cs="Arial"/>
          <w:color w:val="auto"/>
        </w:rPr>
        <w:t>1.6</w:t>
      </w:r>
      <w:r w:rsidR="005A35EC">
        <w:rPr>
          <w:rFonts w:cs="Arial"/>
          <w:color w:val="auto"/>
        </w:rPr>
        <w:fldChar w:fldCharType="end"/>
      </w:r>
      <w:r w:rsidR="005A35EC">
        <w:rPr>
          <w:rFonts w:cs="Arial"/>
          <w:color w:val="auto"/>
        </w:rPr>
        <w:t xml:space="preserve"> summari</w:t>
      </w:r>
      <w:r w:rsidR="0060532D">
        <w:rPr>
          <w:rFonts w:cs="Arial"/>
          <w:color w:val="auto"/>
        </w:rPr>
        <w:t>s</w:t>
      </w:r>
      <w:r w:rsidR="005A35EC">
        <w:rPr>
          <w:rFonts w:cs="Arial"/>
          <w:color w:val="auto"/>
        </w:rPr>
        <w:t>es what would happen if there were no regulations.</w:t>
      </w:r>
      <w:r w:rsidR="0072722B">
        <w:rPr>
          <w:rFonts w:cs="Arial"/>
          <w:color w:val="auto"/>
        </w:rPr>
        <w:t xml:space="preserve"> </w:t>
      </w:r>
    </w:p>
    <w:p w14:paraId="14CEE514" w14:textId="77777777" w:rsidR="00D430EE" w:rsidRPr="00BB00F5" w:rsidRDefault="00D430EE" w:rsidP="00D430EE">
      <w:pPr>
        <w:pStyle w:val="BodyText"/>
        <w:rPr>
          <w:rFonts w:cs="Arial"/>
          <w:color w:val="auto"/>
        </w:rPr>
      </w:pPr>
      <w:r w:rsidRPr="00BB00F5">
        <w:rPr>
          <w:rFonts w:cs="Arial"/>
          <w:color w:val="auto"/>
        </w:rPr>
        <w:t xml:space="preserve">This RIS is prepared in accordance with the Victorian Guide to Regulation (2016), which provides a step-by-step guide to preparing </w:t>
      </w:r>
      <w:r>
        <w:rPr>
          <w:rFonts w:cs="Arial"/>
          <w:color w:val="auto"/>
        </w:rPr>
        <w:t xml:space="preserve">a </w:t>
      </w:r>
      <w:r w:rsidRPr="00BB00F5">
        <w:rPr>
          <w:rFonts w:cs="Arial"/>
          <w:color w:val="auto"/>
        </w:rPr>
        <w:t>RIS.</w:t>
      </w:r>
    </w:p>
    <w:p w14:paraId="6E6B49D4" w14:textId="77777777" w:rsidR="00D41B29" w:rsidRPr="00EC5379" w:rsidRDefault="00D41B29" w:rsidP="00D41B29">
      <w:pPr>
        <w:pStyle w:val="Heading2"/>
        <w:rPr>
          <w:rFonts w:ascii="Arial" w:hAnsi="Arial" w:cs="Arial"/>
        </w:rPr>
      </w:pPr>
      <w:bookmarkStart w:id="20" w:name="_Toc35947956"/>
      <w:bookmarkStart w:id="21" w:name="_Toc37921473"/>
      <w:bookmarkEnd w:id="18"/>
      <w:bookmarkEnd w:id="19"/>
      <w:r w:rsidRPr="00EC5379">
        <w:rPr>
          <w:rFonts w:ascii="Arial" w:hAnsi="Arial" w:cs="Arial"/>
        </w:rPr>
        <w:t>Long Service Schemes</w:t>
      </w:r>
      <w:r>
        <w:rPr>
          <w:rFonts w:ascii="Arial" w:hAnsi="Arial" w:cs="Arial"/>
        </w:rPr>
        <w:t xml:space="preserve"> in Victoria and Australia</w:t>
      </w:r>
      <w:bookmarkEnd w:id="20"/>
      <w:bookmarkEnd w:id="21"/>
    </w:p>
    <w:p w14:paraId="43A9F14E" w14:textId="2841B8DA" w:rsidR="00D430EE" w:rsidRDefault="00D430EE" w:rsidP="00D430EE">
      <w:pPr>
        <w:spacing w:before="100" w:beforeAutospacing="1" w:after="100" w:afterAutospacing="1"/>
        <w:rPr>
          <w:rFonts w:ascii="Arial" w:hAnsi="Arial" w:cs="Arial"/>
          <w:color w:val="auto"/>
        </w:rPr>
      </w:pPr>
      <w:r>
        <w:rPr>
          <w:rFonts w:ascii="Arial" w:hAnsi="Arial" w:cs="Arial"/>
          <w:color w:val="auto"/>
        </w:rPr>
        <w:t xml:space="preserve">In Victoria, long service leave is primarily governed by the </w:t>
      </w:r>
      <w:r>
        <w:rPr>
          <w:rFonts w:ascii="Arial" w:hAnsi="Arial" w:cs="Arial"/>
          <w:i/>
          <w:color w:val="auto"/>
        </w:rPr>
        <w:t xml:space="preserve">Long Service Leave Act 2018 </w:t>
      </w:r>
      <w:r w:rsidRPr="004D5E10">
        <w:rPr>
          <w:rFonts w:ascii="Arial" w:hAnsi="Arial" w:cs="Arial"/>
          <w:color w:val="auto"/>
        </w:rPr>
        <w:t>(Vic)</w:t>
      </w:r>
      <w:r>
        <w:rPr>
          <w:rFonts w:ascii="Arial" w:hAnsi="Arial" w:cs="Arial"/>
          <w:color w:val="auto"/>
        </w:rPr>
        <w:t>.</w:t>
      </w:r>
      <w:r>
        <w:rPr>
          <w:rStyle w:val="FootnoteReference"/>
          <w:rFonts w:ascii="Arial" w:hAnsi="Arial" w:cs="Arial"/>
          <w:color w:val="auto"/>
        </w:rPr>
        <w:footnoteReference w:id="5"/>
      </w:r>
      <w:r w:rsidRPr="00F738AD">
        <w:rPr>
          <w:rFonts w:ascii="Arial" w:hAnsi="Arial" w:cs="Arial"/>
          <w:color w:val="auto"/>
        </w:rPr>
        <w:t xml:space="preserve"> </w:t>
      </w:r>
      <w:r w:rsidR="00E76932">
        <w:rPr>
          <w:rFonts w:ascii="Arial" w:hAnsi="Arial" w:cs="Arial"/>
          <w:color w:val="auto"/>
        </w:rPr>
        <w:t>Under Victorian legislation</w:t>
      </w:r>
      <w:r w:rsidRPr="00F738AD">
        <w:rPr>
          <w:rFonts w:ascii="Arial" w:hAnsi="Arial" w:cs="Arial"/>
          <w:color w:val="auto"/>
        </w:rPr>
        <w:t xml:space="preserve">, </w:t>
      </w:r>
      <w:r w:rsidR="00BA4E89">
        <w:rPr>
          <w:rFonts w:ascii="Arial" w:hAnsi="Arial" w:cs="Arial"/>
          <w:color w:val="auto"/>
        </w:rPr>
        <w:t>employee</w:t>
      </w:r>
      <w:r w:rsidRPr="00F738AD">
        <w:rPr>
          <w:rFonts w:ascii="Arial" w:hAnsi="Arial" w:cs="Arial"/>
          <w:color w:val="auto"/>
        </w:rPr>
        <w:t xml:space="preserve">s who complete at least seven years of continuous employment with one employer are able to apply for long service leave. The </w:t>
      </w:r>
      <w:r w:rsidRPr="00F738AD">
        <w:rPr>
          <w:rFonts w:ascii="Arial" w:hAnsi="Arial" w:cs="Arial"/>
          <w:i/>
          <w:color w:val="auto"/>
        </w:rPr>
        <w:t xml:space="preserve">Long Service Leave Act 2018 </w:t>
      </w:r>
      <w:r w:rsidRPr="004D5E10">
        <w:rPr>
          <w:rFonts w:ascii="Arial" w:hAnsi="Arial" w:cs="Arial"/>
          <w:color w:val="auto"/>
        </w:rPr>
        <w:t>(Vic)</w:t>
      </w:r>
      <w:r w:rsidRPr="00F738AD">
        <w:rPr>
          <w:rFonts w:ascii="Arial" w:hAnsi="Arial" w:cs="Arial"/>
          <w:i/>
          <w:color w:val="auto"/>
        </w:rPr>
        <w:t xml:space="preserve"> </w:t>
      </w:r>
      <w:r w:rsidRPr="00F738AD">
        <w:rPr>
          <w:rFonts w:ascii="Arial" w:hAnsi="Arial" w:cs="Arial"/>
          <w:color w:val="auto"/>
        </w:rPr>
        <w:t>sets out arrangements for long service leave. Th</w:t>
      </w:r>
      <w:r w:rsidR="00EA746E">
        <w:rPr>
          <w:rFonts w:ascii="Arial" w:hAnsi="Arial" w:cs="Arial"/>
          <w:color w:val="auto"/>
        </w:rPr>
        <w:t>is</w:t>
      </w:r>
      <w:r w:rsidRPr="00F738AD">
        <w:rPr>
          <w:rFonts w:ascii="Arial" w:hAnsi="Arial" w:cs="Arial"/>
          <w:color w:val="auto"/>
        </w:rPr>
        <w:t xml:space="preserve"> Act </w:t>
      </w:r>
      <w:r w:rsidR="00CA39EB" w:rsidRPr="00F738AD">
        <w:rPr>
          <w:rFonts w:ascii="Arial" w:hAnsi="Arial" w:cs="Arial"/>
          <w:color w:val="auto"/>
        </w:rPr>
        <w:t>replace</w:t>
      </w:r>
      <w:r w:rsidR="00CA39EB">
        <w:rPr>
          <w:rFonts w:ascii="Arial" w:hAnsi="Arial" w:cs="Arial"/>
          <w:color w:val="auto"/>
        </w:rPr>
        <w:t>d</w:t>
      </w:r>
      <w:r w:rsidR="00CA39EB" w:rsidRPr="00F738AD">
        <w:rPr>
          <w:rFonts w:ascii="Arial" w:hAnsi="Arial" w:cs="Arial"/>
          <w:color w:val="auto"/>
        </w:rPr>
        <w:t xml:space="preserve"> </w:t>
      </w:r>
      <w:r w:rsidRPr="00F738AD">
        <w:rPr>
          <w:rFonts w:ascii="Arial" w:hAnsi="Arial" w:cs="Arial"/>
          <w:color w:val="auto"/>
        </w:rPr>
        <w:t xml:space="preserve">the </w:t>
      </w:r>
      <w:r w:rsidRPr="00F738AD">
        <w:rPr>
          <w:rFonts w:ascii="Arial" w:hAnsi="Arial" w:cs="Arial"/>
          <w:i/>
          <w:color w:val="auto"/>
        </w:rPr>
        <w:t>Long Service Leave Act 1992</w:t>
      </w:r>
      <w:r>
        <w:rPr>
          <w:rFonts w:ascii="Arial" w:hAnsi="Arial" w:cs="Arial"/>
          <w:color w:val="auto"/>
        </w:rPr>
        <w:t xml:space="preserve"> (Vic)</w:t>
      </w:r>
      <w:r w:rsidRPr="00F738AD">
        <w:rPr>
          <w:rFonts w:ascii="Arial" w:hAnsi="Arial" w:cs="Arial"/>
          <w:color w:val="auto"/>
        </w:rPr>
        <w:t>.</w:t>
      </w:r>
    </w:p>
    <w:p w14:paraId="699B270F" w14:textId="3644FF33" w:rsidR="00D430EE" w:rsidRPr="00F738AD" w:rsidRDefault="00D430EE" w:rsidP="00D430EE">
      <w:pPr>
        <w:spacing w:before="100" w:beforeAutospacing="1" w:after="100" w:afterAutospacing="1"/>
        <w:rPr>
          <w:rFonts w:ascii="Arial" w:hAnsi="Arial" w:cs="Arial"/>
          <w:color w:val="auto"/>
        </w:rPr>
      </w:pPr>
      <w:r>
        <w:rPr>
          <w:rFonts w:ascii="Arial" w:hAnsi="Arial" w:cs="Arial"/>
          <w:color w:val="auto"/>
        </w:rPr>
        <w:t>Portable long service</w:t>
      </w:r>
      <w:r w:rsidRPr="00F738AD">
        <w:rPr>
          <w:rFonts w:ascii="Arial" w:hAnsi="Arial" w:cs="Arial"/>
          <w:color w:val="auto"/>
        </w:rPr>
        <w:t xml:space="preserve"> schemes allow for employees to transfer from one employer to another without losing </w:t>
      </w:r>
      <w:r>
        <w:rPr>
          <w:rFonts w:ascii="Arial" w:hAnsi="Arial" w:cs="Arial"/>
          <w:color w:val="auto"/>
        </w:rPr>
        <w:t xml:space="preserve">the benefits of </w:t>
      </w:r>
      <w:r w:rsidRPr="00F738AD">
        <w:rPr>
          <w:rFonts w:ascii="Arial" w:hAnsi="Arial" w:cs="Arial"/>
          <w:color w:val="auto"/>
        </w:rPr>
        <w:t>long service entitlements or service towards such entitlements already accrued, provided both employers are within the</w:t>
      </w:r>
      <w:r w:rsidR="00EA746E">
        <w:rPr>
          <w:rFonts w:ascii="Arial" w:hAnsi="Arial" w:cs="Arial"/>
          <w:color w:val="auto"/>
        </w:rPr>
        <w:t xml:space="preserve"> same</w:t>
      </w:r>
      <w:r w:rsidRPr="00F738AD">
        <w:rPr>
          <w:rFonts w:ascii="Arial" w:hAnsi="Arial" w:cs="Arial"/>
          <w:color w:val="auto"/>
        </w:rPr>
        <w:t xml:space="preserve"> covered </w:t>
      </w:r>
      <w:r w:rsidR="00EA746E">
        <w:rPr>
          <w:rFonts w:ascii="Arial" w:hAnsi="Arial" w:cs="Arial"/>
          <w:color w:val="auto"/>
        </w:rPr>
        <w:t>industry</w:t>
      </w:r>
      <w:r w:rsidRPr="00F738AD">
        <w:rPr>
          <w:rFonts w:ascii="Arial" w:hAnsi="Arial" w:cs="Arial"/>
          <w:color w:val="auto"/>
        </w:rPr>
        <w:t xml:space="preserve">. The schemes recognise that, in some sectors of the economy, an employee may find it difficult to achieve continuous service with one employer. Under these schemes, an employee qualifies </w:t>
      </w:r>
      <w:r w:rsidRPr="00F738AD">
        <w:rPr>
          <w:rFonts w:ascii="Arial" w:hAnsi="Arial" w:cs="Arial"/>
          <w:color w:val="auto"/>
        </w:rPr>
        <w:lastRenderedPageBreak/>
        <w:t xml:space="preserve">for long service based on their service across one industry, rather than </w:t>
      </w:r>
      <w:r w:rsidR="009F6B64">
        <w:rPr>
          <w:rFonts w:ascii="Arial" w:hAnsi="Arial" w:cs="Arial"/>
          <w:color w:val="auto"/>
        </w:rPr>
        <w:t xml:space="preserve">their </w:t>
      </w:r>
      <w:r w:rsidRPr="00F738AD">
        <w:rPr>
          <w:rFonts w:ascii="Arial" w:hAnsi="Arial" w:cs="Arial"/>
          <w:color w:val="auto"/>
        </w:rPr>
        <w:t xml:space="preserve">service </w:t>
      </w:r>
      <w:r w:rsidR="009F6B64">
        <w:rPr>
          <w:rFonts w:ascii="Arial" w:hAnsi="Arial" w:cs="Arial"/>
          <w:color w:val="auto"/>
        </w:rPr>
        <w:t>with</w:t>
      </w:r>
      <w:r w:rsidR="009F6B64" w:rsidRPr="00F738AD">
        <w:rPr>
          <w:rFonts w:ascii="Arial" w:hAnsi="Arial" w:cs="Arial"/>
          <w:color w:val="auto"/>
        </w:rPr>
        <w:t xml:space="preserve"> </w:t>
      </w:r>
      <w:r w:rsidRPr="00F738AD">
        <w:rPr>
          <w:rFonts w:ascii="Arial" w:hAnsi="Arial" w:cs="Arial"/>
          <w:color w:val="auto"/>
        </w:rPr>
        <w:t>one employer.</w:t>
      </w:r>
    </w:p>
    <w:p w14:paraId="705CB4C7" w14:textId="152E754D" w:rsidR="00763CD5" w:rsidRPr="00F738AD" w:rsidRDefault="00763CD5" w:rsidP="00E13F2A">
      <w:pPr>
        <w:spacing w:before="100" w:beforeAutospacing="1" w:after="100" w:afterAutospacing="1"/>
        <w:rPr>
          <w:rFonts w:ascii="Arial" w:hAnsi="Arial" w:cs="Arial"/>
          <w:color w:val="auto"/>
        </w:rPr>
      </w:pPr>
      <w:r w:rsidRPr="00F738AD">
        <w:rPr>
          <w:rFonts w:ascii="Arial" w:hAnsi="Arial" w:cs="Arial"/>
          <w:color w:val="auto"/>
        </w:rPr>
        <w:t>There are a number of portable long service schemes in operation, across a range of industries in Australia. Of note are Victoria’s CoINVEST</w:t>
      </w:r>
      <w:r w:rsidRPr="00F738AD">
        <w:rPr>
          <w:rStyle w:val="FootnoteReference"/>
          <w:rFonts w:ascii="Arial" w:hAnsi="Arial" w:cs="Arial"/>
          <w:color w:val="auto"/>
        </w:rPr>
        <w:footnoteReference w:id="6"/>
      </w:r>
      <w:r w:rsidRPr="00F738AD">
        <w:rPr>
          <w:rFonts w:ascii="Arial" w:hAnsi="Arial" w:cs="Arial"/>
          <w:color w:val="auto"/>
        </w:rPr>
        <w:t xml:space="preserve">, the Australian Capital Territory </w:t>
      </w:r>
      <w:r w:rsidR="00BB00F5">
        <w:rPr>
          <w:rFonts w:ascii="Arial" w:hAnsi="Arial" w:cs="Arial"/>
          <w:color w:val="auto"/>
        </w:rPr>
        <w:t>(ACT) Leave S</w:t>
      </w:r>
      <w:r w:rsidRPr="00F738AD">
        <w:rPr>
          <w:rFonts w:ascii="Arial" w:hAnsi="Arial" w:cs="Arial"/>
          <w:color w:val="auto"/>
        </w:rPr>
        <w:t>cheme</w:t>
      </w:r>
      <w:r w:rsidRPr="00F738AD">
        <w:rPr>
          <w:rStyle w:val="FootnoteReference"/>
          <w:rFonts w:ascii="Arial" w:hAnsi="Arial" w:cs="Arial"/>
          <w:color w:val="auto"/>
        </w:rPr>
        <w:footnoteReference w:id="7"/>
      </w:r>
      <w:r>
        <w:rPr>
          <w:rFonts w:ascii="Arial" w:hAnsi="Arial" w:cs="Arial"/>
          <w:color w:val="auto"/>
        </w:rPr>
        <w:t xml:space="preserve"> (including for the community services sector</w:t>
      </w:r>
      <w:r w:rsidRPr="00F738AD">
        <w:rPr>
          <w:rFonts w:ascii="Arial" w:hAnsi="Arial" w:cs="Arial"/>
          <w:color w:val="auto"/>
        </w:rPr>
        <w:t>), as well as QLeave</w:t>
      </w:r>
      <w:r w:rsidRPr="00F738AD">
        <w:rPr>
          <w:rStyle w:val="FootnoteReference"/>
          <w:rFonts w:ascii="Arial" w:hAnsi="Arial" w:cs="Arial"/>
          <w:color w:val="auto"/>
        </w:rPr>
        <w:footnoteReference w:id="8"/>
      </w:r>
      <w:r w:rsidRPr="00F738AD">
        <w:rPr>
          <w:rFonts w:ascii="Arial" w:hAnsi="Arial" w:cs="Arial"/>
          <w:color w:val="auto"/>
        </w:rPr>
        <w:t xml:space="preserve"> for Queensland’s contract cleaning sector. </w:t>
      </w:r>
    </w:p>
    <w:p w14:paraId="002AD1FB" w14:textId="474A9F32" w:rsidR="00D430EE" w:rsidRDefault="00D430EE" w:rsidP="00117FDA">
      <w:pPr>
        <w:pStyle w:val="BodyText"/>
      </w:pPr>
      <w:r w:rsidRPr="00F738AD">
        <w:t xml:space="preserve">On 4 September 2018, the Victorian Government passed the Long Service Benefits Portability Bill 2018. </w:t>
      </w:r>
      <w:r w:rsidRPr="00F738AD">
        <w:rPr>
          <w:i/>
        </w:rPr>
        <w:t>The Long Service Benefits Portability Act 2018</w:t>
      </w:r>
      <w:r>
        <w:t xml:space="preserve"> (the LSBP Act) came </w:t>
      </w:r>
      <w:r w:rsidR="0072722B">
        <w:t xml:space="preserve">fully </w:t>
      </w:r>
      <w:r w:rsidRPr="00F738AD">
        <w:t xml:space="preserve">into effect on 1 July 2019. See </w:t>
      </w:r>
      <w:r w:rsidR="00117FDA">
        <w:fldChar w:fldCharType="begin"/>
      </w:r>
      <w:r w:rsidR="00117FDA">
        <w:instrText xml:space="preserve"> REF _Ref37320125 \h </w:instrText>
      </w:r>
      <w:r w:rsidR="00117FDA">
        <w:fldChar w:fldCharType="separate"/>
      </w:r>
      <w:r w:rsidR="00117FDA" w:rsidRPr="00F738AD">
        <w:rPr>
          <w:rFonts w:cs="Arial"/>
          <w:color w:val="auto"/>
        </w:rPr>
        <w:t xml:space="preserve">Figure </w:t>
      </w:r>
      <w:r w:rsidR="00117FDA">
        <w:rPr>
          <w:rFonts w:cs="Arial"/>
          <w:noProof/>
          <w:color w:val="auto"/>
        </w:rPr>
        <w:t>1</w:t>
      </w:r>
      <w:r w:rsidR="00117FDA">
        <w:fldChar w:fldCharType="end"/>
      </w:r>
      <w:r w:rsidRPr="00F738AD">
        <w:t xml:space="preserve"> below for a brief history of portable long service benefit schemes in Victoria. </w:t>
      </w:r>
    </w:p>
    <w:p w14:paraId="5E222D8F" w14:textId="6E8AC787" w:rsidR="005A35EC" w:rsidRDefault="005A35EC" w:rsidP="005A35EC">
      <w:pPr>
        <w:spacing w:before="100" w:beforeAutospacing="1" w:after="100" w:afterAutospacing="1"/>
        <w:rPr>
          <w:rFonts w:ascii="Arial" w:hAnsi="Arial" w:cs="Arial"/>
          <w:color w:val="auto"/>
        </w:rPr>
      </w:pPr>
      <w:r w:rsidRPr="00F738AD">
        <w:rPr>
          <w:rFonts w:ascii="Arial" w:hAnsi="Arial" w:cs="Arial"/>
          <w:color w:val="auto"/>
        </w:rPr>
        <w:t xml:space="preserve">The LSBP Act </w:t>
      </w:r>
      <w:r>
        <w:rPr>
          <w:rFonts w:ascii="Arial" w:hAnsi="Arial" w:cs="Arial"/>
          <w:color w:val="auto"/>
        </w:rPr>
        <w:t>was</w:t>
      </w:r>
      <w:r w:rsidRPr="00F738AD">
        <w:rPr>
          <w:rFonts w:ascii="Arial" w:hAnsi="Arial" w:cs="Arial"/>
          <w:color w:val="auto"/>
        </w:rPr>
        <w:t xml:space="preserve"> introduced to enable Victorian </w:t>
      </w:r>
      <w:r w:rsidR="00BA4E89">
        <w:rPr>
          <w:rFonts w:ascii="Arial" w:hAnsi="Arial" w:cs="Arial"/>
          <w:color w:val="auto"/>
        </w:rPr>
        <w:t>employee</w:t>
      </w:r>
      <w:r w:rsidRPr="00F738AD">
        <w:rPr>
          <w:rFonts w:ascii="Arial" w:hAnsi="Arial" w:cs="Arial"/>
          <w:color w:val="auto"/>
        </w:rPr>
        <w:t>s in the contract cleaning, security and community services industries to retain the</w:t>
      </w:r>
      <w:r>
        <w:rPr>
          <w:rFonts w:ascii="Arial" w:hAnsi="Arial" w:cs="Arial"/>
          <w:color w:val="auto"/>
        </w:rPr>
        <w:t xml:space="preserve">ir entitlement to long service benefits </w:t>
      </w:r>
      <w:r w:rsidRPr="00F738AD">
        <w:rPr>
          <w:rFonts w:ascii="Arial" w:hAnsi="Arial" w:cs="Arial"/>
          <w:color w:val="auto"/>
        </w:rPr>
        <w:t xml:space="preserve">when they change employers. </w:t>
      </w:r>
      <w:r w:rsidR="00BA4E89">
        <w:rPr>
          <w:rFonts w:ascii="Arial" w:hAnsi="Arial" w:cs="Arial"/>
          <w:color w:val="auto"/>
        </w:rPr>
        <w:t>Employee</w:t>
      </w:r>
      <w:r w:rsidRPr="00F738AD">
        <w:rPr>
          <w:rFonts w:ascii="Arial" w:hAnsi="Arial" w:cs="Arial"/>
          <w:color w:val="auto"/>
        </w:rPr>
        <w:t xml:space="preserve">s in the security and contract cleaning sectors rarely qualify for long service </w:t>
      </w:r>
      <w:r>
        <w:rPr>
          <w:rFonts w:ascii="Arial" w:hAnsi="Arial" w:cs="Arial"/>
          <w:color w:val="auto"/>
        </w:rPr>
        <w:t>benefits</w:t>
      </w:r>
      <w:r w:rsidRPr="00F738AD">
        <w:rPr>
          <w:rFonts w:ascii="Arial" w:hAnsi="Arial" w:cs="Arial"/>
          <w:color w:val="auto"/>
        </w:rPr>
        <w:t xml:space="preserve"> due to the contract and project nature of the sectors </w:t>
      </w:r>
      <w:r w:rsidR="00117FDA">
        <w:rPr>
          <w:rFonts w:ascii="Arial" w:hAnsi="Arial" w:cs="Arial"/>
          <w:color w:val="auto"/>
        </w:rPr>
        <w:t xml:space="preserve">in which </w:t>
      </w:r>
      <w:r w:rsidRPr="00F738AD">
        <w:rPr>
          <w:rFonts w:ascii="Arial" w:hAnsi="Arial" w:cs="Arial"/>
          <w:color w:val="auto"/>
        </w:rPr>
        <w:t xml:space="preserve">they work. </w:t>
      </w:r>
      <w:r w:rsidR="00BA4E89">
        <w:rPr>
          <w:rFonts w:ascii="Arial" w:hAnsi="Arial" w:cs="Arial"/>
          <w:color w:val="auto"/>
        </w:rPr>
        <w:t>Employee</w:t>
      </w:r>
      <w:r w:rsidRPr="00F738AD">
        <w:rPr>
          <w:rFonts w:ascii="Arial" w:hAnsi="Arial" w:cs="Arial"/>
          <w:color w:val="auto"/>
        </w:rPr>
        <w:t xml:space="preserve">s in the </w:t>
      </w:r>
      <w:r>
        <w:rPr>
          <w:rFonts w:ascii="Arial" w:hAnsi="Arial" w:cs="Arial"/>
          <w:color w:val="auto"/>
        </w:rPr>
        <w:t xml:space="preserve">community services sector </w:t>
      </w:r>
      <w:r w:rsidRPr="00F738AD">
        <w:rPr>
          <w:rFonts w:ascii="Arial" w:hAnsi="Arial" w:cs="Arial"/>
          <w:color w:val="auto"/>
        </w:rPr>
        <w:t>face a similar issue</w:t>
      </w:r>
      <w:r>
        <w:rPr>
          <w:rFonts w:ascii="Arial" w:hAnsi="Arial" w:cs="Arial"/>
          <w:color w:val="auto"/>
        </w:rPr>
        <w:t>,</w:t>
      </w:r>
      <w:r w:rsidRPr="00F738AD">
        <w:rPr>
          <w:rFonts w:ascii="Arial" w:hAnsi="Arial" w:cs="Arial"/>
          <w:color w:val="auto"/>
        </w:rPr>
        <w:t xml:space="preserve"> </w:t>
      </w:r>
      <w:r w:rsidR="0072722B">
        <w:rPr>
          <w:rFonts w:ascii="Arial" w:hAnsi="Arial" w:cs="Arial"/>
          <w:color w:val="auto"/>
        </w:rPr>
        <w:t>due to cyclical or short-term</w:t>
      </w:r>
      <w:r w:rsidR="00E87382">
        <w:rPr>
          <w:rFonts w:ascii="Arial" w:hAnsi="Arial" w:cs="Arial"/>
          <w:color w:val="auto"/>
        </w:rPr>
        <w:t>,</w:t>
      </w:r>
      <w:r w:rsidR="0072722B">
        <w:rPr>
          <w:rFonts w:ascii="Arial" w:hAnsi="Arial" w:cs="Arial"/>
          <w:color w:val="auto"/>
        </w:rPr>
        <w:t xml:space="preserve"> project</w:t>
      </w:r>
      <w:r w:rsidR="00E87382">
        <w:rPr>
          <w:rFonts w:ascii="Arial" w:hAnsi="Arial" w:cs="Arial"/>
          <w:color w:val="auto"/>
        </w:rPr>
        <w:t>-</w:t>
      </w:r>
      <w:r w:rsidR="0072722B">
        <w:rPr>
          <w:rFonts w:ascii="Arial" w:hAnsi="Arial" w:cs="Arial"/>
          <w:color w:val="auto"/>
        </w:rPr>
        <w:t xml:space="preserve">based funding arrangements in the not for profit sector, as well as </w:t>
      </w:r>
      <w:r w:rsidRPr="00F738AD">
        <w:rPr>
          <w:rFonts w:ascii="Arial" w:hAnsi="Arial" w:cs="Arial"/>
          <w:color w:val="auto"/>
        </w:rPr>
        <w:t>high levels of mobility in the sector driven by pressures on wages and a highly casualised workforce.</w:t>
      </w:r>
    </w:p>
    <w:p w14:paraId="15C91473" w14:textId="4DB24F61" w:rsidR="005A35EC" w:rsidRPr="00F738AD" w:rsidRDefault="005A35EC" w:rsidP="00D430EE">
      <w:pPr>
        <w:spacing w:before="100" w:beforeAutospacing="1" w:after="100" w:afterAutospacing="1"/>
        <w:rPr>
          <w:rFonts w:ascii="Arial" w:hAnsi="Arial" w:cs="Arial"/>
          <w:color w:val="auto"/>
        </w:rPr>
      </w:pPr>
      <w:r w:rsidRPr="00F738AD">
        <w:rPr>
          <w:rFonts w:ascii="Arial" w:hAnsi="Arial" w:cs="Arial"/>
          <w:color w:val="auto"/>
        </w:rPr>
        <w:t xml:space="preserve">The LSBP Act requires employers in these sectors to contribute a percentage of </w:t>
      </w:r>
      <w:r w:rsidR="009F6B64">
        <w:rPr>
          <w:rFonts w:ascii="Arial" w:hAnsi="Arial" w:cs="Arial"/>
          <w:color w:val="auto"/>
        </w:rPr>
        <w:t xml:space="preserve">an </w:t>
      </w:r>
      <w:r w:rsidRPr="00F738AD">
        <w:rPr>
          <w:rFonts w:ascii="Arial" w:hAnsi="Arial" w:cs="Arial"/>
          <w:color w:val="auto"/>
        </w:rPr>
        <w:t>employee’s pay on a quarterly basis to a consolidated fund. The fund then pays out long service, equivalent to 1/60</w:t>
      </w:r>
      <w:r w:rsidRPr="00F738AD">
        <w:rPr>
          <w:rFonts w:ascii="Arial" w:hAnsi="Arial" w:cs="Arial"/>
          <w:color w:val="auto"/>
          <w:vertAlign w:val="superscript"/>
        </w:rPr>
        <w:t>th</w:t>
      </w:r>
      <w:r w:rsidRPr="00F738AD">
        <w:rPr>
          <w:rFonts w:ascii="Arial" w:hAnsi="Arial" w:cs="Arial"/>
          <w:color w:val="auto"/>
        </w:rPr>
        <w:t xml:space="preserve"> </w:t>
      </w:r>
      <w:r w:rsidRPr="008A0359">
        <w:rPr>
          <w:rFonts w:ascii="Arial" w:hAnsi="Arial" w:cs="Arial"/>
          <w:color w:val="auto"/>
        </w:rPr>
        <w:t xml:space="preserve">of the hours of work the </w:t>
      </w:r>
      <w:r w:rsidR="00BA4E89">
        <w:rPr>
          <w:rFonts w:ascii="Arial" w:hAnsi="Arial" w:cs="Arial"/>
          <w:color w:val="auto"/>
        </w:rPr>
        <w:t>employee</w:t>
      </w:r>
      <w:r w:rsidRPr="008A0359">
        <w:rPr>
          <w:rFonts w:ascii="Arial" w:hAnsi="Arial" w:cs="Arial"/>
          <w:color w:val="auto"/>
        </w:rPr>
        <w:t xml:space="preserve"> has been credited with working over the employment period since </w:t>
      </w:r>
      <w:r>
        <w:rPr>
          <w:rFonts w:ascii="Arial" w:hAnsi="Arial" w:cs="Arial"/>
          <w:color w:val="auto"/>
        </w:rPr>
        <w:t>they became eligible under the S</w:t>
      </w:r>
      <w:r w:rsidRPr="008A0359">
        <w:rPr>
          <w:rFonts w:ascii="Arial" w:hAnsi="Arial" w:cs="Arial"/>
          <w:color w:val="auto"/>
        </w:rPr>
        <w:t>cheme.</w:t>
      </w:r>
      <w:r>
        <w:rPr>
          <w:rFonts w:ascii="Arial" w:hAnsi="Arial" w:cs="Arial"/>
          <w:color w:val="auto"/>
        </w:rPr>
        <w:t xml:space="preserve"> </w:t>
      </w:r>
    </w:p>
    <w:p w14:paraId="0FC12116" w14:textId="03FD8262" w:rsidR="00E13F2A" w:rsidRPr="00F738AD" w:rsidRDefault="00BD5970" w:rsidP="00A264A4">
      <w:pPr>
        <w:pStyle w:val="Caption"/>
        <w:keepNext w:val="0"/>
        <w:rPr>
          <w:rFonts w:ascii="Arial" w:hAnsi="Arial" w:cs="Arial"/>
          <w:color w:val="auto"/>
        </w:rPr>
      </w:pPr>
      <w:bookmarkStart w:id="22" w:name="_Ref37320125"/>
      <w:r w:rsidRPr="00F738AD">
        <w:rPr>
          <w:rFonts w:ascii="Arial" w:hAnsi="Arial" w:cs="Arial"/>
          <w:color w:val="auto"/>
        </w:rPr>
        <w:t xml:space="preserve">Figure </w:t>
      </w:r>
      <w:r w:rsidR="00855F65" w:rsidRPr="00F738AD">
        <w:rPr>
          <w:rFonts w:ascii="Arial" w:hAnsi="Arial" w:cs="Arial"/>
          <w:noProof/>
          <w:color w:val="auto"/>
        </w:rPr>
        <w:fldChar w:fldCharType="begin"/>
      </w:r>
      <w:r w:rsidR="00855F65" w:rsidRPr="00F738AD">
        <w:rPr>
          <w:rFonts w:ascii="Arial" w:hAnsi="Arial" w:cs="Arial"/>
          <w:noProof/>
          <w:color w:val="auto"/>
        </w:rPr>
        <w:instrText xml:space="preserve"> SEQ Figure \* ARABIC </w:instrText>
      </w:r>
      <w:r w:rsidR="00855F65" w:rsidRPr="00F738AD">
        <w:rPr>
          <w:rFonts w:ascii="Arial" w:hAnsi="Arial" w:cs="Arial"/>
          <w:noProof/>
          <w:color w:val="auto"/>
        </w:rPr>
        <w:fldChar w:fldCharType="separate"/>
      </w:r>
      <w:r w:rsidR="00AD518C">
        <w:rPr>
          <w:rFonts w:ascii="Arial" w:hAnsi="Arial" w:cs="Arial"/>
          <w:noProof/>
          <w:color w:val="auto"/>
        </w:rPr>
        <w:t>1</w:t>
      </w:r>
      <w:r w:rsidR="00855F65" w:rsidRPr="00F738AD">
        <w:rPr>
          <w:rFonts w:ascii="Arial" w:hAnsi="Arial" w:cs="Arial"/>
          <w:noProof/>
          <w:color w:val="auto"/>
        </w:rPr>
        <w:fldChar w:fldCharType="end"/>
      </w:r>
      <w:bookmarkEnd w:id="22"/>
      <w:r w:rsidRPr="00F738AD">
        <w:rPr>
          <w:rFonts w:ascii="Arial" w:hAnsi="Arial" w:cs="Arial"/>
          <w:color w:val="auto"/>
        </w:rPr>
        <w:t xml:space="preserve">: </w:t>
      </w:r>
      <w:r w:rsidR="00E13F2A" w:rsidRPr="00F738AD">
        <w:rPr>
          <w:rFonts w:ascii="Arial" w:hAnsi="Arial" w:cs="Arial"/>
          <w:color w:val="auto"/>
        </w:rPr>
        <w:t xml:space="preserve">A Brief History of Portable Long Service </w:t>
      </w:r>
      <w:r w:rsidR="00F84A45">
        <w:rPr>
          <w:rFonts w:ascii="Arial" w:hAnsi="Arial" w:cs="Arial"/>
          <w:color w:val="auto"/>
        </w:rPr>
        <w:t>Benefits</w:t>
      </w:r>
      <w:r w:rsidR="00E13F2A" w:rsidRPr="00F738AD">
        <w:rPr>
          <w:rFonts w:ascii="Arial" w:hAnsi="Arial" w:cs="Arial"/>
          <w:color w:val="auto"/>
        </w:rPr>
        <w:t xml:space="preserve"> in Victoria</w:t>
      </w:r>
    </w:p>
    <w:tbl>
      <w:tblPr>
        <w:tblStyle w:val="TableGrid"/>
        <w:tblW w:w="0" w:type="auto"/>
        <w:tblBorders>
          <w:left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9016"/>
      </w:tblGrid>
      <w:tr w:rsidR="00E13F2A" w:rsidRPr="00F738AD" w14:paraId="08C68E4C" w14:textId="77777777" w:rsidTr="00E13F2A">
        <w:tc>
          <w:tcPr>
            <w:tcW w:w="9016" w:type="dxa"/>
            <w:shd w:val="clear" w:color="auto" w:fill="DEEAF6" w:themeFill="accent1" w:themeFillTint="33"/>
          </w:tcPr>
          <w:p w14:paraId="61D9C3FF" w14:textId="3DD3DFCD" w:rsidR="00E13F2A" w:rsidRPr="00F738AD" w:rsidRDefault="00E13F2A" w:rsidP="00117FDA">
            <w:pPr>
              <w:spacing w:before="120" w:after="120"/>
              <w:rPr>
                <w:rFonts w:ascii="Arial" w:hAnsi="Arial" w:cs="Arial"/>
                <w:color w:val="auto"/>
              </w:rPr>
            </w:pPr>
            <w:r w:rsidRPr="00F738AD">
              <w:rPr>
                <w:rFonts w:ascii="Arial" w:hAnsi="Arial" w:cs="Arial"/>
                <w:color w:val="auto"/>
              </w:rPr>
              <w:t>In 2015, the Victorian Parliamentary Economic, Educati</w:t>
            </w:r>
            <w:r w:rsidR="005A35EC">
              <w:rPr>
                <w:rFonts w:ascii="Arial" w:hAnsi="Arial" w:cs="Arial"/>
                <w:color w:val="auto"/>
              </w:rPr>
              <w:t>on, Jobs and Skills Committee (the Parliamentary Committee</w:t>
            </w:r>
            <w:r w:rsidRPr="00F738AD">
              <w:rPr>
                <w:rFonts w:ascii="Arial" w:hAnsi="Arial" w:cs="Arial"/>
                <w:color w:val="auto"/>
              </w:rPr>
              <w:t xml:space="preserve">) commenced an inquiry into employer schemes that provide portability of long service entitlements for </w:t>
            </w:r>
            <w:r w:rsidR="00BA4E89">
              <w:rPr>
                <w:rFonts w:ascii="Arial" w:hAnsi="Arial" w:cs="Arial"/>
                <w:color w:val="auto"/>
              </w:rPr>
              <w:t>employee</w:t>
            </w:r>
            <w:r w:rsidRPr="00F738AD">
              <w:rPr>
                <w:rFonts w:ascii="Arial" w:hAnsi="Arial" w:cs="Arial"/>
                <w:color w:val="auto"/>
              </w:rPr>
              <w:t xml:space="preserve">s as they move between jobs in the same or similar industries. </w:t>
            </w:r>
          </w:p>
          <w:p w14:paraId="7A410A3D" w14:textId="3558EBE0" w:rsidR="00E13F2A" w:rsidRPr="00F738AD" w:rsidRDefault="00E13F2A" w:rsidP="00117FDA">
            <w:pPr>
              <w:spacing w:before="120" w:after="120"/>
              <w:rPr>
                <w:rFonts w:ascii="Arial" w:hAnsi="Arial" w:cs="Arial"/>
                <w:color w:val="auto"/>
              </w:rPr>
            </w:pPr>
            <w:r w:rsidRPr="00F738AD">
              <w:rPr>
                <w:rFonts w:ascii="Arial" w:hAnsi="Arial" w:cs="Arial"/>
                <w:color w:val="auto"/>
              </w:rPr>
              <w:t>The Parliamentary Committee tabled its Report in the Victorian Parliament in June 2016.</w:t>
            </w:r>
            <w:r w:rsidRPr="00F738AD">
              <w:rPr>
                <w:rStyle w:val="FootnoteReference"/>
                <w:rFonts w:ascii="Arial" w:hAnsi="Arial" w:cs="Arial"/>
                <w:color w:val="auto"/>
              </w:rPr>
              <w:footnoteReference w:id="9"/>
            </w:r>
            <w:r w:rsidRPr="00F738AD">
              <w:rPr>
                <w:rFonts w:ascii="Arial" w:hAnsi="Arial" w:cs="Arial"/>
                <w:color w:val="auto"/>
              </w:rPr>
              <w:t xml:space="preserve"> The Report contained recommendations that feasibility studies be conduc</w:t>
            </w:r>
            <w:r w:rsidR="00F84A45">
              <w:rPr>
                <w:rFonts w:ascii="Arial" w:hAnsi="Arial" w:cs="Arial"/>
                <w:color w:val="auto"/>
              </w:rPr>
              <w:t>ted into portable long service</w:t>
            </w:r>
            <w:r w:rsidRPr="00F738AD">
              <w:rPr>
                <w:rFonts w:ascii="Arial" w:hAnsi="Arial" w:cs="Arial"/>
                <w:color w:val="auto"/>
              </w:rPr>
              <w:t xml:space="preserve"> schemes for the contract cleaning and security industries and a finding that there was merit in further e</w:t>
            </w:r>
            <w:r w:rsidR="00F84A45">
              <w:rPr>
                <w:rFonts w:ascii="Arial" w:hAnsi="Arial" w:cs="Arial"/>
                <w:color w:val="auto"/>
              </w:rPr>
              <w:t xml:space="preserve">xamining a portable long service </w:t>
            </w:r>
            <w:r w:rsidRPr="00F738AD">
              <w:rPr>
                <w:rFonts w:ascii="Arial" w:hAnsi="Arial" w:cs="Arial"/>
                <w:color w:val="auto"/>
              </w:rPr>
              <w:t xml:space="preserve">scheme for the </w:t>
            </w:r>
            <w:r w:rsidR="00D44225">
              <w:rPr>
                <w:rFonts w:ascii="Arial" w:hAnsi="Arial" w:cs="Arial"/>
                <w:color w:val="auto"/>
              </w:rPr>
              <w:t>community services sector</w:t>
            </w:r>
            <w:r w:rsidRPr="00F738AD">
              <w:rPr>
                <w:rFonts w:ascii="Arial" w:hAnsi="Arial" w:cs="Arial"/>
                <w:color w:val="auto"/>
              </w:rPr>
              <w:t xml:space="preserve">. </w:t>
            </w:r>
          </w:p>
          <w:p w14:paraId="2C32C8FD" w14:textId="5D156DD1" w:rsidR="00E13F2A" w:rsidRPr="00F738AD" w:rsidRDefault="00E13F2A" w:rsidP="00117FDA">
            <w:pPr>
              <w:spacing w:before="120" w:after="120"/>
              <w:rPr>
                <w:rFonts w:ascii="Arial" w:hAnsi="Arial" w:cs="Arial"/>
                <w:color w:val="auto"/>
              </w:rPr>
            </w:pPr>
            <w:r w:rsidRPr="00F738AD">
              <w:rPr>
                <w:rFonts w:ascii="Arial" w:hAnsi="Arial" w:cs="Arial"/>
                <w:color w:val="auto"/>
              </w:rPr>
              <w:t>In November 2016, the Victorian Government tabled its response to the Parliamentary Committee Report accepting the Report’s recommendations and its finding with respect to the merit of considering a portable</w:t>
            </w:r>
            <w:r w:rsidR="00D44225">
              <w:rPr>
                <w:rFonts w:ascii="Arial" w:hAnsi="Arial" w:cs="Arial"/>
                <w:color w:val="auto"/>
              </w:rPr>
              <w:t xml:space="preserve"> long service scheme for the community services </w:t>
            </w:r>
            <w:r w:rsidR="00D44225">
              <w:rPr>
                <w:rFonts w:ascii="Arial" w:hAnsi="Arial" w:cs="Arial"/>
                <w:color w:val="auto"/>
              </w:rPr>
              <w:lastRenderedPageBreak/>
              <w:t>sector</w:t>
            </w:r>
            <w:r w:rsidRPr="00F738AD">
              <w:rPr>
                <w:rFonts w:ascii="Arial" w:hAnsi="Arial" w:cs="Arial"/>
                <w:color w:val="auto"/>
              </w:rPr>
              <w:t>.</w:t>
            </w:r>
            <w:r w:rsidRPr="00F738AD">
              <w:rPr>
                <w:rStyle w:val="FootnoteReference"/>
                <w:rFonts w:ascii="Arial" w:hAnsi="Arial" w:cs="Arial"/>
                <w:color w:val="auto"/>
              </w:rPr>
              <w:footnoteReference w:id="10"/>
            </w:r>
            <w:r w:rsidRPr="00F738AD">
              <w:rPr>
                <w:rFonts w:ascii="Arial" w:hAnsi="Arial" w:cs="Arial"/>
                <w:color w:val="auto"/>
              </w:rPr>
              <w:t xml:space="preserve"> The </w:t>
            </w:r>
            <w:r w:rsidR="00117FDA">
              <w:rPr>
                <w:rFonts w:ascii="Arial" w:hAnsi="Arial" w:cs="Arial"/>
                <w:color w:val="auto"/>
              </w:rPr>
              <w:t>G</w:t>
            </w:r>
            <w:r w:rsidRPr="00F738AD">
              <w:rPr>
                <w:rFonts w:ascii="Arial" w:hAnsi="Arial" w:cs="Arial"/>
                <w:color w:val="auto"/>
              </w:rPr>
              <w:t>overnment committed to conducting a feasibility study into portab</w:t>
            </w:r>
            <w:r w:rsidR="00F84A45">
              <w:rPr>
                <w:rFonts w:ascii="Arial" w:hAnsi="Arial" w:cs="Arial"/>
                <w:color w:val="auto"/>
              </w:rPr>
              <w:t>le long service benefits</w:t>
            </w:r>
            <w:r w:rsidR="00D44225">
              <w:rPr>
                <w:rFonts w:ascii="Arial" w:hAnsi="Arial" w:cs="Arial"/>
                <w:color w:val="auto"/>
              </w:rPr>
              <w:t xml:space="preserve"> in the sector</w:t>
            </w:r>
            <w:r w:rsidRPr="00F738AD">
              <w:rPr>
                <w:rFonts w:ascii="Arial" w:hAnsi="Arial" w:cs="Arial"/>
                <w:color w:val="auto"/>
              </w:rPr>
              <w:t xml:space="preserve">. </w:t>
            </w:r>
          </w:p>
          <w:p w14:paraId="33554B15" w14:textId="5C511AFC" w:rsidR="00E13F2A" w:rsidRPr="00F738AD" w:rsidRDefault="00E13F2A" w:rsidP="00117FDA">
            <w:pPr>
              <w:keepLines/>
              <w:spacing w:before="120" w:after="120"/>
              <w:rPr>
                <w:rFonts w:ascii="Arial" w:hAnsi="Arial" w:cs="Arial"/>
                <w:color w:val="auto"/>
              </w:rPr>
            </w:pPr>
            <w:r w:rsidRPr="00F738AD">
              <w:rPr>
                <w:rFonts w:ascii="Arial" w:hAnsi="Arial" w:cs="Arial"/>
                <w:color w:val="auto"/>
              </w:rPr>
              <w:t xml:space="preserve">In March 2018, following the completion of the feasibility studies, the Minister for Industrial Relations introduced the </w:t>
            </w:r>
            <w:r w:rsidR="00905A24" w:rsidRPr="00905A24">
              <w:rPr>
                <w:rFonts w:ascii="Arial" w:hAnsi="Arial" w:cs="Arial"/>
                <w:color w:val="auto"/>
              </w:rPr>
              <w:t xml:space="preserve">Long Service Benefits Portability Bill 2018 </w:t>
            </w:r>
            <w:r w:rsidRPr="00F738AD">
              <w:rPr>
                <w:rFonts w:ascii="Arial" w:hAnsi="Arial" w:cs="Arial"/>
                <w:color w:val="auto"/>
              </w:rPr>
              <w:t xml:space="preserve">to Parliament. The main purpose of the Bill was to provide portability of long service benefits across the contract cleaning, security, and community services industries. </w:t>
            </w:r>
          </w:p>
          <w:p w14:paraId="1AB60654" w14:textId="46307EDA" w:rsidR="00E13F2A" w:rsidRDefault="001D7D00" w:rsidP="00117FDA">
            <w:pPr>
              <w:spacing w:before="120" w:after="120"/>
              <w:rPr>
                <w:rFonts w:ascii="Arial" w:hAnsi="Arial" w:cs="Arial"/>
                <w:color w:val="auto"/>
              </w:rPr>
            </w:pPr>
            <w:r>
              <w:rPr>
                <w:rFonts w:ascii="Arial" w:hAnsi="Arial" w:cs="Arial"/>
                <w:color w:val="auto"/>
              </w:rPr>
              <w:t>F</w:t>
            </w:r>
            <w:r w:rsidR="00E13F2A" w:rsidRPr="00F738AD">
              <w:rPr>
                <w:rFonts w:ascii="Arial" w:hAnsi="Arial" w:cs="Arial"/>
                <w:color w:val="auto"/>
              </w:rPr>
              <w:t>ollowing a number of amendments proposed by the Legislative Council, the Long Service Benefits Portability Bill 2</w:t>
            </w:r>
            <w:r w:rsidR="00EA70B0">
              <w:rPr>
                <w:rFonts w:ascii="Arial" w:hAnsi="Arial" w:cs="Arial"/>
                <w:color w:val="auto"/>
              </w:rPr>
              <w:t>018 received Royal Assent on 18 </w:t>
            </w:r>
            <w:r w:rsidR="00E13F2A" w:rsidRPr="00F738AD">
              <w:rPr>
                <w:rFonts w:ascii="Arial" w:hAnsi="Arial" w:cs="Arial"/>
                <w:color w:val="auto"/>
              </w:rPr>
              <w:t xml:space="preserve">September 2018. </w:t>
            </w:r>
          </w:p>
          <w:p w14:paraId="1E9D4CDF" w14:textId="520FD549" w:rsidR="00EA70B0" w:rsidRPr="00EA70B0" w:rsidRDefault="00EA70B0" w:rsidP="00117FDA">
            <w:pPr>
              <w:spacing w:before="120" w:after="120"/>
              <w:rPr>
                <w:rFonts w:ascii="Arial" w:hAnsi="Arial" w:cs="Arial"/>
                <w:color w:val="auto"/>
              </w:rPr>
            </w:pPr>
            <w:r w:rsidRPr="00EA70B0">
              <w:rPr>
                <w:rFonts w:ascii="Arial" w:hAnsi="Arial" w:cs="Arial"/>
                <w:color w:val="auto"/>
              </w:rPr>
              <w:t xml:space="preserve">The </w:t>
            </w:r>
            <w:r w:rsidRPr="00EA70B0">
              <w:rPr>
                <w:rFonts w:ascii="Arial" w:hAnsi="Arial" w:cs="Arial"/>
                <w:i/>
                <w:color w:val="auto"/>
              </w:rPr>
              <w:t>Long Service Benefits Portability Regulations 201</w:t>
            </w:r>
            <w:r w:rsidRPr="00EE05BF">
              <w:rPr>
                <w:rFonts w:ascii="Arial" w:hAnsi="Arial" w:cs="Arial"/>
                <w:i/>
                <w:color w:val="auto"/>
              </w:rPr>
              <w:t xml:space="preserve">9 </w:t>
            </w:r>
            <w:r>
              <w:rPr>
                <w:rFonts w:ascii="Arial" w:hAnsi="Arial" w:cs="Arial"/>
                <w:color w:val="auto"/>
              </w:rPr>
              <w:t>came into operation on 1 July </w:t>
            </w:r>
            <w:r w:rsidRPr="00EA70B0">
              <w:rPr>
                <w:rFonts w:ascii="Arial" w:hAnsi="Arial" w:cs="Arial"/>
                <w:color w:val="auto"/>
              </w:rPr>
              <w:t xml:space="preserve">2019. However, to address an administrative error, they </w:t>
            </w:r>
            <w:r>
              <w:rPr>
                <w:rFonts w:ascii="Arial" w:hAnsi="Arial" w:cs="Arial"/>
                <w:color w:val="auto"/>
              </w:rPr>
              <w:t>were</w:t>
            </w:r>
            <w:r w:rsidRPr="00EA70B0">
              <w:rPr>
                <w:rFonts w:ascii="Arial" w:hAnsi="Arial" w:cs="Arial"/>
                <w:color w:val="auto"/>
              </w:rPr>
              <w:t xml:space="preserve"> revoked</w:t>
            </w:r>
            <w:r>
              <w:rPr>
                <w:rFonts w:ascii="Arial" w:hAnsi="Arial" w:cs="Arial"/>
                <w:color w:val="auto"/>
              </w:rPr>
              <w:t xml:space="preserve"> and re</w:t>
            </w:r>
            <w:r w:rsidRPr="00EA70B0">
              <w:rPr>
                <w:rFonts w:ascii="Arial" w:hAnsi="Arial" w:cs="Arial"/>
                <w:color w:val="auto"/>
              </w:rPr>
              <w:t>made.</w:t>
            </w:r>
            <w:r w:rsidR="0060532D" w:rsidRPr="002A5AEC">
              <w:rPr>
                <w:rFonts w:ascii="Arial" w:hAnsi="Arial" w:cs="Arial"/>
                <w:color w:val="auto"/>
              </w:rPr>
              <w:t xml:space="preserve"> </w:t>
            </w:r>
          </w:p>
          <w:p w14:paraId="3DAF4478" w14:textId="29C44F0B" w:rsidR="00D430EE" w:rsidRDefault="00D430EE" w:rsidP="00117FDA">
            <w:pPr>
              <w:spacing w:before="120" w:after="120"/>
              <w:rPr>
                <w:rFonts w:ascii="Arial" w:hAnsi="Arial" w:cs="Arial"/>
                <w:color w:val="auto"/>
              </w:rPr>
            </w:pPr>
            <w:r>
              <w:rPr>
                <w:rFonts w:ascii="Arial" w:hAnsi="Arial" w:cs="Arial"/>
                <w:color w:val="auto"/>
              </w:rPr>
              <w:t>The re</w:t>
            </w:r>
            <w:r w:rsidRPr="00EA70B0">
              <w:rPr>
                <w:rFonts w:ascii="Arial" w:hAnsi="Arial" w:cs="Arial"/>
                <w:color w:val="auto"/>
              </w:rPr>
              <w:t xml:space="preserve">made Regulations are in the same form as the previous Regulations and are called the </w:t>
            </w:r>
            <w:r w:rsidRPr="00EA70B0">
              <w:rPr>
                <w:rFonts w:ascii="Arial" w:hAnsi="Arial" w:cs="Arial"/>
                <w:i/>
                <w:color w:val="auto"/>
              </w:rPr>
              <w:t>Long Service Benefits Portability Interim Regulations 2019</w:t>
            </w:r>
            <w:r w:rsidRPr="00EA70B0">
              <w:rPr>
                <w:rFonts w:ascii="Arial" w:hAnsi="Arial" w:cs="Arial"/>
                <w:color w:val="auto"/>
              </w:rPr>
              <w:t xml:space="preserve"> (the Interim Regulations). </w:t>
            </w:r>
            <w:r w:rsidR="00C806D5">
              <w:rPr>
                <w:rFonts w:ascii="Arial" w:hAnsi="Arial" w:cs="Arial"/>
                <w:color w:val="auto"/>
              </w:rPr>
              <w:t>The only change</w:t>
            </w:r>
            <w:r w:rsidR="009F6B64">
              <w:rPr>
                <w:rFonts w:ascii="Arial" w:hAnsi="Arial" w:cs="Arial"/>
                <w:color w:val="auto"/>
              </w:rPr>
              <w:t>s</w:t>
            </w:r>
            <w:r w:rsidR="00C806D5">
              <w:rPr>
                <w:rFonts w:ascii="Arial" w:hAnsi="Arial" w:cs="Arial"/>
                <w:color w:val="auto"/>
              </w:rPr>
              <w:t xml:space="preserve"> compared to the previous Regulations </w:t>
            </w:r>
            <w:r w:rsidR="009F6B64">
              <w:rPr>
                <w:rFonts w:ascii="Arial" w:hAnsi="Arial" w:cs="Arial"/>
                <w:color w:val="auto"/>
              </w:rPr>
              <w:t xml:space="preserve">are </w:t>
            </w:r>
            <w:r w:rsidR="00C806D5">
              <w:rPr>
                <w:rFonts w:ascii="Arial" w:hAnsi="Arial" w:cs="Arial"/>
                <w:color w:val="auto"/>
              </w:rPr>
              <w:t xml:space="preserve">the title and the expiry date. </w:t>
            </w:r>
            <w:r>
              <w:rPr>
                <w:rFonts w:ascii="Arial" w:hAnsi="Arial" w:cs="Arial"/>
                <w:color w:val="auto"/>
              </w:rPr>
              <w:t>The Interim Regulations</w:t>
            </w:r>
            <w:r w:rsidRPr="00EA70B0">
              <w:rPr>
                <w:rFonts w:ascii="Arial" w:hAnsi="Arial" w:cs="Arial"/>
                <w:color w:val="auto"/>
              </w:rPr>
              <w:t xml:space="preserve"> commenced operation on 20 November 2019</w:t>
            </w:r>
            <w:r>
              <w:rPr>
                <w:rFonts w:ascii="Arial" w:hAnsi="Arial" w:cs="Arial"/>
                <w:color w:val="auto"/>
              </w:rPr>
              <w:t xml:space="preserve"> and </w:t>
            </w:r>
            <w:r w:rsidRPr="00EA70B0">
              <w:rPr>
                <w:rFonts w:ascii="Arial" w:hAnsi="Arial" w:cs="Arial"/>
                <w:color w:val="auto"/>
              </w:rPr>
              <w:t>will operate until permanent Regulations replace t</w:t>
            </w:r>
            <w:r>
              <w:rPr>
                <w:rFonts w:ascii="Arial" w:hAnsi="Arial" w:cs="Arial"/>
                <w:color w:val="auto"/>
              </w:rPr>
              <w:t>hem. The Interim Regulations will otherwise expire on 6 </w:t>
            </w:r>
            <w:r w:rsidRPr="00EA70B0">
              <w:rPr>
                <w:rFonts w:ascii="Arial" w:hAnsi="Arial" w:cs="Arial"/>
                <w:color w:val="auto"/>
              </w:rPr>
              <w:t>November 2020.</w:t>
            </w:r>
          </w:p>
          <w:p w14:paraId="44762D02" w14:textId="550EDAF3" w:rsidR="0072722B" w:rsidRPr="00186BE4" w:rsidRDefault="0072722B" w:rsidP="00117FDA">
            <w:pPr>
              <w:spacing w:before="120" w:after="120"/>
              <w:rPr>
                <w:rFonts w:ascii="Arial" w:hAnsi="Arial" w:cs="Arial"/>
                <w:color w:val="auto"/>
              </w:rPr>
            </w:pPr>
            <w:r w:rsidRPr="002A5AEC">
              <w:rPr>
                <w:rFonts w:ascii="Arial" w:hAnsi="Arial" w:cs="Arial"/>
                <w:color w:val="auto"/>
              </w:rPr>
              <w:t xml:space="preserve">The </w:t>
            </w:r>
            <w:r>
              <w:rPr>
                <w:rFonts w:ascii="Arial" w:hAnsi="Arial" w:cs="Arial"/>
                <w:color w:val="auto"/>
              </w:rPr>
              <w:t>Interim Regulations</w:t>
            </w:r>
            <w:r w:rsidRPr="00EE05BF">
              <w:rPr>
                <w:rFonts w:ascii="Arial" w:hAnsi="Arial" w:cs="Arial"/>
                <w:i/>
                <w:color w:val="auto"/>
              </w:rPr>
              <w:t xml:space="preserve"> </w:t>
            </w:r>
            <w:r w:rsidRPr="002A5AEC">
              <w:rPr>
                <w:rFonts w:ascii="Arial" w:hAnsi="Arial" w:cs="Arial"/>
                <w:color w:val="auto"/>
              </w:rPr>
              <w:t>reflected the preferred options identified in the 2019 RIS</w:t>
            </w:r>
            <w:r>
              <w:rPr>
                <w:rFonts w:ascii="Arial" w:hAnsi="Arial" w:cs="Arial"/>
                <w:color w:val="auto"/>
              </w:rPr>
              <w:t xml:space="preserve"> prepared for the </w:t>
            </w:r>
            <w:r w:rsidRPr="00EA70B0">
              <w:rPr>
                <w:rFonts w:ascii="Arial" w:hAnsi="Arial" w:cs="Arial"/>
                <w:i/>
                <w:color w:val="auto"/>
              </w:rPr>
              <w:t>Long Service Benefits Portability Regulations 201</w:t>
            </w:r>
            <w:r w:rsidRPr="00EE05BF">
              <w:rPr>
                <w:rFonts w:ascii="Arial" w:hAnsi="Arial" w:cs="Arial"/>
                <w:i/>
                <w:color w:val="auto"/>
              </w:rPr>
              <w:t>9</w:t>
            </w:r>
            <w:r>
              <w:rPr>
                <w:rFonts w:ascii="Arial" w:hAnsi="Arial" w:cs="Arial"/>
                <w:color w:val="auto"/>
              </w:rPr>
              <w:t>.</w:t>
            </w:r>
          </w:p>
          <w:p w14:paraId="6A2E2ECE" w14:textId="50B00990" w:rsidR="008A2405" w:rsidRPr="00F738AD" w:rsidRDefault="00D430EE" w:rsidP="00117FDA">
            <w:pPr>
              <w:spacing w:before="120" w:after="120"/>
              <w:rPr>
                <w:rFonts w:ascii="Arial" w:hAnsi="Arial" w:cs="Arial"/>
                <w:color w:val="auto"/>
              </w:rPr>
            </w:pPr>
            <w:r w:rsidRPr="00EA70B0">
              <w:rPr>
                <w:rFonts w:ascii="Arial" w:hAnsi="Arial" w:cs="Arial"/>
                <w:color w:val="auto"/>
              </w:rPr>
              <w:t xml:space="preserve">Since 1 July 2019, more than 60,000 Victorian </w:t>
            </w:r>
            <w:r w:rsidR="00BA4E89">
              <w:rPr>
                <w:rFonts w:ascii="Arial" w:hAnsi="Arial" w:cs="Arial"/>
                <w:color w:val="auto"/>
              </w:rPr>
              <w:t>employee</w:t>
            </w:r>
            <w:r w:rsidRPr="00EA70B0">
              <w:rPr>
                <w:rFonts w:ascii="Arial" w:hAnsi="Arial" w:cs="Arial"/>
                <w:color w:val="auto"/>
              </w:rPr>
              <w:t>s have been registered by their employers for the Scheme.</w:t>
            </w:r>
            <w:r>
              <w:rPr>
                <w:rFonts w:ascii="Arial" w:hAnsi="Arial" w:cs="Arial"/>
                <w:color w:val="auto"/>
              </w:rPr>
              <w:t xml:space="preserve"> From </w:t>
            </w:r>
            <w:r w:rsidRPr="00EA70B0">
              <w:rPr>
                <w:rFonts w:ascii="Arial" w:hAnsi="Arial" w:cs="Arial"/>
                <w:color w:val="auto"/>
              </w:rPr>
              <w:t xml:space="preserve">1 January 2020, </w:t>
            </w:r>
            <w:r w:rsidR="00117FDA">
              <w:rPr>
                <w:rFonts w:ascii="Arial" w:hAnsi="Arial" w:cs="Arial"/>
                <w:color w:val="auto"/>
              </w:rPr>
              <w:t xml:space="preserve">the </w:t>
            </w:r>
            <w:r w:rsidRPr="00EA70B0">
              <w:rPr>
                <w:rFonts w:ascii="Arial" w:hAnsi="Arial" w:cs="Arial"/>
                <w:color w:val="auto"/>
              </w:rPr>
              <w:t>National Disability Insurance Scheme (NDIS) and certain children's services providers came under the Scheme.</w:t>
            </w:r>
          </w:p>
        </w:tc>
      </w:tr>
    </w:tbl>
    <w:p w14:paraId="60D36CD4" w14:textId="11DCC78F" w:rsidR="00E13F2A" w:rsidRPr="00EC5379" w:rsidRDefault="00E13F2A" w:rsidP="00763CD5">
      <w:pPr>
        <w:pStyle w:val="Heading2"/>
        <w:rPr>
          <w:rFonts w:ascii="Arial" w:hAnsi="Arial" w:cs="Arial"/>
        </w:rPr>
      </w:pPr>
      <w:bookmarkStart w:id="23" w:name="_Toc4768880"/>
      <w:bookmarkStart w:id="24" w:name="_Ref36560399"/>
      <w:bookmarkStart w:id="25" w:name="_Toc37921474"/>
      <w:r w:rsidRPr="00EC5379">
        <w:rPr>
          <w:rFonts w:ascii="Arial" w:hAnsi="Arial" w:cs="Arial"/>
        </w:rPr>
        <w:lastRenderedPageBreak/>
        <w:t>Overview of the Long Service Benefits Portability Act 2018</w:t>
      </w:r>
      <w:bookmarkEnd w:id="23"/>
      <w:bookmarkEnd w:id="24"/>
      <w:bookmarkEnd w:id="25"/>
      <w:r w:rsidRPr="00EC5379">
        <w:rPr>
          <w:rFonts w:ascii="Arial" w:hAnsi="Arial" w:cs="Arial"/>
        </w:rPr>
        <w:t xml:space="preserve"> </w:t>
      </w:r>
    </w:p>
    <w:p w14:paraId="0B036D97" w14:textId="3EB4E4F4" w:rsidR="00D430EE" w:rsidRDefault="00D430EE" w:rsidP="00D430EE">
      <w:pPr>
        <w:rPr>
          <w:rFonts w:ascii="Arial" w:hAnsi="Arial" w:cs="Arial"/>
          <w:color w:val="auto"/>
        </w:rPr>
      </w:pPr>
      <w:r w:rsidRPr="00F738AD">
        <w:rPr>
          <w:rFonts w:ascii="Arial" w:hAnsi="Arial" w:cs="Arial"/>
          <w:color w:val="auto"/>
        </w:rPr>
        <w:t xml:space="preserve">The LSBP Act covers three sectors: contract cleaning, community services, and security. A separate fund </w:t>
      </w:r>
      <w:r>
        <w:rPr>
          <w:rFonts w:ascii="Arial" w:hAnsi="Arial" w:cs="Arial"/>
          <w:color w:val="auto"/>
        </w:rPr>
        <w:t>has been</w:t>
      </w:r>
      <w:r w:rsidRPr="00F738AD">
        <w:rPr>
          <w:rFonts w:ascii="Arial" w:hAnsi="Arial" w:cs="Arial"/>
          <w:color w:val="auto"/>
        </w:rPr>
        <w:t xml:space="preserve"> established for each sector, each of which is to be collected and administered by the Portable Long Service Benefits Authority (the Authority). The funds raised will be invested with the Victorian Funds Management Corporation. </w:t>
      </w:r>
      <w:r w:rsidRPr="00EA70B0">
        <w:rPr>
          <w:rFonts w:ascii="Arial" w:hAnsi="Arial" w:cs="Arial"/>
          <w:color w:val="auto"/>
        </w:rPr>
        <w:t>The levy rate was determined by the Authority’s Govern</w:t>
      </w:r>
      <w:r w:rsidR="00551EAD">
        <w:rPr>
          <w:rFonts w:ascii="Arial" w:hAnsi="Arial" w:cs="Arial"/>
          <w:color w:val="auto"/>
        </w:rPr>
        <w:t>ing Board on 9 May 2019 as 1.65 percent</w:t>
      </w:r>
      <w:r w:rsidRPr="00EA70B0">
        <w:rPr>
          <w:rFonts w:ascii="Arial" w:hAnsi="Arial" w:cs="Arial"/>
          <w:color w:val="auto"/>
        </w:rPr>
        <w:t xml:space="preserve"> for </w:t>
      </w:r>
      <w:r>
        <w:rPr>
          <w:rFonts w:ascii="Arial" w:hAnsi="Arial" w:cs="Arial"/>
          <w:color w:val="auto"/>
        </w:rPr>
        <w:t xml:space="preserve">the </w:t>
      </w:r>
      <w:r w:rsidRPr="00EA70B0">
        <w:rPr>
          <w:rFonts w:ascii="Arial" w:hAnsi="Arial" w:cs="Arial"/>
          <w:color w:val="auto"/>
        </w:rPr>
        <w:t>community services</w:t>
      </w:r>
      <w:r>
        <w:rPr>
          <w:rFonts w:ascii="Arial" w:hAnsi="Arial" w:cs="Arial"/>
          <w:color w:val="auto"/>
        </w:rPr>
        <w:t xml:space="preserve"> sector and </w:t>
      </w:r>
      <w:r w:rsidR="00551EAD">
        <w:rPr>
          <w:rFonts w:ascii="Arial" w:hAnsi="Arial" w:cs="Arial"/>
          <w:color w:val="auto"/>
        </w:rPr>
        <w:t>1.80 percent</w:t>
      </w:r>
      <w:r w:rsidRPr="00EA70B0">
        <w:rPr>
          <w:rFonts w:ascii="Arial" w:hAnsi="Arial" w:cs="Arial"/>
          <w:color w:val="auto"/>
        </w:rPr>
        <w:t xml:space="preserve"> for</w:t>
      </w:r>
      <w:r>
        <w:rPr>
          <w:rFonts w:ascii="Arial" w:hAnsi="Arial" w:cs="Arial"/>
          <w:color w:val="auto"/>
        </w:rPr>
        <w:t xml:space="preserve"> the</w:t>
      </w:r>
      <w:r w:rsidRPr="00EA70B0">
        <w:rPr>
          <w:rFonts w:ascii="Arial" w:hAnsi="Arial" w:cs="Arial"/>
          <w:color w:val="auto"/>
        </w:rPr>
        <w:t xml:space="preserve"> contract cleaning</w:t>
      </w:r>
      <w:r>
        <w:rPr>
          <w:rFonts w:ascii="Arial" w:hAnsi="Arial" w:cs="Arial"/>
          <w:color w:val="auto"/>
        </w:rPr>
        <w:t xml:space="preserve"> and security sectors</w:t>
      </w:r>
      <w:r w:rsidR="00117FDA">
        <w:rPr>
          <w:rFonts w:ascii="Arial" w:hAnsi="Arial" w:cs="Arial"/>
          <w:color w:val="auto"/>
        </w:rPr>
        <w:t>,</w:t>
      </w:r>
      <w:r>
        <w:rPr>
          <w:rFonts w:ascii="Arial" w:hAnsi="Arial" w:cs="Arial"/>
          <w:color w:val="auto"/>
        </w:rPr>
        <w:t xml:space="preserve"> respectively.</w:t>
      </w:r>
    </w:p>
    <w:p w14:paraId="1D8FF98C" w14:textId="77777777" w:rsidR="00D430EE" w:rsidRPr="00F738AD" w:rsidRDefault="00D430EE" w:rsidP="00D430EE">
      <w:pPr>
        <w:rPr>
          <w:rFonts w:ascii="Arial" w:hAnsi="Arial" w:cs="Arial"/>
          <w:color w:val="auto"/>
        </w:rPr>
      </w:pPr>
      <w:r w:rsidRPr="00F738AD">
        <w:rPr>
          <w:rFonts w:ascii="Arial" w:hAnsi="Arial" w:cs="Arial"/>
          <w:color w:val="auto"/>
        </w:rPr>
        <w:t>Registered active employers must provide the Authority with a return each quarter which includes:</w:t>
      </w:r>
    </w:p>
    <w:p w14:paraId="37653279" w14:textId="3CC02CCC" w:rsidR="00D430EE" w:rsidRPr="00F738AD" w:rsidRDefault="00B53F17" w:rsidP="00D430EE">
      <w:pPr>
        <w:pStyle w:val="ListBullet"/>
        <w:contextualSpacing w:val="0"/>
        <w:rPr>
          <w:rFonts w:cs="Arial"/>
          <w:color w:val="auto"/>
        </w:rPr>
      </w:pPr>
      <w:r>
        <w:rPr>
          <w:rFonts w:cs="Arial"/>
          <w:color w:val="auto"/>
        </w:rPr>
        <w:t>T</w:t>
      </w:r>
      <w:r w:rsidR="00D430EE" w:rsidRPr="00F738AD">
        <w:rPr>
          <w:rFonts w:cs="Arial"/>
          <w:color w:val="auto"/>
        </w:rPr>
        <w:t xml:space="preserve">he name of each of the employer's </w:t>
      </w:r>
      <w:r w:rsidR="00BA4E89">
        <w:rPr>
          <w:rFonts w:cs="Arial"/>
          <w:color w:val="auto"/>
        </w:rPr>
        <w:t>employee</w:t>
      </w:r>
      <w:r w:rsidR="00D430EE" w:rsidRPr="00F738AD">
        <w:rPr>
          <w:rFonts w:cs="Arial"/>
          <w:color w:val="auto"/>
        </w:rPr>
        <w:t>s who performed work for the employer during the quarter; and</w:t>
      </w:r>
    </w:p>
    <w:p w14:paraId="404E11CA" w14:textId="338364E1" w:rsidR="00D430EE" w:rsidRPr="00F738AD" w:rsidRDefault="00B53F17" w:rsidP="00D430EE">
      <w:pPr>
        <w:pStyle w:val="ListBullet"/>
        <w:contextualSpacing w:val="0"/>
        <w:rPr>
          <w:rFonts w:cs="Arial"/>
          <w:color w:val="auto"/>
        </w:rPr>
      </w:pPr>
      <w:r>
        <w:rPr>
          <w:rFonts w:cs="Arial"/>
          <w:color w:val="auto"/>
        </w:rPr>
        <w:t>F</w:t>
      </w:r>
      <w:r w:rsidR="00D430EE" w:rsidRPr="00F738AD">
        <w:rPr>
          <w:rFonts w:cs="Arial"/>
          <w:color w:val="auto"/>
        </w:rPr>
        <w:t xml:space="preserve">or each of the employer's </w:t>
      </w:r>
      <w:r w:rsidR="00BA4E89">
        <w:rPr>
          <w:rFonts w:cs="Arial"/>
          <w:color w:val="auto"/>
        </w:rPr>
        <w:t>employee</w:t>
      </w:r>
      <w:r w:rsidR="00D430EE" w:rsidRPr="00F738AD">
        <w:rPr>
          <w:rFonts w:cs="Arial"/>
          <w:color w:val="auto"/>
        </w:rPr>
        <w:t>s:</w:t>
      </w:r>
    </w:p>
    <w:p w14:paraId="0E0D5751" w14:textId="304629FF" w:rsidR="00D430EE" w:rsidRPr="00F738AD" w:rsidRDefault="00D430EE" w:rsidP="00D430EE">
      <w:pPr>
        <w:pStyle w:val="ListBullet2"/>
        <w:contextualSpacing w:val="0"/>
        <w:rPr>
          <w:rFonts w:cs="Arial"/>
          <w:color w:val="auto"/>
        </w:rPr>
      </w:pPr>
      <w:r w:rsidRPr="00F738AD">
        <w:rPr>
          <w:rFonts w:cs="Arial"/>
          <w:color w:val="auto"/>
        </w:rPr>
        <w:t xml:space="preserve">the total ordinary pay paid or payable by the employer to the </w:t>
      </w:r>
      <w:r w:rsidR="00BA4E89">
        <w:rPr>
          <w:rFonts w:cs="Arial"/>
          <w:color w:val="auto"/>
        </w:rPr>
        <w:t>employee</w:t>
      </w:r>
      <w:r w:rsidRPr="00F738AD">
        <w:rPr>
          <w:rFonts w:cs="Arial"/>
          <w:color w:val="auto"/>
        </w:rPr>
        <w:t xml:space="preserve"> for work performed during the quarter; </w:t>
      </w:r>
    </w:p>
    <w:p w14:paraId="30DB653D" w14:textId="77777777" w:rsidR="00D430EE" w:rsidRPr="00F738AD" w:rsidRDefault="00D430EE" w:rsidP="00D430EE">
      <w:pPr>
        <w:pStyle w:val="ListBullet2"/>
        <w:contextualSpacing w:val="0"/>
        <w:rPr>
          <w:rFonts w:cs="Arial"/>
          <w:color w:val="auto"/>
        </w:rPr>
      </w:pPr>
      <w:r w:rsidRPr="00F738AD">
        <w:rPr>
          <w:rFonts w:cs="Arial"/>
          <w:color w:val="auto"/>
        </w:rPr>
        <w:t xml:space="preserve">the number of days or part days during the quarter to which the pay relates; and </w:t>
      </w:r>
    </w:p>
    <w:p w14:paraId="6BC7B272" w14:textId="77777777" w:rsidR="00D430EE" w:rsidRPr="00F738AD" w:rsidRDefault="00D430EE" w:rsidP="00D430EE">
      <w:pPr>
        <w:pStyle w:val="ListBullet2"/>
        <w:contextualSpacing w:val="0"/>
        <w:rPr>
          <w:rFonts w:cs="Arial"/>
          <w:color w:val="auto"/>
        </w:rPr>
      </w:pPr>
      <w:r w:rsidRPr="00F738AD">
        <w:rPr>
          <w:rFonts w:cs="Arial"/>
          <w:color w:val="auto"/>
        </w:rPr>
        <w:t>any other prescribed information.</w:t>
      </w:r>
    </w:p>
    <w:p w14:paraId="47341137" w14:textId="77777777" w:rsidR="004F4AFD" w:rsidRDefault="00D430EE" w:rsidP="00D430EE">
      <w:pPr>
        <w:rPr>
          <w:rFonts w:ascii="Arial" w:hAnsi="Arial" w:cs="Arial"/>
          <w:color w:val="auto"/>
        </w:rPr>
      </w:pPr>
      <w:r w:rsidRPr="00F738AD">
        <w:rPr>
          <w:rFonts w:ascii="Arial" w:hAnsi="Arial" w:cs="Arial"/>
          <w:color w:val="auto"/>
        </w:rPr>
        <w:lastRenderedPageBreak/>
        <w:t>At the time of the quarterly return</w:t>
      </w:r>
      <w:r w:rsidR="00117FDA">
        <w:rPr>
          <w:rFonts w:ascii="Arial" w:hAnsi="Arial" w:cs="Arial"/>
          <w:color w:val="auto"/>
        </w:rPr>
        <w:t>,</w:t>
      </w:r>
      <w:r w:rsidRPr="00F738AD">
        <w:rPr>
          <w:rFonts w:ascii="Arial" w:hAnsi="Arial" w:cs="Arial"/>
          <w:color w:val="auto"/>
        </w:rPr>
        <w:t xml:space="preserve"> the employer must also pay the levy that is due for each employee. </w:t>
      </w:r>
    </w:p>
    <w:p w14:paraId="67159EB9" w14:textId="59E24075" w:rsidR="00D430EE" w:rsidRPr="00F738AD" w:rsidRDefault="000742E1" w:rsidP="00D430EE">
      <w:pPr>
        <w:rPr>
          <w:rFonts w:ascii="Arial" w:hAnsi="Arial" w:cs="Arial"/>
          <w:color w:val="auto"/>
        </w:rPr>
      </w:pPr>
      <w:r w:rsidRPr="00262A04">
        <w:rPr>
          <w:rFonts w:ascii="Arial" w:hAnsi="Arial" w:cs="Arial"/>
          <w:color w:val="auto"/>
        </w:rPr>
        <w:t>All decisions on registration and compliance with the Scheme rest with the Authority.</w:t>
      </w:r>
    </w:p>
    <w:p w14:paraId="4376FAD8" w14:textId="52C1CC40" w:rsidR="00D430EE" w:rsidRPr="00F738AD" w:rsidRDefault="00551EAD" w:rsidP="00D430EE">
      <w:pPr>
        <w:rPr>
          <w:rFonts w:ascii="Arial" w:hAnsi="Arial" w:cs="Arial"/>
          <w:color w:val="auto"/>
        </w:rPr>
      </w:pPr>
      <w:r>
        <w:rPr>
          <w:rFonts w:ascii="Arial" w:hAnsi="Arial" w:cs="Arial"/>
          <w:color w:val="auto"/>
        </w:rPr>
        <w:t>Employees accrue one</w:t>
      </w:r>
      <w:r w:rsidR="00D430EE" w:rsidRPr="00F738AD">
        <w:rPr>
          <w:rFonts w:ascii="Arial" w:hAnsi="Arial" w:cs="Arial"/>
          <w:color w:val="auto"/>
        </w:rPr>
        <w:t xml:space="preserve"> day of ‘recognised service’ for each calendar day during the time in which they are employed (except for certain types of leave not specified in clause 14 of </w:t>
      </w:r>
      <w:r w:rsidR="00D430EE">
        <w:rPr>
          <w:rFonts w:ascii="Arial" w:hAnsi="Arial" w:cs="Arial"/>
          <w:color w:val="auto"/>
        </w:rPr>
        <w:t>S</w:t>
      </w:r>
      <w:r w:rsidR="00D430EE" w:rsidRPr="00F738AD">
        <w:rPr>
          <w:rFonts w:ascii="Arial" w:hAnsi="Arial" w:cs="Arial"/>
          <w:color w:val="auto"/>
        </w:rPr>
        <w:t>chedule 1).</w:t>
      </w:r>
      <w:r w:rsidR="00D430EE" w:rsidRPr="00F738AD">
        <w:rPr>
          <w:rStyle w:val="FootnoteReference"/>
          <w:rFonts w:ascii="Arial" w:hAnsi="Arial" w:cs="Arial"/>
          <w:color w:val="auto"/>
        </w:rPr>
        <w:footnoteReference w:id="11"/>
      </w:r>
      <w:r w:rsidR="00D430EE" w:rsidRPr="00F738AD">
        <w:rPr>
          <w:rFonts w:ascii="Arial" w:hAnsi="Arial" w:cs="Arial"/>
          <w:color w:val="auto"/>
        </w:rPr>
        <w:t xml:space="preserve"> </w:t>
      </w:r>
      <w:r w:rsidR="00BA4965" w:rsidRPr="00BA4965">
        <w:rPr>
          <w:rFonts w:ascii="Arial" w:hAnsi="Arial" w:cs="Arial"/>
          <w:color w:val="auto"/>
        </w:rPr>
        <w:t xml:space="preserve">If the </w:t>
      </w:r>
      <w:r w:rsidR="00BA4E89">
        <w:rPr>
          <w:rFonts w:ascii="Arial" w:hAnsi="Arial" w:cs="Arial"/>
          <w:color w:val="auto"/>
        </w:rPr>
        <w:t>employee</w:t>
      </w:r>
      <w:r w:rsidR="00BA4965" w:rsidRPr="00BA4965">
        <w:rPr>
          <w:rFonts w:ascii="Arial" w:hAnsi="Arial" w:cs="Arial"/>
          <w:color w:val="auto"/>
        </w:rPr>
        <w:t xml:space="preserve"> has recorded 1</w:t>
      </w:r>
      <w:r w:rsidR="00117FDA">
        <w:rPr>
          <w:rFonts w:ascii="Arial" w:hAnsi="Arial" w:cs="Arial"/>
          <w:color w:val="auto"/>
        </w:rPr>
        <w:t>,</w:t>
      </w:r>
      <w:r w:rsidR="00BA4965" w:rsidRPr="00BA4965">
        <w:rPr>
          <w:rFonts w:ascii="Arial" w:hAnsi="Arial" w:cs="Arial"/>
          <w:color w:val="auto"/>
        </w:rPr>
        <w:t>400 hours of work over the seven year period, their benefit will be 1/60th of that 1</w:t>
      </w:r>
      <w:r w:rsidR="00117FDA">
        <w:rPr>
          <w:rFonts w:ascii="Arial" w:hAnsi="Arial" w:cs="Arial"/>
          <w:color w:val="auto"/>
        </w:rPr>
        <w:t>,</w:t>
      </w:r>
      <w:r w:rsidR="00BA4965" w:rsidRPr="00BA4965">
        <w:rPr>
          <w:rFonts w:ascii="Arial" w:hAnsi="Arial" w:cs="Arial"/>
          <w:color w:val="auto"/>
        </w:rPr>
        <w:t xml:space="preserve">400 hours, that is, 23.34 </w:t>
      </w:r>
      <w:r w:rsidR="00BA4965">
        <w:rPr>
          <w:rFonts w:ascii="Arial" w:hAnsi="Arial" w:cs="Arial"/>
          <w:color w:val="auto"/>
        </w:rPr>
        <w:t>day</w:t>
      </w:r>
      <w:r w:rsidR="00CA39EB">
        <w:rPr>
          <w:rFonts w:ascii="Arial" w:hAnsi="Arial" w:cs="Arial"/>
          <w:color w:val="auto"/>
        </w:rPr>
        <w:t>s</w:t>
      </w:r>
      <w:r w:rsidR="00BA4965">
        <w:rPr>
          <w:rFonts w:ascii="Arial" w:hAnsi="Arial" w:cs="Arial"/>
          <w:color w:val="auto"/>
        </w:rPr>
        <w:t xml:space="preserve"> of leave or</w:t>
      </w:r>
      <w:r w:rsidR="00117FDA">
        <w:rPr>
          <w:rFonts w:ascii="Arial" w:hAnsi="Arial" w:cs="Arial"/>
          <w:color w:val="auto"/>
        </w:rPr>
        <w:t>,</w:t>
      </w:r>
      <w:r w:rsidR="00BA4965">
        <w:rPr>
          <w:rFonts w:ascii="Arial" w:hAnsi="Arial" w:cs="Arial"/>
          <w:color w:val="auto"/>
        </w:rPr>
        <w:t xml:space="preserve"> in the case of the community services sector</w:t>
      </w:r>
      <w:r w:rsidR="00BA4965" w:rsidRPr="00F738AD">
        <w:rPr>
          <w:rFonts w:ascii="Arial" w:hAnsi="Arial" w:cs="Arial"/>
          <w:color w:val="auto"/>
        </w:rPr>
        <w:t xml:space="preserve">, a </w:t>
      </w:r>
      <w:r w:rsidR="00BA4965" w:rsidRPr="00F738AD">
        <w:rPr>
          <w:rFonts w:ascii="Arial" w:hAnsi="Arial" w:cs="Arial"/>
          <w:i/>
          <w:color w:val="auto"/>
        </w:rPr>
        <w:t>payment</w:t>
      </w:r>
      <w:r w:rsidR="00BA4965" w:rsidRPr="00F738AD">
        <w:rPr>
          <w:rFonts w:ascii="Arial" w:hAnsi="Arial" w:cs="Arial"/>
          <w:color w:val="auto"/>
        </w:rPr>
        <w:t xml:space="preserve"> of long service from the Authority</w:t>
      </w:r>
      <w:r w:rsidR="00BA4965">
        <w:rPr>
          <w:rFonts w:ascii="Arial" w:hAnsi="Arial" w:cs="Arial"/>
          <w:color w:val="auto"/>
        </w:rPr>
        <w:t xml:space="preserve">. </w:t>
      </w:r>
      <w:r w:rsidR="00D430EE" w:rsidRPr="00F738AD">
        <w:rPr>
          <w:rFonts w:ascii="Arial" w:hAnsi="Arial" w:cs="Arial"/>
          <w:color w:val="auto"/>
        </w:rPr>
        <w:t>The payment rate is based on the employee’s ordinary pay at the time of the application for payment.</w:t>
      </w:r>
      <w:r w:rsidR="00D430EE" w:rsidRPr="00F738AD">
        <w:rPr>
          <w:rStyle w:val="FootnoteReference"/>
          <w:rFonts w:ascii="Arial" w:hAnsi="Arial" w:cs="Arial"/>
          <w:color w:val="auto"/>
        </w:rPr>
        <w:footnoteReference w:id="12"/>
      </w:r>
    </w:p>
    <w:p w14:paraId="17C1EC43" w14:textId="37B5F4A0" w:rsidR="005A35EC" w:rsidRDefault="00D430EE" w:rsidP="00117FDA">
      <w:pPr>
        <w:pStyle w:val="Bodytextkeepwithnext"/>
      </w:pPr>
      <w:r w:rsidRPr="00F738AD">
        <w:t xml:space="preserve">Eligibility for the </w:t>
      </w:r>
      <w:r>
        <w:t>S</w:t>
      </w:r>
      <w:r w:rsidR="005A35EC">
        <w:t>cheme differs by sector:</w:t>
      </w:r>
    </w:p>
    <w:p w14:paraId="5A76672E" w14:textId="6FC59C26" w:rsidR="005A35EC" w:rsidRPr="00274787" w:rsidRDefault="005A35EC" w:rsidP="00274787">
      <w:pPr>
        <w:pStyle w:val="ListParagraph"/>
        <w:numPr>
          <w:ilvl w:val="0"/>
          <w:numId w:val="38"/>
        </w:numPr>
        <w:contextualSpacing w:val="0"/>
        <w:rPr>
          <w:rFonts w:ascii="Arial" w:hAnsi="Arial" w:cs="Arial"/>
          <w:color w:val="auto"/>
        </w:rPr>
      </w:pPr>
      <w:r w:rsidRPr="005A35EC">
        <w:rPr>
          <w:rFonts w:ascii="Arial" w:hAnsi="Arial" w:cs="Arial"/>
          <w:color w:val="auto"/>
        </w:rPr>
        <w:t>T</w:t>
      </w:r>
      <w:r w:rsidR="00D430EE" w:rsidRPr="005A35EC">
        <w:rPr>
          <w:rFonts w:ascii="Arial" w:hAnsi="Arial" w:cs="Arial"/>
          <w:color w:val="auto"/>
        </w:rPr>
        <w:t xml:space="preserve">he </w:t>
      </w:r>
      <w:r w:rsidR="00D430EE" w:rsidRPr="005A35EC">
        <w:rPr>
          <w:rFonts w:ascii="Arial" w:hAnsi="Arial" w:cs="Arial"/>
          <w:b/>
          <w:color w:val="auto"/>
        </w:rPr>
        <w:t>community services sector</w:t>
      </w:r>
      <w:r w:rsidR="00D430EE" w:rsidRPr="005A35EC">
        <w:rPr>
          <w:rFonts w:ascii="Arial" w:hAnsi="Arial" w:cs="Arial"/>
          <w:color w:val="auto"/>
        </w:rPr>
        <w:t xml:space="preserve"> is defined as the sector in which community service work is performed. In turn, ‘community service work’ is defined as work that provides a range of services (including training and employment support for vulnerable persons, or financial support for vulnerable persons), and stipulates that ‘employers’ for the sector are those who employ people to perform community service work, while ‘employees’ are </w:t>
      </w:r>
      <w:r w:rsidR="009F6B64">
        <w:rPr>
          <w:rFonts w:ascii="Arial" w:hAnsi="Arial" w:cs="Arial"/>
          <w:color w:val="auto"/>
        </w:rPr>
        <w:t>those individuals</w:t>
      </w:r>
      <w:r w:rsidR="009F6B64" w:rsidRPr="005A35EC">
        <w:rPr>
          <w:rFonts w:ascii="Arial" w:hAnsi="Arial" w:cs="Arial"/>
          <w:color w:val="auto"/>
        </w:rPr>
        <w:t xml:space="preserve"> </w:t>
      </w:r>
      <w:r w:rsidR="00D430EE" w:rsidRPr="005A35EC">
        <w:rPr>
          <w:rFonts w:ascii="Arial" w:hAnsi="Arial" w:cs="Arial"/>
          <w:color w:val="auto"/>
        </w:rPr>
        <w:t xml:space="preserve">employed by an employer for the sector – meaning that the definitions of ‘employers’ and ‘employees’ are also relevant in a multi-factorial test of eligibility. </w:t>
      </w:r>
      <w:r w:rsidR="003A15C8" w:rsidRPr="005A35EC">
        <w:rPr>
          <w:rFonts w:ascii="Arial" w:hAnsi="Arial" w:cs="Arial"/>
          <w:color w:val="auto"/>
        </w:rPr>
        <w:t>This multi-factorial test of eligibility is</w:t>
      </w:r>
      <w:r w:rsidR="00CF1548" w:rsidRPr="005A35EC">
        <w:rPr>
          <w:rFonts w:ascii="Arial" w:hAnsi="Arial" w:cs="Arial"/>
          <w:color w:val="auto"/>
        </w:rPr>
        <w:t xml:space="preserve"> </w:t>
      </w:r>
      <w:r w:rsidR="003A15C8" w:rsidRPr="005A35EC">
        <w:rPr>
          <w:rFonts w:ascii="Arial" w:hAnsi="Arial" w:cs="Arial"/>
          <w:color w:val="auto"/>
        </w:rPr>
        <w:t>illustrated in</w:t>
      </w:r>
      <w:r w:rsidR="00117FDA">
        <w:rPr>
          <w:rFonts w:ascii="Arial" w:hAnsi="Arial" w:cs="Arial"/>
          <w:color w:val="auto"/>
        </w:rPr>
        <w:t xml:space="preserve"> </w:t>
      </w:r>
      <w:r w:rsidR="00117FDA">
        <w:rPr>
          <w:rFonts w:ascii="Arial" w:hAnsi="Arial" w:cs="Arial"/>
          <w:color w:val="auto"/>
        </w:rPr>
        <w:fldChar w:fldCharType="begin"/>
      </w:r>
      <w:r w:rsidR="00117FDA">
        <w:rPr>
          <w:rFonts w:ascii="Arial" w:hAnsi="Arial" w:cs="Arial"/>
          <w:color w:val="auto"/>
        </w:rPr>
        <w:instrText xml:space="preserve"> REF _Ref36560099 \h </w:instrText>
      </w:r>
      <w:r w:rsidR="00117FDA">
        <w:rPr>
          <w:rFonts w:ascii="Arial" w:hAnsi="Arial" w:cs="Arial"/>
          <w:color w:val="auto"/>
        </w:rPr>
      </w:r>
      <w:r w:rsidR="00117FDA">
        <w:rPr>
          <w:rFonts w:ascii="Arial" w:hAnsi="Arial" w:cs="Arial"/>
          <w:color w:val="auto"/>
        </w:rPr>
        <w:fldChar w:fldCharType="separate"/>
      </w:r>
      <w:r w:rsidR="00117FDA" w:rsidRPr="003A15C8">
        <w:rPr>
          <w:rFonts w:ascii="Arial" w:hAnsi="Arial" w:cs="Arial"/>
          <w:color w:val="auto"/>
        </w:rPr>
        <w:t xml:space="preserve">Figure </w:t>
      </w:r>
      <w:r w:rsidR="00117FDA">
        <w:rPr>
          <w:rFonts w:ascii="Arial" w:hAnsi="Arial" w:cs="Arial"/>
          <w:noProof/>
          <w:color w:val="auto"/>
        </w:rPr>
        <w:t>2</w:t>
      </w:r>
      <w:r w:rsidR="00117FDA">
        <w:rPr>
          <w:rFonts w:ascii="Arial" w:hAnsi="Arial" w:cs="Arial"/>
          <w:color w:val="auto"/>
        </w:rPr>
        <w:fldChar w:fldCharType="end"/>
      </w:r>
      <w:r w:rsidR="00274787" w:rsidRPr="00274787">
        <w:rPr>
          <w:rFonts w:ascii="Arial" w:hAnsi="Arial" w:cs="Arial"/>
          <w:color w:val="auto"/>
        </w:rPr>
        <w:t xml:space="preserve">. The Regulations provide further guidance as to the definitions of community service work, who is not </w:t>
      </w:r>
      <w:r w:rsidR="002A50A9">
        <w:rPr>
          <w:rFonts w:ascii="Arial" w:hAnsi="Arial" w:cs="Arial"/>
          <w:color w:val="auto"/>
        </w:rPr>
        <w:t xml:space="preserve">regarded as </w:t>
      </w:r>
      <w:r w:rsidR="00274787" w:rsidRPr="00274787">
        <w:rPr>
          <w:rFonts w:ascii="Arial" w:hAnsi="Arial" w:cs="Arial"/>
          <w:color w:val="auto"/>
        </w:rPr>
        <w:t xml:space="preserve">an eligible employer and </w:t>
      </w:r>
      <w:r w:rsidR="009F6B64">
        <w:rPr>
          <w:rFonts w:ascii="Arial" w:hAnsi="Arial" w:cs="Arial"/>
          <w:color w:val="auto"/>
        </w:rPr>
        <w:t xml:space="preserve">who is not </w:t>
      </w:r>
      <w:r w:rsidR="002A50A9">
        <w:rPr>
          <w:rFonts w:ascii="Arial" w:hAnsi="Arial" w:cs="Arial"/>
          <w:color w:val="auto"/>
        </w:rPr>
        <w:t xml:space="preserve">regarded as </w:t>
      </w:r>
      <w:r w:rsidR="00274787" w:rsidRPr="00274787">
        <w:rPr>
          <w:rFonts w:ascii="Arial" w:hAnsi="Arial" w:cs="Arial"/>
          <w:color w:val="auto"/>
        </w:rPr>
        <w:t xml:space="preserve">an eligible employee for the purposes of the community services sector. </w:t>
      </w:r>
    </w:p>
    <w:p w14:paraId="2A16714D" w14:textId="216F68E1" w:rsidR="005A35EC" w:rsidRDefault="00D430EE" w:rsidP="005A35EC">
      <w:pPr>
        <w:pStyle w:val="ListParagraph"/>
        <w:numPr>
          <w:ilvl w:val="0"/>
          <w:numId w:val="38"/>
        </w:numPr>
        <w:contextualSpacing w:val="0"/>
        <w:rPr>
          <w:rFonts w:ascii="Arial" w:hAnsi="Arial" w:cs="Arial"/>
          <w:color w:val="auto"/>
        </w:rPr>
      </w:pPr>
      <w:r w:rsidRPr="005A35EC">
        <w:rPr>
          <w:rFonts w:ascii="Arial" w:hAnsi="Arial" w:cs="Arial"/>
          <w:color w:val="auto"/>
        </w:rPr>
        <w:t>Th</w:t>
      </w:r>
      <w:r w:rsidR="005A35EC">
        <w:rPr>
          <w:rFonts w:ascii="Arial" w:hAnsi="Arial" w:cs="Arial"/>
          <w:color w:val="auto"/>
        </w:rPr>
        <w:t xml:space="preserve">e </w:t>
      </w:r>
      <w:r w:rsidR="005A35EC" w:rsidRPr="005A35EC">
        <w:rPr>
          <w:rFonts w:ascii="Arial" w:hAnsi="Arial" w:cs="Arial"/>
          <w:b/>
          <w:color w:val="auto"/>
        </w:rPr>
        <w:t>contract cleaning industry</w:t>
      </w:r>
      <w:r w:rsidR="005A35EC">
        <w:rPr>
          <w:rFonts w:ascii="Arial" w:hAnsi="Arial" w:cs="Arial"/>
          <w:color w:val="auto"/>
        </w:rPr>
        <w:t xml:space="preserve"> is defined using the </w:t>
      </w:r>
      <w:r w:rsidRPr="005A35EC">
        <w:rPr>
          <w:rFonts w:ascii="Arial" w:hAnsi="Arial" w:cs="Arial"/>
          <w:color w:val="auto"/>
        </w:rPr>
        <w:t>same method by reference to the work undertaken</w:t>
      </w:r>
      <w:r w:rsidR="005A35EC">
        <w:rPr>
          <w:rFonts w:ascii="Arial" w:hAnsi="Arial" w:cs="Arial"/>
          <w:color w:val="auto"/>
        </w:rPr>
        <w:t xml:space="preserve"> in the sector</w:t>
      </w:r>
      <w:r w:rsidRPr="005A35EC">
        <w:rPr>
          <w:rFonts w:ascii="Arial" w:hAnsi="Arial" w:cs="Arial"/>
          <w:color w:val="auto"/>
        </w:rPr>
        <w:t xml:space="preserve">. </w:t>
      </w:r>
      <w:r w:rsidR="005A35EC">
        <w:rPr>
          <w:rFonts w:ascii="Arial" w:hAnsi="Arial" w:cs="Arial"/>
          <w:color w:val="auto"/>
        </w:rPr>
        <w:t xml:space="preserve">The Regulations provide further guidance as to who is not </w:t>
      </w:r>
      <w:r w:rsidR="002A50A9">
        <w:rPr>
          <w:rFonts w:ascii="Arial" w:hAnsi="Arial" w:cs="Arial"/>
          <w:color w:val="auto"/>
        </w:rPr>
        <w:t xml:space="preserve">regarded as </w:t>
      </w:r>
      <w:r w:rsidR="005A35EC">
        <w:rPr>
          <w:rFonts w:ascii="Arial" w:hAnsi="Arial" w:cs="Arial"/>
          <w:color w:val="auto"/>
        </w:rPr>
        <w:t>an employee for the purposes of the contract cleaning industry.</w:t>
      </w:r>
    </w:p>
    <w:p w14:paraId="47B8C5FF" w14:textId="7715C181" w:rsidR="002A5AEC" w:rsidRPr="005A35EC" w:rsidRDefault="00D430EE" w:rsidP="005A35EC">
      <w:pPr>
        <w:pStyle w:val="ListParagraph"/>
        <w:numPr>
          <w:ilvl w:val="0"/>
          <w:numId w:val="38"/>
        </w:numPr>
        <w:contextualSpacing w:val="0"/>
        <w:rPr>
          <w:rFonts w:ascii="Arial" w:hAnsi="Arial" w:cs="Arial"/>
          <w:color w:val="auto"/>
        </w:rPr>
      </w:pPr>
      <w:r w:rsidRPr="005A35EC">
        <w:rPr>
          <w:rFonts w:ascii="Arial" w:hAnsi="Arial" w:cs="Arial"/>
          <w:color w:val="auto"/>
        </w:rPr>
        <w:t xml:space="preserve">The </w:t>
      </w:r>
      <w:r w:rsidRPr="005A35EC">
        <w:rPr>
          <w:rFonts w:ascii="Arial" w:hAnsi="Arial" w:cs="Arial"/>
          <w:b/>
          <w:color w:val="auto"/>
        </w:rPr>
        <w:t>security industry</w:t>
      </w:r>
      <w:r w:rsidR="005A35EC">
        <w:rPr>
          <w:rFonts w:ascii="Arial" w:hAnsi="Arial" w:cs="Arial"/>
          <w:color w:val="auto"/>
        </w:rPr>
        <w:t xml:space="preserve"> </w:t>
      </w:r>
      <w:r w:rsidRPr="005A35EC">
        <w:rPr>
          <w:rFonts w:ascii="Arial" w:hAnsi="Arial" w:cs="Arial"/>
          <w:color w:val="auto"/>
        </w:rPr>
        <w:t xml:space="preserve">is defined by reference to the </w:t>
      </w:r>
      <w:r w:rsidRPr="005A35EC">
        <w:rPr>
          <w:rFonts w:ascii="Arial" w:hAnsi="Arial" w:cs="Arial"/>
          <w:i/>
          <w:color w:val="auto"/>
        </w:rPr>
        <w:t>Private Security Act 2004</w:t>
      </w:r>
      <w:r w:rsidRPr="005A35EC">
        <w:rPr>
          <w:rFonts w:ascii="Arial" w:hAnsi="Arial" w:cs="Arial"/>
          <w:color w:val="auto"/>
        </w:rPr>
        <w:t xml:space="preserve"> (Vic). </w:t>
      </w:r>
      <w:bookmarkStart w:id="26" w:name="_Ref34827539"/>
    </w:p>
    <w:p w14:paraId="027EC0E0" w14:textId="7BD54668" w:rsidR="003A15C8" w:rsidRDefault="003A15C8" w:rsidP="002A5AEC">
      <w:pPr>
        <w:pStyle w:val="Caption"/>
        <w:rPr>
          <w:rFonts w:ascii="Arial" w:hAnsi="Arial" w:cs="Arial"/>
          <w:color w:val="auto"/>
        </w:rPr>
      </w:pPr>
      <w:bookmarkStart w:id="27" w:name="_Ref35504026"/>
      <w:bookmarkStart w:id="28" w:name="_Ref36560099"/>
      <w:r w:rsidRPr="003A15C8">
        <w:rPr>
          <w:rFonts w:ascii="Arial" w:hAnsi="Arial" w:cs="Arial"/>
          <w:color w:val="auto"/>
        </w:rPr>
        <w:lastRenderedPageBreak/>
        <w:t xml:space="preserve">Figure </w:t>
      </w:r>
      <w:r w:rsidRPr="003A15C8">
        <w:rPr>
          <w:rFonts w:ascii="Arial" w:hAnsi="Arial" w:cs="Arial"/>
          <w:color w:val="auto"/>
        </w:rPr>
        <w:fldChar w:fldCharType="begin"/>
      </w:r>
      <w:r w:rsidRPr="003A15C8">
        <w:rPr>
          <w:rFonts w:ascii="Arial" w:hAnsi="Arial" w:cs="Arial"/>
          <w:color w:val="auto"/>
        </w:rPr>
        <w:instrText xml:space="preserve"> SEQ Figure \* ARABIC </w:instrText>
      </w:r>
      <w:r w:rsidRPr="003A15C8">
        <w:rPr>
          <w:rFonts w:ascii="Arial" w:hAnsi="Arial" w:cs="Arial"/>
          <w:color w:val="auto"/>
        </w:rPr>
        <w:fldChar w:fldCharType="separate"/>
      </w:r>
      <w:r w:rsidR="00AD518C">
        <w:rPr>
          <w:rFonts w:ascii="Arial" w:hAnsi="Arial" w:cs="Arial"/>
          <w:noProof/>
          <w:color w:val="auto"/>
        </w:rPr>
        <w:t>2</w:t>
      </w:r>
      <w:r w:rsidRPr="003A15C8">
        <w:rPr>
          <w:rFonts w:ascii="Arial" w:hAnsi="Arial" w:cs="Arial"/>
          <w:color w:val="auto"/>
        </w:rPr>
        <w:fldChar w:fldCharType="end"/>
      </w:r>
      <w:bookmarkEnd w:id="26"/>
      <w:bookmarkEnd w:id="27"/>
      <w:bookmarkEnd w:id="28"/>
      <w:r w:rsidRPr="003A15C8">
        <w:rPr>
          <w:rFonts w:ascii="Arial" w:hAnsi="Arial" w:cs="Arial"/>
          <w:color w:val="auto"/>
        </w:rPr>
        <w:t>: Multi-factorial test of eligibility for the community services sector</w:t>
      </w:r>
    </w:p>
    <w:tbl>
      <w:tblPr>
        <w:tblStyle w:val="TableGrid"/>
        <w:tblW w:w="0" w:type="auto"/>
        <w:tblBorders>
          <w:left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9016"/>
      </w:tblGrid>
      <w:tr w:rsidR="001D7D00" w:rsidRPr="00F738AD" w14:paraId="072D99E2" w14:textId="77777777" w:rsidTr="00885201">
        <w:tc>
          <w:tcPr>
            <w:tcW w:w="9016" w:type="dxa"/>
            <w:shd w:val="clear" w:color="auto" w:fill="DEEAF6" w:themeFill="accent1" w:themeFillTint="33"/>
          </w:tcPr>
          <w:p w14:paraId="3DF8A70E" w14:textId="4BD0FF51" w:rsidR="001D7D00" w:rsidRPr="00F738AD" w:rsidRDefault="001D7D00" w:rsidP="004F1506">
            <w:pPr>
              <w:spacing w:before="120" w:after="120"/>
              <w:rPr>
                <w:rFonts w:ascii="Arial" w:hAnsi="Arial" w:cs="Arial"/>
                <w:color w:val="auto"/>
              </w:rPr>
            </w:pPr>
            <w:r>
              <w:rPr>
                <w:noProof/>
                <w:lang w:eastAsia="en-AU"/>
              </w:rPr>
              <w:drawing>
                <wp:inline distT="0" distB="0" distL="0" distR="0" wp14:anchorId="2BDF9567" wp14:editId="3D83363C">
                  <wp:extent cx="5579836"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clrChange>
                              <a:clrFrom>
                                <a:srgbClr val="FFFFFF"/>
                              </a:clrFrom>
                              <a:clrTo>
                                <a:srgbClr val="FFFFFF">
                                  <a:alpha val="0"/>
                                </a:srgbClr>
                              </a:clrTo>
                            </a:clrChange>
                          </a:blip>
                          <a:stretch>
                            <a:fillRect/>
                          </a:stretch>
                        </pic:blipFill>
                        <pic:spPr>
                          <a:xfrm>
                            <a:off x="0" y="0"/>
                            <a:ext cx="5587906" cy="3205029"/>
                          </a:xfrm>
                          <a:prstGeom prst="rect">
                            <a:avLst/>
                          </a:prstGeom>
                        </pic:spPr>
                      </pic:pic>
                    </a:graphicData>
                  </a:graphic>
                </wp:inline>
              </w:drawing>
            </w:r>
          </w:p>
        </w:tc>
      </w:tr>
    </w:tbl>
    <w:p w14:paraId="6389AF5A" w14:textId="77777777" w:rsidR="00E13F2A" w:rsidRPr="00EC5379" w:rsidRDefault="00E13F2A" w:rsidP="009F4505">
      <w:pPr>
        <w:pStyle w:val="Heading3"/>
        <w:tabs>
          <w:tab w:val="clear" w:pos="5115"/>
        </w:tabs>
        <w:ind w:left="709"/>
        <w:rPr>
          <w:rFonts w:ascii="Arial" w:hAnsi="Arial" w:cs="Arial"/>
        </w:rPr>
      </w:pPr>
      <w:r w:rsidRPr="00EC5379">
        <w:rPr>
          <w:rFonts w:ascii="Arial" w:hAnsi="Arial" w:cs="Arial"/>
        </w:rPr>
        <w:t xml:space="preserve">The covered sectors </w:t>
      </w:r>
    </w:p>
    <w:p w14:paraId="3418F0CE" w14:textId="230ABE36" w:rsidR="00E13F2A" w:rsidRPr="00F738AD" w:rsidRDefault="00E13F2A" w:rsidP="00E13F2A">
      <w:pPr>
        <w:spacing w:before="240"/>
        <w:rPr>
          <w:rFonts w:ascii="Arial" w:hAnsi="Arial" w:cs="Arial"/>
          <w:color w:val="auto"/>
        </w:rPr>
      </w:pPr>
      <w:r w:rsidRPr="00F738AD">
        <w:rPr>
          <w:rFonts w:ascii="Arial" w:hAnsi="Arial" w:cs="Arial"/>
          <w:color w:val="auto"/>
        </w:rPr>
        <w:t xml:space="preserve">The following table outlines the sectors covered by the LSBP Act, including the composition of the sectors and how the work within them is defined by the LSBP Act. </w:t>
      </w:r>
      <w:r w:rsidR="00FE3ECF">
        <w:rPr>
          <w:rFonts w:ascii="Arial" w:hAnsi="Arial" w:cs="Arial"/>
          <w:color w:val="auto"/>
        </w:rPr>
        <w:t>The table also outlines the number of registered workers as at 31 March 2020.</w:t>
      </w:r>
      <w:r w:rsidR="00FE3ECF">
        <w:rPr>
          <w:rStyle w:val="FootnoteReference"/>
          <w:rFonts w:ascii="Arial" w:hAnsi="Arial" w:cs="Arial"/>
          <w:color w:val="auto"/>
        </w:rPr>
        <w:footnoteReference w:id="13"/>
      </w:r>
      <w:r w:rsidR="00FE3ECF">
        <w:rPr>
          <w:rFonts w:ascii="Arial" w:hAnsi="Arial" w:cs="Arial"/>
          <w:color w:val="auto"/>
        </w:rPr>
        <w:t xml:space="preserve">  </w:t>
      </w:r>
    </w:p>
    <w:p w14:paraId="3BDAD1E6" w14:textId="72CA6FCE" w:rsidR="00E13F2A" w:rsidRPr="00F738AD" w:rsidRDefault="00E13F2A" w:rsidP="00DA6AD6">
      <w:pPr>
        <w:pStyle w:val="Caption"/>
        <w:rPr>
          <w:rFonts w:ascii="Arial" w:hAnsi="Arial" w:cs="Arial"/>
          <w:i w:val="0"/>
          <w:color w:val="auto"/>
        </w:rPr>
      </w:pPr>
      <w:bookmarkStart w:id="29" w:name="_Ref5873096"/>
      <w:r w:rsidRPr="00F738AD">
        <w:rPr>
          <w:rFonts w:ascii="Arial" w:hAnsi="Arial" w:cs="Arial"/>
          <w:color w:val="auto"/>
        </w:rPr>
        <w:t xml:space="preserve">Table </w:t>
      </w:r>
      <w:r w:rsidR="00855F65" w:rsidRPr="00F738AD">
        <w:rPr>
          <w:rFonts w:ascii="Arial" w:hAnsi="Arial" w:cs="Arial"/>
          <w:noProof/>
          <w:color w:val="auto"/>
        </w:rPr>
        <w:fldChar w:fldCharType="begin"/>
      </w:r>
      <w:r w:rsidR="00855F65" w:rsidRPr="00F738AD">
        <w:rPr>
          <w:rFonts w:ascii="Arial" w:hAnsi="Arial" w:cs="Arial"/>
          <w:noProof/>
          <w:color w:val="auto"/>
        </w:rPr>
        <w:instrText xml:space="preserve"> SEQ Table \* ARABIC </w:instrText>
      </w:r>
      <w:r w:rsidR="00855F65" w:rsidRPr="00F738AD">
        <w:rPr>
          <w:rFonts w:ascii="Arial" w:hAnsi="Arial" w:cs="Arial"/>
          <w:noProof/>
          <w:color w:val="auto"/>
        </w:rPr>
        <w:fldChar w:fldCharType="separate"/>
      </w:r>
      <w:r w:rsidR="00EB4037">
        <w:rPr>
          <w:rFonts w:ascii="Arial" w:hAnsi="Arial" w:cs="Arial"/>
          <w:noProof/>
          <w:color w:val="auto"/>
        </w:rPr>
        <w:t>2</w:t>
      </w:r>
      <w:r w:rsidR="00855F65" w:rsidRPr="00F738AD">
        <w:rPr>
          <w:rFonts w:ascii="Arial" w:hAnsi="Arial" w:cs="Arial"/>
          <w:noProof/>
          <w:color w:val="auto"/>
        </w:rPr>
        <w:fldChar w:fldCharType="end"/>
      </w:r>
      <w:bookmarkEnd w:id="29"/>
      <w:r w:rsidRPr="00F738AD">
        <w:rPr>
          <w:rFonts w:ascii="Arial" w:hAnsi="Arial" w:cs="Arial"/>
          <w:color w:val="auto"/>
        </w:rPr>
        <w:t>: Sectors covered by the LSBP Act</w:t>
      </w:r>
    </w:p>
    <w:tbl>
      <w:tblPr>
        <w:tblStyle w:val="TableGrid"/>
        <w:tblW w:w="8931" w:type="dxa"/>
        <w:tblLook w:val="04A0" w:firstRow="1" w:lastRow="0" w:firstColumn="1" w:lastColumn="0" w:noHBand="0" w:noVBand="1"/>
      </w:tblPr>
      <w:tblGrid>
        <w:gridCol w:w="1418"/>
        <w:gridCol w:w="7513"/>
      </w:tblGrid>
      <w:tr w:rsidR="00EE05BF" w:rsidRPr="00F738AD" w14:paraId="56CA1EC3" w14:textId="77777777" w:rsidTr="00EE05BF">
        <w:trPr>
          <w:tblHeader/>
        </w:trPr>
        <w:tc>
          <w:tcPr>
            <w:tcW w:w="1418" w:type="dxa"/>
            <w:tcBorders>
              <w:top w:val="single" w:sz="4" w:space="0" w:color="auto"/>
              <w:left w:val="nil"/>
              <w:bottom w:val="single" w:sz="4" w:space="0" w:color="auto"/>
              <w:right w:val="single" w:sz="4" w:space="0" w:color="auto"/>
            </w:tcBorders>
            <w:shd w:val="clear" w:color="auto" w:fill="002060"/>
          </w:tcPr>
          <w:p w14:paraId="54B32DD5" w14:textId="77777777" w:rsidR="00EE05BF" w:rsidRPr="00F738AD" w:rsidRDefault="00EE05BF" w:rsidP="00E80E98">
            <w:pPr>
              <w:keepNext/>
              <w:rPr>
                <w:rFonts w:ascii="Arial" w:hAnsi="Arial" w:cs="Arial"/>
                <w:color w:val="FFFFFF" w:themeColor="background1"/>
              </w:rPr>
            </w:pPr>
            <w:r w:rsidRPr="00F738AD">
              <w:rPr>
                <w:rFonts w:ascii="Arial" w:hAnsi="Arial" w:cs="Arial"/>
                <w:color w:val="FFFFFF" w:themeColor="background1"/>
              </w:rPr>
              <w:t>Industry</w:t>
            </w:r>
          </w:p>
        </w:tc>
        <w:tc>
          <w:tcPr>
            <w:tcW w:w="7513" w:type="dxa"/>
            <w:tcBorders>
              <w:top w:val="single" w:sz="4" w:space="0" w:color="auto"/>
              <w:left w:val="single" w:sz="4" w:space="0" w:color="auto"/>
              <w:bottom w:val="single" w:sz="4" w:space="0" w:color="auto"/>
              <w:right w:val="nil"/>
            </w:tcBorders>
            <w:shd w:val="clear" w:color="auto" w:fill="002060"/>
          </w:tcPr>
          <w:p w14:paraId="7F32B156" w14:textId="77777777" w:rsidR="00EE05BF" w:rsidRPr="00F738AD" w:rsidRDefault="00EE05BF" w:rsidP="00E80E98">
            <w:pPr>
              <w:keepNext/>
              <w:rPr>
                <w:rFonts w:ascii="Arial" w:hAnsi="Arial" w:cs="Arial"/>
                <w:color w:val="FFFFFF" w:themeColor="background1"/>
              </w:rPr>
            </w:pPr>
            <w:r w:rsidRPr="00F738AD">
              <w:rPr>
                <w:rFonts w:ascii="Arial" w:hAnsi="Arial" w:cs="Arial"/>
                <w:color w:val="FFFFFF" w:themeColor="background1"/>
              </w:rPr>
              <w:t>LSBP Act Definition</w:t>
            </w:r>
          </w:p>
        </w:tc>
      </w:tr>
      <w:tr w:rsidR="00D430EE" w:rsidRPr="00EC5379" w14:paraId="59F88FDD" w14:textId="77777777" w:rsidTr="00EE05BF">
        <w:tc>
          <w:tcPr>
            <w:tcW w:w="1418" w:type="dxa"/>
            <w:tcBorders>
              <w:top w:val="single" w:sz="4" w:space="0" w:color="auto"/>
              <w:left w:val="nil"/>
              <w:bottom w:val="single" w:sz="4" w:space="0" w:color="auto"/>
              <w:right w:val="single" w:sz="4" w:space="0" w:color="auto"/>
            </w:tcBorders>
            <w:shd w:val="clear" w:color="auto" w:fill="DEEAF6" w:themeFill="accent1" w:themeFillTint="33"/>
          </w:tcPr>
          <w:p w14:paraId="230AF5AF" w14:textId="2330FD69" w:rsidR="00FE3ECF" w:rsidRPr="00F738AD" w:rsidRDefault="00D430EE" w:rsidP="0041185A">
            <w:pPr>
              <w:pStyle w:val="Tabletext"/>
              <w:rPr>
                <w:rFonts w:cs="Arial"/>
                <w:color w:val="auto"/>
              </w:rPr>
            </w:pPr>
            <w:r w:rsidRPr="00F738AD">
              <w:rPr>
                <w:rFonts w:cs="Arial"/>
                <w:color w:val="auto"/>
              </w:rPr>
              <w:t xml:space="preserve">Community Services </w:t>
            </w:r>
          </w:p>
        </w:tc>
        <w:tc>
          <w:tcPr>
            <w:tcW w:w="7513" w:type="dxa"/>
            <w:tcBorders>
              <w:top w:val="single" w:sz="4" w:space="0" w:color="auto"/>
              <w:left w:val="single" w:sz="4" w:space="0" w:color="auto"/>
              <w:bottom w:val="single" w:sz="4" w:space="0" w:color="auto"/>
              <w:right w:val="nil"/>
            </w:tcBorders>
            <w:shd w:val="clear" w:color="auto" w:fill="DEEAF6" w:themeFill="accent1" w:themeFillTint="33"/>
          </w:tcPr>
          <w:p w14:paraId="0055DA13" w14:textId="77777777" w:rsidR="00D430EE" w:rsidRPr="00F738AD" w:rsidRDefault="00D430EE" w:rsidP="00D430EE">
            <w:pPr>
              <w:pStyle w:val="Tabletext"/>
              <w:keepNext/>
              <w:rPr>
                <w:rFonts w:cs="Arial"/>
                <w:color w:val="auto"/>
              </w:rPr>
            </w:pPr>
            <w:r w:rsidRPr="00F738AD">
              <w:rPr>
                <w:rFonts w:cs="Arial"/>
                <w:color w:val="auto"/>
              </w:rPr>
              <w:t xml:space="preserve">Community service work is work that provides various types of services and/or support to people who are experiencing disadvantaged, vulnerability or a crisis. This includes community services such as advocacy, fundraising for community groups, and community legal </w:t>
            </w:r>
            <w:r>
              <w:rPr>
                <w:rFonts w:cs="Arial"/>
                <w:color w:val="auto"/>
              </w:rPr>
              <w:t>services</w:t>
            </w:r>
            <w:r w:rsidRPr="00F738AD">
              <w:rPr>
                <w:rFonts w:cs="Arial"/>
                <w:color w:val="auto"/>
              </w:rPr>
              <w:t xml:space="preserve"> and information</w:t>
            </w:r>
            <w:r>
              <w:rPr>
                <w:rFonts w:cs="Arial"/>
                <w:color w:val="auto"/>
              </w:rPr>
              <w:t xml:space="preserve"> services</w:t>
            </w:r>
            <w:r w:rsidRPr="00F738AD">
              <w:rPr>
                <w:rFonts w:cs="Arial"/>
                <w:color w:val="auto"/>
              </w:rPr>
              <w:t xml:space="preserve">. </w:t>
            </w:r>
          </w:p>
          <w:p w14:paraId="29765DB8" w14:textId="77777777" w:rsidR="00D430EE" w:rsidRDefault="00D430EE" w:rsidP="00D430EE">
            <w:pPr>
              <w:pStyle w:val="Tabletext"/>
              <w:keepNext/>
              <w:rPr>
                <w:rFonts w:cs="Arial"/>
                <w:color w:val="auto"/>
              </w:rPr>
            </w:pPr>
            <w:r w:rsidRPr="00F738AD">
              <w:rPr>
                <w:rFonts w:cs="Arial"/>
                <w:color w:val="auto"/>
              </w:rPr>
              <w:t>Separate provisions also grant the power to explicitly include services, and to explicitly exclude activ</w:t>
            </w:r>
            <w:r>
              <w:rPr>
                <w:rFonts w:cs="Arial"/>
                <w:color w:val="auto"/>
              </w:rPr>
              <w:t>ities, from the scope of community service work</w:t>
            </w:r>
            <w:r w:rsidRPr="00F738AD">
              <w:rPr>
                <w:rFonts w:cs="Arial"/>
                <w:color w:val="auto"/>
              </w:rPr>
              <w:t xml:space="preserve"> through Regulations. </w:t>
            </w:r>
          </w:p>
          <w:p w14:paraId="33297EF7" w14:textId="2FB165F5" w:rsidR="00FE3ECF" w:rsidRPr="00F738AD" w:rsidRDefault="00FE3ECF" w:rsidP="00FE3ECF">
            <w:pPr>
              <w:pStyle w:val="Tabletext"/>
              <w:keepNext/>
              <w:rPr>
                <w:rFonts w:cs="Arial"/>
                <w:b/>
                <w:color w:val="auto"/>
                <w:u w:val="single"/>
              </w:rPr>
            </w:pPr>
            <w:r>
              <w:rPr>
                <w:rFonts w:cs="Arial"/>
                <w:color w:val="auto"/>
              </w:rPr>
              <w:t xml:space="preserve">As at 31 March 2020 there are </w:t>
            </w:r>
            <w:r w:rsidRPr="00FE3ECF">
              <w:rPr>
                <w:rFonts w:cs="Arial"/>
                <w:color w:val="auto"/>
              </w:rPr>
              <w:t xml:space="preserve">36,015 registered workers from the Community </w:t>
            </w:r>
            <w:r>
              <w:rPr>
                <w:rFonts w:cs="Arial"/>
                <w:color w:val="auto"/>
              </w:rPr>
              <w:t>Services s</w:t>
            </w:r>
            <w:r w:rsidRPr="00FE3ECF">
              <w:rPr>
                <w:rFonts w:cs="Arial"/>
                <w:color w:val="auto"/>
              </w:rPr>
              <w:t>ector</w:t>
            </w:r>
            <w:r>
              <w:rPr>
                <w:color w:val="00B0F0"/>
                <w:lang w:eastAsia="en-AU"/>
              </w:rPr>
              <w:t>.</w:t>
            </w:r>
          </w:p>
        </w:tc>
      </w:tr>
      <w:tr w:rsidR="00D430EE" w:rsidRPr="00EC5379" w14:paraId="3A2454D9" w14:textId="77777777" w:rsidTr="00EE05BF">
        <w:trPr>
          <w:cantSplit/>
        </w:trPr>
        <w:tc>
          <w:tcPr>
            <w:tcW w:w="1418" w:type="dxa"/>
            <w:tcBorders>
              <w:top w:val="single" w:sz="4" w:space="0" w:color="auto"/>
              <w:left w:val="nil"/>
              <w:bottom w:val="single" w:sz="4" w:space="0" w:color="auto"/>
              <w:right w:val="single" w:sz="4" w:space="0" w:color="auto"/>
            </w:tcBorders>
            <w:shd w:val="clear" w:color="auto" w:fill="DEEAF6" w:themeFill="accent1" w:themeFillTint="33"/>
          </w:tcPr>
          <w:p w14:paraId="2FB3EBBA" w14:textId="2E0A3E0C" w:rsidR="00D430EE" w:rsidRPr="00F738AD" w:rsidRDefault="00D430EE" w:rsidP="0041185A">
            <w:pPr>
              <w:pStyle w:val="Tabletext"/>
              <w:rPr>
                <w:rFonts w:cs="Arial"/>
                <w:color w:val="auto"/>
              </w:rPr>
            </w:pPr>
            <w:r w:rsidRPr="00F738AD">
              <w:rPr>
                <w:rFonts w:cs="Arial"/>
                <w:color w:val="auto"/>
              </w:rPr>
              <w:t>Contract cleaning</w:t>
            </w:r>
          </w:p>
        </w:tc>
        <w:tc>
          <w:tcPr>
            <w:tcW w:w="7513" w:type="dxa"/>
            <w:tcBorders>
              <w:top w:val="single" w:sz="4" w:space="0" w:color="auto"/>
              <w:left w:val="single" w:sz="4" w:space="0" w:color="auto"/>
              <w:bottom w:val="single" w:sz="4" w:space="0" w:color="auto"/>
              <w:right w:val="nil"/>
            </w:tcBorders>
            <w:shd w:val="clear" w:color="auto" w:fill="DEEAF6" w:themeFill="accent1" w:themeFillTint="33"/>
          </w:tcPr>
          <w:p w14:paraId="6873AD5E" w14:textId="77777777" w:rsidR="00FE3ECF" w:rsidRDefault="00D430EE" w:rsidP="00D430EE">
            <w:pPr>
              <w:pStyle w:val="Tabletext"/>
              <w:keepNext/>
              <w:rPr>
                <w:rFonts w:cs="Arial"/>
                <w:color w:val="auto"/>
              </w:rPr>
            </w:pPr>
            <w:r w:rsidRPr="00F738AD">
              <w:rPr>
                <w:rFonts w:cs="Arial"/>
                <w:color w:val="auto"/>
              </w:rPr>
              <w:t>Cleaning work is work that has, as its only or main function, cleaning, or maintaining the cleanliness of premises. This includes</w:t>
            </w:r>
            <w:r>
              <w:rPr>
                <w:rFonts w:cs="Arial"/>
                <w:color w:val="auto"/>
              </w:rPr>
              <w:t xml:space="preserve"> the cleaning of a swimming pool and the grounds surrounding a swimming</w:t>
            </w:r>
            <w:r w:rsidRPr="00F738AD">
              <w:rPr>
                <w:rFonts w:cs="Arial"/>
                <w:color w:val="auto"/>
              </w:rPr>
              <w:t xml:space="preserve"> pool. It does not include commercial waste disposal, gardening, or cleaning undertaken on construction sites.</w:t>
            </w:r>
          </w:p>
          <w:p w14:paraId="1DC21820" w14:textId="0F658990" w:rsidR="00D430EE" w:rsidRPr="00F738AD" w:rsidRDefault="00FE3ECF" w:rsidP="00FE3ECF">
            <w:pPr>
              <w:pStyle w:val="Tabletext"/>
              <w:keepNext/>
              <w:rPr>
                <w:rFonts w:cs="Arial"/>
                <w:color w:val="auto"/>
              </w:rPr>
            </w:pPr>
            <w:r>
              <w:rPr>
                <w:rFonts w:cs="Arial"/>
                <w:color w:val="auto"/>
              </w:rPr>
              <w:t xml:space="preserve">As at 31 March 2020 there are </w:t>
            </w:r>
            <w:r w:rsidRPr="00FE3ECF">
              <w:rPr>
                <w:rFonts w:cs="Arial"/>
                <w:color w:val="auto"/>
              </w:rPr>
              <w:t>18,470 registered workers from the C</w:t>
            </w:r>
            <w:r>
              <w:rPr>
                <w:rFonts w:cs="Arial"/>
                <w:color w:val="auto"/>
              </w:rPr>
              <w:t>ontract cleaning sector</w:t>
            </w:r>
            <w:r w:rsidRPr="00FE3ECF">
              <w:rPr>
                <w:rFonts w:cs="Arial"/>
                <w:color w:val="auto"/>
              </w:rPr>
              <w:t>.</w:t>
            </w:r>
            <w:r w:rsidR="00D430EE" w:rsidRPr="00F738AD">
              <w:rPr>
                <w:rFonts w:cs="Arial"/>
                <w:color w:val="auto"/>
              </w:rPr>
              <w:t xml:space="preserve"> </w:t>
            </w:r>
          </w:p>
        </w:tc>
      </w:tr>
      <w:tr w:rsidR="00D430EE" w:rsidRPr="00EC5379" w14:paraId="7DD1871A" w14:textId="77777777" w:rsidTr="00EE05BF">
        <w:trPr>
          <w:trHeight w:val="1633"/>
        </w:trPr>
        <w:tc>
          <w:tcPr>
            <w:tcW w:w="1418" w:type="dxa"/>
            <w:tcBorders>
              <w:top w:val="single" w:sz="4" w:space="0" w:color="auto"/>
              <w:left w:val="nil"/>
              <w:bottom w:val="single" w:sz="4" w:space="0" w:color="auto"/>
              <w:right w:val="single" w:sz="4" w:space="0" w:color="auto"/>
            </w:tcBorders>
            <w:shd w:val="clear" w:color="auto" w:fill="DEEAF6" w:themeFill="accent1" w:themeFillTint="33"/>
          </w:tcPr>
          <w:p w14:paraId="1ED7DEC7" w14:textId="65FBFCBE" w:rsidR="00D430EE" w:rsidRPr="00F738AD" w:rsidRDefault="00D430EE" w:rsidP="00D430EE">
            <w:pPr>
              <w:pStyle w:val="Tabletext"/>
              <w:rPr>
                <w:rFonts w:cs="Arial"/>
                <w:color w:val="auto"/>
              </w:rPr>
            </w:pPr>
            <w:r w:rsidRPr="00F738AD">
              <w:rPr>
                <w:rFonts w:cs="Arial"/>
                <w:color w:val="auto"/>
              </w:rPr>
              <w:lastRenderedPageBreak/>
              <w:t>Security</w:t>
            </w:r>
          </w:p>
        </w:tc>
        <w:tc>
          <w:tcPr>
            <w:tcW w:w="7513" w:type="dxa"/>
            <w:tcBorders>
              <w:top w:val="single" w:sz="4" w:space="0" w:color="auto"/>
              <w:left w:val="single" w:sz="4" w:space="0" w:color="auto"/>
              <w:bottom w:val="single" w:sz="4" w:space="0" w:color="auto"/>
              <w:right w:val="nil"/>
            </w:tcBorders>
            <w:shd w:val="clear" w:color="auto" w:fill="DEEAF6" w:themeFill="accent1" w:themeFillTint="33"/>
          </w:tcPr>
          <w:p w14:paraId="3D6C5CFF" w14:textId="77777777" w:rsidR="00D430EE" w:rsidRPr="00F738AD" w:rsidRDefault="00D430EE" w:rsidP="00D430EE">
            <w:pPr>
              <w:pStyle w:val="Tabletext"/>
              <w:rPr>
                <w:rFonts w:cs="Arial"/>
                <w:color w:val="auto"/>
              </w:rPr>
            </w:pPr>
            <w:r w:rsidRPr="00F738AD">
              <w:rPr>
                <w:rFonts w:cs="Arial"/>
                <w:color w:val="auto"/>
              </w:rPr>
              <w:t xml:space="preserve">The security industry is defined as the industry where security activities are undertaken by people licensed to do so under the </w:t>
            </w:r>
            <w:r w:rsidRPr="00763CD5">
              <w:rPr>
                <w:rFonts w:cs="Arial"/>
                <w:i/>
                <w:color w:val="auto"/>
              </w:rPr>
              <w:t xml:space="preserve">Private </w:t>
            </w:r>
            <w:r>
              <w:rPr>
                <w:rFonts w:cs="Arial"/>
                <w:i/>
                <w:color w:val="auto"/>
              </w:rPr>
              <w:t>S</w:t>
            </w:r>
            <w:r w:rsidRPr="00763CD5">
              <w:rPr>
                <w:rFonts w:cs="Arial"/>
                <w:i/>
                <w:color w:val="auto"/>
              </w:rPr>
              <w:t>ecurity Act 2004</w:t>
            </w:r>
            <w:r w:rsidRPr="00F738AD">
              <w:rPr>
                <w:rFonts w:cs="Arial"/>
                <w:color w:val="auto"/>
              </w:rPr>
              <w:t xml:space="preserve"> (Vic), or under corresponding legislation in other jurisdictions. </w:t>
            </w:r>
          </w:p>
          <w:p w14:paraId="0138864C" w14:textId="77777777" w:rsidR="00D430EE" w:rsidRPr="00EE05BF" w:rsidRDefault="00D430EE" w:rsidP="00D430EE">
            <w:pPr>
              <w:pStyle w:val="Tabletext"/>
              <w:rPr>
                <w:rFonts w:cs="Arial"/>
                <w:color w:val="auto"/>
                <w:sz w:val="2"/>
                <w:szCs w:val="2"/>
              </w:rPr>
            </w:pPr>
          </w:p>
          <w:p w14:paraId="7D91D568" w14:textId="77777777" w:rsidR="00D430EE" w:rsidRDefault="00D430EE" w:rsidP="00D430EE">
            <w:pPr>
              <w:pStyle w:val="Tabletext"/>
              <w:rPr>
                <w:rFonts w:cs="Arial"/>
                <w:color w:val="auto"/>
              </w:rPr>
            </w:pPr>
            <w:r w:rsidRPr="00F738AD">
              <w:rPr>
                <w:rFonts w:cs="Arial"/>
                <w:color w:val="auto"/>
              </w:rPr>
              <w:t>Certain activities</w:t>
            </w:r>
            <w:r w:rsidR="0041185A">
              <w:rPr>
                <w:rFonts w:cs="Arial"/>
                <w:color w:val="auto"/>
              </w:rPr>
              <w:t>,</w:t>
            </w:r>
            <w:r w:rsidRPr="00F738AD">
              <w:rPr>
                <w:rFonts w:cs="Arial"/>
                <w:color w:val="auto"/>
              </w:rPr>
              <w:t xml:space="preserve"> such as cutting keys, selling self-install security systems, installing locks and operating prisons</w:t>
            </w:r>
            <w:r w:rsidR="0041185A">
              <w:rPr>
                <w:rFonts w:cs="Arial"/>
                <w:color w:val="auto"/>
              </w:rPr>
              <w:t>,</w:t>
            </w:r>
            <w:r w:rsidRPr="00F738AD">
              <w:rPr>
                <w:rFonts w:cs="Arial"/>
                <w:color w:val="auto"/>
              </w:rPr>
              <w:t xml:space="preserve"> are explicitly excluded from the definition.</w:t>
            </w:r>
          </w:p>
          <w:p w14:paraId="1D9BD1EF" w14:textId="0F73DCEB" w:rsidR="00FE3ECF" w:rsidRPr="00F738AD" w:rsidRDefault="00FE3ECF" w:rsidP="00FE3ECF">
            <w:pPr>
              <w:pStyle w:val="Tabletext"/>
              <w:rPr>
                <w:rFonts w:cs="Arial"/>
                <w:color w:val="auto"/>
              </w:rPr>
            </w:pPr>
            <w:r>
              <w:rPr>
                <w:rFonts w:cs="Arial"/>
                <w:color w:val="auto"/>
              </w:rPr>
              <w:t xml:space="preserve">As at 31 March 2020 there are </w:t>
            </w:r>
            <w:r w:rsidRPr="00FE3ECF">
              <w:rPr>
                <w:rFonts w:cs="Arial"/>
                <w:color w:val="auto"/>
              </w:rPr>
              <w:t>11,264</w:t>
            </w:r>
            <w:r>
              <w:rPr>
                <w:rFonts w:cs="Arial"/>
                <w:color w:val="auto"/>
              </w:rPr>
              <w:t xml:space="preserve"> </w:t>
            </w:r>
            <w:r w:rsidRPr="00FE3ECF">
              <w:rPr>
                <w:rFonts w:cs="Arial"/>
                <w:color w:val="auto"/>
              </w:rPr>
              <w:t xml:space="preserve">registered workers from the </w:t>
            </w:r>
            <w:r>
              <w:rPr>
                <w:rFonts w:cs="Arial"/>
                <w:color w:val="auto"/>
              </w:rPr>
              <w:t>security sector</w:t>
            </w:r>
            <w:r w:rsidRPr="00FE3ECF">
              <w:rPr>
                <w:rFonts w:cs="Arial"/>
                <w:color w:val="auto"/>
              </w:rPr>
              <w:t>.</w:t>
            </w:r>
          </w:p>
        </w:tc>
      </w:tr>
    </w:tbl>
    <w:p w14:paraId="6A38E302" w14:textId="309CA996" w:rsidR="00E13F2A" w:rsidRPr="00EC5379" w:rsidRDefault="00E13F2A" w:rsidP="00E13F2A">
      <w:pPr>
        <w:pStyle w:val="Heading2"/>
        <w:rPr>
          <w:rFonts w:ascii="Arial" w:hAnsi="Arial" w:cs="Arial"/>
        </w:rPr>
      </w:pPr>
      <w:bookmarkStart w:id="30" w:name="_Toc5953770"/>
      <w:bookmarkStart w:id="31" w:name="_Toc5953813"/>
      <w:bookmarkStart w:id="32" w:name="_Toc4768881"/>
      <w:bookmarkStart w:id="33" w:name="_Ref34826780"/>
      <w:bookmarkStart w:id="34" w:name="_Ref34827308"/>
      <w:bookmarkStart w:id="35" w:name="_Toc37921475"/>
      <w:bookmarkEnd w:id="30"/>
      <w:bookmarkEnd w:id="31"/>
      <w:r w:rsidRPr="00EC5379">
        <w:rPr>
          <w:rFonts w:ascii="Arial" w:hAnsi="Arial" w:cs="Arial"/>
        </w:rPr>
        <w:t>The Long Service Benefits Portability</w:t>
      </w:r>
      <w:r w:rsidR="00EE05BF">
        <w:rPr>
          <w:rFonts w:ascii="Arial" w:hAnsi="Arial" w:cs="Arial"/>
        </w:rPr>
        <w:t xml:space="preserve"> Interim</w:t>
      </w:r>
      <w:r w:rsidRPr="00EC5379">
        <w:rPr>
          <w:rFonts w:ascii="Arial" w:hAnsi="Arial" w:cs="Arial"/>
        </w:rPr>
        <w:t xml:space="preserve"> Regulations 201</w:t>
      </w:r>
      <w:bookmarkEnd w:id="32"/>
      <w:r w:rsidR="00EB04A5" w:rsidRPr="00EC5379">
        <w:rPr>
          <w:rFonts w:ascii="Arial" w:hAnsi="Arial" w:cs="Arial"/>
        </w:rPr>
        <w:t>9</w:t>
      </w:r>
      <w:bookmarkEnd w:id="33"/>
      <w:bookmarkEnd w:id="34"/>
      <w:bookmarkEnd w:id="35"/>
    </w:p>
    <w:p w14:paraId="79CCFC91" w14:textId="77777777" w:rsidR="00D430EE" w:rsidRDefault="00D430EE" w:rsidP="00D430EE">
      <w:pPr>
        <w:spacing w:before="240"/>
        <w:rPr>
          <w:rFonts w:ascii="Arial" w:hAnsi="Arial" w:cs="Arial"/>
          <w:color w:val="auto"/>
        </w:rPr>
      </w:pPr>
      <w:r w:rsidRPr="00EB2F4E">
        <w:rPr>
          <w:rFonts w:ascii="Arial" w:hAnsi="Arial" w:cs="Arial"/>
          <w:color w:val="auto"/>
        </w:rPr>
        <w:t xml:space="preserve">Section 79 of the LSBP Act prescribes that Regulations may be made: </w:t>
      </w:r>
    </w:p>
    <w:p w14:paraId="480231E6" w14:textId="77777777" w:rsidR="00D430EE" w:rsidRPr="00EB2F4E" w:rsidRDefault="00D430EE" w:rsidP="00D430EE">
      <w:pPr>
        <w:spacing w:before="240"/>
        <w:ind w:left="720"/>
        <w:rPr>
          <w:rFonts w:ascii="Arial" w:hAnsi="Arial" w:cs="Arial"/>
          <w:i/>
          <w:color w:val="auto"/>
        </w:rPr>
      </w:pPr>
      <w:r w:rsidRPr="00EB2F4E">
        <w:rPr>
          <w:rFonts w:ascii="Arial" w:hAnsi="Arial" w:cs="Arial"/>
          <w:i/>
          <w:color w:val="auto"/>
        </w:rPr>
        <w:t>‘for or with respect to any matter or thing required or permitted by this Act to be prescribed or necessary to be prescribed to give effect to this Act.’</w:t>
      </w:r>
    </w:p>
    <w:p w14:paraId="7CB57445" w14:textId="31E7A3D3" w:rsidR="00D430EE" w:rsidRPr="00EB2F4E" w:rsidRDefault="00CF1548" w:rsidP="00D430EE">
      <w:pPr>
        <w:spacing w:before="240"/>
        <w:rPr>
          <w:rFonts w:ascii="Arial" w:hAnsi="Arial" w:cs="Arial"/>
          <w:color w:val="auto"/>
        </w:rPr>
      </w:pPr>
      <w:r>
        <w:rPr>
          <w:rFonts w:ascii="Arial" w:hAnsi="Arial" w:cs="Arial"/>
          <w:color w:val="auto"/>
        </w:rPr>
        <w:t>In relation to the community services sector, t</w:t>
      </w:r>
      <w:r w:rsidR="00D430EE" w:rsidRPr="00EB2F4E">
        <w:rPr>
          <w:rFonts w:ascii="Arial" w:hAnsi="Arial" w:cs="Arial"/>
          <w:color w:val="auto"/>
        </w:rPr>
        <w:t xml:space="preserve">he </w:t>
      </w:r>
      <w:r w:rsidR="00D430EE" w:rsidRPr="00CF1548">
        <w:rPr>
          <w:rFonts w:ascii="Arial" w:hAnsi="Arial" w:cs="Arial"/>
          <w:color w:val="auto"/>
        </w:rPr>
        <w:t>Interim Regulations</w:t>
      </w:r>
      <w:r w:rsidR="00D430EE" w:rsidRPr="00EB2F4E">
        <w:rPr>
          <w:rFonts w:ascii="Arial" w:hAnsi="Arial" w:cs="Arial"/>
          <w:i/>
          <w:color w:val="auto"/>
        </w:rPr>
        <w:t xml:space="preserve"> </w:t>
      </w:r>
      <w:r w:rsidR="0072722B">
        <w:rPr>
          <w:rFonts w:ascii="Arial" w:hAnsi="Arial" w:cs="Arial"/>
          <w:color w:val="auto"/>
        </w:rPr>
        <w:t>prescribed matters for</w:t>
      </w:r>
      <w:r w:rsidR="00D430EE" w:rsidRPr="00EB2F4E">
        <w:rPr>
          <w:rFonts w:ascii="Arial" w:hAnsi="Arial" w:cs="Arial"/>
          <w:color w:val="auto"/>
        </w:rPr>
        <w:t xml:space="preserve"> the operation of the Scheme</w:t>
      </w:r>
      <w:r>
        <w:rPr>
          <w:rFonts w:ascii="Arial" w:hAnsi="Arial" w:cs="Arial"/>
          <w:color w:val="auto"/>
        </w:rPr>
        <w:t xml:space="preserve"> in relation to:</w:t>
      </w:r>
      <w:r w:rsidR="00D430EE" w:rsidRPr="00EB2F4E">
        <w:rPr>
          <w:rFonts w:ascii="Arial" w:hAnsi="Arial" w:cs="Arial"/>
          <w:color w:val="auto"/>
        </w:rPr>
        <w:t xml:space="preserve"> </w:t>
      </w:r>
    </w:p>
    <w:p w14:paraId="583A78DF" w14:textId="1E84B4BD" w:rsidR="00D430EE" w:rsidRPr="00EB2F4E" w:rsidRDefault="00B53F17" w:rsidP="00840793">
      <w:pPr>
        <w:pStyle w:val="ListBullet"/>
        <w:contextualSpacing w:val="0"/>
        <w:rPr>
          <w:rFonts w:cs="Arial"/>
          <w:color w:val="auto"/>
        </w:rPr>
      </w:pPr>
      <w:r>
        <w:rPr>
          <w:rFonts w:cs="Arial"/>
          <w:color w:val="auto"/>
        </w:rPr>
        <w:t>C</w:t>
      </w:r>
      <w:r w:rsidR="00D430EE" w:rsidRPr="00EB2F4E">
        <w:rPr>
          <w:rFonts w:cs="Arial"/>
          <w:color w:val="auto"/>
        </w:rPr>
        <w:t>onfirming in-scope employers and employees</w:t>
      </w:r>
      <w:r w:rsidR="0072722B">
        <w:rPr>
          <w:rFonts w:cs="Arial"/>
          <w:color w:val="auto"/>
        </w:rPr>
        <w:t xml:space="preserve"> in the community services sector</w:t>
      </w:r>
      <w:r w:rsidR="00D430EE" w:rsidRPr="00EB2F4E">
        <w:rPr>
          <w:rFonts w:cs="Arial"/>
          <w:color w:val="auto"/>
        </w:rPr>
        <w:t>;</w:t>
      </w:r>
    </w:p>
    <w:p w14:paraId="5171EA6B" w14:textId="0B970742" w:rsidR="00D430EE" w:rsidRPr="00840793" w:rsidRDefault="0072722B" w:rsidP="00840793">
      <w:pPr>
        <w:pStyle w:val="ListBullet"/>
        <w:contextualSpacing w:val="0"/>
        <w:rPr>
          <w:rFonts w:cs="Arial"/>
          <w:color w:val="auto"/>
        </w:rPr>
      </w:pPr>
      <w:r>
        <w:rPr>
          <w:rFonts w:cs="Arial"/>
          <w:color w:val="auto"/>
        </w:rPr>
        <w:t>T</w:t>
      </w:r>
      <w:r w:rsidR="00D430EE" w:rsidRPr="00EB2F4E">
        <w:rPr>
          <w:rFonts w:cs="Arial"/>
          <w:color w:val="auto"/>
        </w:rPr>
        <w:t>he definition of the ‘community services sector’</w:t>
      </w:r>
      <w:r w:rsidR="00D430EE">
        <w:rPr>
          <w:rFonts w:cs="Arial"/>
          <w:color w:val="auto"/>
        </w:rPr>
        <w:t>, including the inclusion of NDIS services and certain children’s services from 1 January 2020</w:t>
      </w:r>
      <w:r w:rsidR="00D430EE" w:rsidRPr="00E534B8">
        <w:rPr>
          <w:rFonts w:cs="Arial"/>
          <w:color w:val="auto"/>
        </w:rPr>
        <w:t xml:space="preserve">; </w:t>
      </w:r>
      <w:r w:rsidR="00840793" w:rsidRPr="00840793">
        <w:rPr>
          <w:rFonts w:cs="Arial"/>
          <w:color w:val="auto"/>
        </w:rPr>
        <w:t>and</w:t>
      </w:r>
    </w:p>
    <w:p w14:paraId="1A3AEF5A" w14:textId="20AD401B" w:rsidR="00D430EE" w:rsidRPr="00840793" w:rsidRDefault="0072722B" w:rsidP="00840793">
      <w:pPr>
        <w:pStyle w:val="ListBullet"/>
        <w:contextualSpacing w:val="0"/>
        <w:rPr>
          <w:rFonts w:cs="Arial"/>
          <w:color w:val="auto"/>
        </w:rPr>
      </w:pPr>
      <w:r>
        <w:rPr>
          <w:rFonts w:cs="Arial"/>
          <w:color w:val="auto"/>
        </w:rPr>
        <w:t>Confirming</w:t>
      </w:r>
      <w:r w:rsidR="0041185A">
        <w:rPr>
          <w:rFonts w:cs="Arial"/>
          <w:color w:val="auto"/>
        </w:rPr>
        <w:t xml:space="preserve"> </w:t>
      </w:r>
      <w:r w:rsidR="00840793">
        <w:rPr>
          <w:rFonts w:cs="Arial"/>
          <w:color w:val="auto"/>
        </w:rPr>
        <w:t>who are not employees for the purposes of the contract cleaning industry.</w:t>
      </w:r>
    </w:p>
    <w:p w14:paraId="61FD196C" w14:textId="6E06A50E" w:rsidR="00D430EE" w:rsidRPr="00EB2F4E" w:rsidRDefault="00D430EE" w:rsidP="00840793">
      <w:pPr>
        <w:pStyle w:val="ListBullet"/>
        <w:numPr>
          <w:ilvl w:val="0"/>
          <w:numId w:val="0"/>
        </w:numPr>
        <w:ind w:left="340" w:hanging="340"/>
        <w:contextualSpacing w:val="0"/>
        <w:rPr>
          <w:rFonts w:cs="Arial"/>
          <w:color w:val="auto"/>
        </w:rPr>
      </w:pPr>
      <w:r w:rsidRPr="00EB2F4E">
        <w:rPr>
          <w:rFonts w:cs="Arial"/>
          <w:color w:val="auto"/>
        </w:rPr>
        <w:t xml:space="preserve">There were also two scheme-wide matters covered by the </w:t>
      </w:r>
      <w:r w:rsidR="0072722B">
        <w:rPr>
          <w:rFonts w:cs="Arial"/>
          <w:color w:val="auto"/>
        </w:rPr>
        <w:t xml:space="preserve">Interim </w:t>
      </w:r>
      <w:r w:rsidRPr="00EB2F4E">
        <w:rPr>
          <w:rFonts w:cs="Arial"/>
          <w:color w:val="auto"/>
        </w:rPr>
        <w:t>Regulations:</w:t>
      </w:r>
    </w:p>
    <w:p w14:paraId="45C53A3F" w14:textId="3181165D" w:rsidR="00D430EE" w:rsidRPr="00EB2F4E" w:rsidRDefault="00B53F17" w:rsidP="00D430EE">
      <w:pPr>
        <w:pStyle w:val="ListBullet"/>
        <w:contextualSpacing w:val="0"/>
        <w:rPr>
          <w:rFonts w:cs="Arial"/>
          <w:color w:val="auto"/>
        </w:rPr>
      </w:pPr>
      <w:r>
        <w:rPr>
          <w:rFonts w:cs="Arial"/>
          <w:color w:val="auto"/>
        </w:rPr>
        <w:t>P</w:t>
      </w:r>
      <w:r w:rsidR="00D430EE" w:rsidRPr="00EB2F4E">
        <w:rPr>
          <w:rFonts w:cs="Arial"/>
          <w:color w:val="auto"/>
        </w:rPr>
        <w:t>roviding the Authority w</w:t>
      </w:r>
      <w:r w:rsidR="00D430EE">
        <w:rPr>
          <w:rFonts w:cs="Arial"/>
          <w:color w:val="auto"/>
        </w:rPr>
        <w:t>ith effective oversight of the S</w:t>
      </w:r>
      <w:r w:rsidR="00D430EE" w:rsidRPr="00EB2F4E">
        <w:rPr>
          <w:rFonts w:cs="Arial"/>
          <w:color w:val="auto"/>
        </w:rPr>
        <w:t>cheme; and</w:t>
      </w:r>
    </w:p>
    <w:p w14:paraId="3A585FF3" w14:textId="4043BD5C" w:rsidR="00D430EE" w:rsidRPr="00EB2F4E" w:rsidRDefault="00B53F17" w:rsidP="00D430EE">
      <w:pPr>
        <w:pStyle w:val="ListBullet"/>
        <w:contextualSpacing w:val="0"/>
        <w:rPr>
          <w:rFonts w:cs="Arial"/>
          <w:color w:val="auto"/>
        </w:rPr>
      </w:pPr>
      <w:r>
        <w:rPr>
          <w:rFonts w:cs="Arial"/>
          <w:color w:val="auto"/>
        </w:rPr>
        <w:t>A</w:t>
      </w:r>
      <w:r w:rsidR="00D430EE" w:rsidRPr="00EB2F4E">
        <w:rPr>
          <w:rFonts w:cs="Arial"/>
          <w:color w:val="auto"/>
        </w:rPr>
        <w:t>llowing the Authority to gain the required taxation information and assist other Victorian Government agencies in their regulatory processes.</w:t>
      </w:r>
    </w:p>
    <w:p w14:paraId="1283F78B" w14:textId="433A9151" w:rsidR="002A5AEC" w:rsidRDefault="0072722B" w:rsidP="00CF1548">
      <w:pPr>
        <w:rPr>
          <w:rFonts w:ascii="Arial" w:hAnsi="Arial" w:cs="Arial"/>
          <w:color w:val="auto"/>
        </w:rPr>
      </w:pPr>
      <w:r>
        <w:rPr>
          <w:rFonts w:ascii="Arial" w:hAnsi="Arial" w:cs="Arial"/>
          <w:color w:val="auto"/>
        </w:rPr>
        <w:t>No</w:t>
      </w:r>
      <w:r w:rsidR="00D430EE" w:rsidRPr="00EB2F4E">
        <w:rPr>
          <w:rFonts w:ascii="Arial" w:hAnsi="Arial" w:cs="Arial"/>
          <w:color w:val="auto"/>
        </w:rPr>
        <w:t xml:space="preserve"> clarifying or specific Regulations </w:t>
      </w:r>
      <w:r w:rsidR="00D430EE">
        <w:rPr>
          <w:rFonts w:ascii="Arial" w:hAnsi="Arial" w:cs="Arial"/>
          <w:color w:val="auto"/>
        </w:rPr>
        <w:t>were</w:t>
      </w:r>
      <w:r w:rsidR="00D430EE" w:rsidRPr="00EB2F4E">
        <w:rPr>
          <w:rFonts w:ascii="Arial" w:hAnsi="Arial" w:cs="Arial"/>
          <w:color w:val="auto"/>
        </w:rPr>
        <w:t xml:space="preserve"> </w:t>
      </w:r>
      <w:r w:rsidR="00D430EE">
        <w:rPr>
          <w:rFonts w:ascii="Arial" w:hAnsi="Arial" w:cs="Arial"/>
          <w:color w:val="auto"/>
        </w:rPr>
        <w:t>necessary</w:t>
      </w:r>
      <w:r w:rsidR="00D430EE" w:rsidRPr="00EB2F4E">
        <w:rPr>
          <w:rFonts w:ascii="Arial" w:hAnsi="Arial" w:cs="Arial"/>
          <w:color w:val="auto"/>
        </w:rPr>
        <w:t xml:space="preserve"> with respect to the </w:t>
      </w:r>
      <w:r w:rsidR="00840793">
        <w:rPr>
          <w:rFonts w:ascii="Arial" w:hAnsi="Arial" w:cs="Arial"/>
          <w:color w:val="auto"/>
        </w:rPr>
        <w:t>security sector</w:t>
      </w:r>
      <w:r w:rsidR="00D430EE" w:rsidRPr="00EB2F4E">
        <w:rPr>
          <w:rFonts w:ascii="Arial" w:hAnsi="Arial" w:cs="Arial"/>
          <w:color w:val="auto"/>
        </w:rPr>
        <w:t xml:space="preserve">. </w:t>
      </w:r>
    </w:p>
    <w:p w14:paraId="2C85886A" w14:textId="7CAEE922" w:rsidR="002A5AEC" w:rsidRPr="00EC5379" w:rsidRDefault="002A5AEC" w:rsidP="009F4505">
      <w:pPr>
        <w:pStyle w:val="Heading3"/>
        <w:tabs>
          <w:tab w:val="clear" w:pos="5115"/>
        </w:tabs>
        <w:spacing w:before="100" w:beforeAutospacing="1" w:after="100" w:afterAutospacing="1"/>
        <w:ind w:left="709"/>
        <w:rPr>
          <w:rFonts w:ascii="Arial" w:hAnsi="Arial" w:cs="Arial"/>
        </w:rPr>
      </w:pPr>
      <w:bookmarkStart w:id="36" w:name="_Ref34831823"/>
      <w:r>
        <w:rPr>
          <w:rFonts w:ascii="Arial" w:hAnsi="Arial" w:cs="Arial"/>
        </w:rPr>
        <w:t>The 2019 Regulatory Impact Statement</w:t>
      </w:r>
      <w:bookmarkEnd w:id="36"/>
    </w:p>
    <w:p w14:paraId="05E36D00" w14:textId="5B9F9CF2" w:rsidR="002A5AEC" w:rsidRDefault="002A5AEC" w:rsidP="002A5AEC">
      <w:pPr>
        <w:rPr>
          <w:rFonts w:ascii="Arial" w:hAnsi="Arial" w:cs="Arial"/>
          <w:color w:val="auto"/>
        </w:rPr>
      </w:pPr>
      <w:r>
        <w:rPr>
          <w:rFonts w:ascii="Arial" w:hAnsi="Arial" w:cs="Arial"/>
          <w:color w:val="auto"/>
        </w:rPr>
        <w:t xml:space="preserve">The </w:t>
      </w:r>
      <w:r w:rsidR="0060532D" w:rsidRPr="00AD518C">
        <w:rPr>
          <w:rFonts w:ascii="Arial" w:hAnsi="Arial" w:cs="Arial"/>
          <w:i/>
          <w:color w:val="auto"/>
        </w:rPr>
        <w:t>Long Service Benefits Portability Benefits Regulations 2019</w:t>
      </w:r>
      <w:r w:rsidR="0060532D">
        <w:rPr>
          <w:rFonts w:ascii="Arial" w:hAnsi="Arial" w:cs="Arial"/>
          <w:color w:val="auto"/>
        </w:rPr>
        <w:t>, and the subsequent Interim Regulations,</w:t>
      </w:r>
      <w:r>
        <w:rPr>
          <w:rFonts w:ascii="Arial" w:hAnsi="Arial" w:cs="Arial"/>
          <w:color w:val="auto"/>
        </w:rPr>
        <w:t xml:space="preserve"> were informed by the </w:t>
      </w:r>
      <w:r w:rsidR="0072722B">
        <w:rPr>
          <w:rFonts w:ascii="Arial" w:hAnsi="Arial" w:cs="Arial"/>
          <w:color w:val="auto"/>
        </w:rPr>
        <w:t xml:space="preserve">content </w:t>
      </w:r>
      <w:r>
        <w:rPr>
          <w:rFonts w:ascii="Arial" w:hAnsi="Arial" w:cs="Arial"/>
          <w:color w:val="auto"/>
        </w:rPr>
        <w:t xml:space="preserve">of the </w:t>
      </w:r>
      <w:r w:rsidR="0072722B">
        <w:rPr>
          <w:rFonts w:ascii="Arial" w:hAnsi="Arial" w:cs="Arial"/>
          <w:color w:val="auto"/>
        </w:rPr>
        <w:t xml:space="preserve">previous </w:t>
      </w:r>
      <w:r>
        <w:rPr>
          <w:rFonts w:ascii="Arial" w:hAnsi="Arial" w:cs="Arial"/>
          <w:color w:val="auto"/>
        </w:rPr>
        <w:t>2019 RIS.</w:t>
      </w:r>
      <w:r w:rsidR="00CF1548">
        <w:rPr>
          <w:rFonts w:ascii="Arial" w:hAnsi="Arial" w:cs="Arial"/>
          <w:color w:val="auto"/>
        </w:rPr>
        <w:t xml:space="preserve"> The RIS outlined </w:t>
      </w:r>
      <w:r w:rsidR="00840793">
        <w:rPr>
          <w:rFonts w:ascii="Arial" w:hAnsi="Arial" w:cs="Arial"/>
          <w:color w:val="auto"/>
        </w:rPr>
        <w:t xml:space="preserve">the </w:t>
      </w:r>
      <w:r w:rsidR="00CF1548">
        <w:rPr>
          <w:rFonts w:ascii="Arial" w:hAnsi="Arial" w:cs="Arial"/>
          <w:color w:val="auto"/>
        </w:rPr>
        <w:t>five residual</w:t>
      </w:r>
      <w:r w:rsidR="00840793">
        <w:rPr>
          <w:rFonts w:ascii="Arial" w:hAnsi="Arial" w:cs="Arial"/>
          <w:color w:val="auto"/>
        </w:rPr>
        <w:t xml:space="preserve"> problems detailed above</w:t>
      </w:r>
      <w:r w:rsidR="00CF1548">
        <w:rPr>
          <w:rFonts w:ascii="Arial" w:hAnsi="Arial" w:cs="Arial"/>
          <w:color w:val="auto"/>
        </w:rPr>
        <w:t xml:space="preserve">, a set of viable options to address each problem, the </w:t>
      </w:r>
      <w:r w:rsidR="00C33E5A">
        <w:rPr>
          <w:rFonts w:ascii="Arial" w:hAnsi="Arial" w:cs="Arial"/>
          <w:color w:val="auto"/>
        </w:rPr>
        <w:t>costs and benefits</w:t>
      </w:r>
      <w:r w:rsidR="00CF1548">
        <w:rPr>
          <w:rFonts w:ascii="Arial" w:hAnsi="Arial" w:cs="Arial"/>
          <w:color w:val="auto"/>
        </w:rPr>
        <w:t xml:space="preserve"> of each option, and a preferred option to address each problem and achieve the desired objectives.</w:t>
      </w:r>
    </w:p>
    <w:p w14:paraId="2DE46ADF" w14:textId="54F47E51" w:rsidR="00FC0416" w:rsidRDefault="00C33E5A" w:rsidP="002A5AEC">
      <w:pPr>
        <w:rPr>
          <w:rFonts w:ascii="Arial" w:hAnsi="Arial" w:cs="Arial"/>
          <w:color w:val="auto"/>
        </w:rPr>
      </w:pPr>
      <w:r>
        <w:rPr>
          <w:rFonts w:ascii="Arial" w:hAnsi="Arial" w:cs="Arial"/>
          <w:color w:val="auto"/>
        </w:rPr>
        <w:t xml:space="preserve">The following sub-sections provide a summary of the 2019 RIS. </w:t>
      </w:r>
      <w:r w:rsidR="00FC0416">
        <w:rPr>
          <w:rFonts w:ascii="Arial" w:hAnsi="Arial" w:cs="Arial"/>
        </w:rPr>
        <w:t xml:space="preserve">For further information on the operation of the Regulations as a whole, this RIS can be found at </w:t>
      </w:r>
      <w:r w:rsidR="00D41B29" w:rsidRPr="00D41B29">
        <w:rPr>
          <w:rFonts w:ascii="Arial" w:hAnsi="Arial" w:cs="Arial"/>
        </w:rPr>
        <w:t>https://www.vic.gov.au/regulatory-impact-statements-2019#long-service-benefits-portability-regulations-2019</w:t>
      </w:r>
      <w:r w:rsidR="00D41B29">
        <w:rPr>
          <w:rFonts w:ascii="Arial" w:hAnsi="Arial" w:cs="Arial"/>
        </w:rPr>
        <w:t>.</w:t>
      </w:r>
    </w:p>
    <w:p w14:paraId="62E2ED36" w14:textId="31E35BFF" w:rsidR="00FC0416" w:rsidRPr="008D7140" w:rsidRDefault="00FC0416" w:rsidP="00FC0416">
      <w:pPr>
        <w:pStyle w:val="Heading4"/>
        <w:ind w:left="709"/>
        <w:rPr>
          <w:rFonts w:ascii="Arial" w:hAnsi="Arial" w:cs="Arial"/>
          <w:sz w:val="20"/>
          <w:szCs w:val="20"/>
        </w:rPr>
      </w:pPr>
      <w:r>
        <w:rPr>
          <w:rFonts w:ascii="Arial" w:hAnsi="Arial" w:cs="Arial"/>
          <w:sz w:val="20"/>
          <w:szCs w:val="20"/>
        </w:rPr>
        <w:t>Definition of employee and employer</w:t>
      </w:r>
    </w:p>
    <w:p w14:paraId="647852C8" w14:textId="186DD5CF" w:rsidR="00FC0416" w:rsidRPr="00FC0416" w:rsidRDefault="00FC0416" w:rsidP="00FC0416">
      <w:pPr>
        <w:spacing w:before="240"/>
        <w:rPr>
          <w:rFonts w:ascii="Arial" w:hAnsi="Arial" w:cs="Arial"/>
          <w:color w:val="auto"/>
        </w:rPr>
      </w:pPr>
      <w:r>
        <w:rPr>
          <w:rFonts w:ascii="Arial" w:hAnsi="Arial" w:cs="Arial"/>
          <w:color w:val="auto"/>
        </w:rPr>
        <w:t>Two options were analysed</w:t>
      </w:r>
      <w:r w:rsidRPr="00FC0416">
        <w:rPr>
          <w:rFonts w:ascii="Arial" w:hAnsi="Arial" w:cs="Arial"/>
          <w:color w:val="auto"/>
        </w:rPr>
        <w:t xml:space="preserve"> </w:t>
      </w:r>
      <w:r>
        <w:rPr>
          <w:rFonts w:ascii="Arial" w:hAnsi="Arial" w:cs="Arial"/>
          <w:color w:val="auto"/>
        </w:rPr>
        <w:t>to</w:t>
      </w:r>
      <w:r w:rsidRPr="00FC0416">
        <w:rPr>
          <w:rFonts w:ascii="Arial" w:hAnsi="Arial" w:cs="Arial"/>
          <w:color w:val="auto"/>
        </w:rPr>
        <w:t xml:space="preserve"> </w:t>
      </w:r>
      <w:r w:rsidR="00CE3B6A">
        <w:rPr>
          <w:rFonts w:ascii="Arial" w:hAnsi="Arial" w:cs="Arial"/>
          <w:color w:val="auto"/>
        </w:rPr>
        <w:t xml:space="preserve">address </w:t>
      </w:r>
      <w:r w:rsidRPr="00FC0416">
        <w:rPr>
          <w:rFonts w:ascii="Arial" w:hAnsi="Arial" w:cs="Arial"/>
          <w:color w:val="auto"/>
        </w:rPr>
        <w:t>the lack of clarity in the definition of employer and employee</w:t>
      </w:r>
      <w:r>
        <w:rPr>
          <w:rFonts w:ascii="Arial" w:hAnsi="Arial" w:cs="Arial"/>
          <w:color w:val="auto"/>
        </w:rPr>
        <w:t>, including</w:t>
      </w:r>
      <w:r w:rsidRPr="00FC0416">
        <w:rPr>
          <w:rFonts w:ascii="Arial" w:hAnsi="Arial" w:cs="Arial"/>
          <w:color w:val="auto"/>
        </w:rPr>
        <w:t xml:space="preserve">: </w:t>
      </w:r>
    </w:p>
    <w:p w14:paraId="770CA542" w14:textId="72A6B419" w:rsidR="00FC0416" w:rsidRPr="00FC0416" w:rsidRDefault="00FC0416" w:rsidP="00CE3B6A">
      <w:pPr>
        <w:pStyle w:val="ListBullet"/>
        <w:contextualSpacing w:val="0"/>
        <w:rPr>
          <w:rFonts w:cs="Arial"/>
          <w:color w:val="auto"/>
        </w:rPr>
      </w:pPr>
      <w:r w:rsidRPr="00FC0416">
        <w:rPr>
          <w:rFonts w:cs="Arial"/>
          <w:color w:val="auto"/>
        </w:rPr>
        <w:t>Relying on a definition from a comparable scheme; and</w:t>
      </w:r>
    </w:p>
    <w:p w14:paraId="3B2CD6AE" w14:textId="00581C8C" w:rsidR="00FC0416" w:rsidRPr="00FC0416" w:rsidRDefault="00FC0416" w:rsidP="00CE3B6A">
      <w:pPr>
        <w:pStyle w:val="ListBullet"/>
        <w:contextualSpacing w:val="0"/>
        <w:rPr>
          <w:rFonts w:cs="Arial"/>
          <w:color w:val="auto"/>
        </w:rPr>
      </w:pPr>
      <w:r w:rsidRPr="00FC0416">
        <w:rPr>
          <w:rFonts w:cs="Arial"/>
          <w:color w:val="auto"/>
        </w:rPr>
        <w:lastRenderedPageBreak/>
        <w:t>Developing a definition tailored to the Victorian scheme.</w:t>
      </w:r>
    </w:p>
    <w:p w14:paraId="423494DF" w14:textId="1554D90B" w:rsidR="00FC0416" w:rsidRPr="00FC0416" w:rsidRDefault="00FC0416" w:rsidP="00FC0416">
      <w:pPr>
        <w:spacing w:before="240"/>
        <w:rPr>
          <w:rFonts w:ascii="Arial" w:hAnsi="Arial" w:cs="Arial"/>
          <w:color w:val="auto"/>
        </w:rPr>
      </w:pPr>
      <w:r w:rsidRPr="00FC0416">
        <w:rPr>
          <w:rFonts w:ascii="Arial" w:hAnsi="Arial" w:cs="Arial"/>
          <w:color w:val="auto"/>
        </w:rPr>
        <w:t xml:space="preserve">Analysis of the definitions found in the </w:t>
      </w:r>
      <w:r w:rsidRPr="00FC0416">
        <w:rPr>
          <w:rFonts w:ascii="Arial" w:hAnsi="Arial" w:cs="Arial"/>
          <w:i/>
          <w:color w:val="auto"/>
        </w:rPr>
        <w:t>Long Service Leave (Portable Schemes) Act 2009</w:t>
      </w:r>
      <w:r w:rsidR="00EB4719">
        <w:rPr>
          <w:rFonts w:ascii="Arial" w:hAnsi="Arial" w:cs="Arial"/>
          <w:color w:val="auto"/>
        </w:rPr>
        <w:t xml:space="preserve"> showed</w:t>
      </w:r>
      <w:r w:rsidRPr="00FC0416">
        <w:rPr>
          <w:rFonts w:ascii="Arial" w:hAnsi="Arial" w:cs="Arial"/>
          <w:color w:val="auto"/>
        </w:rPr>
        <w:t xml:space="preserve"> that these definitions are inappropriate for the LSBP Act. Adopting the A</w:t>
      </w:r>
      <w:r>
        <w:rPr>
          <w:rFonts w:ascii="Arial" w:hAnsi="Arial" w:cs="Arial"/>
          <w:color w:val="auto"/>
        </w:rPr>
        <w:t>ustralian Capital Territory</w:t>
      </w:r>
      <w:r w:rsidRPr="00FC0416">
        <w:rPr>
          <w:rFonts w:ascii="Arial" w:hAnsi="Arial" w:cs="Arial"/>
          <w:color w:val="auto"/>
        </w:rPr>
        <w:t xml:space="preserve"> Act’s </w:t>
      </w:r>
      <w:r w:rsidR="0041185A">
        <w:rPr>
          <w:rFonts w:ascii="Arial" w:hAnsi="Arial" w:cs="Arial"/>
          <w:color w:val="auto"/>
        </w:rPr>
        <w:t xml:space="preserve">(ACT) </w:t>
      </w:r>
      <w:r w:rsidRPr="00FC0416">
        <w:rPr>
          <w:rFonts w:ascii="Arial" w:hAnsi="Arial" w:cs="Arial"/>
          <w:color w:val="auto"/>
        </w:rPr>
        <w:t>definitions would likely not have</w:t>
      </w:r>
      <w:r w:rsidR="00EB4719">
        <w:rPr>
          <w:rFonts w:ascii="Arial" w:hAnsi="Arial" w:cs="Arial"/>
          <w:color w:val="auto"/>
        </w:rPr>
        <w:t xml:space="preserve"> had</w:t>
      </w:r>
      <w:r w:rsidRPr="00FC0416">
        <w:rPr>
          <w:rFonts w:ascii="Arial" w:hAnsi="Arial" w:cs="Arial"/>
          <w:color w:val="auto"/>
        </w:rPr>
        <w:t xml:space="preserve"> any practical effect on the experience under the base case, as employees would still be defined by reference to the definition </w:t>
      </w:r>
      <w:r>
        <w:rPr>
          <w:rFonts w:ascii="Arial" w:hAnsi="Arial" w:cs="Arial"/>
          <w:color w:val="auto"/>
        </w:rPr>
        <w:t>of ‘community service work’ in S</w:t>
      </w:r>
      <w:r w:rsidRPr="00FC0416">
        <w:rPr>
          <w:rFonts w:ascii="Arial" w:hAnsi="Arial" w:cs="Arial"/>
          <w:color w:val="auto"/>
        </w:rPr>
        <w:t xml:space="preserve">chedule 1 of the LSBP Act. </w:t>
      </w:r>
    </w:p>
    <w:p w14:paraId="4C0A8EEB" w14:textId="0CC8F657" w:rsidR="00FC0416" w:rsidRPr="00FC0416" w:rsidRDefault="00FC0416" w:rsidP="00FC0416">
      <w:pPr>
        <w:spacing w:before="240"/>
        <w:rPr>
          <w:rFonts w:ascii="Arial" w:hAnsi="Arial" w:cs="Arial"/>
          <w:color w:val="auto"/>
        </w:rPr>
      </w:pPr>
      <w:r w:rsidRPr="00FC0416">
        <w:rPr>
          <w:rFonts w:ascii="Arial" w:hAnsi="Arial" w:cs="Arial"/>
          <w:color w:val="auto"/>
        </w:rPr>
        <w:t>Without the definition of community serv</w:t>
      </w:r>
      <w:r w:rsidR="00EB4719">
        <w:rPr>
          <w:rFonts w:ascii="Arial" w:hAnsi="Arial" w:cs="Arial"/>
          <w:color w:val="auto"/>
        </w:rPr>
        <w:t>ice work changing, there remained</w:t>
      </w:r>
      <w:r w:rsidRPr="00FC0416">
        <w:rPr>
          <w:rFonts w:ascii="Arial" w:hAnsi="Arial" w:cs="Arial"/>
          <w:color w:val="auto"/>
        </w:rPr>
        <w:t xml:space="preserve"> the risks that are </w:t>
      </w:r>
      <w:r>
        <w:rPr>
          <w:rFonts w:ascii="Arial" w:hAnsi="Arial" w:cs="Arial"/>
          <w:color w:val="auto"/>
        </w:rPr>
        <w:t>identified under the base case</w:t>
      </w:r>
      <w:r w:rsidR="0041185A">
        <w:rPr>
          <w:rFonts w:ascii="Arial" w:hAnsi="Arial" w:cs="Arial"/>
          <w:color w:val="auto"/>
        </w:rPr>
        <w:t>,</w:t>
      </w:r>
      <w:r>
        <w:rPr>
          <w:rFonts w:ascii="Arial" w:hAnsi="Arial" w:cs="Arial"/>
          <w:color w:val="auto"/>
        </w:rPr>
        <w:t xml:space="preserve"> including the </w:t>
      </w:r>
      <w:r w:rsidRPr="00FC0416">
        <w:rPr>
          <w:rFonts w:ascii="Arial" w:hAnsi="Arial" w:cs="Arial"/>
          <w:color w:val="auto"/>
        </w:rPr>
        <w:t xml:space="preserve">possibility that the LSBP Act may provide portable </w:t>
      </w:r>
      <w:r>
        <w:rPr>
          <w:rFonts w:ascii="Arial" w:hAnsi="Arial" w:cs="Arial"/>
          <w:color w:val="auto"/>
        </w:rPr>
        <w:t>long service</w:t>
      </w:r>
      <w:r w:rsidRPr="00FC0416">
        <w:rPr>
          <w:rFonts w:ascii="Arial" w:hAnsi="Arial" w:cs="Arial"/>
          <w:color w:val="auto"/>
        </w:rPr>
        <w:t xml:space="preserve"> benefits to </w:t>
      </w:r>
      <w:r w:rsidR="00BA4E89">
        <w:rPr>
          <w:rFonts w:ascii="Arial" w:hAnsi="Arial" w:cs="Arial"/>
          <w:color w:val="auto"/>
        </w:rPr>
        <w:t>employee</w:t>
      </w:r>
      <w:r w:rsidRPr="00FC0416">
        <w:rPr>
          <w:rFonts w:ascii="Arial" w:hAnsi="Arial" w:cs="Arial"/>
          <w:color w:val="auto"/>
        </w:rPr>
        <w:t xml:space="preserve">s who do not fit within the intended definition of the </w:t>
      </w:r>
      <w:r>
        <w:rPr>
          <w:rFonts w:ascii="Arial" w:hAnsi="Arial" w:cs="Arial"/>
          <w:color w:val="auto"/>
        </w:rPr>
        <w:t xml:space="preserve">LSBP </w:t>
      </w:r>
      <w:r w:rsidRPr="00FC0416">
        <w:rPr>
          <w:rFonts w:ascii="Arial" w:hAnsi="Arial" w:cs="Arial"/>
          <w:color w:val="auto"/>
        </w:rPr>
        <w:t>Act</w:t>
      </w:r>
      <w:r>
        <w:rPr>
          <w:rFonts w:ascii="Arial" w:hAnsi="Arial" w:cs="Arial"/>
          <w:color w:val="auto"/>
        </w:rPr>
        <w:t>.</w:t>
      </w:r>
    </w:p>
    <w:p w14:paraId="11C00373" w14:textId="5A75D41A" w:rsidR="00FC0416" w:rsidRPr="00FC0416" w:rsidRDefault="00EB4719" w:rsidP="00FC0416">
      <w:pPr>
        <w:spacing w:before="240"/>
        <w:rPr>
          <w:rFonts w:ascii="Arial" w:hAnsi="Arial" w:cs="Arial"/>
          <w:color w:val="auto"/>
        </w:rPr>
      </w:pPr>
      <w:r>
        <w:rPr>
          <w:rFonts w:ascii="Arial" w:hAnsi="Arial" w:cs="Arial"/>
          <w:color w:val="auto"/>
        </w:rPr>
        <w:t>A</w:t>
      </w:r>
      <w:r w:rsidR="00FC0416" w:rsidRPr="00FC0416">
        <w:rPr>
          <w:rFonts w:ascii="Arial" w:hAnsi="Arial" w:cs="Arial"/>
          <w:color w:val="auto"/>
        </w:rPr>
        <w:t xml:space="preserve"> definition that is tailored to the Victorian</w:t>
      </w:r>
      <w:r>
        <w:rPr>
          <w:rFonts w:ascii="Arial" w:hAnsi="Arial" w:cs="Arial"/>
          <w:color w:val="auto"/>
        </w:rPr>
        <w:t xml:space="preserve"> </w:t>
      </w:r>
      <w:r w:rsidR="0041185A">
        <w:rPr>
          <w:rFonts w:ascii="Arial" w:hAnsi="Arial" w:cs="Arial"/>
          <w:color w:val="auto"/>
        </w:rPr>
        <w:t>S</w:t>
      </w:r>
      <w:r>
        <w:rPr>
          <w:rFonts w:ascii="Arial" w:hAnsi="Arial" w:cs="Arial"/>
          <w:color w:val="auto"/>
        </w:rPr>
        <w:t xml:space="preserve">cheme, on the other hand, would more </w:t>
      </w:r>
      <w:r w:rsidR="00FC0416" w:rsidRPr="00FC0416">
        <w:rPr>
          <w:rFonts w:ascii="Arial" w:hAnsi="Arial" w:cs="Arial"/>
          <w:color w:val="auto"/>
        </w:rPr>
        <w:t xml:space="preserve">comprehensively address the residual problems of potential coverage of unintended </w:t>
      </w:r>
      <w:r w:rsidR="00BA4E89">
        <w:rPr>
          <w:rFonts w:ascii="Arial" w:hAnsi="Arial" w:cs="Arial"/>
          <w:color w:val="auto"/>
        </w:rPr>
        <w:t>employee</w:t>
      </w:r>
      <w:r w:rsidR="00FC0416" w:rsidRPr="00FC0416">
        <w:rPr>
          <w:rFonts w:ascii="Arial" w:hAnsi="Arial" w:cs="Arial"/>
          <w:color w:val="auto"/>
        </w:rPr>
        <w:t>s as well as the identified need to avoid constitutional invalidity. The exclusions it adds to the existing definitions gives them a greater likelihood of increasing equity in the</w:t>
      </w:r>
      <w:r w:rsidR="00FC0416">
        <w:rPr>
          <w:rFonts w:ascii="Arial" w:hAnsi="Arial" w:cs="Arial"/>
          <w:color w:val="auto"/>
        </w:rPr>
        <w:t xml:space="preserve"> community services sector</w:t>
      </w:r>
      <w:r w:rsidR="00FC0416" w:rsidRPr="00FC0416">
        <w:rPr>
          <w:rFonts w:ascii="Arial" w:hAnsi="Arial" w:cs="Arial"/>
          <w:color w:val="auto"/>
        </w:rPr>
        <w:t xml:space="preserve">, reducing administrative and financial impact on </w:t>
      </w:r>
      <w:r w:rsidR="00DB01D9">
        <w:rPr>
          <w:rFonts w:ascii="Arial" w:hAnsi="Arial" w:cs="Arial"/>
          <w:color w:val="auto"/>
        </w:rPr>
        <w:t>employers</w:t>
      </w:r>
      <w:r w:rsidR="00FC0416" w:rsidRPr="00FC0416">
        <w:rPr>
          <w:rFonts w:ascii="Arial" w:hAnsi="Arial" w:cs="Arial"/>
          <w:color w:val="auto"/>
        </w:rPr>
        <w:t xml:space="preserve">, </w:t>
      </w:r>
      <w:r w:rsidR="0041185A">
        <w:rPr>
          <w:rFonts w:ascii="Arial" w:hAnsi="Arial" w:cs="Arial"/>
          <w:color w:val="auto"/>
        </w:rPr>
        <w:t>G</w:t>
      </w:r>
      <w:r w:rsidR="00FC0416" w:rsidRPr="00FC0416">
        <w:rPr>
          <w:rFonts w:ascii="Arial" w:hAnsi="Arial" w:cs="Arial"/>
          <w:color w:val="auto"/>
        </w:rPr>
        <w:t>overnment and the Authority.</w:t>
      </w:r>
    </w:p>
    <w:p w14:paraId="4B8398A6" w14:textId="6982A6A2" w:rsidR="002A5AEC" w:rsidRDefault="00FC0416" w:rsidP="00FC0416">
      <w:pPr>
        <w:spacing w:before="240"/>
        <w:rPr>
          <w:rFonts w:ascii="Arial" w:hAnsi="Arial" w:cs="Arial"/>
          <w:color w:val="auto"/>
        </w:rPr>
      </w:pPr>
      <w:r w:rsidRPr="00FC0416">
        <w:rPr>
          <w:rFonts w:ascii="Arial" w:hAnsi="Arial" w:cs="Arial"/>
          <w:color w:val="auto"/>
        </w:rPr>
        <w:t xml:space="preserve">The preferred option </w:t>
      </w:r>
      <w:r>
        <w:rPr>
          <w:rFonts w:ascii="Arial" w:hAnsi="Arial" w:cs="Arial"/>
          <w:color w:val="auto"/>
        </w:rPr>
        <w:t>was to develop</w:t>
      </w:r>
      <w:r w:rsidRPr="00FC0416">
        <w:rPr>
          <w:rFonts w:ascii="Arial" w:hAnsi="Arial" w:cs="Arial"/>
          <w:color w:val="auto"/>
        </w:rPr>
        <w:t xml:space="preserve"> a definition of </w:t>
      </w:r>
      <w:r w:rsidR="0041185A">
        <w:rPr>
          <w:rFonts w:ascii="Arial" w:hAnsi="Arial" w:cs="Arial"/>
          <w:color w:val="auto"/>
        </w:rPr>
        <w:t>“</w:t>
      </w:r>
      <w:r w:rsidRPr="00FC0416">
        <w:rPr>
          <w:rFonts w:ascii="Arial" w:hAnsi="Arial" w:cs="Arial"/>
          <w:color w:val="auto"/>
        </w:rPr>
        <w:t>employee</w:t>
      </w:r>
      <w:r w:rsidR="0041185A">
        <w:rPr>
          <w:rFonts w:ascii="Arial" w:hAnsi="Arial" w:cs="Arial"/>
          <w:color w:val="auto"/>
        </w:rPr>
        <w:t>”</w:t>
      </w:r>
      <w:r w:rsidRPr="00FC0416">
        <w:rPr>
          <w:rFonts w:ascii="Arial" w:hAnsi="Arial" w:cs="Arial"/>
          <w:color w:val="auto"/>
        </w:rPr>
        <w:t xml:space="preserve"> and </w:t>
      </w:r>
      <w:r w:rsidR="0041185A">
        <w:rPr>
          <w:rFonts w:ascii="Arial" w:hAnsi="Arial" w:cs="Arial"/>
          <w:color w:val="auto"/>
        </w:rPr>
        <w:t>“</w:t>
      </w:r>
      <w:r w:rsidRPr="00FC0416">
        <w:rPr>
          <w:rFonts w:ascii="Arial" w:hAnsi="Arial" w:cs="Arial"/>
          <w:color w:val="auto"/>
        </w:rPr>
        <w:t>employer</w:t>
      </w:r>
      <w:r w:rsidR="0041185A">
        <w:rPr>
          <w:rFonts w:ascii="Arial" w:hAnsi="Arial" w:cs="Arial"/>
          <w:color w:val="auto"/>
        </w:rPr>
        <w:t>”</w:t>
      </w:r>
      <w:r w:rsidRPr="00FC0416">
        <w:rPr>
          <w:rFonts w:ascii="Arial" w:hAnsi="Arial" w:cs="Arial"/>
          <w:color w:val="auto"/>
        </w:rPr>
        <w:t xml:space="preserve"> that is</w:t>
      </w:r>
      <w:r>
        <w:rPr>
          <w:rFonts w:ascii="Arial" w:hAnsi="Arial" w:cs="Arial"/>
          <w:color w:val="auto"/>
        </w:rPr>
        <w:t xml:space="preserve"> tailored to the Victorian S</w:t>
      </w:r>
      <w:r w:rsidRPr="00FC0416">
        <w:rPr>
          <w:rFonts w:ascii="Arial" w:hAnsi="Arial" w:cs="Arial"/>
          <w:color w:val="auto"/>
        </w:rPr>
        <w:t>cheme.</w:t>
      </w:r>
    </w:p>
    <w:p w14:paraId="7BF9BA46" w14:textId="4E7881A7" w:rsidR="00FC0416" w:rsidRPr="008D7140" w:rsidRDefault="00FC0416" w:rsidP="00FC0416">
      <w:pPr>
        <w:pStyle w:val="Heading4"/>
        <w:ind w:left="709"/>
        <w:rPr>
          <w:rFonts w:ascii="Arial" w:hAnsi="Arial" w:cs="Arial"/>
          <w:sz w:val="20"/>
          <w:szCs w:val="20"/>
        </w:rPr>
      </w:pPr>
      <w:r>
        <w:rPr>
          <w:rFonts w:ascii="Arial" w:hAnsi="Arial" w:cs="Arial"/>
          <w:sz w:val="20"/>
          <w:szCs w:val="20"/>
        </w:rPr>
        <w:t>Scope of the community services sector</w:t>
      </w:r>
      <w:r w:rsidR="00757EA2">
        <w:rPr>
          <w:rFonts w:ascii="Arial" w:hAnsi="Arial" w:cs="Arial"/>
          <w:sz w:val="20"/>
          <w:szCs w:val="20"/>
        </w:rPr>
        <w:t xml:space="preserve"> – NDIS and early childhood education</w:t>
      </w:r>
    </w:p>
    <w:p w14:paraId="35736AE9" w14:textId="7556DDCE" w:rsidR="00D04EE4" w:rsidRDefault="00D04EE4" w:rsidP="00EB4719">
      <w:pPr>
        <w:rPr>
          <w:rFonts w:ascii="Arial" w:hAnsi="Arial" w:cs="Arial"/>
        </w:rPr>
      </w:pPr>
      <w:r>
        <w:rPr>
          <w:rFonts w:ascii="Arial" w:hAnsi="Arial" w:cs="Arial"/>
        </w:rPr>
        <w:t>The RIS analysed options of including NDIS entities and the early childhood sector in the Scheme.</w:t>
      </w:r>
      <w:r w:rsidR="00CE3B6A">
        <w:rPr>
          <w:rFonts w:ascii="Arial" w:hAnsi="Arial" w:cs="Arial"/>
        </w:rPr>
        <w:t xml:space="preserve"> The Parliament intended that these two </w:t>
      </w:r>
      <w:r w:rsidR="002106A3">
        <w:rPr>
          <w:rFonts w:ascii="Arial" w:hAnsi="Arial" w:cs="Arial"/>
        </w:rPr>
        <w:t>sub</w:t>
      </w:r>
      <w:r w:rsidR="002106A3">
        <w:rPr>
          <w:rFonts w:ascii="Arial" w:hAnsi="Arial" w:cs="Arial"/>
        </w:rPr>
        <w:noBreakHyphen/>
        <w:t>sector</w:t>
      </w:r>
      <w:r w:rsidR="00CE3B6A">
        <w:rPr>
          <w:rFonts w:ascii="Arial" w:hAnsi="Arial" w:cs="Arial"/>
        </w:rPr>
        <w:t>s</w:t>
      </w:r>
      <w:r w:rsidR="00CE3B6A" w:rsidRPr="00CE3B6A">
        <w:rPr>
          <w:rFonts w:ascii="Arial" w:hAnsi="Arial" w:cs="Arial"/>
        </w:rPr>
        <w:t xml:space="preserve"> would be </w:t>
      </w:r>
      <w:r w:rsidR="00CE3B6A">
        <w:rPr>
          <w:rFonts w:ascii="Arial" w:hAnsi="Arial" w:cs="Arial"/>
        </w:rPr>
        <w:t xml:space="preserve">incorporated into </w:t>
      </w:r>
      <w:r w:rsidR="0041185A">
        <w:rPr>
          <w:rFonts w:ascii="Arial" w:hAnsi="Arial" w:cs="Arial"/>
        </w:rPr>
        <w:t xml:space="preserve">the </w:t>
      </w:r>
      <w:r w:rsidR="00CE3B6A">
        <w:rPr>
          <w:rFonts w:ascii="Arial" w:hAnsi="Arial" w:cs="Arial"/>
        </w:rPr>
        <w:t>scope of the S</w:t>
      </w:r>
      <w:r w:rsidR="00CE3B6A" w:rsidRPr="00CE3B6A">
        <w:rPr>
          <w:rFonts w:ascii="Arial" w:hAnsi="Arial" w:cs="Arial"/>
        </w:rPr>
        <w:t xml:space="preserve">cheme </w:t>
      </w:r>
      <w:r w:rsidR="00CE3B6A">
        <w:rPr>
          <w:rFonts w:ascii="Arial" w:hAnsi="Arial" w:cs="Arial"/>
        </w:rPr>
        <w:t xml:space="preserve">through Regulations </w:t>
      </w:r>
      <w:r w:rsidR="00CE3B6A" w:rsidRPr="00CE3B6A">
        <w:rPr>
          <w:rFonts w:ascii="Arial" w:hAnsi="Arial" w:cs="Arial"/>
        </w:rPr>
        <w:t>once they had an appropriate amount of time to adjust to federal reforms.</w:t>
      </w:r>
    </w:p>
    <w:p w14:paraId="12B516A8" w14:textId="16D6B20D" w:rsidR="00EB4719" w:rsidRPr="00D04EE4" w:rsidRDefault="00EB4719" w:rsidP="0041185A">
      <w:pPr>
        <w:pStyle w:val="Bodytextkeepwithnext"/>
      </w:pPr>
      <w:r w:rsidRPr="00D04EE4">
        <w:t xml:space="preserve">Options for including NDIS entities in the Scheme included: </w:t>
      </w:r>
    </w:p>
    <w:p w14:paraId="4832F104" w14:textId="4543EAE9" w:rsidR="00EB4719" w:rsidRPr="00CE3B6A" w:rsidRDefault="00EB4719" w:rsidP="00EB4719">
      <w:pPr>
        <w:pStyle w:val="ListBullet"/>
        <w:contextualSpacing w:val="0"/>
        <w:rPr>
          <w:rFonts w:cs="Arial"/>
          <w:color w:val="auto"/>
        </w:rPr>
      </w:pPr>
      <w:r w:rsidRPr="00CE3B6A">
        <w:rPr>
          <w:rFonts w:cs="Arial"/>
          <w:color w:val="auto"/>
        </w:rPr>
        <w:t>Intr</w:t>
      </w:r>
      <w:r w:rsidR="00840793">
        <w:rPr>
          <w:rFonts w:cs="Arial"/>
          <w:color w:val="auto"/>
        </w:rPr>
        <w:t>oducing NDIS entities when the S</w:t>
      </w:r>
      <w:r w:rsidRPr="00CE3B6A">
        <w:rPr>
          <w:rFonts w:cs="Arial"/>
          <w:color w:val="auto"/>
        </w:rPr>
        <w:t>cheme commence</w:t>
      </w:r>
      <w:r w:rsidR="009F48BA">
        <w:rPr>
          <w:rFonts w:cs="Arial"/>
          <w:color w:val="auto"/>
        </w:rPr>
        <w:t>d</w:t>
      </w:r>
      <w:r w:rsidRPr="00CE3B6A">
        <w:rPr>
          <w:rFonts w:cs="Arial"/>
          <w:color w:val="auto"/>
        </w:rPr>
        <w:t xml:space="preserve"> operation on 1 July 2019; </w:t>
      </w:r>
    </w:p>
    <w:p w14:paraId="6554F2F4" w14:textId="67C0A9BD" w:rsidR="00EB4719" w:rsidRPr="00CE3B6A" w:rsidRDefault="00EB4719" w:rsidP="00EB4719">
      <w:pPr>
        <w:pStyle w:val="ListBullet"/>
        <w:contextualSpacing w:val="0"/>
        <w:rPr>
          <w:rFonts w:cs="Arial"/>
          <w:color w:val="auto"/>
        </w:rPr>
      </w:pPr>
      <w:r w:rsidRPr="00CE3B6A">
        <w:rPr>
          <w:rFonts w:cs="Arial"/>
          <w:color w:val="auto"/>
        </w:rPr>
        <w:t>Introducing NDIS</w:t>
      </w:r>
      <w:r w:rsidR="00840793">
        <w:rPr>
          <w:rFonts w:cs="Arial"/>
          <w:color w:val="auto"/>
        </w:rPr>
        <w:t xml:space="preserve"> entities six months after the S</w:t>
      </w:r>
      <w:r w:rsidRPr="00CE3B6A">
        <w:rPr>
          <w:rFonts w:cs="Arial"/>
          <w:color w:val="auto"/>
        </w:rPr>
        <w:t>cheme commences operat</w:t>
      </w:r>
      <w:r w:rsidR="00D04EE4" w:rsidRPr="00CE3B6A">
        <w:rPr>
          <w:rFonts w:cs="Arial"/>
          <w:color w:val="auto"/>
        </w:rPr>
        <w:t>ion on 1 </w:t>
      </w:r>
      <w:r w:rsidRPr="00CE3B6A">
        <w:rPr>
          <w:rFonts w:cs="Arial"/>
          <w:color w:val="auto"/>
        </w:rPr>
        <w:t>January 2020; and</w:t>
      </w:r>
    </w:p>
    <w:p w14:paraId="06F965F1" w14:textId="08B801B6" w:rsidR="00EB4719" w:rsidRPr="00CE3B6A" w:rsidRDefault="00EB4719" w:rsidP="00EB4719">
      <w:pPr>
        <w:pStyle w:val="ListBullet"/>
        <w:contextualSpacing w:val="0"/>
        <w:rPr>
          <w:rFonts w:cs="Arial"/>
          <w:color w:val="auto"/>
        </w:rPr>
      </w:pPr>
      <w:r w:rsidRPr="00CE3B6A">
        <w:rPr>
          <w:rFonts w:cs="Arial"/>
          <w:color w:val="auto"/>
        </w:rPr>
        <w:t>Introducing NDI</w:t>
      </w:r>
      <w:r w:rsidR="00840793">
        <w:rPr>
          <w:rFonts w:cs="Arial"/>
          <w:color w:val="auto"/>
        </w:rPr>
        <w:t>S entities 12 months after the S</w:t>
      </w:r>
      <w:r w:rsidRPr="00CE3B6A">
        <w:rPr>
          <w:rFonts w:cs="Arial"/>
          <w:color w:val="auto"/>
        </w:rPr>
        <w:t>cheme commences ope</w:t>
      </w:r>
      <w:r w:rsidR="00D04EE4" w:rsidRPr="00CE3B6A">
        <w:rPr>
          <w:rFonts w:cs="Arial"/>
          <w:color w:val="auto"/>
        </w:rPr>
        <w:t>ration on 1 July </w:t>
      </w:r>
      <w:r w:rsidRPr="00CE3B6A">
        <w:rPr>
          <w:rFonts w:cs="Arial"/>
          <w:color w:val="auto"/>
        </w:rPr>
        <w:t>2020.</w:t>
      </w:r>
    </w:p>
    <w:p w14:paraId="7A4D210C" w14:textId="20882B6A" w:rsidR="00FC0416" w:rsidRPr="00D04EE4" w:rsidRDefault="00D04EE4" w:rsidP="002A5AEC">
      <w:pPr>
        <w:rPr>
          <w:rFonts w:ascii="Arial" w:hAnsi="Arial" w:cs="Arial"/>
        </w:rPr>
      </w:pPr>
      <w:r w:rsidRPr="00D04EE4">
        <w:rPr>
          <w:rFonts w:ascii="Arial" w:hAnsi="Arial" w:cs="Arial"/>
        </w:rPr>
        <w:t>The second option was</w:t>
      </w:r>
      <w:r w:rsidR="00EB4719" w:rsidRPr="00D04EE4">
        <w:rPr>
          <w:rFonts w:ascii="Arial" w:hAnsi="Arial" w:cs="Arial"/>
        </w:rPr>
        <w:t xml:space="preserve"> the preferred option, </w:t>
      </w:r>
      <w:r w:rsidRPr="00D04EE4">
        <w:rPr>
          <w:rFonts w:ascii="Arial" w:hAnsi="Arial" w:cs="Arial"/>
        </w:rPr>
        <w:t>due to the way it balanced</w:t>
      </w:r>
      <w:r w:rsidR="00EB4719" w:rsidRPr="00D04EE4">
        <w:rPr>
          <w:rFonts w:ascii="Arial" w:hAnsi="Arial" w:cs="Arial"/>
        </w:rPr>
        <w:t xml:space="preserve"> the competing needs of employees and employers.</w:t>
      </w:r>
      <w:r w:rsidRPr="00D04EE4">
        <w:rPr>
          <w:rFonts w:ascii="Arial" w:hAnsi="Arial" w:cs="Arial"/>
        </w:rPr>
        <w:t xml:space="preserve"> It involved a slight delay in providing equity to NDIS employees, but </w:t>
      </w:r>
      <w:r w:rsidR="0072722B">
        <w:rPr>
          <w:rFonts w:ascii="Arial" w:hAnsi="Arial" w:cs="Arial"/>
        </w:rPr>
        <w:t>was</w:t>
      </w:r>
      <w:r w:rsidRPr="00D04EE4">
        <w:rPr>
          <w:rFonts w:ascii="Arial" w:hAnsi="Arial" w:cs="Arial"/>
        </w:rPr>
        <w:t xml:space="preserve"> considered to strike a fair balance with the needs of employers, reducing the financial pressures on them by allowing more time to prepare for the Scheme, and adjust to operating under the NDIS.</w:t>
      </w:r>
    </w:p>
    <w:p w14:paraId="2117DBA6" w14:textId="275C03C3" w:rsidR="00EB4719" w:rsidRPr="00D04EE4" w:rsidRDefault="00EB4719" w:rsidP="00EB4719">
      <w:pPr>
        <w:rPr>
          <w:rFonts w:ascii="Arial" w:hAnsi="Arial" w:cs="Arial"/>
        </w:rPr>
      </w:pPr>
      <w:r w:rsidRPr="00D04EE4">
        <w:rPr>
          <w:rFonts w:ascii="Arial" w:hAnsi="Arial" w:cs="Arial"/>
        </w:rPr>
        <w:t>Options for including the</w:t>
      </w:r>
      <w:r w:rsidR="00D04EE4">
        <w:rPr>
          <w:rFonts w:ascii="Arial" w:hAnsi="Arial" w:cs="Arial"/>
        </w:rPr>
        <w:t xml:space="preserve"> early childhood sector in the S</w:t>
      </w:r>
      <w:r w:rsidRPr="00D04EE4">
        <w:rPr>
          <w:rFonts w:ascii="Arial" w:hAnsi="Arial" w:cs="Arial"/>
        </w:rPr>
        <w:t xml:space="preserve">cheme included: </w:t>
      </w:r>
    </w:p>
    <w:p w14:paraId="2B5243E6" w14:textId="56BC2B57" w:rsidR="00EB4719" w:rsidRPr="00CE3B6A" w:rsidRDefault="00EB4719" w:rsidP="00EB4719">
      <w:pPr>
        <w:pStyle w:val="ListBullet"/>
        <w:contextualSpacing w:val="0"/>
        <w:rPr>
          <w:rFonts w:cs="Arial"/>
          <w:color w:val="auto"/>
        </w:rPr>
      </w:pPr>
      <w:r w:rsidRPr="00CE3B6A">
        <w:rPr>
          <w:rFonts w:cs="Arial"/>
          <w:color w:val="auto"/>
        </w:rPr>
        <w:t>Introducing the e</w:t>
      </w:r>
      <w:r w:rsidR="00840793">
        <w:rPr>
          <w:rFonts w:cs="Arial"/>
          <w:color w:val="auto"/>
        </w:rPr>
        <w:t>arly childhood sector when the S</w:t>
      </w:r>
      <w:r w:rsidRPr="00CE3B6A">
        <w:rPr>
          <w:rFonts w:cs="Arial"/>
          <w:color w:val="auto"/>
        </w:rPr>
        <w:t>cheme com</w:t>
      </w:r>
      <w:r w:rsidR="00D04EE4" w:rsidRPr="00CE3B6A">
        <w:rPr>
          <w:rFonts w:cs="Arial"/>
          <w:color w:val="auto"/>
        </w:rPr>
        <w:t>mence</w:t>
      </w:r>
      <w:r w:rsidR="009F48BA">
        <w:rPr>
          <w:rFonts w:cs="Arial"/>
          <w:color w:val="auto"/>
        </w:rPr>
        <w:t>d</w:t>
      </w:r>
      <w:r w:rsidR="00D04EE4" w:rsidRPr="00CE3B6A">
        <w:rPr>
          <w:rFonts w:cs="Arial"/>
          <w:color w:val="auto"/>
        </w:rPr>
        <w:t xml:space="preserve"> operation on 1 July </w:t>
      </w:r>
      <w:r w:rsidRPr="00CE3B6A">
        <w:rPr>
          <w:rFonts w:cs="Arial"/>
          <w:color w:val="auto"/>
        </w:rPr>
        <w:t>2019;</w:t>
      </w:r>
    </w:p>
    <w:p w14:paraId="0E03AB2B" w14:textId="25E79D99" w:rsidR="00EB4719" w:rsidRPr="00CE3B6A" w:rsidRDefault="00EB4719" w:rsidP="00EB4719">
      <w:pPr>
        <w:pStyle w:val="ListBullet"/>
        <w:contextualSpacing w:val="0"/>
        <w:rPr>
          <w:rFonts w:cs="Arial"/>
          <w:color w:val="auto"/>
        </w:rPr>
      </w:pPr>
      <w:r w:rsidRPr="00CE3B6A">
        <w:rPr>
          <w:rFonts w:cs="Arial"/>
          <w:color w:val="auto"/>
        </w:rPr>
        <w:t>Introducing the early childho</w:t>
      </w:r>
      <w:r w:rsidR="00840793">
        <w:rPr>
          <w:rFonts w:cs="Arial"/>
          <w:color w:val="auto"/>
        </w:rPr>
        <w:t>od sector six months after the S</w:t>
      </w:r>
      <w:r w:rsidRPr="00CE3B6A">
        <w:rPr>
          <w:rFonts w:cs="Arial"/>
          <w:color w:val="auto"/>
        </w:rPr>
        <w:t>cheme commences operation on 1 January 2020; and</w:t>
      </w:r>
    </w:p>
    <w:p w14:paraId="3DCA5794" w14:textId="05B13E1E" w:rsidR="00EB4719" w:rsidRPr="00CE3B6A" w:rsidRDefault="00EB4719" w:rsidP="00EB4719">
      <w:pPr>
        <w:pStyle w:val="ListBullet"/>
        <w:contextualSpacing w:val="0"/>
        <w:rPr>
          <w:rFonts w:cs="Arial"/>
          <w:color w:val="auto"/>
        </w:rPr>
      </w:pPr>
      <w:r w:rsidRPr="00CE3B6A">
        <w:rPr>
          <w:rFonts w:cs="Arial"/>
          <w:color w:val="auto"/>
        </w:rPr>
        <w:t>Introducing the early childh</w:t>
      </w:r>
      <w:r w:rsidR="00840793">
        <w:rPr>
          <w:rFonts w:cs="Arial"/>
          <w:color w:val="auto"/>
        </w:rPr>
        <w:t>ood sector 12 months after the S</w:t>
      </w:r>
      <w:r w:rsidRPr="00CE3B6A">
        <w:rPr>
          <w:rFonts w:cs="Arial"/>
          <w:color w:val="auto"/>
        </w:rPr>
        <w:t>cheme commences operation on 1 July 2020.</w:t>
      </w:r>
    </w:p>
    <w:p w14:paraId="2298BBD8" w14:textId="67EBA37D" w:rsidR="00EB4719" w:rsidRPr="00D04EE4" w:rsidRDefault="00EB4719" w:rsidP="002A5AEC">
      <w:pPr>
        <w:rPr>
          <w:rFonts w:ascii="Arial" w:hAnsi="Arial" w:cs="Arial"/>
          <w:color w:val="auto"/>
        </w:rPr>
      </w:pPr>
      <w:r w:rsidRPr="00D04EE4">
        <w:rPr>
          <w:rFonts w:ascii="Arial" w:hAnsi="Arial" w:cs="Arial"/>
        </w:rPr>
        <w:lastRenderedPageBreak/>
        <w:t xml:space="preserve">The second option was the preferred option, due to the way it balanced the competing needs of employees and employers. It involved a slight delay in providing equity to employees, but was considered to strike a fair balance with the needs of employers, reducing the financial pressures on them by allowing more time to prepare for the Scheme, and adjust to the Federal Government’s July 2018 </w:t>
      </w:r>
      <w:r w:rsidR="009F48BA">
        <w:rPr>
          <w:rFonts w:ascii="Arial" w:hAnsi="Arial" w:cs="Arial"/>
        </w:rPr>
        <w:t>C</w:t>
      </w:r>
      <w:r w:rsidRPr="00D04EE4">
        <w:rPr>
          <w:rFonts w:ascii="Arial" w:hAnsi="Arial" w:cs="Arial"/>
        </w:rPr>
        <w:t xml:space="preserve">hild </w:t>
      </w:r>
      <w:r w:rsidR="009F48BA">
        <w:rPr>
          <w:rFonts w:ascii="Arial" w:hAnsi="Arial" w:cs="Arial"/>
        </w:rPr>
        <w:t>C</w:t>
      </w:r>
      <w:r w:rsidRPr="00D04EE4">
        <w:rPr>
          <w:rFonts w:ascii="Arial" w:hAnsi="Arial" w:cs="Arial"/>
        </w:rPr>
        <w:t xml:space="preserve">are </w:t>
      </w:r>
      <w:r w:rsidR="009F48BA">
        <w:rPr>
          <w:rFonts w:ascii="Arial" w:hAnsi="Arial" w:cs="Arial"/>
        </w:rPr>
        <w:t>P</w:t>
      </w:r>
      <w:r w:rsidRPr="00D04EE4">
        <w:rPr>
          <w:rFonts w:ascii="Arial" w:hAnsi="Arial" w:cs="Arial"/>
        </w:rPr>
        <w:t>ackage.</w:t>
      </w:r>
    </w:p>
    <w:p w14:paraId="7BF125F9" w14:textId="63DDF16B" w:rsidR="00FC0416" w:rsidRPr="008D7140" w:rsidRDefault="00DB3ADD" w:rsidP="00FC0416">
      <w:pPr>
        <w:pStyle w:val="Heading4"/>
        <w:ind w:left="709"/>
        <w:rPr>
          <w:rFonts w:ascii="Arial" w:hAnsi="Arial" w:cs="Arial"/>
          <w:sz w:val="20"/>
          <w:szCs w:val="20"/>
        </w:rPr>
      </w:pPr>
      <w:r>
        <w:rPr>
          <w:rFonts w:ascii="Arial" w:hAnsi="Arial" w:cs="Arial"/>
          <w:sz w:val="20"/>
          <w:szCs w:val="20"/>
        </w:rPr>
        <w:t>Double-dipping</w:t>
      </w:r>
    </w:p>
    <w:p w14:paraId="78080EFA" w14:textId="5765871A" w:rsidR="00CE3B6A" w:rsidRPr="00CE3B6A" w:rsidRDefault="00CE3B6A" w:rsidP="00EB4719">
      <w:pPr>
        <w:spacing w:before="240"/>
        <w:rPr>
          <w:rFonts w:ascii="Arial" w:hAnsi="Arial" w:cs="Arial"/>
        </w:rPr>
      </w:pPr>
      <w:r w:rsidRPr="00CE3B6A">
        <w:rPr>
          <w:rFonts w:ascii="Arial" w:hAnsi="Arial" w:cs="Arial"/>
        </w:rPr>
        <w:t xml:space="preserve">Depending on their employment relationship and length of service, employees in the community services sector may have had existing entitlements to long service leave under a </w:t>
      </w:r>
      <w:r w:rsidR="009F48BA">
        <w:rPr>
          <w:rFonts w:ascii="Arial" w:hAnsi="Arial" w:cs="Arial"/>
        </w:rPr>
        <w:t>f</w:t>
      </w:r>
      <w:r w:rsidRPr="00CE3B6A">
        <w:rPr>
          <w:rFonts w:ascii="Arial" w:hAnsi="Arial" w:cs="Arial"/>
        </w:rPr>
        <w:t xml:space="preserve">air </w:t>
      </w:r>
      <w:r w:rsidR="009F48BA">
        <w:rPr>
          <w:rFonts w:ascii="Arial" w:hAnsi="Arial" w:cs="Arial"/>
        </w:rPr>
        <w:t>w</w:t>
      </w:r>
      <w:r w:rsidRPr="00CE3B6A">
        <w:rPr>
          <w:rFonts w:ascii="Arial" w:hAnsi="Arial" w:cs="Arial"/>
        </w:rPr>
        <w:t xml:space="preserve">ork instrument. This left open the possibility of employees being entitled to claim two separate benefits relating to the same period of service. </w:t>
      </w:r>
    </w:p>
    <w:p w14:paraId="66708A23" w14:textId="54838404" w:rsidR="00EB4719" w:rsidRDefault="00EB4719" w:rsidP="00EB4719">
      <w:pPr>
        <w:spacing w:before="240"/>
        <w:rPr>
          <w:rFonts w:ascii="Arial" w:hAnsi="Arial" w:cs="Arial"/>
          <w:color w:val="auto"/>
        </w:rPr>
      </w:pPr>
      <w:r>
        <w:rPr>
          <w:rFonts w:ascii="Arial" w:hAnsi="Arial" w:cs="Arial"/>
          <w:color w:val="auto"/>
        </w:rPr>
        <w:t xml:space="preserve">The RIS assessed three options for preventing </w:t>
      </w:r>
      <w:r w:rsidR="00DB3ADD">
        <w:rPr>
          <w:rFonts w:ascii="Arial" w:hAnsi="Arial" w:cs="Arial"/>
          <w:color w:val="auto"/>
        </w:rPr>
        <w:t>double-dipping</w:t>
      </w:r>
      <w:r>
        <w:rPr>
          <w:rFonts w:ascii="Arial" w:hAnsi="Arial" w:cs="Arial"/>
          <w:color w:val="auto"/>
        </w:rPr>
        <w:t>:</w:t>
      </w:r>
    </w:p>
    <w:p w14:paraId="0B6DE84D" w14:textId="2EE1E016" w:rsidR="00EB4719" w:rsidRPr="00EB4719" w:rsidRDefault="00EB4719" w:rsidP="000B6C4D">
      <w:pPr>
        <w:pStyle w:val="ListParagraph"/>
        <w:numPr>
          <w:ilvl w:val="0"/>
          <w:numId w:val="30"/>
        </w:numPr>
        <w:spacing w:before="240"/>
        <w:rPr>
          <w:rFonts w:ascii="Arial" w:hAnsi="Arial" w:cs="Arial"/>
          <w:color w:val="auto"/>
        </w:rPr>
      </w:pPr>
      <w:r w:rsidRPr="00EB4719">
        <w:rPr>
          <w:rFonts w:ascii="Arial" w:hAnsi="Arial" w:cs="Arial"/>
          <w:color w:val="auto"/>
        </w:rPr>
        <w:t>Employer pays levi</w:t>
      </w:r>
      <w:r w:rsidR="00CE77A7">
        <w:rPr>
          <w:rFonts w:ascii="Arial" w:hAnsi="Arial" w:cs="Arial"/>
          <w:color w:val="auto"/>
        </w:rPr>
        <w:t>es until the employee claims a fair w</w:t>
      </w:r>
      <w:r w:rsidRPr="00EB4719">
        <w:rPr>
          <w:rFonts w:ascii="Arial" w:hAnsi="Arial" w:cs="Arial"/>
          <w:color w:val="auto"/>
        </w:rPr>
        <w:t>ork benefit;</w:t>
      </w:r>
    </w:p>
    <w:p w14:paraId="127599FB" w14:textId="2A5E7247" w:rsidR="00EB4719" w:rsidRPr="00EB4719" w:rsidRDefault="00EB4719" w:rsidP="000B6C4D">
      <w:pPr>
        <w:pStyle w:val="ListParagraph"/>
        <w:numPr>
          <w:ilvl w:val="0"/>
          <w:numId w:val="30"/>
        </w:numPr>
        <w:spacing w:before="240"/>
        <w:rPr>
          <w:rFonts w:ascii="Arial" w:hAnsi="Arial" w:cs="Arial"/>
          <w:color w:val="auto"/>
        </w:rPr>
      </w:pPr>
      <w:r w:rsidRPr="00EB4719">
        <w:rPr>
          <w:rFonts w:ascii="Arial" w:hAnsi="Arial" w:cs="Arial"/>
          <w:color w:val="auto"/>
        </w:rPr>
        <w:t>Employer pays levies until the employ</w:t>
      </w:r>
      <w:r w:rsidR="00CE77A7">
        <w:rPr>
          <w:rFonts w:ascii="Arial" w:hAnsi="Arial" w:cs="Arial"/>
          <w:color w:val="auto"/>
        </w:rPr>
        <w:t>ee becomes entitled to claim a fair w</w:t>
      </w:r>
      <w:r w:rsidRPr="00EB4719">
        <w:rPr>
          <w:rFonts w:ascii="Arial" w:hAnsi="Arial" w:cs="Arial"/>
          <w:color w:val="auto"/>
        </w:rPr>
        <w:t>ork benefit; and</w:t>
      </w:r>
    </w:p>
    <w:p w14:paraId="44A0FB04" w14:textId="0452CFCF" w:rsidR="00EB4719" w:rsidRPr="00EB4719" w:rsidRDefault="00EB4719" w:rsidP="000B6C4D">
      <w:pPr>
        <w:pStyle w:val="ListParagraph"/>
        <w:numPr>
          <w:ilvl w:val="0"/>
          <w:numId w:val="30"/>
        </w:numPr>
        <w:spacing w:before="240"/>
        <w:rPr>
          <w:rFonts w:ascii="Arial" w:hAnsi="Arial" w:cs="Arial"/>
          <w:color w:val="auto"/>
        </w:rPr>
      </w:pPr>
      <w:r w:rsidRPr="00EB4719">
        <w:rPr>
          <w:rFonts w:ascii="Arial" w:hAnsi="Arial" w:cs="Arial"/>
          <w:color w:val="auto"/>
        </w:rPr>
        <w:t>Employer</w:t>
      </w:r>
      <w:r w:rsidR="00BA4965">
        <w:rPr>
          <w:rFonts w:ascii="Arial" w:hAnsi="Arial" w:cs="Arial"/>
          <w:color w:val="auto"/>
        </w:rPr>
        <w:t xml:space="preserve"> </w:t>
      </w:r>
      <w:r>
        <w:rPr>
          <w:rFonts w:ascii="Arial" w:hAnsi="Arial" w:cs="Arial"/>
          <w:color w:val="auto"/>
        </w:rPr>
        <w:t>do</w:t>
      </w:r>
      <w:r w:rsidR="00BA4965">
        <w:rPr>
          <w:rFonts w:ascii="Arial" w:hAnsi="Arial" w:cs="Arial"/>
          <w:color w:val="auto"/>
        </w:rPr>
        <w:t>es</w:t>
      </w:r>
      <w:r w:rsidRPr="00EB4719">
        <w:rPr>
          <w:rFonts w:ascii="Arial" w:hAnsi="Arial" w:cs="Arial"/>
          <w:color w:val="auto"/>
        </w:rPr>
        <w:t xml:space="preserve"> not pay levies at all for employee</w:t>
      </w:r>
      <w:r w:rsidR="00CE77A7">
        <w:rPr>
          <w:rFonts w:ascii="Arial" w:hAnsi="Arial" w:cs="Arial"/>
          <w:color w:val="auto"/>
        </w:rPr>
        <w:t>s who accrue service towards a fair w</w:t>
      </w:r>
      <w:r w:rsidRPr="00EB4719">
        <w:rPr>
          <w:rFonts w:ascii="Arial" w:hAnsi="Arial" w:cs="Arial"/>
          <w:color w:val="auto"/>
        </w:rPr>
        <w:t xml:space="preserve">ork benefit. </w:t>
      </w:r>
    </w:p>
    <w:p w14:paraId="7AC1E813" w14:textId="5A21FBCE" w:rsidR="00FC0416" w:rsidRDefault="00EB4719" w:rsidP="00EB4719">
      <w:pPr>
        <w:spacing w:before="240"/>
        <w:rPr>
          <w:rFonts w:ascii="Arial" w:hAnsi="Arial" w:cs="Arial"/>
          <w:color w:val="auto"/>
        </w:rPr>
      </w:pPr>
      <w:r w:rsidRPr="00EB4719">
        <w:rPr>
          <w:rFonts w:ascii="Arial" w:hAnsi="Arial" w:cs="Arial"/>
          <w:color w:val="auto"/>
        </w:rPr>
        <w:t>Analysis</w:t>
      </w:r>
      <w:r>
        <w:rPr>
          <w:rFonts w:ascii="Arial" w:hAnsi="Arial" w:cs="Arial"/>
          <w:color w:val="auto"/>
        </w:rPr>
        <w:t xml:space="preserve"> showed</w:t>
      </w:r>
      <w:r w:rsidRPr="00EB4719">
        <w:rPr>
          <w:rFonts w:ascii="Arial" w:hAnsi="Arial" w:cs="Arial"/>
          <w:color w:val="auto"/>
        </w:rPr>
        <w:t xml:space="preserve"> that</w:t>
      </w:r>
      <w:r w:rsidR="003D4070">
        <w:rPr>
          <w:rFonts w:ascii="Arial" w:hAnsi="Arial" w:cs="Arial"/>
          <w:color w:val="auto"/>
        </w:rPr>
        <w:t>,</w:t>
      </w:r>
      <w:r w:rsidRPr="00EB4719">
        <w:rPr>
          <w:rFonts w:ascii="Arial" w:hAnsi="Arial" w:cs="Arial"/>
          <w:color w:val="auto"/>
        </w:rPr>
        <w:t xml:space="preserve"> due to the complex interactions between </w:t>
      </w:r>
      <w:r w:rsidR="003D4070">
        <w:rPr>
          <w:rFonts w:ascii="Arial" w:hAnsi="Arial" w:cs="Arial"/>
          <w:color w:val="auto"/>
        </w:rPr>
        <w:t>S</w:t>
      </w:r>
      <w:r w:rsidRPr="00EB4719">
        <w:rPr>
          <w:rFonts w:ascii="Arial" w:hAnsi="Arial" w:cs="Arial"/>
          <w:color w:val="auto"/>
        </w:rPr>
        <w:t xml:space="preserve">tate and </w:t>
      </w:r>
      <w:r w:rsidR="003D4070">
        <w:rPr>
          <w:rFonts w:ascii="Arial" w:hAnsi="Arial" w:cs="Arial"/>
          <w:color w:val="auto"/>
        </w:rPr>
        <w:t>F</w:t>
      </w:r>
      <w:r>
        <w:rPr>
          <w:rFonts w:ascii="Arial" w:hAnsi="Arial" w:cs="Arial"/>
          <w:color w:val="auto"/>
        </w:rPr>
        <w:t>ederal law</w:t>
      </w:r>
      <w:r w:rsidR="003D4070">
        <w:rPr>
          <w:rFonts w:ascii="Arial" w:hAnsi="Arial" w:cs="Arial"/>
          <w:color w:val="auto"/>
        </w:rPr>
        <w:t>,</w:t>
      </w:r>
      <w:r>
        <w:rPr>
          <w:rFonts w:ascii="Arial" w:hAnsi="Arial" w:cs="Arial"/>
          <w:color w:val="auto"/>
        </w:rPr>
        <w:t xml:space="preserve"> each of the options</w:t>
      </w:r>
      <w:r w:rsidRPr="00EB4719">
        <w:rPr>
          <w:rFonts w:ascii="Arial" w:hAnsi="Arial" w:cs="Arial"/>
          <w:color w:val="auto"/>
        </w:rPr>
        <w:t xml:space="preserve"> f</w:t>
      </w:r>
      <w:r>
        <w:rPr>
          <w:rFonts w:ascii="Arial" w:hAnsi="Arial" w:cs="Arial"/>
          <w:color w:val="auto"/>
        </w:rPr>
        <w:t xml:space="preserve">or preventing </w:t>
      </w:r>
      <w:r w:rsidR="00DB3ADD">
        <w:rPr>
          <w:rFonts w:ascii="Arial" w:hAnsi="Arial" w:cs="Arial"/>
          <w:color w:val="auto"/>
        </w:rPr>
        <w:t>double-dipping</w:t>
      </w:r>
      <w:r>
        <w:rPr>
          <w:rFonts w:ascii="Arial" w:hAnsi="Arial" w:cs="Arial"/>
          <w:color w:val="auto"/>
        </w:rPr>
        <w:t xml:space="preserve"> had</w:t>
      </w:r>
      <w:r w:rsidRPr="00EB4719">
        <w:rPr>
          <w:rFonts w:ascii="Arial" w:hAnsi="Arial" w:cs="Arial"/>
          <w:color w:val="auto"/>
        </w:rPr>
        <w:t xml:space="preserve"> deficiencies</w:t>
      </w:r>
      <w:r w:rsidR="0055008B">
        <w:rPr>
          <w:rFonts w:ascii="Arial" w:hAnsi="Arial" w:cs="Arial"/>
          <w:color w:val="auto"/>
        </w:rPr>
        <w:t xml:space="preserve">. </w:t>
      </w:r>
    </w:p>
    <w:p w14:paraId="637B66C2" w14:textId="64C5ECEB" w:rsidR="00EB4719" w:rsidRPr="00EB4719" w:rsidRDefault="00EB4719" w:rsidP="00EB4719">
      <w:pPr>
        <w:spacing w:before="240"/>
        <w:rPr>
          <w:rFonts w:ascii="Arial" w:hAnsi="Arial" w:cs="Arial"/>
          <w:color w:val="auto"/>
        </w:rPr>
      </w:pPr>
      <w:r w:rsidRPr="00EB4719">
        <w:rPr>
          <w:rFonts w:ascii="Arial" w:hAnsi="Arial" w:cs="Arial"/>
          <w:color w:val="auto"/>
        </w:rPr>
        <w:t>The primary issue with the first option was the requirement for employers to moni</w:t>
      </w:r>
      <w:r w:rsidR="00CE77A7">
        <w:rPr>
          <w:rFonts w:ascii="Arial" w:hAnsi="Arial" w:cs="Arial"/>
          <w:color w:val="auto"/>
        </w:rPr>
        <w:t>tor employees who have claimed fair w</w:t>
      </w:r>
      <w:r w:rsidRPr="00EB4719">
        <w:rPr>
          <w:rFonts w:ascii="Arial" w:hAnsi="Arial" w:cs="Arial"/>
          <w:color w:val="auto"/>
        </w:rPr>
        <w:t>ork benefits and to report these to the Authority. In addition</w:t>
      </w:r>
      <w:r w:rsidR="00BA4965">
        <w:rPr>
          <w:rFonts w:ascii="Arial" w:hAnsi="Arial" w:cs="Arial"/>
          <w:color w:val="auto"/>
        </w:rPr>
        <w:t>,</w:t>
      </w:r>
      <w:r w:rsidRPr="00EB4719">
        <w:rPr>
          <w:rFonts w:ascii="Arial" w:hAnsi="Arial" w:cs="Arial"/>
          <w:color w:val="auto"/>
        </w:rPr>
        <w:t xml:space="preserve"> this option required increased administrative work for employers who will </w:t>
      </w:r>
      <w:r w:rsidR="005A3ACE">
        <w:rPr>
          <w:rFonts w:ascii="Arial" w:hAnsi="Arial" w:cs="Arial"/>
          <w:color w:val="auto"/>
        </w:rPr>
        <w:t>be required</w:t>
      </w:r>
      <w:r w:rsidR="005A3ACE" w:rsidRPr="00EB4719">
        <w:rPr>
          <w:rFonts w:ascii="Arial" w:hAnsi="Arial" w:cs="Arial"/>
          <w:color w:val="auto"/>
        </w:rPr>
        <w:t xml:space="preserve"> </w:t>
      </w:r>
      <w:r w:rsidRPr="00EB4719">
        <w:rPr>
          <w:rFonts w:ascii="Arial" w:hAnsi="Arial" w:cs="Arial"/>
          <w:color w:val="auto"/>
        </w:rPr>
        <w:t>to make adjustments to their balance sheets.</w:t>
      </w:r>
    </w:p>
    <w:p w14:paraId="43D8CE18" w14:textId="4EA4AFC8" w:rsidR="00EB4719" w:rsidRPr="00EB4719" w:rsidRDefault="00EB4719" w:rsidP="00EB4719">
      <w:pPr>
        <w:spacing w:before="240"/>
        <w:rPr>
          <w:rFonts w:ascii="Arial" w:hAnsi="Arial" w:cs="Arial"/>
          <w:color w:val="auto"/>
        </w:rPr>
      </w:pPr>
      <w:r w:rsidRPr="00EB4719">
        <w:rPr>
          <w:rFonts w:ascii="Arial" w:hAnsi="Arial" w:cs="Arial"/>
          <w:color w:val="auto"/>
        </w:rPr>
        <w:t>The primary issue with the second option was the potential for there to be a shortfall in levies if an employee became entitled to a portable</w:t>
      </w:r>
      <w:r w:rsidR="00CE77A7">
        <w:rPr>
          <w:rFonts w:ascii="Arial" w:hAnsi="Arial" w:cs="Arial"/>
          <w:color w:val="auto"/>
        </w:rPr>
        <w:t xml:space="preserve"> long service benefit before a fair w</w:t>
      </w:r>
      <w:r w:rsidRPr="00EB4719">
        <w:rPr>
          <w:rFonts w:ascii="Arial" w:hAnsi="Arial" w:cs="Arial"/>
          <w:color w:val="auto"/>
        </w:rPr>
        <w:t>ork benefit, and then later became entitl</w:t>
      </w:r>
      <w:r w:rsidR="00CE77A7">
        <w:rPr>
          <w:rFonts w:ascii="Arial" w:hAnsi="Arial" w:cs="Arial"/>
          <w:color w:val="auto"/>
        </w:rPr>
        <w:t>ed to a fair w</w:t>
      </w:r>
      <w:r w:rsidRPr="00EB4719">
        <w:rPr>
          <w:rFonts w:ascii="Arial" w:hAnsi="Arial" w:cs="Arial"/>
          <w:color w:val="auto"/>
        </w:rPr>
        <w:t>ork benefit which they do not claim until some years later.</w:t>
      </w:r>
    </w:p>
    <w:p w14:paraId="2CFC3947" w14:textId="30ED25C6" w:rsidR="00EB4719" w:rsidRPr="00EB4719" w:rsidRDefault="00EB4719" w:rsidP="00EB4719">
      <w:pPr>
        <w:spacing w:before="240"/>
        <w:rPr>
          <w:rFonts w:ascii="Arial" w:hAnsi="Arial" w:cs="Arial"/>
          <w:color w:val="auto"/>
        </w:rPr>
      </w:pPr>
      <w:r w:rsidRPr="00EB4719">
        <w:rPr>
          <w:rFonts w:ascii="Arial" w:hAnsi="Arial" w:cs="Arial"/>
          <w:color w:val="auto"/>
        </w:rPr>
        <w:t xml:space="preserve">The primary issue with the third option was that it ran the risk of precluding employees from </w:t>
      </w:r>
      <w:r w:rsidRPr="008942FC">
        <w:rPr>
          <w:rFonts w:ascii="Arial" w:hAnsi="Arial" w:cs="Arial"/>
          <w:color w:val="auto"/>
        </w:rPr>
        <w:t>ever accruing a long service benefit if they left the sector or change</w:t>
      </w:r>
      <w:r w:rsidR="003D4070">
        <w:rPr>
          <w:rFonts w:ascii="Arial" w:hAnsi="Arial" w:cs="Arial"/>
          <w:color w:val="auto"/>
        </w:rPr>
        <w:t>d</w:t>
      </w:r>
      <w:r w:rsidRPr="008942FC">
        <w:rPr>
          <w:rFonts w:ascii="Arial" w:hAnsi="Arial" w:cs="Arial"/>
          <w:color w:val="auto"/>
        </w:rPr>
        <w:t xml:space="preserve"> employers before accruing the </w:t>
      </w:r>
      <w:r w:rsidR="00CE77A7">
        <w:rPr>
          <w:rFonts w:ascii="Arial" w:hAnsi="Arial" w:cs="Arial"/>
          <w:color w:val="auto"/>
        </w:rPr>
        <w:t>required service to take their fair w</w:t>
      </w:r>
      <w:r w:rsidRPr="008942FC">
        <w:rPr>
          <w:rFonts w:ascii="Arial" w:hAnsi="Arial" w:cs="Arial"/>
          <w:color w:val="auto"/>
        </w:rPr>
        <w:t xml:space="preserve">ork benefit. This defeated the primary objective of the </w:t>
      </w:r>
      <w:r w:rsidR="008942FC" w:rsidRPr="008942FC">
        <w:rPr>
          <w:rFonts w:ascii="Arial" w:hAnsi="Arial" w:cs="Arial"/>
          <w:color w:val="auto"/>
        </w:rPr>
        <w:t>LSBP</w:t>
      </w:r>
      <w:r w:rsidRPr="008942FC">
        <w:rPr>
          <w:rFonts w:ascii="Arial" w:hAnsi="Arial" w:cs="Arial"/>
          <w:color w:val="auto"/>
        </w:rPr>
        <w:t xml:space="preserve"> Act.</w:t>
      </w:r>
    </w:p>
    <w:p w14:paraId="6D5C9E59" w14:textId="5CABAE95" w:rsidR="00EB4719" w:rsidRPr="00EB4719" w:rsidRDefault="00EB4719" w:rsidP="00EB4719">
      <w:pPr>
        <w:spacing w:before="240"/>
        <w:rPr>
          <w:rFonts w:ascii="Arial" w:hAnsi="Arial" w:cs="Arial"/>
          <w:color w:val="auto"/>
        </w:rPr>
      </w:pPr>
      <w:r>
        <w:rPr>
          <w:rFonts w:ascii="Arial" w:hAnsi="Arial" w:cs="Arial"/>
          <w:color w:val="auto"/>
        </w:rPr>
        <w:t>Compared to the base case, the RIS found that t</w:t>
      </w:r>
      <w:r w:rsidRPr="00EB4719">
        <w:rPr>
          <w:rFonts w:ascii="Arial" w:hAnsi="Arial" w:cs="Arial"/>
          <w:color w:val="auto"/>
        </w:rPr>
        <w:t xml:space="preserve">he preferred option to </w:t>
      </w:r>
      <w:r w:rsidR="00CF5417">
        <w:rPr>
          <w:rFonts w:ascii="Arial" w:hAnsi="Arial" w:cs="Arial"/>
          <w:color w:val="auto"/>
        </w:rPr>
        <w:t xml:space="preserve">address </w:t>
      </w:r>
      <w:r w:rsidR="00DB3ADD">
        <w:rPr>
          <w:rFonts w:ascii="Arial" w:hAnsi="Arial" w:cs="Arial"/>
          <w:color w:val="auto"/>
        </w:rPr>
        <w:t>double-dipping</w:t>
      </w:r>
      <w:r w:rsidR="0072722B">
        <w:rPr>
          <w:rFonts w:ascii="Arial" w:hAnsi="Arial" w:cs="Arial"/>
          <w:color w:val="auto"/>
        </w:rPr>
        <w:t xml:space="preserve"> claims</w:t>
      </w:r>
      <w:r w:rsidRPr="00EB4719">
        <w:rPr>
          <w:rFonts w:ascii="Arial" w:hAnsi="Arial" w:cs="Arial"/>
          <w:color w:val="auto"/>
        </w:rPr>
        <w:t xml:space="preserve"> </w:t>
      </w:r>
      <w:r>
        <w:rPr>
          <w:rFonts w:ascii="Arial" w:hAnsi="Arial" w:cs="Arial"/>
          <w:color w:val="auto"/>
        </w:rPr>
        <w:t xml:space="preserve">in the community services sector was the first option to require employers </w:t>
      </w:r>
      <w:r w:rsidRPr="00EB4719">
        <w:rPr>
          <w:rFonts w:ascii="Arial" w:hAnsi="Arial" w:cs="Arial"/>
          <w:color w:val="auto"/>
        </w:rPr>
        <w:t>to pay levies for all employe</w:t>
      </w:r>
      <w:r w:rsidR="00CE77A7">
        <w:rPr>
          <w:rFonts w:ascii="Arial" w:hAnsi="Arial" w:cs="Arial"/>
          <w:color w:val="auto"/>
        </w:rPr>
        <w:t>es, until an employee claims a fair w</w:t>
      </w:r>
      <w:r w:rsidRPr="00EB4719">
        <w:rPr>
          <w:rFonts w:ascii="Arial" w:hAnsi="Arial" w:cs="Arial"/>
          <w:color w:val="auto"/>
        </w:rPr>
        <w:t>ork benefit.</w:t>
      </w:r>
    </w:p>
    <w:p w14:paraId="2A822B7D" w14:textId="02DFDED8" w:rsidR="00FC0416" w:rsidRPr="008D7140" w:rsidRDefault="00FC0416" w:rsidP="00FC0416">
      <w:pPr>
        <w:pStyle w:val="Heading4"/>
        <w:ind w:left="709"/>
        <w:rPr>
          <w:rFonts w:ascii="Arial" w:hAnsi="Arial" w:cs="Arial"/>
          <w:sz w:val="20"/>
          <w:szCs w:val="20"/>
        </w:rPr>
      </w:pPr>
      <w:r>
        <w:rPr>
          <w:rFonts w:ascii="Arial" w:hAnsi="Arial" w:cs="Arial"/>
          <w:sz w:val="20"/>
          <w:szCs w:val="20"/>
        </w:rPr>
        <w:t>Authority oversight of the Scheme</w:t>
      </w:r>
    </w:p>
    <w:p w14:paraId="080E8D1C" w14:textId="181EE078" w:rsidR="00FC0416" w:rsidRPr="00FC0416" w:rsidRDefault="00FC0416" w:rsidP="00FC0416">
      <w:pPr>
        <w:spacing w:before="240"/>
        <w:rPr>
          <w:rFonts w:ascii="Arial" w:hAnsi="Arial" w:cs="Arial"/>
          <w:color w:val="auto"/>
        </w:rPr>
      </w:pPr>
      <w:r w:rsidRPr="00FC0416">
        <w:rPr>
          <w:rFonts w:ascii="Arial" w:hAnsi="Arial" w:cs="Arial"/>
          <w:color w:val="auto"/>
        </w:rPr>
        <w:t>Due to the specific nature of the</w:t>
      </w:r>
      <w:r>
        <w:rPr>
          <w:rFonts w:ascii="Arial" w:hAnsi="Arial" w:cs="Arial"/>
          <w:color w:val="auto"/>
        </w:rPr>
        <w:t xml:space="preserve"> problem, there was</w:t>
      </w:r>
      <w:r w:rsidRPr="00FC0416">
        <w:rPr>
          <w:rFonts w:ascii="Arial" w:hAnsi="Arial" w:cs="Arial"/>
          <w:color w:val="auto"/>
        </w:rPr>
        <w:t xml:space="preserve"> only one option</w:t>
      </w:r>
      <w:r w:rsidR="002A50A9">
        <w:rPr>
          <w:rFonts w:ascii="Arial" w:hAnsi="Arial" w:cs="Arial"/>
          <w:color w:val="auto"/>
        </w:rPr>
        <w:t>,</w:t>
      </w:r>
      <w:r>
        <w:rPr>
          <w:rFonts w:ascii="Arial" w:hAnsi="Arial" w:cs="Arial"/>
          <w:color w:val="auto"/>
        </w:rPr>
        <w:t xml:space="preserve"> aside from the base case</w:t>
      </w:r>
      <w:r w:rsidR="002A50A9">
        <w:rPr>
          <w:rFonts w:ascii="Arial" w:hAnsi="Arial" w:cs="Arial"/>
          <w:color w:val="auto"/>
        </w:rPr>
        <w:t>,</w:t>
      </w:r>
      <w:r w:rsidRPr="00FC0416">
        <w:rPr>
          <w:rFonts w:ascii="Arial" w:hAnsi="Arial" w:cs="Arial"/>
          <w:color w:val="auto"/>
        </w:rPr>
        <w:t xml:space="preserve"> that</w:t>
      </w:r>
      <w:r>
        <w:rPr>
          <w:rFonts w:ascii="Arial" w:hAnsi="Arial" w:cs="Arial"/>
          <w:color w:val="auto"/>
        </w:rPr>
        <w:t xml:space="preserve"> provided</w:t>
      </w:r>
      <w:r w:rsidRPr="00FC0416">
        <w:rPr>
          <w:rFonts w:ascii="Arial" w:hAnsi="Arial" w:cs="Arial"/>
          <w:color w:val="auto"/>
        </w:rPr>
        <w:t xml:space="preserve"> the Authority </w:t>
      </w:r>
      <w:r>
        <w:rPr>
          <w:rFonts w:ascii="Arial" w:hAnsi="Arial" w:cs="Arial"/>
          <w:color w:val="auto"/>
        </w:rPr>
        <w:t>with</w:t>
      </w:r>
      <w:r w:rsidRPr="00FC0416">
        <w:rPr>
          <w:rFonts w:ascii="Arial" w:hAnsi="Arial" w:cs="Arial"/>
          <w:color w:val="auto"/>
        </w:rPr>
        <w:t xml:space="preserve"> effective oversight of the </w:t>
      </w:r>
      <w:r w:rsidR="003D4070">
        <w:rPr>
          <w:rFonts w:ascii="Arial" w:hAnsi="Arial" w:cs="Arial"/>
          <w:color w:val="auto"/>
        </w:rPr>
        <w:t>S</w:t>
      </w:r>
      <w:r w:rsidRPr="00FC0416">
        <w:rPr>
          <w:rFonts w:ascii="Arial" w:hAnsi="Arial" w:cs="Arial"/>
          <w:color w:val="auto"/>
        </w:rPr>
        <w:t xml:space="preserve">cheme. This </w:t>
      </w:r>
      <w:r>
        <w:rPr>
          <w:rFonts w:ascii="Arial" w:hAnsi="Arial" w:cs="Arial"/>
          <w:color w:val="auto"/>
        </w:rPr>
        <w:t>was</w:t>
      </w:r>
      <w:r w:rsidRPr="00FC0416">
        <w:rPr>
          <w:rFonts w:ascii="Arial" w:hAnsi="Arial" w:cs="Arial"/>
          <w:color w:val="auto"/>
        </w:rPr>
        <w:t xml:space="preserve"> to require employers to inform the Authority of the date when employees leave (if any) during the quarter. </w:t>
      </w:r>
    </w:p>
    <w:p w14:paraId="4F8E7AEF" w14:textId="681F044B" w:rsidR="00FC0416" w:rsidRDefault="00FC0416" w:rsidP="00FC0416">
      <w:pPr>
        <w:rPr>
          <w:rFonts w:ascii="Arial" w:hAnsi="Arial" w:cs="Arial"/>
          <w:color w:val="auto"/>
        </w:rPr>
      </w:pPr>
      <w:r w:rsidRPr="00FC0416">
        <w:rPr>
          <w:rFonts w:ascii="Arial" w:hAnsi="Arial" w:cs="Arial"/>
          <w:color w:val="auto"/>
        </w:rPr>
        <w:t>Analysis</w:t>
      </w:r>
      <w:r>
        <w:rPr>
          <w:rFonts w:ascii="Arial" w:hAnsi="Arial" w:cs="Arial"/>
          <w:color w:val="auto"/>
        </w:rPr>
        <w:t xml:space="preserve"> showed that this option wa</w:t>
      </w:r>
      <w:r w:rsidRPr="00FC0416">
        <w:rPr>
          <w:rFonts w:ascii="Arial" w:hAnsi="Arial" w:cs="Arial"/>
          <w:color w:val="auto"/>
        </w:rPr>
        <w:t>s considered preferable to the base case.</w:t>
      </w:r>
    </w:p>
    <w:p w14:paraId="6174AC07" w14:textId="6E6C1208" w:rsidR="00FC0416" w:rsidRPr="008D7140" w:rsidRDefault="00FC0416" w:rsidP="00FC0416">
      <w:pPr>
        <w:pStyle w:val="Heading4"/>
        <w:ind w:left="709"/>
        <w:rPr>
          <w:rFonts w:ascii="Arial" w:hAnsi="Arial" w:cs="Arial"/>
          <w:sz w:val="20"/>
          <w:szCs w:val="20"/>
        </w:rPr>
      </w:pPr>
      <w:r>
        <w:rPr>
          <w:rFonts w:ascii="Arial" w:hAnsi="Arial" w:cs="Arial"/>
          <w:sz w:val="20"/>
          <w:szCs w:val="20"/>
        </w:rPr>
        <w:lastRenderedPageBreak/>
        <w:t>Disclosure of information to other entities and authorities</w:t>
      </w:r>
    </w:p>
    <w:p w14:paraId="323C0FDD" w14:textId="7396210D" w:rsidR="00FC0416" w:rsidRPr="00FC0416" w:rsidRDefault="00FC0416" w:rsidP="00FC0416">
      <w:pPr>
        <w:rPr>
          <w:rFonts w:ascii="Arial" w:hAnsi="Arial" w:cs="Arial"/>
          <w:color w:val="auto"/>
        </w:rPr>
      </w:pPr>
      <w:r w:rsidRPr="00FC0416">
        <w:rPr>
          <w:rFonts w:ascii="Arial" w:hAnsi="Arial" w:cs="Arial"/>
          <w:color w:val="auto"/>
        </w:rPr>
        <w:t xml:space="preserve">Due to the specific nature of the </w:t>
      </w:r>
      <w:r>
        <w:rPr>
          <w:rFonts w:ascii="Arial" w:hAnsi="Arial" w:cs="Arial"/>
          <w:color w:val="auto"/>
        </w:rPr>
        <w:t>problem, there was</w:t>
      </w:r>
      <w:r w:rsidRPr="00FC0416">
        <w:rPr>
          <w:rFonts w:ascii="Arial" w:hAnsi="Arial" w:cs="Arial"/>
          <w:color w:val="auto"/>
        </w:rPr>
        <w:t xml:space="preserve"> only one option</w:t>
      </w:r>
      <w:r w:rsidR="002A50A9">
        <w:rPr>
          <w:rFonts w:ascii="Arial" w:hAnsi="Arial" w:cs="Arial"/>
          <w:color w:val="auto"/>
        </w:rPr>
        <w:t>,</w:t>
      </w:r>
      <w:r>
        <w:rPr>
          <w:rFonts w:ascii="Arial" w:hAnsi="Arial" w:cs="Arial"/>
          <w:color w:val="auto"/>
        </w:rPr>
        <w:t xml:space="preserve"> aside from the base case</w:t>
      </w:r>
      <w:r w:rsidR="002A50A9">
        <w:rPr>
          <w:rFonts w:ascii="Arial" w:hAnsi="Arial" w:cs="Arial"/>
          <w:color w:val="auto"/>
        </w:rPr>
        <w:t>,</w:t>
      </w:r>
      <w:r>
        <w:rPr>
          <w:rFonts w:ascii="Arial" w:hAnsi="Arial" w:cs="Arial"/>
          <w:color w:val="auto"/>
        </w:rPr>
        <w:t xml:space="preserve"> that</w:t>
      </w:r>
      <w:r w:rsidRPr="00FC0416">
        <w:rPr>
          <w:rFonts w:ascii="Arial" w:hAnsi="Arial" w:cs="Arial"/>
          <w:color w:val="auto"/>
        </w:rPr>
        <w:t xml:space="preserve"> allow</w:t>
      </w:r>
      <w:r>
        <w:rPr>
          <w:rFonts w:ascii="Arial" w:hAnsi="Arial" w:cs="Arial"/>
          <w:color w:val="auto"/>
        </w:rPr>
        <w:t>ed</w:t>
      </w:r>
      <w:r w:rsidRPr="00FC0416">
        <w:rPr>
          <w:rFonts w:ascii="Arial" w:hAnsi="Arial" w:cs="Arial"/>
          <w:color w:val="auto"/>
        </w:rPr>
        <w:t xml:space="preserve"> the Authority to gain the required taxation information and assist other Victorian Government agencies in their regulatory processes. This </w:t>
      </w:r>
      <w:r>
        <w:rPr>
          <w:rFonts w:ascii="Arial" w:hAnsi="Arial" w:cs="Arial"/>
          <w:color w:val="auto"/>
        </w:rPr>
        <w:t>option allowed</w:t>
      </w:r>
      <w:r w:rsidRPr="00FC0416">
        <w:rPr>
          <w:rFonts w:ascii="Arial" w:hAnsi="Arial" w:cs="Arial"/>
          <w:color w:val="auto"/>
        </w:rPr>
        <w:t xml:space="preserve"> the Authority to share information with the </w:t>
      </w:r>
      <w:r w:rsidR="003D4070">
        <w:rPr>
          <w:rFonts w:ascii="Arial" w:hAnsi="Arial" w:cs="Arial"/>
          <w:color w:val="auto"/>
        </w:rPr>
        <w:t>Australian Taxation Office (ATO)</w:t>
      </w:r>
      <w:r w:rsidR="003D4070" w:rsidRPr="00FC0416">
        <w:rPr>
          <w:rFonts w:ascii="Arial" w:hAnsi="Arial" w:cs="Arial"/>
          <w:color w:val="auto"/>
        </w:rPr>
        <w:t xml:space="preserve"> </w:t>
      </w:r>
      <w:r w:rsidRPr="00FC0416">
        <w:rPr>
          <w:rFonts w:ascii="Arial" w:hAnsi="Arial" w:cs="Arial"/>
          <w:color w:val="auto"/>
        </w:rPr>
        <w:t>and the Labour Hire Licensing Authority.</w:t>
      </w:r>
    </w:p>
    <w:p w14:paraId="280F0296" w14:textId="5F17C727" w:rsidR="00FC0416" w:rsidRDefault="00FC0416" w:rsidP="00FC0416">
      <w:pPr>
        <w:rPr>
          <w:rFonts w:ascii="Arial" w:hAnsi="Arial" w:cs="Arial"/>
          <w:color w:val="auto"/>
        </w:rPr>
      </w:pPr>
      <w:r w:rsidRPr="00FC0416">
        <w:rPr>
          <w:rFonts w:ascii="Arial" w:hAnsi="Arial" w:cs="Arial"/>
          <w:color w:val="auto"/>
        </w:rPr>
        <w:t>Analysis</w:t>
      </w:r>
      <w:r>
        <w:rPr>
          <w:rFonts w:ascii="Arial" w:hAnsi="Arial" w:cs="Arial"/>
          <w:color w:val="auto"/>
        </w:rPr>
        <w:t xml:space="preserve"> showed this option wa</w:t>
      </w:r>
      <w:r w:rsidRPr="00FC0416">
        <w:rPr>
          <w:rFonts w:ascii="Arial" w:hAnsi="Arial" w:cs="Arial"/>
          <w:color w:val="auto"/>
        </w:rPr>
        <w:t>s considered preferable to the base case.</w:t>
      </w:r>
    </w:p>
    <w:p w14:paraId="172474B2" w14:textId="72425ACA" w:rsidR="00EB2F4E" w:rsidRPr="00EC5379" w:rsidRDefault="00EB2F4E" w:rsidP="00EB2F4E">
      <w:pPr>
        <w:pStyle w:val="Heading2"/>
        <w:rPr>
          <w:rFonts w:ascii="Arial" w:hAnsi="Arial" w:cs="Arial"/>
        </w:rPr>
      </w:pPr>
      <w:bookmarkStart w:id="37" w:name="_Toc37921476"/>
      <w:r w:rsidRPr="00EC5379">
        <w:rPr>
          <w:rFonts w:ascii="Arial" w:hAnsi="Arial" w:cs="Arial"/>
        </w:rPr>
        <w:t>The Long Service Bene</w:t>
      </w:r>
      <w:r>
        <w:rPr>
          <w:rFonts w:ascii="Arial" w:hAnsi="Arial" w:cs="Arial"/>
        </w:rPr>
        <w:t>fits Portability Regulations 2020</w:t>
      </w:r>
      <w:bookmarkEnd w:id="37"/>
    </w:p>
    <w:p w14:paraId="2AF1EB3B" w14:textId="681EB1B3" w:rsidR="00D430EE" w:rsidRPr="00CF1548" w:rsidRDefault="00D430EE" w:rsidP="00D430EE">
      <w:pPr>
        <w:rPr>
          <w:rFonts w:ascii="Arial" w:hAnsi="Arial" w:cs="Arial"/>
          <w:color w:val="auto"/>
        </w:rPr>
      </w:pPr>
      <w:r w:rsidRPr="00CF1548">
        <w:rPr>
          <w:rFonts w:ascii="Arial" w:hAnsi="Arial" w:cs="Arial"/>
          <w:color w:val="auto"/>
        </w:rPr>
        <w:t xml:space="preserve">After reviewing the operation and effectiveness of the Interim Regulations and consulting with stakeholders, the Proposed Regulations </w:t>
      </w:r>
      <w:r>
        <w:rPr>
          <w:rFonts w:ascii="Arial" w:hAnsi="Arial" w:cs="Arial"/>
          <w:color w:val="auto"/>
        </w:rPr>
        <w:t xml:space="preserve">seek to clarify </w:t>
      </w:r>
      <w:r w:rsidR="00297B17" w:rsidRPr="00CF1548">
        <w:rPr>
          <w:rFonts w:ascii="Arial" w:hAnsi="Arial" w:cs="Arial"/>
          <w:color w:val="auto"/>
        </w:rPr>
        <w:t>f</w:t>
      </w:r>
      <w:r w:rsidR="00297B17">
        <w:rPr>
          <w:rFonts w:ascii="Arial" w:hAnsi="Arial" w:cs="Arial"/>
          <w:color w:val="auto"/>
        </w:rPr>
        <w:t>ive</w:t>
      </w:r>
      <w:r w:rsidR="00297B17" w:rsidRPr="00CF1548">
        <w:rPr>
          <w:rFonts w:ascii="Arial" w:hAnsi="Arial" w:cs="Arial"/>
          <w:color w:val="auto"/>
        </w:rPr>
        <w:t xml:space="preserve"> </w:t>
      </w:r>
      <w:r w:rsidRPr="00CF1548">
        <w:rPr>
          <w:rFonts w:ascii="Arial" w:hAnsi="Arial" w:cs="Arial"/>
          <w:color w:val="auto"/>
        </w:rPr>
        <w:t>additional residual problems that were not fully resolved in the Interim Regulations:</w:t>
      </w:r>
    </w:p>
    <w:p w14:paraId="615480EA" w14:textId="1ED354C8" w:rsidR="00297B17" w:rsidRDefault="00297B17" w:rsidP="00D430EE">
      <w:pPr>
        <w:pStyle w:val="ListBullet"/>
        <w:contextualSpacing w:val="0"/>
        <w:rPr>
          <w:rFonts w:cs="Arial"/>
        </w:rPr>
      </w:pPr>
      <w:r>
        <w:rPr>
          <w:rFonts w:cs="Arial"/>
        </w:rPr>
        <w:t>What is defined as community service work;</w:t>
      </w:r>
    </w:p>
    <w:p w14:paraId="4C7F1ADA" w14:textId="4A1745CC" w:rsidR="00D430EE" w:rsidRPr="00EC5379" w:rsidRDefault="00D430EE" w:rsidP="00D430EE">
      <w:pPr>
        <w:pStyle w:val="ListBullet"/>
        <w:contextualSpacing w:val="0"/>
        <w:rPr>
          <w:rFonts w:cs="Arial"/>
        </w:rPr>
      </w:pPr>
      <w:r w:rsidRPr="00EC5379">
        <w:rPr>
          <w:rFonts w:cs="Arial"/>
        </w:rPr>
        <w:t>Who is</w:t>
      </w:r>
      <w:r w:rsidR="00D10FD4">
        <w:rPr>
          <w:rFonts w:cs="Arial"/>
        </w:rPr>
        <w:t xml:space="preserve"> not </w:t>
      </w:r>
      <w:r w:rsidR="002A50A9">
        <w:rPr>
          <w:rFonts w:cs="Arial"/>
          <w:color w:val="auto"/>
        </w:rPr>
        <w:t xml:space="preserve">regarded as </w:t>
      </w:r>
      <w:r w:rsidRPr="00EC5379">
        <w:rPr>
          <w:rFonts w:cs="Arial"/>
        </w:rPr>
        <w:t>an employer in the community services sector;</w:t>
      </w:r>
    </w:p>
    <w:p w14:paraId="4335E859" w14:textId="46D3F93F" w:rsidR="00D430EE" w:rsidRPr="00EC5379" w:rsidRDefault="00D430EE" w:rsidP="00D430EE">
      <w:pPr>
        <w:pStyle w:val="ListBullet"/>
        <w:contextualSpacing w:val="0"/>
        <w:rPr>
          <w:rFonts w:cs="Arial"/>
        </w:rPr>
      </w:pPr>
      <w:r w:rsidRPr="00EC5379">
        <w:rPr>
          <w:rFonts w:cs="Arial"/>
        </w:rPr>
        <w:t xml:space="preserve">Who are not </w:t>
      </w:r>
      <w:r w:rsidR="003D4070">
        <w:rPr>
          <w:rFonts w:cs="Arial"/>
        </w:rPr>
        <w:t xml:space="preserve">regarded as </w:t>
      </w:r>
      <w:r w:rsidRPr="00EC5379">
        <w:rPr>
          <w:rFonts w:cs="Arial"/>
        </w:rPr>
        <w:t>employees in the community services sector;</w:t>
      </w:r>
    </w:p>
    <w:p w14:paraId="061F7F4B" w14:textId="62179D2E" w:rsidR="00D430EE" w:rsidRPr="00EC5379" w:rsidRDefault="00D430EE" w:rsidP="00D430EE">
      <w:pPr>
        <w:pStyle w:val="ListBullet"/>
        <w:contextualSpacing w:val="0"/>
        <w:rPr>
          <w:rFonts w:cs="Arial"/>
        </w:rPr>
      </w:pPr>
      <w:r w:rsidRPr="00EC5379">
        <w:rPr>
          <w:rFonts w:cs="Arial"/>
        </w:rPr>
        <w:t xml:space="preserve">Who is </w:t>
      </w:r>
      <w:r w:rsidR="0071726F">
        <w:rPr>
          <w:rFonts w:cs="Arial"/>
          <w:color w:val="auto"/>
        </w:rPr>
        <w:t xml:space="preserve">regarded as </w:t>
      </w:r>
      <w:r w:rsidRPr="00EC5379">
        <w:rPr>
          <w:rFonts w:cs="Arial"/>
        </w:rPr>
        <w:t xml:space="preserve">an employee in the security industry; and </w:t>
      </w:r>
    </w:p>
    <w:p w14:paraId="5137AF08" w14:textId="63C7B133" w:rsidR="00D430EE" w:rsidRPr="002A5AEC" w:rsidRDefault="00CF5417" w:rsidP="002A5AEC">
      <w:pPr>
        <w:pStyle w:val="ListBullet"/>
        <w:contextualSpacing w:val="0"/>
        <w:rPr>
          <w:rFonts w:cs="Arial"/>
        </w:rPr>
      </w:pPr>
      <w:r>
        <w:rPr>
          <w:rFonts w:cs="Arial"/>
        </w:rPr>
        <w:t xml:space="preserve">Reimbursing employers for </w:t>
      </w:r>
      <w:r w:rsidR="00DB3ADD">
        <w:rPr>
          <w:rFonts w:cs="Arial"/>
        </w:rPr>
        <w:t>double-dipping</w:t>
      </w:r>
      <w:r w:rsidR="000500F9">
        <w:rPr>
          <w:rFonts w:cs="Arial"/>
        </w:rPr>
        <w:t xml:space="preserve"> claims</w:t>
      </w:r>
      <w:r w:rsidR="00D430EE" w:rsidRPr="00EC5379">
        <w:rPr>
          <w:rFonts w:cs="Arial"/>
        </w:rPr>
        <w:t xml:space="preserve"> in</w:t>
      </w:r>
      <w:r w:rsidR="00D430EE">
        <w:rPr>
          <w:rFonts w:cs="Arial"/>
        </w:rPr>
        <w:t xml:space="preserve"> the community services sector</w:t>
      </w:r>
      <w:r w:rsidR="00AD7B94">
        <w:rPr>
          <w:rFonts w:cs="Arial"/>
        </w:rPr>
        <w:t xml:space="preserve"> under the</w:t>
      </w:r>
      <w:r w:rsidR="00AD7B94" w:rsidRPr="00274787">
        <w:rPr>
          <w:rFonts w:cs="Arial"/>
          <w:i/>
        </w:rPr>
        <w:t xml:space="preserve"> Long Service Leave Act</w:t>
      </w:r>
      <w:r w:rsidR="00274787">
        <w:rPr>
          <w:rFonts w:cs="Arial"/>
        </w:rPr>
        <w:t> </w:t>
      </w:r>
      <w:r w:rsidR="009F48BA" w:rsidRPr="00274787">
        <w:rPr>
          <w:rFonts w:cs="Arial"/>
          <w:i/>
        </w:rPr>
        <w:t>2018</w:t>
      </w:r>
      <w:r w:rsidR="00D430EE">
        <w:rPr>
          <w:rFonts w:cs="Arial"/>
        </w:rPr>
        <w:t>.</w:t>
      </w:r>
    </w:p>
    <w:p w14:paraId="6042B7B9" w14:textId="77777777" w:rsidR="00D430EE" w:rsidRPr="00E509BE" w:rsidRDefault="00D430EE" w:rsidP="00D430EE">
      <w:pPr>
        <w:pStyle w:val="ListBullet"/>
        <w:numPr>
          <w:ilvl w:val="0"/>
          <w:numId w:val="0"/>
        </w:numPr>
        <w:rPr>
          <w:rFonts w:cs="Arial"/>
        </w:rPr>
      </w:pPr>
      <w:r>
        <w:rPr>
          <w:rFonts w:cs="Arial"/>
        </w:rPr>
        <w:t xml:space="preserve">These changes would impact upon the community services sector and the security sector. There would be no impact on the contract cleaning sector. The remaining elements of the Interim Regulations would remain unchanged in the Proposed Regulations. </w:t>
      </w:r>
    </w:p>
    <w:p w14:paraId="7A8F1623" w14:textId="4D0DB3BD" w:rsidR="00D430EE" w:rsidRPr="00E509BE" w:rsidRDefault="00D430EE" w:rsidP="00D430EE">
      <w:pPr>
        <w:spacing w:before="240"/>
        <w:rPr>
          <w:rFonts w:ascii="Arial" w:hAnsi="Arial" w:cs="Arial"/>
          <w:color w:val="auto"/>
        </w:rPr>
      </w:pPr>
      <w:r w:rsidRPr="00E509BE">
        <w:rPr>
          <w:rFonts w:ascii="Arial" w:hAnsi="Arial" w:cs="Arial"/>
          <w:color w:val="auto"/>
        </w:rPr>
        <w:t>As can be seen from the quantification undertaken in the</w:t>
      </w:r>
      <w:r w:rsidR="00C33E5A">
        <w:rPr>
          <w:rFonts w:ascii="Arial" w:hAnsi="Arial" w:cs="Arial"/>
          <w:color w:val="auto"/>
        </w:rPr>
        <w:t xml:space="preserve"> 2019 RIS, remaking the</w:t>
      </w:r>
      <w:r w:rsidRPr="00E509BE">
        <w:rPr>
          <w:rFonts w:ascii="Arial" w:hAnsi="Arial" w:cs="Arial"/>
          <w:color w:val="auto"/>
        </w:rPr>
        <w:t xml:space="preserve"> Regulations are likely to impose a burden greater than $2 million on the community services and industry sectors</w:t>
      </w:r>
      <w:r w:rsidR="003D4070">
        <w:rPr>
          <w:rFonts w:ascii="Arial" w:hAnsi="Arial" w:cs="Arial"/>
          <w:color w:val="auto"/>
        </w:rPr>
        <w:t>,</w:t>
      </w:r>
      <w:r w:rsidRPr="00E509BE">
        <w:rPr>
          <w:rFonts w:ascii="Arial" w:hAnsi="Arial" w:cs="Arial"/>
          <w:color w:val="auto"/>
        </w:rPr>
        <w:t xml:space="preserve"> and therefore a RIS is required, in accordance with the provisions of the </w:t>
      </w:r>
      <w:r w:rsidRPr="00E509BE">
        <w:rPr>
          <w:rFonts w:ascii="Arial" w:hAnsi="Arial" w:cs="Arial"/>
          <w:i/>
          <w:color w:val="auto"/>
        </w:rPr>
        <w:t>Subordinate Legislation Act 1994</w:t>
      </w:r>
      <w:r>
        <w:rPr>
          <w:rFonts w:ascii="Arial" w:hAnsi="Arial" w:cs="Arial"/>
          <w:i/>
          <w:color w:val="auto"/>
        </w:rPr>
        <w:t xml:space="preserve"> </w:t>
      </w:r>
      <w:r>
        <w:rPr>
          <w:rFonts w:ascii="Arial" w:hAnsi="Arial" w:cs="Arial"/>
          <w:color w:val="auto"/>
        </w:rPr>
        <w:t>(Vic)</w:t>
      </w:r>
      <w:r w:rsidR="00551EAD">
        <w:rPr>
          <w:rFonts w:ascii="Arial" w:hAnsi="Arial" w:cs="Arial"/>
          <w:color w:val="auto"/>
        </w:rPr>
        <w:t>. This RIS has been prepared in accordance with the</w:t>
      </w:r>
      <w:r w:rsidR="00551EAD" w:rsidRPr="00E509BE">
        <w:rPr>
          <w:rFonts w:ascii="Arial" w:hAnsi="Arial" w:cs="Arial"/>
          <w:color w:val="auto"/>
        </w:rPr>
        <w:t xml:space="preserve"> Victorian Guide to Regulation.</w:t>
      </w:r>
    </w:p>
    <w:p w14:paraId="5E512610" w14:textId="617ED82C" w:rsidR="00D430EE" w:rsidRPr="00E509BE" w:rsidRDefault="00D430EE" w:rsidP="00D430EE">
      <w:pPr>
        <w:pStyle w:val="BodyText"/>
        <w:rPr>
          <w:rFonts w:cs="Arial"/>
          <w:color w:val="auto"/>
        </w:rPr>
      </w:pPr>
      <w:r w:rsidRPr="00E509BE">
        <w:rPr>
          <w:rFonts w:cs="Arial"/>
          <w:color w:val="auto"/>
        </w:rPr>
        <w:t xml:space="preserve">By issuing the RIS, the </w:t>
      </w:r>
      <w:r w:rsidR="003D4070">
        <w:rPr>
          <w:rFonts w:cs="Arial"/>
          <w:color w:val="auto"/>
        </w:rPr>
        <w:t>G</w:t>
      </w:r>
      <w:r w:rsidRPr="00E509BE">
        <w:rPr>
          <w:rFonts w:cs="Arial"/>
          <w:color w:val="auto"/>
        </w:rPr>
        <w:t xml:space="preserve">overnment provides the community services and security sectors with the opportunity to assess the </w:t>
      </w:r>
      <w:r>
        <w:rPr>
          <w:rFonts w:cs="Arial"/>
          <w:color w:val="auto"/>
        </w:rPr>
        <w:t>P</w:t>
      </w:r>
      <w:r w:rsidRPr="00E509BE">
        <w:rPr>
          <w:rFonts w:cs="Arial"/>
          <w:color w:val="auto"/>
        </w:rPr>
        <w:t>roposed Regulations in terms of their objectives and effect, as well as alternative approaches to achieving the stated objectives, and an assessment of the costs and benefits of the Regulations and the alternatives.</w:t>
      </w:r>
    </w:p>
    <w:p w14:paraId="6375F59D" w14:textId="1B76BF01" w:rsidR="00D41437" w:rsidRPr="00EC5379" w:rsidRDefault="00D41437" w:rsidP="00D41437">
      <w:pPr>
        <w:pStyle w:val="Heading2"/>
        <w:rPr>
          <w:rFonts w:ascii="Arial" w:hAnsi="Arial" w:cs="Arial"/>
        </w:rPr>
      </w:pPr>
      <w:bookmarkStart w:id="38" w:name="_Ref35506219"/>
      <w:bookmarkStart w:id="39" w:name="_Ref35506226"/>
      <w:bookmarkStart w:id="40" w:name="_Toc37921477"/>
      <w:r w:rsidRPr="00EC5379">
        <w:rPr>
          <w:rFonts w:ascii="Arial" w:hAnsi="Arial" w:cs="Arial"/>
        </w:rPr>
        <w:t>What would happen if there were no Regulations</w:t>
      </w:r>
      <w:bookmarkEnd w:id="38"/>
      <w:bookmarkEnd w:id="39"/>
      <w:r w:rsidR="0072722B">
        <w:rPr>
          <w:rFonts w:ascii="Arial" w:hAnsi="Arial" w:cs="Arial"/>
        </w:rPr>
        <w:t>?</w:t>
      </w:r>
      <w:bookmarkEnd w:id="40"/>
    </w:p>
    <w:p w14:paraId="77B2958E" w14:textId="77777777" w:rsidR="00D430EE" w:rsidRPr="00EC5379" w:rsidRDefault="00D430EE" w:rsidP="00D430EE">
      <w:pPr>
        <w:spacing w:before="240"/>
        <w:rPr>
          <w:rFonts w:ascii="Arial" w:hAnsi="Arial" w:cs="Arial"/>
        </w:rPr>
      </w:pPr>
      <w:r w:rsidRPr="00EC5379">
        <w:rPr>
          <w:rFonts w:ascii="Arial" w:hAnsi="Arial" w:cs="Arial"/>
        </w:rPr>
        <w:t>Regulations can only make rules and specifications about matters permitted by the relevant Act. That is, they are entirely subordinate to a principal Act. The principal legislation will generally set out high-level concepts but may leave techn</w:t>
      </w:r>
      <w:r>
        <w:rPr>
          <w:rFonts w:ascii="Arial" w:hAnsi="Arial" w:cs="Arial"/>
        </w:rPr>
        <w:t>ical detail to be specified in R</w:t>
      </w:r>
      <w:r w:rsidRPr="00EC5379">
        <w:rPr>
          <w:rFonts w:ascii="Arial" w:hAnsi="Arial" w:cs="Arial"/>
        </w:rPr>
        <w:t>egulations. If an Act specifies that a matter must be prescribed by regulation, generally this matter must be dealt with by the regulation or else the legislation is either not fully effective or the regulatory functions may be incomplete or defective.</w:t>
      </w:r>
    </w:p>
    <w:p w14:paraId="0502C0DB" w14:textId="2AADABBF" w:rsidR="00BA4965" w:rsidRPr="00FD7CFA" w:rsidRDefault="00BA4965" w:rsidP="00BA4965">
      <w:pPr>
        <w:spacing w:before="240"/>
        <w:rPr>
          <w:rFonts w:ascii="Arial" w:hAnsi="Arial" w:cs="Arial"/>
        </w:rPr>
      </w:pPr>
      <w:r w:rsidRPr="00EC5379">
        <w:rPr>
          <w:rFonts w:ascii="Arial" w:hAnsi="Arial" w:cs="Arial"/>
          <w:color w:val="auto"/>
        </w:rPr>
        <w:t>If the Interim Regulations</w:t>
      </w:r>
      <w:r>
        <w:rPr>
          <w:rFonts w:ascii="Arial" w:hAnsi="Arial" w:cs="Arial"/>
          <w:color w:val="auto"/>
        </w:rPr>
        <w:t xml:space="preserve"> were to</w:t>
      </w:r>
      <w:r w:rsidRPr="00EC5379">
        <w:rPr>
          <w:rFonts w:ascii="Arial" w:hAnsi="Arial" w:cs="Arial"/>
          <w:color w:val="auto"/>
        </w:rPr>
        <w:t xml:space="preserve"> expire on 6 November 2020 and no replacement Regulations are made, the Scheme </w:t>
      </w:r>
      <w:r>
        <w:rPr>
          <w:rFonts w:ascii="Arial" w:hAnsi="Arial" w:cs="Arial"/>
          <w:color w:val="auto"/>
        </w:rPr>
        <w:t>c</w:t>
      </w:r>
      <w:r w:rsidRPr="00EC5379">
        <w:rPr>
          <w:rFonts w:ascii="Arial" w:hAnsi="Arial" w:cs="Arial"/>
          <w:color w:val="auto"/>
        </w:rPr>
        <w:t xml:space="preserve">ould not operate as intended. </w:t>
      </w:r>
      <w:r>
        <w:rPr>
          <w:rFonts w:ascii="Arial" w:hAnsi="Arial" w:cs="Arial"/>
        </w:rPr>
        <w:t xml:space="preserve">As detailed in </w:t>
      </w:r>
      <w:r w:rsidR="003D4070">
        <w:rPr>
          <w:rFonts w:ascii="Arial" w:hAnsi="Arial" w:cs="Arial"/>
        </w:rPr>
        <w:fldChar w:fldCharType="begin"/>
      </w:r>
      <w:r w:rsidR="003D4070">
        <w:rPr>
          <w:rFonts w:ascii="Arial" w:hAnsi="Arial" w:cs="Arial"/>
        </w:rPr>
        <w:instrText xml:space="preserve"> REF _Ref37321571 \h </w:instrText>
      </w:r>
      <w:r w:rsidR="003D4070">
        <w:rPr>
          <w:rFonts w:ascii="Arial" w:hAnsi="Arial" w:cs="Arial"/>
        </w:rPr>
      </w:r>
      <w:r w:rsidR="003D4070">
        <w:rPr>
          <w:rFonts w:ascii="Arial" w:hAnsi="Arial" w:cs="Arial"/>
        </w:rPr>
        <w:fldChar w:fldCharType="separate"/>
      </w:r>
      <w:r w:rsidR="003D4070">
        <w:rPr>
          <w:rFonts w:ascii="Arial" w:hAnsi="Arial" w:cs="Arial"/>
        </w:rPr>
        <w:t>T</w:t>
      </w:r>
      <w:r w:rsidR="003D4070" w:rsidRPr="00EC5379">
        <w:rPr>
          <w:rFonts w:ascii="Arial" w:hAnsi="Arial" w:cs="Arial"/>
        </w:rPr>
        <w:t xml:space="preserve">able </w:t>
      </w:r>
      <w:r w:rsidR="003D4070">
        <w:rPr>
          <w:rFonts w:ascii="Arial" w:hAnsi="Arial" w:cs="Arial"/>
          <w:noProof/>
        </w:rPr>
        <w:t>3</w:t>
      </w:r>
      <w:r w:rsidR="003D4070">
        <w:rPr>
          <w:rFonts w:ascii="Arial" w:hAnsi="Arial" w:cs="Arial"/>
        </w:rPr>
        <w:fldChar w:fldCharType="end"/>
      </w:r>
      <w:r>
        <w:rPr>
          <w:rFonts w:ascii="Arial" w:hAnsi="Arial" w:cs="Arial"/>
        </w:rPr>
        <w:t>, a</w:t>
      </w:r>
      <w:r w:rsidRPr="00EC5379">
        <w:rPr>
          <w:rFonts w:ascii="Arial" w:hAnsi="Arial" w:cs="Arial"/>
        </w:rPr>
        <w:t>llowing the Interim Regulations to expire without replac</w:t>
      </w:r>
      <w:r>
        <w:rPr>
          <w:rFonts w:ascii="Arial" w:hAnsi="Arial" w:cs="Arial"/>
        </w:rPr>
        <w:t xml:space="preserve">ing them is not seen as a viable option. It would reduce clarity for </w:t>
      </w:r>
      <w:r w:rsidR="00DB01D9">
        <w:rPr>
          <w:rFonts w:ascii="Arial" w:hAnsi="Arial" w:cs="Arial"/>
        </w:rPr>
        <w:t>employers</w:t>
      </w:r>
      <w:r>
        <w:rPr>
          <w:rFonts w:ascii="Arial" w:hAnsi="Arial" w:cs="Arial"/>
        </w:rPr>
        <w:t xml:space="preserve"> and employees who are covered by the Scheme, remove portable long service entitlements from employees employed </w:t>
      </w:r>
      <w:r>
        <w:rPr>
          <w:rFonts w:ascii="Arial" w:hAnsi="Arial" w:cs="Arial"/>
          <w:color w:val="auto"/>
        </w:rPr>
        <w:t>by</w:t>
      </w:r>
      <w:r w:rsidR="003D4070">
        <w:rPr>
          <w:rFonts w:ascii="Arial" w:hAnsi="Arial" w:cs="Arial"/>
          <w:color w:val="auto"/>
        </w:rPr>
        <w:t xml:space="preserve"> the</w:t>
      </w:r>
      <w:r>
        <w:rPr>
          <w:rFonts w:ascii="Arial" w:hAnsi="Arial" w:cs="Arial"/>
          <w:color w:val="auto"/>
        </w:rPr>
        <w:t xml:space="preserve"> NDIS </w:t>
      </w:r>
      <w:r>
        <w:rPr>
          <w:rFonts w:ascii="Arial" w:hAnsi="Arial" w:cs="Arial"/>
          <w:color w:val="auto"/>
        </w:rPr>
        <w:lastRenderedPageBreak/>
        <w:t xml:space="preserve">and </w:t>
      </w:r>
      <w:r w:rsidR="00C33E5A">
        <w:rPr>
          <w:rFonts w:ascii="Arial" w:hAnsi="Arial" w:cs="Arial"/>
          <w:color w:val="auto"/>
        </w:rPr>
        <w:t>early childhood education</w:t>
      </w:r>
      <w:r>
        <w:rPr>
          <w:rFonts w:ascii="Arial" w:hAnsi="Arial" w:cs="Arial"/>
          <w:color w:val="auto"/>
        </w:rPr>
        <w:t xml:space="preserve"> entities, and impact the effective and efficient operation of the Authority. Also, </w:t>
      </w:r>
      <w:r w:rsidR="009F6B64">
        <w:rPr>
          <w:rFonts w:ascii="Arial" w:hAnsi="Arial" w:cs="Arial"/>
          <w:color w:val="auto"/>
        </w:rPr>
        <w:t>if no replacement Regulations are made, employers in the community services sector would be required</w:t>
      </w:r>
      <w:r w:rsidR="009F6B64" w:rsidRPr="00515AD2">
        <w:rPr>
          <w:rFonts w:ascii="Arial" w:hAnsi="Arial" w:cs="Arial"/>
          <w:color w:val="auto"/>
        </w:rPr>
        <w:t xml:space="preserve"> to pay</w:t>
      </w:r>
      <w:r w:rsidR="009F6B64">
        <w:rPr>
          <w:rFonts w:ascii="Arial" w:hAnsi="Arial" w:cs="Arial"/>
          <w:color w:val="auto"/>
        </w:rPr>
        <w:t xml:space="preserve"> both</w:t>
      </w:r>
      <w:r w:rsidR="009F6B64" w:rsidRPr="00515AD2">
        <w:rPr>
          <w:rFonts w:ascii="Arial" w:hAnsi="Arial" w:cs="Arial"/>
          <w:color w:val="auto"/>
        </w:rPr>
        <w:t xml:space="preserve"> a levy to the Authority and pay an employee for a long</w:t>
      </w:r>
      <w:r w:rsidR="009F6B64">
        <w:rPr>
          <w:rFonts w:ascii="Arial" w:hAnsi="Arial" w:cs="Arial"/>
          <w:color w:val="auto"/>
        </w:rPr>
        <w:t xml:space="preserve"> service entitlement under a fair w</w:t>
      </w:r>
      <w:r w:rsidR="009F6B64" w:rsidRPr="00C22E90">
        <w:rPr>
          <w:rFonts w:ascii="Arial" w:hAnsi="Arial" w:cs="Arial"/>
          <w:color w:val="auto"/>
        </w:rPr>
        <w:t>ork instrument</w:t>
      </w:r>
      <w:r w:rsidR="009F6B64">
        <w:rPr>
          <w:rFonts w:ascii="Arial" w:hAnsi="Arial" w:cs="Arial"/>
          <w:color w:val="auto"/>
        </w:rPr>
        <w:t>, and they would not be entitled to reimbursement</w:t>
      </w:r>
      <w:r w:rsidR="0072722B">
        <w:rPr>
          <w:rFonts w:ascii="Arial" w:hAnsi="Arial" w:cs="Arial"/>
          <w:color w:val="auto"/>
        </w:rPr>
        <w:t xml:space="preserve"> to compensate them for any employee double-dipping claims</w:t>
      </w:r>
      <w:r w:rsidR="009F6B64">
        <w:rPr>
          <w:rFonts w:ascii="Arial" w:hAnsi="Arial" w:cs="Arial"/>
          <w:color w:val="auto"/>
        </w:rPr>
        <w:t>.</w:t>
      </w:r>
    </w:p>
    <w:p w14:paraId="13D3D5E5" w14:textId="63A27DED" w:rsidR="002A5AEC" w:rsidRDefault="002A5AEC" w:rsidP="002A5AEC">
      <w:pPr>
        <w:spacing w:before="240"/>
        <w:rPr>
          <w:rFonts w:ascii="Arial" w:hAnsi="Arial" w:cs="Arial"/>
          <w:color w:val="auto"/>
        </w:rPr>
      </w:pPr>
      <w:r w:rsidRPr="00EC5379">
        <w:rPr>
          <w:rFonts w:ascii="Arial" w:hAnsi="Arial" w:cs="Arial"/>
          <w:color w:val="auto"/>
        </w:rPr>
        <w:t>As the 2019 RIS made clear, each area of the Interim Regulations set out below is necessary to allow the Scheme to operate as intended</w:t>
      </w:r>
      <w:r>
        <w:rPr>
          <w:rFonts w:ascii="Arial" w:hAnsi="Arial" w:cs="Arial"/>
          <w:color w:val="auto"/>
        </w:rPr>
        <w:t xml:space="preserve">. </w:t>
      </w:r>
      <w:r w:rsidRPr="00EC5379">
        <w:rPr>
          <w:rFonts w:ascii="Arial" w:hAnsi="Arial" w:cs="Arial"/>
        </w:rPr>
        <w:t xml:space="preserve">For the purposes of this RIS, the </w:t>
      </w:r>
      <w:r>
        <w:rPr>
          <w:rFonts w:ascii="Arial" w:hAnsi="Arial" w:cs="Arial"/>
        </w:rPr>
        <w:t>reference</w:t>
      </w:r>
      <w:r w:rsidRPr="00EC5379">
        <w:rPr>
          <w:rFonts w:ascii="Arial" w:hAnsi="Arial" w:cs="Arial"/>
        </w:rPr>
        <w:t xml:space="preserve"> case as</w:t>
      </w:r>
      <w:r>
        <w:rPr>
          <w:rFonts w:ascii="Arial" w:hAnsi="Arial" w:cs="Arial"/>
        </w:rPr>
        <w:t xml:space="preserve">sumes that the </w:t>
      </w:r>
      <w:r w:rsidR="0013418B">
        <w:rPr>
          <w:rFonts w:ascii="Arial" w:hAnsi="Arial" w:cs="Arial"/>
        </w:rPr>
        <w:t>status quo</w:t>
      </w:r>
      <w:r>
        <w:rPr>
          <w:rFonts w:ascii="Arial" w:hAnsi="Arial" w:cs="Arial"/>
        </w:rPr>
        <w:t xml:space="preserve"> elements of the Interim R</w:t>
      </w:r>
      <w:r w:rsidRPr="00EC5379">
        <w:rPr>
          <w:rFonts w:ascii="Arial" w:hAnsi="Arial" w:cs="Arial"/>
        </w:rPr>
        <w:t>egulations</w:t>
      </w:r>
      <w:r>
        <w:rPr>
          <w:rFonts w:ascii="Arial" w:hAnsi="Arial" w:cs="Arial"/>
        </w:rPr>
        <w:t xml:space="preserve"> </w:t>
      </w:r>
      <w:r w:rsidRPr="00EC5379">
        <w:rPr>
          <w:rFonts w:ascii="Arial" w:hAnsi="Arial" w:cs="Arial"/>
        </w:rPr>
        <w:t xml:space="preserve">necessary to ensure the </w:t>
      </w:r>
      <w:r w:rsidR="002E3F81">
        <w:rPr>
          <w:rFonts w:ascii="Arial" w:hAnsi="Arial" w:cs="Arial"/>
        </w:rPr>
        <w:t xml:space="preserve">LSBP </w:t>
      </w:r>
      <w:r w:rsidRPr="00EC5379">
        <w:rPr>
          <w:rFonts w:ascii="Arial" w:hAnsi="Arial" w:cs="Arial"/>
        </w:rPr>
        <w:t xml:space="preserve">Act continues to operate </w:t>
      </w:r>
      <w:r w:rsidR="003D4070">
        <w:rPr>
          <w:rFonts w:ascii="Arial" w:hAnsi="Arial" w:cs="Arial"/>
        </w:rPr>
        <w:t>remain in place</w:t>
      </w:r>
      <w:r w:rsidRPr="00EC5379">
        <w:rPr>
          <w:rFonts w:ascii="Arial" w:hAnsi="Arial" w:cs="Arial"/>
        </w:rPr>
        <w:t>.</w:t>
      </w:r>
      <w:r w:rsidRPr="00BA1BEE">
        <w:rPr>
          <w:rFonts w:ascii="Arial" w:hAnsi="Arial" w:cs="Arial"/>
          <w:color w:val="auto"/>
        </w:rPr>
        <w:t xml:space="preserve"> </w:t>
      </w:r>
      <w:r w:rsidRPr="00EC5379">
        <w:rPr>
          <w:rFonts w:ascii="Arial" w:hAnsi="Arial" w:cs="Arial"/>
          <w:color w:val="auto"/>
        </w:rPr>
        <w:t xml:space="preserve">The case for </w:t>
      </w:r>
      <w:r>
        <w:rPr>
          <w:rFonts w:ascii="Arial" w:hAnsi="Arial" w:cs="Arial"/>
          <w:color w:val="auto"/>
        </w:rPr>
        <w:t xml:space="preserve">the </w:t>
      </w:r>
      <w:r w:rsidRPr="00EC5379">
        <w:rPr>
          <w:rFonts w:ascii="Arial" w:hAnsi="Arial" w:cs="Arial"/>
          <w:color w:val="auto"/>
        </w:rPr>
        <w:t xml:space="preserve">Regulations </w:t>
      </w:r>
      <w:r>
        <w:rPr>
          <w:rFonts w:ascii="Arial" w:hAnsi="Arial" w:cs="Arial"/>
          <w:color w:val="auto"/>
        </w:rPr>
        <w:t xml:space="preserve">overall was made in the 2019 RIS and </w:t>
      </w:r>
      <w:r w:rsidR="00524140">
        <w:rPr>
          <w:rFonts w:ascii="Arial" w:hAnsi="Arial" w:cs="Arial"/>
          <w:color w:val="auto"/>
        </w:rPr>
        <w:t xml:space="preserve">is </w:t>
      </w:r>
      <w:r>
        <w:rPr>
          <w:rFonts w:ascii="Arial" w:hAnsi="Arial" w:cs="Arial"/>
          <w:color w:val="auto"/>
        </w:rPr>
        <w:t xml:space="preserve">summarised in section </w:t>
      </w:r>
      <w:r>
        <w:rPr>
          <w:rFonts w:ascii="Arial" w:hAnsi="Arial" w:cs="Arial"/>
          <w:color w:val="auto"/>
        </w:rPr>
        <w:fldChar w:fldCharType="begin"/>
      </w:r>
      <w:r>
        <w:rPr>
          <w:rFonts w:ascii="Arial" w:hAnsi="Arial" w:cs="Arial"/>
          <w:color w:val="auto"/>
        </w:rPr>
        <w:instrText xml:space="preserve"> REF _Ref34831823 \r \h </w:instrText>
      </w:r>
      <w:r>
        <w:rPr>
          <w:rFonts w:ascii="Arial" w:hAnsi="Arial" w:cs="Arial"/>
          <w:color w:val="auto"/>
        </w:rPr>
      </w:r>
      <w:r>
        <w:rPr>
          <w:rFonts w:ascii="Arial" w:hAnsi="Arial" w:cs="Arial"/>
          <w:color w:val="auto"/>
        </w:rPr>
        <w:fldChar w:fldCharType="separate"/>
      </w:r>
      <w:r w:rsidR="009F48BA">
        <w:rPr>
          <w:rFonts w:ascii="Arial" w:hAnsi="Arial" w:cs="Arial"/>
          <w:color w:val="auto"/>
        </w:rPr>
        <w:t>1.4.1</w:t>
      </w:r>
      <w:r>
        <w:rPr>
          <w:rFonts w:ascii="Arial" w:hAnsi="Arial" w:cs="Arial"/>
          <w:color w:val="auto"/>
        </w:rPr>
        <w:fldChar w:fldCharType="end"/>
      </w:r>
      <w:r>
        <w:rPr>
          <w:rFonts w:ascii="Arial" w:hAnsi="Arial" w:cs="Arial"/>
          <w:color w:val="auto"/>
        </w:rPr>
        <w:t xml:space="preserve"> of this document.</w:t>
      </w:r>
    </w:p>
    <w:p w14:paraId="78458AEB" w14:textId="0D6E8907" w:rsidR="0072722B" w:rsidRDefault="0072722B" w:rsidP="00AD518C">
      <w:pPr>
        <w:pStyle w:val="BodyText"/>
        <w:spacing w:before="120"/>
      </w:pPr>
      <w:r w:rsidRPr="00E07AF7">
        <w:rPr>
          <w:rFonts w:cs="Arial"/>
          <w:color w:val="auto"/>
        </w:rPr>
        <w:t xml:space="preserve">The balance of this RIS assesses the problems, costs and benefits of amending the Interim Regulations. The analysis focused on the marginal impacts compared to the Interim Regulations (i.e. the status quo) as opposed to a case with no regulations. </w:t>
      </w:r>
    </w:p>
    <w:p w14:paraId="3F19CA0F" w14:textId="5988EAD2" w:rsidR="00CB66EC" w:rsidRPr="00234A0B" w:rsidRDefault="00BA4965" w:rsidP="00CB66EC">
      <w:pPr>
        <w:pStyle w:val="Caption"/>
      </w:pPr>
      <w:bookmarkStart w:id="41" w:name="_Ref37321571"/>
      <w:r>
        <w:rPr>
          <w:rFonts w:ascii="Arial" w:hAnsi="Arial" w:cs="Arial"/>
        </w:rPr>
        <w:t>T</w:t>
      </w:r>
      <w:r w:rsidR="00CB66EC" w:rsidRPr="00EC5379">
        <w:rPr>
          <w:rFonts w:ascii="Arial" w:hAnsi="Arial" w:cs="Arial"/>
        </w:rPr>
        <w:t xml:space="preserve">able </w:t>
      </w:r>
      <w:r w:rsidR="00CB66EC" w:rsidRPr="00EC5379">
        <w:rPr>
          <w:rFonts w:ascii="Arial" w:hAnsi="Arial" w:cs="Arial"/>
          <w:noProof/>
        </w:rPr>
        <w:fldChar w:fldCharType="begin"/>
      </w:r>
      <w:r w:rsidR="00CB66EC" w:rsidRPr="00EC5379">
        <w:rPr>
          <w:rFonts w:ascii="Arial" w:hAnsi="Arial" w:cs="Arial"/>
          <w:noProof/>
        </w:rPr>
        <w:instrText xml:space="preserve"> SEQ Table \* ARABIC </w:instrText>
      </w:r>
      <w:r w:rsidR="00CB66EC" w:rsidRPr="00EC5379">
        <w:rPr>
          <w:rFonts w:ascii="Arial" w:hAnsi="Arial" w:cs="Arial"/>
          <w:noProof/>
        </w:rPr>
        <w:fldChar w:fldCharType="separate"/>
      </w:r>
      <w:r w:rsidR="00EB4037">
        <w:rPr>
          <w:rFonts w:ascii="Arial" w:hAnsi="Arial" w:cs="Arial"/>
          <w:noProof/>
        </w:rPr>
        <w:t>3</w:t>
      </w:r>
      <w:r w:rsidR="00CB66EC" w:rsidRPr="00EC5379">
        <w:rPr>
          <w:rFonts w:ascii="Arial" w:hAnsi="Arial" w:cs="Arial"/>
          <w:noProof/>
        </w:rPr>
        <w:fldChar w:fldCharType="end"/>
      </w:r>
      <w:bookmarkEnd w:id="41"/>
      <w:r w:rsidR="00CB66EC" w:rsidRPr="00EC5379">
        <w:rPr>
          <w:rFonts w:ascii="Arial" w:hAnsi="Arial" w:cs="Arial"/>
        </w:rPr>
        <w:t xml:space="preserve">: </w:t>
      </w:r>
      <w:r w:rsidR="00CB66EC" w:rsidRPr="00EC5379">
        <w:rPr>
          <w:rFonts w:ascii="Arial" w:hAnsi="Arial" w:cs="Arial"/>
          <w:color w:val="auto"/>
        </w:rPr>
        <w:t xml:space="preserve">How the </w:t>
      </w:r>
      <w:r w:rsidR="00CB66EC">
        <w:rPr>
          <w:rFonts w:ascii="Arial" w:hAnsi="Arial" w:cs="Arial"/>
          <w:color w:val="auto"/>
        </w:rPr>
        <w:t xml:space="preserve">LSBP </w:t>
      </w:r>
      <w:r w:rsidR="00CB66EC" w:rsidRPr="00EC5379">
        <w:rPr>
          <w:rFonts w:ascii="Arial" w:hAnsi="Arial" w:cs="Arial"/>
          <w:color w:val="auto"/>
        </w:rPr>
        <w:t>Act wo</w:t>
      </w:r>
      <w:r w:rsidR="00CB66EC">
        <w:rPr>
          <w:rFonts w:ascii="Arial" w:hAnsi="Arial" w:cs="Arial"/>
          <w:color w:val="auto"/>
        </w:rPr>
        <w:t xml:space="preserve">uld work in the absence of </w:t>
      </w:r>
      <w:r w:rsidR="00CB66EC" w:rsidRPr="00EC5379">
        <w:rPr>
          <w:rFonts w:ascii="Arial" w:hAnsi="Arial" w:cs="Arial"/>
          <w:color w:val="auto"/>
        </w:rPr>
        <w:t>Regulations</w:t>
      </w:r>
    </w:p>
    <w:tbl>
      <w:tblPr>
        <w:tblStyle w:val="TableGrid"/>
        <w:tblW w:w="0" w:type="auto"/>
        <w:tblLook w:val="04A0" w:firstRow="1" w:lastRow="0" w:firstColumn="1" w:lastColumn="0" w:noHBand="0" w:noVBand="1"/>
      </w:tblPr>
      <w:tblGrid>
        <w:gridCol w:w="4513"/>
        <w:gridCol w:w="4513"/>
      </w:tblGrid>
      <w:tr w:rsidR="00CB66EC" w:rsidRPr="00EC5379" w14:paraId="3F1179B7" w14:textId="77777777" w:rsidTr="004D21B4">
        <w:trPr>
          <w:tblHeader/>
        </w:trPr>
        <w:tc>
          <w:tcPr>
            <w:tcW w:w="4513" w:type="dxa"/>
            <w:tcBorders>
              <w:top w:val="single" w:sz="4" w:space="0" w:color="auto"/>
              <w:left w:val="nil"/>
              <w:bottom w:val="single" w:sz="4" w:space="0" w:color="auto"/>
              <w:right w:val="single" w:sz="4" w:space="0" w:color="auto"/>
            </w:tcBorders>
            <w:shd w:val="clear" w:color="auto" w:fill="002060"/>
          </w:tcPr>
          <w:p w14:paraId="5B6966E8" w14:textId="68966833" w:rsidR="00CB66EC" w:rsidRPr="00EC5379" w:rsidRDefault="00CB66EC" w:rsidP="004D21B4">
            <w:pPr>
              <w:keepNext/>
              <w:rPr>
                <w:rFonts w:ascii="Arial" w:hAnsi="Arial" w:cs="Arial"/>
                <w:b/>
                <w:color w:val="FFFFFF" w:themeColor="background1"/>
              </w:rPr>
            </w:pPr>
            <w:r w:rsidRPr="00EC5379">
              <w:rPr>
                <w:rFonts w:ascii="Arial" w:hAnsi="Arial" w:cs="Arial"/>
                <w:b/>
                <w:color w:val="FFFFFF" w:themeColor="background1"/>
              </w:rPr>
              <w:t xml:space="preserve">What the </w:t>
            </w:r>
            <w:r>
              <w:rPr>
                <w:rFonts w:ascii="Arial" w:hAnsi="Arial" w:cs="Arial"/>
                <w:b/>
                <w:color w:val="FFFFFF" w:themeColor="background1"/>
              </w:rPr>
              <w:t xml:space="preserve">LSBP </w:t>
            </w:r>
            <w:r w:rsidRPr="00EC5379">
              <w:rPr>
                <w:rFonts w:ascii="Arial" w:hAnsi="Arial" w:cs="Arial"/>
                <w:b/>
                <w:color w:val="FFFFFF" w:themeColor="background1"/>
              </w:rPr>
              <w:t>Act leaves to Regulation</w:t>
            </w:r>
            <w:r w:rsidR="003D4070">
              <w:rPr>
                <w:rFonts w:ascii="Arial" w:hAnsi="Arial" w:cs="Arial"/>
                <w:b/>
                <w:color w:val="FFFFFF" w:themeColor="background1"/>
              </w:rPr>
              <w:t>s</w:t>
            </w:r>
          </w:p>
        </w:tc>
        <w:tc>
          <w:tcPr>
            <w:tcW w:w="4513" w:type="dxa"/>
            <w:tcBorders>
              <w:top w:val="single" w:sz="4" w:space="0" w:color="auto"/>
              <w:left w:val="single" w:sz="4" w:space="0" w:color="auto"/>
              <w:bottom w:val="single" w:sz="4" w:space="0" w:color="auto"/>
              <w:right w:val="nil"/>
            </w:tcBorders>
            <w:shd w:val="clear" w:color="auto" w:fill="002060"/>
          </w:tcPr>
          <w:p w14:paraId="759DBABA" w14:textId="77777777" w:rsidR="00CB66EC" w:rsidRPr="00EC5379" w:rsidRDefault="00CB66EC" w:rsidP="004D21B4">
            <w:pPr>
              <w:keepNext/>
              <w:rPr>
                <w:rFonts w:ascii="Arial" w:hAnsi="Arial" w:cs="Arial"/>
                <w:b/>
                <w:color w:val="FFFFFF" w:themeColor="background1"/>
              </w:rPr>
            </w:pPr>
            <w:r w:rsidRPr="00EC5379">
              <w:rPr>
                <w:rFonts w:ascii="Arial" w:hAnsi="Arial" w:cs="Arial"/>
                <w:b/>
                <w:color w:val="FFFFFF" w:themeColor="background1"/>
              </w:rPr>
              <w:t>What happens if no regulations are in place</w:t>
            </w:r>
          </w:p>
        </w:tc>
      </w:tr>
      <w:tr w:rsidR="00CB66EC" w:rsidRPr="00EC5379" w14:paraId="0C78C3DB" w14:textId="77777777" w:rsidTr="004D21B4">
        <w:trPr>
          <w:trHeight w:val="1020"/>
        </w:trPr>
        <w:tc>
          <w:tcPr>
            <w:tcW w:w="4513" w:type="dxa"/>
            <w:tcBorders>
              <w:top w:val="single" w:sz="4" w:space="0" w:color="auto"/>
              <w:left w:val="nil"/>
              <w:bottom w:val="single" w:sz="4" w:space="0" w:color="auto"/>
              <w:right w:val="single" w:sz="4" w:space="0" w:color="auto"/>
            </w:tcBorders>
            <w:shd w:val="clear" w:color="auto" w:fill="DEEAF6" w:themeFill="accent1" w:themeFillTint="33"/>
          </w:tcPr>
          <w:p w14:paraId="1C773CF8" w14:textId="49D1AA7A" w:rsidR="00CB66EC" w:rsidRPr="004B6A2E" w:rsidRDefault="00CB66EC" w:rsidP="003D4070">
            <w:pPr>
              <w:pStyle w:val="Tabletext"/>
              <w:rPr>
                <w:color w:val="auto"/>
              </w:rPr>
            </w:pPr>
            <w:r w:rsidRPr="004B6A2E">
              <w:rPr>
                <w:rFonts w:cs="Arial"/>
                <w:color w:val="auto"/>
              </w:rPr>
              <w:t>The LSBP Act leaves the definition of which employers and employees</w:t>
            </w:r>
            <w:r w:rsidR="00BA4965">
              <w:rPr>
                <w:rFonts w:cs="Arial"/>
                <w:color w:val="auto"/>
              </w:rPr>
              <w:t xml:space="preserve"> in the community services sector</w:t>
            </w:r>
            <w:r w:rsidRPr="004B6A2E">
              <w:rPr>
                <w:rFonts w:cs="Arial"/>
                <w:color w:val="auto"/>
              </w:rPr>
              <w:t xml:space="preserve"> are </w:t>
            </w:r>
            <w:r>
              <w:rPr>
                <w:rFonts w:cs="Arial"/>
                <w:color w:val="auto"/>
              </w:rPr>
              <w:t>considered in-scope of the S</w:t>
            </w:r>
            <w:r w:rsidRPr="004B6A2E">
              <w:rPr>
                <w:rFonts w:cs="Arial"/>
                <w:color w:val="auto"/>
              </w:rPr>
              <w:t>cheme open to refinement through Regulations.</w:t>
            </w:r>
            <w:r w:rsidRPr="004B6A2E">
              <w:rPr>
                <w:color w:val="auto"/>
              </w:rPr>
              <w:t xml:space="preserve"> </w:t>
            </w:r>
          </w:p>
        </w:tc>
        <w:tc>
          <w:tcPr>
            <w:tcW w:w="4513" w:type="dxa"/>
            <w:tcBorders>
              <w:top w:val="single" w:sz="4" w:space="0" w:color="auto"/>
              <w:left w:val="single" w:sz="4" w:space="0" w:color="auto"/>
              <w:bottom w:val="single" w:sz="4" w:space="0" w:color="auto"/>
              <w:right w:val="nil"/>
            </w:tcBorders>
            <w:shd w:val="clear" w:color="auto" w:fill="DEEAF6" w:themeFill="accent1" w:themeFillTint="33"/>
          </w:tcPr>
          <w:p w14:paraId="256AC79E" w14:textId="3EF5D76F" w:rsidR="00CB66EC" w:rsidRPr="004B6A2E" w:rsidRDefault="00CB66EC" w:rsidP="004D21B4">
            <w:pPr>
              <w:pStyle w:val="Tabletext"/>
              <w:keepNext/>
              <w:rPr>
                <w:color w:val="auto"/>
              </w:rPr>
            </w:pPr>
            <w:r>
              <w:rPr>
                <w:rFonts w:cs="Arial"/>
                <w:color w:val="auto"/>
              </w:rPr>
              <w:t xml:space="preserve">Any lack of clarity in the definition of who is </w:t>
            </w:r>
            <w:r w:rsidR="0071726F">
              <w:rPr>
                <w:rFonts w:cs="Arial"/>
                <w:color w:val="auto"/>
              </w:rPr>
              <w:t xml:space="preserve">regarded as </w:t>
            </w:r>
            <w:r>
              <w:rPr>
                <w:rFonts w:cs="Arial"/>
                <w:color w:val="auto"/>
              </w:rPr>
              <w:t>an employer or employee in the sector</w:t>
            </w:r>
            <w:r w:rsidRPr="004B6A2E">
              <w:rPr>
                <w:rFonts w:cs="Arial"/>
                <w:color w:val="auto"/>
              </w:rPr>
              <w:t xml:space="preserve"> has the capacity to result in unnecessary cost implications for </w:t>
            </w:r>
            <w:r w:rsidR="00DB01D9">
              <w:rPr>
                <w:rFonts w:cs="Arial"/>
                <w:color w:val="auto"/>
              </w:rPr>
              <w:t>employers</w:t>
            </w:r>
            <w:r w:rsidRPr="004B6A2E">
              <w:rPr>
                <w:rFonts w:cs="Arial"/>
                <w:color w:val="auto"/>
              </w:rPr>
              <w:t xml:space="preserve"> who may spend time and money registering and paying levies into the </w:t>
            </w:r>
            <w:r>
              <w:rPr>
                <w:rFonts w:cs="Arial"/>
                <w:color w:val="auto"/>
              </w:rPr>
              <w:t>S</w:t>
            </w:r>
            <w:r w:rsidRPr="004B6A2E">
              <w:rPr>
                <w:rFonts w:cs="Arial"/>
                <w:color w:val="auto"/>
              </w:rPr>
              <w:t xml:space="preserve">cheme for </w:t>
            </w:r>
            <w:r w:rsidR="00BA4E89">
              <w:rPr>
                <w:rFonts w:cs="Arial"/>
                <w:color w:val="auto"/>
              </w:rPr>
              <w:t>employee</w:t>
            </w:r>
            <w:r w:rsidRPr="004B6A2E">
              <w:rPr>
                <w:rFonts w:cs="Arial"/>
                <w:color w:val="auto"/>
              </w:rPr>
              <w:t>s who are out of scope. At the same time, employees may be disadvantaged if lack of clarity around their eligibility to participate in the Scheme precludes them from accessing – or otherwise limiting the value of – a long service benefit.</w:t>
            </w:r>
            <w:r w:rsidRPr="004B6A2E">
              <w:rPr>
                <w:color w:val="auto"/>
              </w:rPr>
              <w:t xml:space="preserve"> </w:t>
            </w:r>
          </w:p>
        </w:tc>
      </w:tr>
      <w:tr w:rsidR="00CB66EC" w:rsidRPr="00EC5379" w14:paraId="23D3D7DD" w14:textId="77777777" w:rsidTr="00BE51FC">
        <w:trPr>
          <w:cantSplit/>
        </w:trPr>
        <w:tc>
          <w:tcPr>
            <w:tcW w:w="4513" w:type="dxa"/>
            <w:tcBorders>
              <w:top w:val="single" w:sz="4" w:space="0" w:color="auto"/>
              <w:left w:val="nil"/>
              <w:bottom w:val="single" w:sz="4" w:space="0" w:color="auto"/>
              <w:right w:val="single" w:sz="4" w:space="0" w:color="auto"/>
            </w:tcBorders>
            <w:shd w:val="clear" w:color="auto" w:fill="DEEAF6" w:themeFill="accent1" w:themeFillTint="33"/>
          </w:tcPr>
          <w:p w14:paraId="0FFE58AA" w14:textId="79E5793C" w:rsidR="00CB66EC" w:rsidRPr="004B6A2E" w:rsidRDefault="00CB66EC" w:rsidP="00DB3ADD">
            <w:pPr>
              <w:spacing w:before="40" w:after="40"/>
              <w:rPr>
                <w:rFonts w:ascii="Times New Roman" w:hAnsi="Times New Roman" w:cs="Times New Roman"/>
                <w:color w:val="auto"/>
                <w:sz w:val="24"/>
                <w:szCs w:val="24"/>
                <w:lang w:eastAsia="en-AU"/>
              </w:rPr>
            </w:pPr>
            <w:r w:rsidRPr="004B6A2E">
              <w:rPr>
                <w:rFonts w:ascii="Arial" w:hAnsi="Arial" w:cs="Arial"/>
                <w:color w:val="auto"/>
              </w:rPr>
              <w:t>The definition of com</w:t>
            </w:r>
            <w:r>
              <w:rPr>
                <w:rFonts w:ascii="Arial" w:hAnsi="Arial" w:cs="Arial"/>
                <w:color w:val="auto"/>
              </w:rPr>
              <w:t>munity service work in the LSBP</w:t>
            </w:r>
            <w:r w:rsidRPr="004B6A2E">
              <w:rPr>
                <w:rFonts w:ascii="Arial" w:hAnsi="Arial" w:cs="Arial"/>
                <w:color w:val="auto"/>
              </w:rPr>
              <w:t xml:space="preserve"> Act explicitly excludes</w:t>
            </w:r>
            <w:r>
              <w:rPr>
                <w:rFonts w:ascii="Arial" w:hAnsi="Arial" w:cs="Arial"/>
                <w:color w:val="auto"/>
              </w:rPr>
              <w:t xml:space="preserve"> </w:t>
            </w:r>
            <w:r w:rsidRPr="004B6A2E">
              <w:rPr>
                <w:rFonts w:ascii="Arial" w:hAnsi="Arial" w:cs="Arial"/>
                <w:color w:val="auto"/>
              </w:rPr>
              <w:t xml:space="preserve">activities funded under the NDIS, and services provided by entities licensed under the </w:t>
            </w:r>
            <w:r w:rsidRPr="004B6A2E">
              <w:rPr>
                <w:rFonts w:ascii="Arial" w:hAnsi="Arial" w:cs="Arial"/>
                <w:i/>
                <w:color w:val="auto"/>
              </w:rPr>
              <w:t>Children’s Services Act 1996</w:t>
            </w:r>
            <w:r>
              <w:rPr>
                <w:rFonts w:ascii="Arial" w:hAnsi="Arial" w:cs="Arial"/>
                <w:color w:val="auto"/>
              </w:rPr>
              <w:t>,</w:t>
            </w:r>
            <w:r w:rsidRPr="004B6A2E">
              <w:rPr>
                <w:rFonts w:ascii="Arial" w:hAnsi="Arial" w:cs="Arial"/>
                <w:color w:val="auto"/>
              </w:rPr>
              <w:t xml:space="preserve"> from the immediate coverage of the </w:t>
            </w:r>
            <w:r>
              <w:rPr>
                <w:rFonts w:ascii="Arial" w:hAnsi="Arial" w:cs="Arial"/>
                <w:color w:val="auto"/>
              </w:rPr>
              <w:t>Scheme</w:t>
            </w:r>
            <w:r w:rsidRPr="004B6A2E">
              <w:rPr>
                <w:rFonts w:ascii="Arial" w:hAnsi="Arial" w:cs="Arial"/>
                <w:color w:val="auto"/>
              </w:rPr>
              <w:t>.</w:t>
            </w:r>
            <w:r>
              <w:t xml:space="preserve"> </w:t>
            </w:r>
            <w:r w:rsidRPr="004B6A2E">
              <w:rPr>
                <w:rFonts w:ascii="Arial" w:hAnsi="Arial" w:cs="Arial"/>
                <w:color w:val="auto"/>
              </w:rPr>
              <w:t xml:space="preserve">However, the LSBP Act </w:t>
            </w:r>
            <w:r w:rsidR="0072722B">
              <w:rPr>
                <w:rFonts w:ascii="Arial" w:hAnsi="Arial" w:cs="Arial"/>
                <w:color w:val="auto"/>
              </w:rPr>
              <w:t xml:space="preserve">also explicitly </w:t>
            </w:r>
            <w:r w:rsidRPr="004B6A2E">
              <w:rPr>
                <w:rFonts w:ascii="Arial" w:hAnsi="Arial" w:cs="Arial"/>
                <w:color w:val="auto"/>
              </w:rPr>
              <w:t xml:space="preserve">allows for these two aspects of the sector to be reincorporated into the Scheme through Regulations. </w:t>
            </w:r>
            <w:r w:rsidR="00DB3ADD">
              <w:rPr>
                <w:rFonts w:ascii="Arial" w:hAnsi="Arial" w:cs="Arial"/>
                <w:color w:val="auto"/>
              </w:rPr>
              <w:t>It</w:t>
            </w:r>
            <w:r w:rsidRPr="004B6A2E">
              <w:rPr>
                <w:rFonts w:ascii="Arial" w:hAnsi="Arial" w:cs="Arial"/>
                <w:color w:val="auto"/>
              </w:rPr>
              <w:t xml:space="preserve"> was the intention of Parliament when the </w:t>
            </w:r>
            <w:r w:rsidR="002106A3">
              <w:rPr>
                <w:rFonts w:ascii="Arial" w:hAnsi="Arial" w:cs="Arial"/>
                <w:color w:val="auto"/>
              </w:rPr>
              <w:t>sub</w:t>
            </w:r>
            <w:r w:rsidR="002106A3">
              <w:rPr>
                <w:rFonts w:ascii="Arial" w:hAnsi="Arial" w:cs="Arial"/>
                <w:color w:val="auto"/>
              </w:rPr>
              <w:noBreakHyphen/>
              <w:t>sector</w:t>
            </w:r>
            <w:r w:rsidRPr="004B6A2E">
              <w:rPr>
                <w:rFonts w:ascii="Arial" w:hAnsi="Arial" w:cs="Arial"/>
                <w:color w:val="auto"/>
              </w:rPr>
              <w:t xml:space="preserve">s were initially excluded that they would be incorporated into scope of the </w:t>
            </w:r>
            <w:r>
              <w:rPr>
                <w:rFonts w:ascii="Arial" w:hAnsi="Arial" w:cs="Arial"/>
                <w:color w:val="auto"/>
              </w:rPr>
              <w:t>S</w:t>
            </w:r>
            <w:r w:rsidRPr="004B6A2E">
              <w:rPr>
                <w:rFonts w:ascii="Arial" w:hAnsi="Arial" w:cs="Arial"/>
                <w:color w:val="auto"/>
              </w:rPr>
              <w:t xml:space="preserve">cheme at a later date, once they have had an appropriate amount of time to consider relevant federal reforms. </w:t>
            </w:r>
          </w:p>
        </w:tc>
        <w:tc>
          <w:tcPr>
            <w:tcW w:w="4513" w:type="dxa"/>
            <w:tcBorders>
              <w:top w:val="single" w:sz="4" w:space="0" w:color="auto"/>
              <w:left w:val="single" w:sz="4" w:space="0" w:color="auto"/>
              <w:bottom w:val="single" w:sz="4" w:space="0" w:color="auto"/>
              <w:right w:val="nil"/>
            </w:tcBorders>
            <w:shd w:val="clear" w:color="auto" w:fill="DEEAF6" w:themeFill="accent1" w:themeFillTint="33"/>
          </w:tcPr>
          <w:p w14:paraId="2B9C3CC3" w14:textId="73642498" w:rsidR="00CB66EC" w:rsidRPr="00EC5379" w:rsidRDefault="00CB66EC" w:rsidP="004D21B4">
            <w:pPr>
              <w:pStyle w:val="Tabletext"/>
              <w:keepNext/>
              <w:rPr>
                <w:rFonts w:cs="Arial"/>
                <w:color w:val="auto"/>
              </w:rPr>
            </w:pPr>
            <w:r w:rsidRPr="004B6A2E">
              <w:rPr>
                <w:rFonts w:cs="Arial"/>
                <w:color w:val="auto"/>
              </w:rPr>
              <w:t>Without Re</w:t>
            </w:r>
            <w:r>
              <w:rPr>
                <w:rFonts w:cs="Arial"/>
                <w:color w:val="auto"/>
              </w:rPr>
              <w:t xml:space="preserve">gulations, </w:t>
            </w:r>
            <w:r w:rsidR="00524140">
              <w:rPr>
                <w:rFonts w:cs="Arial"/>
                <w:color w:val="auto"/>
              </w:rPr>
              <w:t>employees employed by NDIS and early childhood e</w:t>
            </w:r>
            <w:r>
              <w:rPr>
                <w:rFonts w:cs="Arial"/>
                <w:color w:val="auto"/>
              </w:rPr>
              <w:t xml:space="preserve">ducation entities would lose access to the Scheme and their portable long service entitlements. </w:t>
            </w:r>
          </w:p>
        </w:tc>
      </w:tr>
      <w:tr w:rsidR="00CB66EC" w:rsidRPr="00EC5379" w14:paraId="1492028D" w14:textId="77777777" w:rsidTr="004D21B4">
        <w:trPr>
          <w:trHeight w:val="1020"/>
        </w:trPr>
        <w:tc>
          <w:tcPr>
            <w:tcW w:w="4513" w:type="dxa"/>
            <w:tcBorders>
              <w:top w:val="single" w:sz="4" w:space="0" w:color="auto"/>
              <w:left w:val="nil"/>
              <w:bottom w:val="single" w:sz="4" w:space="0" w:color="auto"/>
              <w:right w:val="single" w:sz="4" w:space="0" w:color="auto"/>
            </w:tcBorders>
            <w:shd w:val="clear" w:color="auto" w:fill="DEEAF6" w:themeFill="accent1" w:themeFillTint="33"/>
          </w:tcPr>
          <w:p w14:paraId="110CF6A8" w14:textId="7858B0A8" w:rsidR="00CB66EC" w:rsidRPr="00DE4973" w:rsidRDefault="00CB66EC" w:rsidP="004D21B4">
            <w:pPr>
              <w:pStyle w:val="Tabletext"/>
              <w:rPr>
                <w:rFonts w:cs="Arial"/>
                <w:color w:val="auto"/>
              </w:rPr>
            </w:pPr>
            <w:r w:rsidRPr="00DE4973">
              <w:rPr>
                <w:rFonts w:cs="Arial"/>
                <w:color w:val="auto"/>
              </w:rPr>
              <w:t xml:space="preserve">Regulations provide guidance as to how </w:t>
            </w:r>
            <w:r w:rsidR="00BE51FC">
              <w:rPr>
                <w:rFonts w:cs="Arial"/>
                <w:color w:val="auto"/>
              </w:rPr>
              <w:t xml:space="preserve">to </w:t>
            </w:r>
            <w:r w:rsidRPr="00DE4973">
              <w:rPr>
                <w:rFonts w:cs="Arial"/>
                <w:color w:val="auto"/>
              </w:rPr>
              <w:t xml:space="preserve">avoid </w:t>
            </w:r>
            <w:r w:rsidR="00DB3ADD">
              <w:rPr>
                <w:rFonts w:cs="Arial"/>
                <w:color w:val="auto"/>
              </w:rPr>
              <w:t>double-dipping</w:t>
            </w:r>
            <w:r w:rsidRPr="00DE4973">
              <w:rPr>
                <w:rFonts w:cs="Arial"/>
                <w:color w:val="auto"/>
              </w:rPr>
              <w:t xml:space="preserve"> – employees being entitled to claim two separate benefits relating to the same period of service</w:t>
            </w:r>
            <w:r w:rsidR="0055008B">
              <w:rPr>
                <w:rFonts w:cs="Arial"/>
                <w:color w:val="auto"/>
              </w:rPr>
              <w:t xml:space="preserve">. </w:t>
            </w:r>
            <w:r w:rsidRPr="00DE4973">
              <w:rPr>
                <w:rFonts w:cs="Arial"/>
                <w:color w:val="auto"/>
              </w:rPr>
              <w:lastRenderedPageBreak/>
              <w:t>Schedule 1 of the LSBP Act states that this outcome is to be avoided.</w:t>
            </w:r>
          </w:p>
        </w:tc>
        <w:tc>
          <w:tcPr>
            <w:tcW w:w="4513" w:type="dxa"/>
            <w:tcBorders>
              <w:top w:val="single" w:sz="4" w:space="0" w:color="auto"/>
              <w:left w:val="single" w:sz="4" w:space="0" w:color="auto"/>
              <w:bottom w:val="single" w:sz="4" w:space="0" w:color="auto"/>
              <w:right w:val="nil"/>
            </w:tcBorders>
            <w:shd w:val="clear" w:color="auto" w:fill="DEEAF6" w:themeFill="accent1" w:themeFillTint="33"/>
          </w:tcPr>
          <w:p w14:paraId="395F3571" w14:textId="169B192D" w:rsidR="00CB66EC" w:rsidRPr="00DE4973" w:rsidRDefault="00CB66EC" w:rsidP="004D21B4">
            <w:pPr>
              <w:pStyle w:val="Tabletext"/>
              <w:rPr>
                <w:rFonts w:cs="Arial"/>
                <w:color w:val="auto"/>
              </w:rPr>
            </w:pPr>
            <w:r w:rsidRPr="00DE4973">
              <w:rPr>
                <w:rFonts w:cs="Arial"/>
                <w:color w:val="auto"/>
              </w:rPr>
              <w:lastRenderedPageBreak/>
              <w:t>Without Regulations, employers would have no recourse to claim back portable long service payments where an employee is also entitled to a long s</w:t>
            </w:r>
            <w:r w:rsidR="00CE77A7">
              <w:rPr>
                <w:rFonts w:cs="Arial"/>
                <w:color w:val="auto"/>
              </w:rPr>
              <w:t xml:space="preserve">ervice benefit </w:t>
            </w:r>
            <w:r w:rsidR="00CE77A7">
              <w:rPr>
                <w:rFonts w:cs="Arial"/>
                <w:color w:val="auto"/>
              </w:rPr>
              <w:lastRenderedPageBreak/>
              <w:t>deriving from a fair work i</w:t>
            </w:r>
            <w:r w:rsidRPr="00DE4973">
              <w:rPr>
                <w:rFonts w:cs="Arial"/>
                <w:color w:val="auto"/>
              </w:rPr>
              <w:t>nstrument</w:t>
            </w:r>
            <w:r>
              <w:rPr>
                <w:rFonts w:cs="Arial"/>
                <w:color w:val="auto"/>
              </w:rPr>
              <w:t xml:space="preserve"> (including under an enterprise agreement)</w:t>
            </w:r>
            <w:r w:rsidRPr="00DE4973">
              <w:rPr>
                <w:rFonts w:cs="Arial"/>
                <w:color w:val="auto"/>
              </w:rPr>
              <w:t xml:space="preserve">. </w:t>
            </w:r>
          </w:p>
        </w:tc>
      </w:tr>
      <w:tr w:rsidR="00CB66EC" w:rsidRPr="00EC5379" w14:paraId="6876D92E" w14:textId="77777777" w:rsidTr="004D21B4">
        <w:trPr>
          <w:trHeight w:val="1020"/>
        </w:trPr>
        <w:tc>
          <w:tcPr>
            <w:tcW w:w="4513" w:type="dxa"/>
            <w:tcBorders>
              <w:top w:val="single" w:sz="4" w:space="0" w:color="auto"/>
              <w:left w:val="nil"/>
              <w:bottom w:val="single" w:sz="4" w:space="0" w:color="auto"/>
              <w:right w:val="single" w:sz="4" w:space="0" w:color="auto"/>
            </w:tcBorders>
            <w:shd w:val="clear" w:color="auto" w:fill="DEEAF6" w:themeFill="accent1" w:themeFillTint="33"/>
          </w:tcPr>
          <w:p w14:paraId="40788E2D" w14:textId="250B033E" w:rsidR="00CB66EC" w:rsidRPr="00DE4973" w:rsidRDefault="00CB66EC" w:rsidP="004D21B4">
            <w:pPr>
              <w:pStyle w:val="Tabletext"/>
              <w:rPr>
                <w:rFonts w:cs="Arial"/>
                <w:color w:val="auto"/>
              </w:rPr>
            </w:pPr>
            <w:r>
              <w:rPr>
                <w:rFonts w:cs="Arial"/>
                <w:color w:val="auto"/>
              </w:rPr>
              <w:lastRenderedPageBreak/>
              <w:t xml:space="preserve">The LSBP Act stipulates a number of matters which </w:t>
            </w:r>
            <w:r w:rsidR="00DB01D9">
              <w:rPr>
                <w:rFonts w:cs="Arial"/>
                <w:color w:val="auto"/>
              </w:rPr>
              <w:t>employers</w:t>
            </w:r>
            <w:r>
              <w:rPr>
                <w:rFonts w:cs="Arial"/>
                <w:color w:val="auto"/>
              </w:rPr>
              <w:t xml:space="preserve"> must disclose in their quarterly returns to the Authority, including any other prescribed information to be detailed in Regulations.</w:t>
            </w:r>
          </w:p>
        </w:tc>
        <w:tc>
          <w:tcPr>
            <w:tcW w:w="4513" w:type="dxa"/>
            <w:tcBorders>
              <w:top w:val="single" w:sz="4" w:space="0" w:color="auto"/>
              <w:left w:val="single" w:sz="4" w:space="0" w:color="auto"/>
              <w:bottom w:val="single" w:sz="4" w:space="0" w:color="auto"/>
              <w:right w:val="nil"/>
            </w:tcBorders>
            <w:shd w:val="clear" w:color="auto" w:fill="DEEAF6" w:themeFill="accent1" w:themeFillTint="33"/>
          </w:tcPr>
          <w:p w14:paraId="6BF31B9A" w14:textId="077F11CF" w:rsidR="00CB66EC" w:rsidRPr="00DE4973" w:rsidRDefault="00CB66EC" w:rsidP="00186BE4">
            <w:pPr>
              <w:pStyle w:val="Tabletext"/>
              <w:rPr>
                <w:rFonts w:cs="Arial"/>
                <w:color w:val="auto"/>
              </w:rPr>
            </w:pPr>
            <w:r>
              <w:rPr>
                <w:rFonts w:cs="Arial"/>
                <w:color w:val="auto"/>
              </w:rPr>
              <w:t xml:space="preserve">Without Regulations, employers would not </w:t>
            </w:r>
            <w:r w:rsidR="0072722B">
              <w:rPr>
                <w:rFonts w:cs="Arial"/>
                <w:color w:val="auto"/>
              </w:rPr>
              <w:t>have clarity about the</w:t>
            </w:r>
            <w:r>
              <w:rPr>
                <w:rFonts w:cs="Arial"/>
                <w:color w:val="auto"/>
              </w:rPr>
              <w:t xml:space="preserve"> information necessary for the Authority to administer the Scheme effectively and efficiently. The Authority would </w:t>
            </w:r>
            <w:r w:rsidR="00BE51FC">
              <w:rPr>
                <w:rFonts w:cs="Arial"/>
                <w:color w:val="auto"/>
              </w:rPr>
              <w:t xml:space="preserve">be required </w:t>
            </w:r>
            <w:r>
              <w:rPr>
                <w:rFonts w:cs="Arial"/>
                <w:color w:val="auto"/>
              </w:rPr>
              <w:t>to spend time chasing up information on missing employees.</w:t>
            </w:r>
          </w:p>
        </w:tc>
      </w:tr>
      <w:tr w:rsidR="00CB66EC" w:rsidRPr="00EC5379" w14:paraId="682E8427" w14:textId="77777777" w:rsidTr="004D21B4">
        <w:trPr>
          <w:trHeight w:val="1020"/>
        </w:trPr>
        <w:tc>
          <w:tcPr>
            <w:tcW w:w="4513" w:type="dxa"/>
            <w:tcBorders>
              <w:top w:val="single" w:sz="4" w:space="0" w:color="auto"/>
              <w:left w:val="nil"/>
              <w:bottom w:val="single" w:sz="4" w:space="0" w:color="auto"/>
              <w:right w:val="single" w:sz="4" w:space="0" w:color="auto"/>
            </w:tcBorders>
            <w:shd w:val="clear" w:color="auto" w:fill="DEEAF6" w:themeFill="accent1" w:themeFillTint="33"/>
          </w:tcPr>
          <w:p w14:paraId="3276ABD4" w14:textId="77777777" w:rsidR="00CB66EC" w:rsidRPr="00DE4973" w:rsidRDefault="00CB66EC" w:rsidP="004D21B4">
            <w:pPr>
              <w:pStyle w:val="Tabletext"/>
              <w:rPr>
                <w:rFonts w:cs="Arial"/>
                <w:color w:val="auto"/>
              </w:rPr>
            </w:pPr>
            <w:r>
              <w:rPr>
                <w:rFonts w:cs="Arial"/>
                <w:color w:val="auto"/>
              </w:rPr>
              <w:t xml:space="preserve">The LSBP Act allows the Authority to disclose information to certain Victorian and Federal Government entities, including other prescribed entities as detailed in Regulations. </w:t>
            </w:r>
          </w:p>
        </w:tc>
        <w:tc>
          <w:tcPr>
            <w:tcW w:w="4513" w:type="dxa"/>
            <w:tcBorders>
              <w:top w:val="single" w:sz="4" w:space="0" w:color="auto"/>
              <w:left w:val="single" w:sz="4" w:space="0" w:color="auto"/>
              <w:bottom w:val="single" w:sz="4" w:space="0" w:color="auto"/>
              <w:right w:val="nil"/>
            </w:tcBorders>
            <w:shd w:val="clear" w:color="auto" w:fill="DEEAF6" w:themeFill="accent1" w:themeFillTint="33"/>
          </w:tcPr>
          <w:p w14:paraId="0DAAAFFF" w14:textId="30DADF62" w:rsidR="00CB66EC" w:rsidRPr="006A606C" w:rsidRDefault="00CB66EC" w:rsidP="00BE51FC">
            <w:pPr>
              <w:pStyle w:val="Tabletext"/>
              <w:rPr>
                <w:rFonts w:cs="Arial"/>
                <w:color w:val="auto"/>
              </w:rPr>
            </w:pPr>
            <w:r w:rsidRPr="00C22E90">
              <w:rPr>
                <w:rFonts w:cs="Arial"/>
                <w:color w:val="auto"/>
              </w:rPr>
              <w:t xml:space="preserve">Without Regulations, the Authority would not be able to gain the required taxation information </w:t>
            </w:r>
            <w:r>
              <w:rPr>
                <w:rFonts w:cs="Arial"/>
                <w:color w:val="auto"/>
              </w:rPr>
              <w:t xml:space="preserve">from the </w:t>
            </w:r>
            <w:r w:rsidR="00BE51FC">
              <w:rPr>
                <w:rFonts w:cs="Arial"/>
                <w:color w:val="auto"/>
              </w:rPr>
              <w:t>ATO</w:t>
            </w:r>
            <w:r>
              <w:rPr>
                <w:rFonts w:cs="Arial"/>
                <w:color w:val="auto"/>
              </w:rPr>
              <w:t xml:space="preserve"> </w:t>
            </w:r>
            <w:r w:rsidRPr="00C22E90">
              <w:rPr>
                <w:rFonts w:cs="Arial"/>
                <w:color w:val="auto"/>
              </w:rPr>
              <w:t>to accurately de</w:t>
            </w:r>
            <w:r>
              <w:rPr>
                <w:rFonts w:cs="Arial"/>
                <w:color w:val="auto"/>
              </w:rPr>
              <w:t>duct tax from portable long service benefits or</w:t>
            </w:r>
            <w:r w:rsidRPr="00C22E90">
              <w:rPr>
                <w:rFonts w:cs="Arial"/>
                <w:color w:val="auto"/>
              </w:rPr>
              <w:t xml:space="preserve"> assist </w:t>
            </w:r>
            <w:r>
              <w:rPr>
                <w:rFonts w:cs="Arial"/>
                <w:color w:val="auto"/>
              </w:rPr>
              <w:t>the Victorian Labour Hire Licensing Authority in their r</w:t>
            </w:r>
            <w:r w:rsidRPr="00C22E90">
              <w:rPr>
                <w:rFonts w:cs="Arial"/>
                <w:color w:val="auto"/>
              </w:rPr>
              <w:t xml:space="preserve">egulatory processes. </w:t>
            </w:r>
          </w:p>
        </w:tc>
      </w:tr>
      <w:tr w:rsidR="00BA4965" w:rsidRPr="00EC5379" w14:paraId="7129EE69" w14:textId="77777777" w:rsidTr="004D21B4">
        <w:trPr>
          <w:trHeight w:val="1020"/>
        </w:trPr>
        <w:tc>
          <w:tcPr>
            <w:tcW w:w="4513" w:type="dxa"/>
            <w:tcBorders>
              <w:top w:val="single" w:sz="4" w:space="0" w:color="auto"/>
              <w:left w:val="nil"/>
              <w:bottom w:val="single" w:sz="4" w:space="0" w:color="auto"/>
              <w:right w:val="single" w:sz="4" w:space="0" w:color="auto"/>
            </w:tcBorders>
            <w:shd w:val="clear" w:color="auto" w:fill="DEEAF6" w:themeFill="accent1" w:themeFillTint="33"/>
          </w:tcPr>
          <w:p w14:paraId="7D8461C5" w14:textId="5B3BDBE4" w:rsidR="00BA4965" w:rsidRDefault="00BA4965" w:rsidP="00BE51FC">
            <w:pPr>
              <w:pStyle w:val="Tabletext"/>
              <w:rPr>
                <w:rFonts w:cs="Arial"/>
                <w:color w:val="auto"/>
              </w:rPr>
            </w:pPr>
            <w:r>
              <w:rPr>
                <w:rFonts w:cs="Arial"/>
                <w:color w:val="auto"/>
              </w:rPr>
              <w:t xml:space="preserve">Regulations provide clarity to employers and employees in the contract cleaning sector </w:t>
            </w:r>
            <w:r w:rsidR="00BE51FC">
              <w:rPr>
                <w:rFonts w:cs="Arial"/>
                <w:color w:val="auto"/>
              </w:rPr>
              <w:t xml:space="preserve">regarding </w:t>
            </w:r>
            <w:r w:rsidR="00C10ABA">
              <w:rPr>
                <w:rFonts w:cs="Arial"/>
                <w:color w:val="auto"/>
              </w:rPr>
              <w:t xml:space="preserve">who is not </w:t>
            </w:r>
            <w:r w:rsidR="00BE51FC">
              <w:rPr>
                <w:rFonts w:cs="Arial"/>
                <w:color w:val="auto"/>
              </w:rPr>
              <w:t xml:space="preserve">considered an </w:t>
            </w:r>
            <w:r w:rsidR="00C10ABA">
              <w:rPr>
                <w:rFonts w:cs="Arial"/>
                <w:color w:val="auto"/>
              </w:rPr>
              <w:t xml:space="preserve">employee for the purposes of the contract cleaning industry. </w:t>
            </w:r>
          </w:p>
        </w:tc>
        <w:tc>
          <w:tcPr>
            <w:tcW w:w="4513" w:type="dxa"/>
            <w:tcBorders>
              <w:top w:val="single" w:sz="4" w:space="0" w:color="auto"/>
              <w:left w:val="single" w:sz="4" w:space="0" w:color="auto"/>
              <w:bottom w:val="single" w:sz="4" w:space="0" w:color="auto"/>
              <w:right w:val="nil"/>
            </w:tcBorders>
            <w:shd w:val="clear" w:color="auto" w:fill="DEEAF6" w:themeFill="accent1" w:themeFillTint="33"/>
          </w:tcPr>
          <w:p w14:paraId="5AA7C47E" w14:textId="226F8EF3" w:rsidR="00BA4965" w:rsidRPr="00C22E90" w:rsidRDefault="006F20B1" w:rsidP="00186BE4">
            <w:pPr>
              <w:pStyle w:val="Tabletext"/>
              <w:rPr>
                <w:rFonts w:cs="Arial"/>
                <w:color w:val="auto"/>
              </w:rPr>
            </w:pPr>
            <w:r>
              <w:rPr>
                <w:rFonts w:cs="Arial"/>
                <w:color w:val="auto"/>
              </w:rPr>
              <w:t xml:space="preserve">In the absence of Regulations, employees who are not intended to be within scope of the Scheme </w:t>
            </w:r>
            <w:r w:rsidR="0072722B">
              <w:rPr>
                <w:rFonts w:cs="Arial"/>
                <w:color w:val="auto"/>
              </w:rPr>
              <w:t xml:space="preserve">may </w:t>
            </w:r>
            <w:r>
              <w:rPr>
                <w:rFonts w:cs="Arial"/>
                <w:color w:val="auto"/>
              </w:rPr>
              <w:t xml:space="preserve">have access to portable long service benefits. </w:t>
            </w:r>
            <w:r w:rsidR="00BA4965">
              <w:rPr>
                <w:rFonts w:cs="Arial"/>
                <w:color w:val="auto"/>
              </w:rPr>
              <w:t xml:space="preserve">Any lack of clarity in the definition of who is </w:t>
            </w:r>
            <w:r w:rsidR="0071726F">
              <w:rPr>
                <w:rFonts w:cs="Arial"/>
                <w:color w:val="auto"/>
              </w:rPr>
              <w:t xml:space="preserve">regarded as </w:t>
            </w:r>
            <w:r w:rsidR="00BA4965">
              <w:rPr>
                <w:rFonts w:cs="Arial"/>
                <w:color w:val="auto"/>
              </w:rPr>
              <w:t>an employee in the contract cleaning sector</w:t>
            </w:r>
            <w:r w:rsidR="00BA4965" w:rsidRPr="004B6A2E">
              <w:rPr>
                <w:rFonts w:cs="Arial"/>
                <w:color w:val="auto"/>
              </w:rPr>
              <w:t xml:space="preserve"> has the capacity to result in unnecessary cost implications for </w:t>
            </w:r>
            <w:r w:rsidR="00DB01D9">
              <w:rPr>
                <w:rFonts w:cs="Arial"/>
                <w:color w:val="auto"/>
              </w:rPr>
              <w:t>employers</w:t>
            </w:r>
            <w:r w:rsidR="00BA4965" w:rsidRPr="004B6A2E">
              <w:rPr>
                <w:rFonts w:cs="Arial"/>
                <w:color w:val="auto"/>
              </w:rPr>
              <w:t xml:space="preserve"> who may spend time and money registering and paying levies into the </w:t>
            </w:r>
            <w:r w:rsidR="00BA4965">
              <w:rPr>
                <w:rFonts w:cs="Arial"/>
                <w:color w:val="auto"/>
              </w:rPr>
              <w:t>S</w:t>
            </w:r>
            <w:r w:rsidR="00BA4965" w:rsidRPr="004B6A2E">
              <w:rPr>
                <w:rFonts w:cs="Arial"/>
                <w:color w:val="auto"/>
              </w:rPr>
              <w:t xml:space="preserve">cheme for </w:t>
            </w:r>
            <w:r w:rsidR="00BA4E89">
              <w:rPr>
                <w:rFonts w:cs="Arial"/>
                <w:color w:val="auto"/>
              </w:rPr>
              <w:t>employee</w:t>
            </w:r>
            <w:r w:rsidR="00BA4965" w:rsidRPr="004B6A2E">
              <w:rPr>
                <w:rFonts w:cs="Arial"/>
                <w:color w:val="auto"/>
              </w:rPr>
              <w:t xml:space="preserve">s who </w:t>
            </w:r>
            <w:r>
              <w:rPr>
                <w:rFonts w:cs="Arial"/>
                <w:color w:val="auto"/>
              </w:rPr>
              <w:t xml:space="preserve">should not </w:t>
            </w:r>
            <w:r w:rsidR="00BE51FC">
              <w:rPr>
                <w:rFonts w:cs="Arial"/>
                <w:color w:val="auto"/>
              </w:rPr>
              <w:t xml:space="preserve">be considered </w:t>
            </w:r>
            <w:r w:rsidR="00923804">
              <w:rPr>
                <w:rFonts w:cs="Arial"/>
                <w:color w:val="auto"/>
              </w:rPr>
              <w:t xml:space="preserve">within the scope of the Scheme. </w:t>
            </w:r>
          </w:p>
        </w:tc>
      </w:tr>
    </w:tbl>
    <w:p w14:paraId="4CC821B5" w14:textId="390E4529" w:rsidR="00E13F2A" w:rsidRPr="00EC5379" w:rsidRDefault="00234A0B" w:rsidP="00CB66EC">
      <w:pPr>
        <w:pStyle w:val="Heading1"/>
        <w:rPr>
          <w:rFonts w:ascii="Arial" w:hAnsi="Arial" w:cs="Arial"/>
        </w:rPr>
      </w:pPr>
      <w:bookmarkStart w:id="42" w:name="_Ref34834303"/>
      <w:bookmarkStart w:id="43" w:name="_Ref36622534"/>
      <w:bookmarkStart w:id="44" w:name="_Toc37921478"/>
      <w:r w:rsidRPr="00EC5379">
        <w:rPr>
          <w:rFonts w:ascii="Arial" w:hAnsi="Arial" w:cs="Arial"/>
        </w:rPr>
        <w:lastRenderedPageBreak/>
        <w:t>T</w:t>
      </w:r>
      <w:bookmarkStart w:id="45" w:name="_Toc4768882"/>
      <w:bookmarkStart w:id="46" w:name="_Ref5825262"/>
      <w:bookmarkStart w:id="47" w:name="_Ref5829002"/>
      <w:bookmarkStart w:id="48" w:name="_Ref32927999"/>
      <w:bookmarkEnd w:id="42"/>
      <w:r w:rsidR="00E13F2A" w:rsidRPr="00EC5379">
        <w:rPr>
          <w:rFonts w:ascii="Arial" w:hAnsi="Arial" w:cs="Arial"/>
        </w:rPr>
        <w:t>HE NATURE OF THE PROBLEM</w:t>
      </w:r>
      <w:bookmarkEnd w:id="43"/>
      <w:bookmarkEnd w:id="45"/>
      <w:bookmarkEnd w:id="46"/>
      <w:bookmarkEnd w:id="47"/>
      <w:bookmarkEnd w:id="48"/>
      <w:bookmarkEnd w:id="44"/>
    </w:p>
    <w:p w14:paraId="34C1FEC3" w14:textId="53D985F2" w:rsidR="00E13F2A" w:rsidRPr="00EC5379" w:rsidRDefault="00E13F2A" w:rsidP="00E13F2A">
      <w:pPr>
        <w:pStyle w:val="Heading2"/>
        <w:rPr>
          <w:rFonts w:ascii="Arial" w:hAnsi="Arial" w:cs="Arial"/>
        </w:rPr>
      </w:pPr>
      <w:bookmarkStart w:id="49" w:name="_Toc4768883"/>
      <w:bookmarkStart w:id="50" w:name="_Toc37921479"/>
      <w:r w:rsidRPr="00EC5379">
        <w:rPr>
          <w:rFonts w:ascii="Arial" w:hAnsi="Arial" w:cs="Arial"/>
        </w:rPr>
        <w:t xml:space="preserve">Primary </w:t>
      </w:r>
      <w:bookmarkEnd w:id="49"/>
      <w:r w:rsidR="00D41B29">
        <w:rPr>
          <w:rFonts w:ascii="Arial" w:hAnsi="Arial" w:cs="Arial"/>
        </w:rPr>
        <w:t>problem</w:t>
      </w:r>
      <w:r w:rsidR="00524140">
        <w:rPr>
          <w:rFonts w:ascii="Arial" w:hAnsi="Arial" w:cs="Arial"/>
        </w:rPr>
        <w:t xml:space="preserve"> </w:t>
      </w:r>
      <w:r w:rsidR="00A176FA">
        <w:rPr>
          <w:rFonts w:ascii="Arial" w:hAnsi="Arial" w:cs="Arial"/>
        </w:rPr>
        <w:t>addressed through the LSBP Act</w:t>
      </w:r>
      <w:bookmarkEnd w:id="50"/>
    </w:p>
    <w:p w14:paraId="4EEF1702" w14:textId="6CB1D26D" w:rsidR="00D430EE" w:rsidRDefault="00D430EE" w:rsidP="00D430EE">
      <w:pPr>
        <w:rPr>
          <w:rFonts w:ascii="Arial" w:hAnsi="Arial" w:cs="Arial"/>
          <w:b/>
        </w:rPr>
      </w:pPr>
      <w:r w:rsidRPr="00EC5379">
        <w:rPr>
          <w:rFonts w:ascii="Arial" w:hAnsi="Arial" w:cs="Arial"/>
        </w:rPr>
        <w:t xml:space="preserve">In industries where certain types of employment </w:t>
      </w:r>
      <w:r w:rsidR="0072722B">
        <w:rPr>
          <w:rFonts w:ascii="Arial" w:hAnsi="Arial" w:cs="Arial"/>
        </w:rPr>
        <w:t>structures</w:t>
      </w:r>
      <w:r w:rsidR="0072722B" w:rsidRPr="00EC5379">
        <w:rPr>
          <w:rFonts w:ascii="Arial" w:hAnsi="Arial" w:cs="Arial"/>
        </w:rPr>
        <w:t xml:space="preserve"> </w:t>
      </w:r>
      <w:r w:rsidRPr="00EC5379">
        <w:rPr>
          <w:rFonts w:ascii="Arial" w:hAnsi="Arial" w:cs="Arial"/>
        </w:rPr>
        <w:t xml:space="preserve">are prevalent, </w:t>
      </w:r>
      <w:r w:rsidR="00BA4E89">
        <w:rPr>
          <w:rFonts w:ascii="Arial" w:hAnsi="Arial" w:cs="Arial"/>
        </w:rPr>
        <w:t>employee</w:t>
      </w:r>
      <w:r w:rsidRPr="00EC5379">
        <w:rPr>
          <w:rFonts w:ascii="Arial" w:hAnsi="Arial" w:cs="Arial"/>
        </w:rPr>
        <w:t xml:space="preserve">s are unlikely to accrue </w:t>
      </w:r>
      <w:r w:rsidR="0063565D">
        <w:rPr>
          <w:rFonts w:ascii="Arial" w:hAnsi="Arial" w:cs="Arial"/>
        </w:rPr>
        <w:t>a sufficient number of</w:t>
      </w:r>
      <w:r w:rsidR="0063565D" w:rsidRPr="00EC5379">
        <w:rPr>
          <w:rFonts w:ascii="Arial" w:hAnsi="Arial" w:cs="Arial"/>
        </w:rPr>
        <w:t xml:space="preserve"> </w:t>
      </w:r>
      <w:r w:rsidRPr="00EC5379">
        <w:rPr>
          <w:rFonts w:ascii="Arial" w:hAnsi="Arial" w:cs="Arial"/>
        </w:rPr>
        <w:t xml:space="preserve">years of continuous service with one employer to qualify for long service </w:t>
      </w:r>
      <w:r>
        <w:rPr>
          <w:rFonts w:ascii="Arial" w:hAnsi="Arial" w:cs="Arial"/>
        </w:rPr>
        <w:t xml:space="preserve">leave under existing legislation, including the </w:t>
      </w:r>
      <w:r>
        <w:rPr>
          <w:rFonts w:ascii="Arial" w:hAnsi="Arial" w:cs="Arial"/>
          <w:i/>
        </w:rPr>
        <w:t>Long Service Leave Act 2018</w:t>
      </w:r>
      <w:r w:rsidRPr="00EC5379">
        <w:rPr>
          <w:rFonts w:ascii="Arial" w:hAnsi="Arial" w:cs="Arial"/>
        </w:rPr>
        <w:t>. Existing research and stakeholder consultation suggests that these pockets of the</w:t>
      </w:r>
      <w:r>
        <w:rPr>
          <w:rFonts w:ascii="Arial" w:hAnsi="Arial" w:cs="Arial"/>
        </w:rPr>
        <w:t xml:space="preserve"> workforce are missing out on long service</w:t>
      </w:r>
      <w:r w:rsidRPr="00EC5379">
        <w:rPr>
          <w:rFonts w:ascii="Arial" w:hAnsi="Arial" w:cs="Arial"/>
        </w:rPr>
        <w:t xml:space="preserve"> benefit</w:t>
      </w:r>
      <w:r>
        <w:rPr>
          <w:rFonts w:ascii="Arial" w:hAnsi="Arial" w:cs="Arial"/>
        </w:rPr>
        <w:t>s</w:t>
      </w:r>
      <w:r w:rsidRPr="00EC5379">
        <w:rPr>
          <w:rFonts w:ascii="Arial" w:hAnsi="Arial" w:cs="Arial"/>
        </w:rPr>
        <w:t xml:space="preserve"> because of the nature of their industry and other factors which are beyond their control</w:t>
      </w:r>
      <w:r w:rsidR="00CC45B5">
        <w:rPr>
          <w:rFonts w:ascii="Arial" w:hAnsi="Arial" w:cs="Arial"/>
        </w:rPr>
        <w:t xml:space="preserve"> rather than because they are frequently choosing to change employers or industry</w:t>
      </w:r>
      <w:r w:rsidR="00CC45B5" w:rsidRPr="00EC5379">
        <w:rPr>
          <w:rFonts w:ascii="Arial" w:hAnsi="Arial" w:cs="Arial"/>
        </w:rPr>
        <w:t>.</w:t>
      </w:r>
      <w:r w:rsidR="00CC45B5">
        <w:rPr>
          <w:rFonts w:ascii="Arial" w:hAnsi="Arial" w:cs="Arial"/>
        </w:rPr>
        <w:t xml:space="preserve"> </w:t>
      </w:r>
      <w:r w:rsidRPr="00A176FA">
        <w:rPr>
          <w:rFonts w:ascii="Arial" w:hAnsi="Arial" w:cs="Arial"/>
          <w:b/>
        </w:rPr>
        <w:t xml:space="preserve">This results in an inequitable situation where </w:t>
      </w:r>
      <w:r w:rsidR="00BA4E89">
        <w:rPr>
          <w:rFonts w:ascii="Arial" w:hAnsi="Arial" w:cs="Arial"/>
          <w:b/>
        </w:rPr>
        <w:t>employee</w:t>
      </w:r>
      <w:r w:rsidRPr="00A176FA">
        <w:rPr>
          <w:rFonts w:ascii="Arial" w:hAnsi="Arial" w:cs="Arial"/>
          <w:b/>
        </w:rPr>
        <w:t xml:space="preserve">s are </w:t>
      </w:r>
      <w:r w:rsidR="00A176FA" w:rsidRPr="00A176FA">
        <w:rPr>
          <w:rFonts w:ascii="Arial" w:hAnsi="Arial" w:cs="Arial"/>
          <w:b/>
        </w:rPr>
        <w:t>not able to accrue</w:t>
      </w:r>
      <w:r w:rsidRPr="00A176FA">
        <w:rPr>
          <w:rFonts w:ascii="Arial" w:hAnsi="Arial" w:cs="Arial"/>
          <w:b/>
        </w:rPr>
        <w:t xml:space="preserve"> long service leave due to no fault of their own. </w:t>
      </w:r>
    </w:p>
    <w:p w14:paraId="6B2B60F6" w14:textId="7CE2918F" w:rsidR="00A176FA" w:rsidRDefault="00A176FA" w:rsidP="00A176FA">
      <w:pPr>
        <w:spacing w:before="100" w:beforeAutospacing="1" w:after="100" w:afterAutospacing="1"/>
        <w:rPr>
          <w:rFonts w:ascii="Arial" w:hAnsi="Arial" w:cs="Arial"/>
          <w:color w:val="auto"/>
        </w:rPr>
      </w:pPr>
      <w:r w:rsidRPr="00EC5379">
        <w:rPr>
          <w:rFonts w:ascii="Arial" w:hAnsi="Arial" w:cs="Arial"/>
        </w:rPr>
        <w:t xml:space="preserve">As discussed above in section </w:t>
      </w:r>
      <w:r w:rsidRPr="00EC5379">
        <w:rPr>
          <w:rFonts w:ascii="Arial" w:hAnsi="Arial" w:cs="Arial"/>
          <w:color w:val="FF0000"/>
        </w:rPr>
        <w:fldChar w:fldCharType="begin"/>
      </w:r>
      <w:r w:rsidRPr="00EC5379">
        <w:rPr>
          <w:rFonts w:ascii="Arial" w:hAnsi="Arial" w:cs="Arial"/>
        </w:rPr>
        <w:instrText xml:space="preserve"> REF _Ref32928059 \r \h </w:instrText>
      </w:r>
      <w:r>
        <w:rPr>
          <w:rFonts w:ascii="Arial" w:hAnsi="Arial" w:cs="Arial"/>
          <w:color w:val="FF0000"/>
        </w:rPr>
        <w:instrText xml:space="preserve"> \* MERGEFORMAT </w:instrText>
      </w:r>
      <w:r w:rsidRPr="00EC5379">
        <w:rPr>
          <w:rFonts w:ascii="Arial" w:hAnsi="Arial" w:cs="Arial"/>
          <w:color w:val="FF0000"/>
        </w:rPr>
      </w:r>
      <w:r w:rsidRPr="00EC5379">
        <w:rPr>
          <w:rFonts w:ascii="Arial" w:hAnsi="Arial" w:cs="Arial"/>
          <w:color w:val="FF0000"/>
        </w:rPr>
        <w:fldChar w:fldCharType="separate"/>
      </w:r>
      <w:r w:rsidRPr="00EC5379">
        <w:rPr>
          <w:rFonts w:ascii="Arial" w:hAnsi="Arial" w:cs="Arial"/>
        </w:rPr>
        <w:t>1.2</w:t>
      </w:r>
      <w:r w:rsidRPr="00EC5379">
        <w:rPr>
          <w:rFonts w:ascii="Arial" w:hAnsi="Arial" w:cs="Arial"/>
          <w:color w:val="FF0000"/>
        </w:rPr>
        <w:fldChar w:fldCharType="end"/>
      </w:r>
      <w:r w:rsidRPr="00EC5379">
        <w:rPr>
          <w:rFonts w:ascii="Arial" w:hAnsi="Arial" w:cs="Arial"/>
        </w:rPr>
        <w:t xml:space="preserve">, </w:t>
      </w:r>
      <w:r>
        <w:rPr>
          <w:rFonts w:ascii="Arial" w:hAnsi="Arial" w:cs="Arial"/>
        </w:rPr>
        <w:t>t</w:t>
      </w:r>
      <w:r w:rsidRPr="00F738AD">
        <w:rPr>
          <w:rFonts w:ascii="Arial" w:hAnsi="Arial" w:cs="Arial"/>
          <w:color w:val="auto"/>
        </w:rPr>
        <w:t xml:space="preserve">he </w:t>
      </w:r>
      <w:r>
        <w:rPr>
          <w:rFonts w:ascii="Arial" w:hAnsi="Arial" w:cs="Arial"/>
          <w:color w:val="auto"/>
        </w:rPr>
        <w:t>Portable Long Service Benefits Scheme was</w:t>
      </w:r>
      <w:r w:rsidRPr="00F738AD">
        <w:rPr>
          <w:rFonts w:ascii="Arial" w:hAnsi="Arial" w:cs="Arial"/>
          <w:color w:val="auto"/>
        </w:rPr>
        <w:t xml:space="preserve"> introduced</w:t>
      </w:r>
      <w:r>
        <w:rPr>
          <w:rFonts w:ascii="Arial" w:hAnsi="Arial" w:cs="Arial"/>
          <w:color w:val="auto"/>
        </w:rPr>
        <w:t xml:space="preserve"> under the LSBP Act</w:t>
      </w:r>
      <w:r w:rsidRPr="00F738AD">
        <w:rPr>
          <w:rFonts w:ascii="Arial" w:hAnsi="Arial" w:cs="Arial"/>
          <w:color w:val="auto"/>
        </w:rPr>
        <w:t xml:space="preserve"> to enable Victorian </w:t>
      </w:r>
      <w:r w:rsidR="00BA4E89">
        <w:rPr>
          <w:rFonts w:ascii="Arial" w:hAnsi="Arial" w:cs="Arial"/>
          <w:color w:val="auto"/>
        </w:rPr>
        <w:t>employee</w:t>
      </w:r>
      <w:r w:rsidRPr="00F738AD">
        <w:rPr>
          <w:rFonts w:ascii="Arial" w:hAnsi="Arial" w:cs="Arial"/>
          <w:color w:val="auto"/>
        </w:rPr>
        <w:t>s in the contract cleaning, security and community services industries to retain the</w:t>
      </w:r>
      <w:r>
        <w:rPr>
          <w:rFonts w:ascii="Arial" w:hAnsi="Arial" w:cs="Arial"/>
          <w:color w:val="auto"/>
        </w:rPr>
        <w:t xml:space="preserve">ir entitlement to long service benefits </w:t>
      </w:r>
      <w:r w:rsidRPr="00F738AD">
        <w:rPr>
          <w:rFonts w:ascii="Arial" w:hAnsi="Arial" w:cs="Arial"/>
          <w:color w:val="auto"/>
        </w:rPr>
        <w:t xml:space="preserve">when they change employers. </w:t>
      </w:r>
      <w:r w:rsidR="00BA4E89">
        <w:rPr>
          <w:rFonts w:ascii="Arial" w:hAnsi="Arial" w:cs="Arial"/>
          <w:color w:val="auto"/>
        </w:rPr>
        <w:t>Employee</w:t>
      </w:r>
      <w:r w:rsidRPr="00F738AD">
        <w:rPr>
          <w:rFonts w:ascii="Arial" w:hAnsi="Arial" w:cs="Arial"/>
          <w:color w:val="auto"/>
        </w:rPr>
        <w:t xml:space="preserve">s in the security and contract cleaning sectors rarely qualify for long service </w:t>
      </w:r>
      <w:r>
        <w:rPr>
          <w:rFonts w:ascii="Arial" w:hAnsi="Arial" w:cs="Arial"/>
          <w:color w:val="auto"/>
        </w:rPr>
        <w:t>benefits</w:t>
      </w:r>
      <w:r w:rsidRPr="00F738AD">
        <w:rPr>
          <w:rFonts w:ascii="Arial" w:hAnsi="Arial" w:cs="Arial"/>
          <w:color w:val="auto"/>
        </w:rPr>
        <w:t xml:space="preserve"> due to the contract and project nature of the sectors </w:t>
      </w:r>
      <w:r w:rsidR="0063565D">
        <w:rPr>
          <w:rFonts w:ascii="Arial" w:hAnsi="Arial" w:cs="Arial"/>
          <w:color w:val="auto"/>
        </w:rPr>
        <w:t xml:space="preserve">in which </w:t>
      </w:r>
      <w:r w:rsidRPr="00F738AD">
        <w:rPr>
          <w:rFonts w:ascii="Arial" w:hAnsi="Arial" w:cs="Arial"/>
          <w:color w:val="auto"/>
        </w:rPr>
        <w:t xml:space="preserve">they work. </w:t>
      </w:r>
      <w:r w:rsidR="00BA4E89">
        <w:rPr>
          <w:rFonts w:ascii="Arial" w:hAnsi="Arial" w:cs="Arial"/>
          <w:color w:val="auto"/>
        </w:rPr>
        <w:t>Employee</w:t>
      </w:r>
      <w:r w:rsidRPr="00F738AD">
        <w:rPr>
          <w:rFonts w:ascii="Arial" w:hAnsi="Arial" w:cs="Arial"/>
          <w:color w:val="auto"/>
        </w:rPr>
        <w:t xml:space="preserve">s in the </w:t>
      </w:r>
      <w:r>
        <w:rPr>
          <w:rFonts w:ascii="Arial" w:hAnsi="Arial" w:cs="Arial"/>
          <w:color w:val="auto"/>
        </w:rPr>
        <w:t xml:space="preserve">community services sector </w:t>
      </w:r>
      <w:r w:rsidRPr="00F738AD">
        <w:rPr>
          <w:rFonts w:ascii="Arial" w:hAnsi="Arial" w:cs="Arial"/>
          <w:color w:val="auto"/>
        </w:rPr>
        <w:t>face a similar issue</w:t>
      </w:r>
      <w:r>
        <w:rPr>
          <w:rFonts w:ascii="Arial" w:hAnsi="Arial" w:cs="Arial"/>
          <w:color w:val="auto"/>
        </w:rPr>
        <w:t>,</w:t>
      </w:r>
      <w:r w:rsidRPr="00F738AD">
        <w:rPr>
          <w:rFonts w:ascii="Arial" w:hAnsi="Arial" w:cs="Arial"/>
          <w:color w:val="auto"/>
        </w:rPr>
        <w:t xml:space="preserve"> however </w:t>
      </w:r>
      <w:r>
        <w:rPr>
          <w:rFonts w:ascii="Arial" w:hAnsi="Arial" w:cs="Arial"/>
          <w:color w:val="auto"/>
        </w:rPr>
        <w:t>this</w:t>
      </w:r>
      <w:r w:rsidRPr="00F738AD">
        <w:rPr>
          <w:rFonts w:ascii="Arial" w:hAnsi="Arial" w:cs="Arial"/>
          <w:color w:val="auto"/>
        </w:rPr>
        <w:t xml:space="preserve"> is due to the high levels of mobility in the sector driven by pressures on wages</w:t>
      </w:r>
      <w:r>
        <w:rPr>
          <w:rFonts w:ascii="Arial" w:hAnsi="Arial" w:cs="Arial"/>
          <w:color w:val="auto"/>
        </w:rPr>
        <w:t>, short-term project-based funding arrangements,</w:t>
      </w:r>
      <w:r w:rsidRPr="00F738AD">
        <w:rPr>
          <w:rFonts w:ascii="Arial" w:hAnsi="Arial" w:cs="Arial"/>
          <w:color w:val="auto"/>
        </w:rPr>
        <w:t xml:space="preserve"> and a highly casualised workforce.</w:t>
      </w:r>
      <w:r w:rsidRPr="00F738AD">
        <w:rPr>
          <w:rStyle w:val="FootnoteReference"/>
          <w:rFonts w:ascii="Arial" w:hAnsi="Arial" w:cs="Arial"/>
          <w:color w:val="auto"/>
        </w:rPr>
        <w:footnoteReference w:id="14"/>
      </w:r>
      <w:r w:rsidRPr="00F738AD">
        <w:rPr>
          <w:rFonts w:ascii="Arial" w:hAnsi="Arial" w:cs="Arial"/>
          <w:color w:val="auto"/>
        </w:rPr>
        <w:t xml:space="preserve"> </w:t>
      </w:r>
    </w:p>
    <w:p w14:paraId="0FED6E01" w14:textId="22064BA4" w:rsidR="00E13F2A" w:rsidRPr="00EC5379" w:rsidRDefault="00932888" w:rsidP="00E13F2A">
      <w:pPr>
        <w:pStyle w:val="Heading2"/>
        <w:rPr>
          <w:rFonts w:ascii="Arial" w:hAnsi="Arial" w:cs="Arial"/>
        </w:rPr>
      </w:pPr>
      <w:bookmarkStart w:id="51" w:name="_Toc37921480"/>
      <w:r>
        <w:rPr>
          <w:rFonts w:ascii="Arial" w:hAnsi="Arial" w:cs="Arial"/>
        </w:rPr>
        <w:t>Problems addressed in the Interim Regulations</w:t>
      </w:r>
      <w:bookmarkEnd w:id="51"/>
    </w:p>
    <w:p w14:paraId="76761FA9" w14:textId="216D94F1" w:rsidR="00D430EE" w:rsidRPr="00EC5379" w:rsidRDefault="00D430EE" w:rsidP="00D430EE">
      <w:pPr>
        <w:rPr>
          <w:rFonts w:ascii="Arial" w:hAnsi="Arial" w:cs="Arial"/>
        </w:rPr>
      </w:pPr>
      <w:r w:rsidRPr="00EC5379">
        <w:rPr>
          <w:rFonts w:ascii="Arial" w:hAnsi="Arial" w:cs="Arial"/>
        </w:rPr>
        <w:t xml:space="preserve">While the LSBP Act </w:t>
      </w:r>
      <w:r w:rsidR="00C33E5A">
        <w:rPr>
          <w:rFonts w:ascii="Arial" w:hAnsi="Arial" w:cs="Arial"/>
        </w:rPr>
        <w:t>was introduce</w:t>
      </w:r>
      <w:r w:rsidR="00CA39EB">
        <w:rPr>
          <w:rFonts w:ascii="Arial" w:hAnsi="Arial" w:cs="Arial"/>
        </w:rPr>
        <w:t>d</w:t>
      </w:r>
      <w:r w:rsidR="00C33E5A">
        <w:rPr>
          <w:rFonts w:ascii="Arial" w:hAnsi="Arial" w:cs="Arial"/>
        </w:rPr>
        <w:t xml:space="preserve"> </w:t>
      </w:r>
      <w:r w:rsidR="00CA39EB">
        <w:rPr>
          <w:rFonts w:ascii="Arial" w:hAnsi="Arial" w:cs="Arial"/>
        </w:rPr>
        <w:t xml:space="preserve">to </w:t>
      </w:r>
      <w:r w:rsidRPr="00EC5379">
        <w:rPr>
          <w:rFonts w:ascii="Arial" w:hAnsi="Arial" w:cs="Arial"/>
        </w:rPr>
        <w:t xml:space="preserve">address the primary problem, residual problems remained. The </w:t>
      </w:r>
      <w:r w:rsidRPr="004D5E10">
        <w:rPr>
          <w:rFonts w:ascii="Arial" w:hAnsi="Arial" w:cs="Arial"/>
        </w:rPr>
        <w:t>Interim Regulations</w:t>
      </w:r>
      <w:r w:rsidRPr="00EC5379">
        <w:rPr>
          <w:rFonts w:ascii="Arial" w:hAnsi="Arial" w:cs="Arial"/>
        </w:rPr>
        <w:t xml:space="preserve"> were introduced</w:t>
      </w:r>
      <w:r w:rsidR="00CC45B5">
        <w:rPr>
          <w:rFonts w:ascii="Arial" w:hAnsi="Arial" w:cs="Arial"/>
        </w:rPr>
        <w:t xml:space="preserve"> in 2019</w:t>
      </w:r>
      <w:r w:rsidRPr="00EC5379">
        <w:rPr>
          <w:rFonts w:ascii="Arial" w:hAnsi="Arial" w:cs="Arial"/>
        </w:rPr>
        <w:t xml:space="preserve"> to address these problems. The five problems addressed in the Interim Regulations were: </w:t>
      </w:r>
    </w:p>
    <w:p w14:paraId="149D4CB3" w14:textId="77FAECA5" w:rsidR="00DA0A83" w:rsidRPr="00EC5379" w:rsidRDefault="00DA0A83" w:rsidP="008639FE">
      <w:pPr>
        <w:pStyle w:val="ListBullet"/>
        <w:contextualSpacing w:val="0"/>
        <w:rPr>
          <w:rFonts w:cs="Arial"/>
        </w:rPr>
      </w:pPr>
      <w:r w:rsidRPr="00EC5379">
        <w:rPr>
          <w:rFonts w:cs="Arial"/>
        </w:rPr>
        <w:t>The lack of clarity on covered employees and employers;</w:t>
      </w:r>
    </w:p>
    <w:p w14:paraId="71941A42" w14:textId="70557BD6" w:rsidR="00DA0A83" w:rsidRPr="00EC5379" w:rsidRDefault="00DA0A83" w:rsidP="008639FE">
      <w:pPr>
        <w:pStyle w:val="ListBullet"/>
        <w:contextualSpacing w:val="0"/>
        <w:rPr>
          <w:rFonts w:cs="Arial"/>
        </w:rPr>
      </w:pPr>
      <w:r w:rsidRPr="00EC5379">
        <w:rPr>
          <w:rFonts w:cs="Arial"/>
        </w:rPr>
        <w:t xml:space="preserve">The scope of the ‘community services sector’; </w:t>
      </w:r>
    </w:p>
    <w:p w14:paraId="59C04EC2" w14:textId="1A7CB15D" w:rsidR="00DA0A83" w:rsidRPr="00EC5379" w:rsidRDefault="00DA0A83" w:rsidP="008639FE">
      <w:pPr>
        <w:pStyle w:val="ListBullet"/>
        <w:contextualSpacing w:val="0"/>
        <w:rPr>
          <w:rFonts w:cs="Arial"/>
        </w:rPr>
      </w:pPr>
      <w:r w:rsidRPr="00EC5379">
        <w:rPr>
          <w:rFonts w:cs="Arial"/>
        </w:rPr>
        <w:t xml:space="preserve">The potential for </w:t>
      </w:r>
      <w:r w:rsidR="00DB3ADD">
        <w:rPr>
          <w:rFonts w:cs="Arial"/>
        </w:rPr>
        <w:t>double-dipping</w:t>
      </w:r>
      <w:r w:rsidRPr="00EC5379">
        <w:rPr>
          <w:rFonts w:cs="Arial"/>
        </w:rPr>
        <w:t>;</w:t>
      </w:r>
    </w:p>
    <w:p w14:paraId="6FA3F109" w14:textId="1AF725CB" w:rsidR="00CB66EC" w:rsidRPr="00EC5379" w:rsidRDefault="00CB66EC" w:rsidP="00CB66EC">
      <w:pPr>
        <w:pStyle w:val="ListBullet"/>
        <w:contextualSpacing w:val="0"/>
        <w:rPr>
          <w:rFonts w:cs="Arial"/>
        </w:rPr>
      </w:pPr>
      <w:r w:rsidRPr="00CB66EC">
        <w:rPr>
          <w:rFonts w:cs="Arial"/>
        </w:rPr>
        <w:t xml:space="preserve">Inadequate legislative detail on </w:t>
      </w:r>
      <w:r w:rsidR="0072722B">
        <w:rPr>
          <w:rFonts w:cs="Arial"/>
        </w:rPr>
        <w:t>A</w:t>
      </w:r>
      <w:r w:rsidRPr="00CB66EC">
        <w:rPr>
          <w:rFonts w:cs="Arial"/>
        </w:rPr>
        <w:t>uthority oversight of the Scheme; and</w:t>
      </w:r>
    </w:p>
    <w:p w14:paraId="7F62CCB1" w14:textId="51958B7E" w:rsidR="00CB66EC" w:rsidRPr="00EC5379" w:rsidRDefault="00CB66EC" w:rsidP="00CB66EC">
      <w:pPr>
        <w:pStyle w:val="ListBullet"/>
        <w:contextualSpacing w:val="0"/>
        <w:rPr>
          <w:rFonts w:cs="Arial"/>
        </w:rPr>
      </w:pPr>
      <w:r w:rsidRPr="00CB66EC">
        <w:rPr>
          <w:rFonts w:cs="Arial"/>
        </w:rPr>
        <w:t>Inadequate legislative detail on</w:t>
      </w:r>
      <w:r w:rsidRPr="00EC5379">
        <w:rPr>
          <w:rFonts w:cs="Arial"/>
        </w:rPr>
        <w:t xml:space="preserve"> list of organisations to whom the Authority can disclose information.</w:t>
      </w:r>
    </w:p>
    <w:p w14:paraId="6EF27693" w14:textId="0C7CCEE9" w:rsidR="00D430EE" w:rsidRDefault="00D430EE" w:rsidP="0063565D">
      <w:pPr>
        <w:pStyle w:val="BodyText"/>
      </w:pPr>
      <w:r w:rsidRPr="00EC5379">
        <w:t>These five problems were explored in the 2019 RIS</w:t>
      </w:r>
      <w:r w:rsidR="00CB66EC">
        <w:t xml:space="preserve">, as section </w:t>
      </w:r>
      <w:r w:rsidR="00CB66EC">
        <w:fldChar w:fldCharType="begin"/>
      </w:r>
      <w:r w:rsidR="00CB66EC">
        <w:instrText xml:space="preserve"> REF _Ref34831823 \r \h </w:instrText>
      </w:r>
      <w:r w:rsidR="00CB66EC">
        <w:fldChar w:fldCharType="separate"/>
      </w:r>
      <w:r w:rsidR="009F48BA">
        <w:t>1.4.1</w:t>
      </w:r>
      <w:r w:rsidR="00CB66EC">
        <w:fldChar w:fldCharType="end"/>
      </w:r>
      <w:r w:rsidR="00CB66EC">
        <w:t xml:space="preserve"> detailed</w:t>
      </w:r>
      <w:r w:rsidRPr="00EC5379">
        <w:t xml:space="preserve">. The RIS was released for public consultation in May 2019 prior to the </w:t>
      </w:r>
      <w:r w:rsidR="0060532D" w:rsidRPr="00262A04">
        <w:rPr>
          <w:rFonts w:cs="Arial"/>
          <w:i/>
          <w:color w:val="auto"/>
        </w:rPr>
        <w:t>Long Service Benefits Portability Benefits Regulations 2019</w:t>
      </w:r>
      <w:r w:rsidR="00D02379">
        <w:rPr>
          <w:rFonts w:cs="Arial"/>
          <w:i/>
          <w:color w:val="auto"/>
        </w:rPr>
        <w:t xml:space="preserve"> </w:t>
      </w:r>
      <w:r w:rsidRPr="00EC5379">
        <w:t xml:space="preserve">commencing operation on </w:t>
      </w:r>
      <w:r w:rsidR="0060532D">
        <w:t xml:space="preserve">1 July 2019. The remade Interim Regulations commenced operation on </w:t>
      </w:r>
      <w:r w:rsidRPr="00EC5379">
        <w:t>20 November 2019</w:t>
      </w:r>
      <w:r w:rsidR="0060532D">
        <w:t xml:space="preserve"> and</w:t>
      </w:r>
      <w:r w:rsidRPr="00EC5379">
        <w:t xml:space="preserve"> will operate until </w:t>
      </w:r>
      <w:r w:rsidR="0063565D">
        <w:t xml:space="preserve">they are replaced by </w:t>
      </w:r>
      <w:r w:rsidRPr="00EC5379">
        <w:t xml:space="preserve">permanent Regulations. Otherwise, they expire on 6 November 2020. </w:t>
      </w:r>
    </w:p>
    <w:p w14:paraId="0F2365CE" w14:textId="492272C6" w:rsidR="00932888" w:rsidRPr="00932888" w:rsidRDefault="00932888" w:rsidP="00932888">
      <w:pPr>
        <w:pStyle w:val="Heading2"/>
        <w:rPr>
          <w:rFonts w:ascii="Arial" w:hAnsi="Arial" w:cs="Arial"/>
        </w:rPr>
      </w:pPr>
      <w:bookmarkStart w:id="52" w:name="_Toc37921481"/>
      <w:r w:rsidRPr="00EC5379">
        <w:rPr>
          <w:rFonts w:ascii="Arial" w:hAnsi="Arial" w:cs="Arial"/>
        </w:rPr>
        <w:t>Residual Problems</w:t>
      </w:r>
      <w:bookmarkEnd w:id="52"/>
    </w:p>
    <w:p w14:paraId="3B24E64E" w14:textId="0A48F205" w:rsidR="00DA0A83" w:rsidRPr="00EC5379" w:rsidRDefault="00BB2DA3" w:rsidP="0063565D">
      <w:pPr>
        <w:pStyle w:val="BodyText"/>
      </w:pPr>
      <w:r w:rsidRPr="00EC5379">
        <w:t xml:space="preserve">After </w:t>
      </w:r>
      <w:r w:rsidR="00D41437" w:rsidRPr="00EC5379">
        <w:t xml:space="preserve">reviewing the operation and </w:t>
      </w:r>
      <w:r w:rsidR="00EB04A5" w:rsidRPr="00EC5379">
        <w:t>effectiveness of</w:t>
      </w:r>
      <w:r w:rsidRPr="00EC5379">
        <w:t xml:space="preserve"> the Interim Regulations and con</w:t>
      </w:r>
      <w:r w:rsidR="00EB04A5" w:rsidRPr="00EC5379">
        <w:t>sulting with stakeholders, the Department</w:t>
      </w:r>
      <w:r w:rsidR="00CC45B5">
        <w:t xml:space="preserve"> of Premier and Cabinet</w:t>
      </w:r>
      <w:r w:rsidR="00EB04A5" w:rsidRPr="00EC5379">
        <w:t xml:space="preserve"> identified </w:t>
      </w:r>
      <w:r w:rsidR="00297B17" w:rsidRPr="00EC5379">
        <w:t>f</w:t>
      </w:r>
      <w:r w:rsidR="00297B17">
        <w:t>ive</w:t>
      </w:r>
      <w:r w:rsidR="00297B17" w:rsidRPr="00EC5379">
        <w:t xml:space="preserve"> </w:t>
      </w:r>
      <w:r w:rsidR="00E6474D" w:rsidRPr="00EC5379">
        <w:t>additional</w:t>
      </w:r>
      <w:r w:rsidRPr="00EC5379">
        <w:t xml:space="preserve"> residual </w:t>
      </w:r>
      <w:r w:rsidRPr="00EC5379">
        <w:lastRenderedPageBreak/>
        <w:t xml:space="preserve">problems that </w:t>
      </w:r>
      <w:r w:rsidR="00E6474D" w:rsidRPr="00EC5379">
        <w:t>were not fully resolved in the Interim Regulations</w:t>
      </w:r>
      <w:r w:rsidR="00E509BE">
        <w:t xml:space="preserve">. These </w:t>
      </w:r>
      <w:r w:rsidR="00297B17">
        <w:t xml:space="preserve">five </w:t>
      </w:r>
      <w:r w:rsidR="00E509BE">
        <w:t>residual problems</w:t>
      </w:r>
      <w:r w:rsidR="00E6474D" w:rsidRPr="00EC5379">
        <w:t xml:space="preserve"> </w:t>
      </w:r>
      <w:r w:rsidRPr="00EC5379">
        <w:t>are in the scope of this RIS:</w:t>
      </w:r>
    </w:p>
    <w:p w14:paraId="4A5513ED" w14:textId="5EAC9B6C" w:rsidR="00297B17" w:rsidRDefault="00297B17" w:rsidP="008639FE">
      <w:pPr>
        <w:pStyle w:val="ListBullet"/>
        <w:contextualSpacing w:val="0"/>
        <w:rPr>
          <w:rFonts w:cs="Arial"/>
        </w:rPr>
      </w:pPr>
      <w:r>
        <w:rPr>
          <w:rFonts w:cs="Arial"/>
        </w:rPr>
        <w:t>What is defined as community service work;</w:t>
      </w:r>
    </w:p>
    <w:p w14:paraId="01B83D38" w14:textId="2EA40467" w:rsidR="00F90D5F" w:rsidRPr="00EC5379" w:rsidRDefault="00C33E5A" w:rsidP="008639FE">
      <w:pPr>
        <w:pStyle w:val="ListBullet"/>
        <w:contextualSpacing w:val="0"/>
        <w:rPr>
          <w:rFonts w:cs="Arial"/>
        </w:rPr>
      </w:pPr>
      <w:r>
        <w:rPr>
          <w:rFonts w:cs="Arial"/>
        </w:rPr>
        <w:t>Who is</w:t>
      </w:r>
      <w:r w:rsidR="00D10FD4">
        <w:rPr>
          <w:rFonts w:cs="Arial"/>
        </w:rPr>
        <w:t xml:space="preserve"> </w:t>
      </w:r>
      <w:r w:rsidR="0071726F">
        <w:rPr>
          <w:rFonts w:cs="Arial"/>
          <w:color w:val="auto"/>
        </w:rPr>
        <w:t xml:space="preserve">regarded as </w:t>
      </w:r>
      <w:r w:rsidR="00F90D5F" w:rsidRPr="00EC5379">
        <w:rPr>
          <w:rFonts w:cs="Arial"/>
        </w:rPr>
        <w:t>an employer in the community services sector;</w:t>
      </w:r>
    </w:p>
    <w:p w14:paraId="352123B0" w14:textId="579B2DE8" w:rsidR="00F90D5F" w:rsidRPr="00EC5379" w:rsidRDefault="00D10FD4" w:rsidP="008639FE">
      <w:pPr>
        <w:pStyle w:val="ListBullet"/>
        <w:contextualSpacing w:val="0"/>
        <w:rPr>
          <w:rFonts w:cs="Arial"/>
        </w:rPr>
      </w:pPr>
      <w:r>
        <w:rPr>
          <w:rFonts w:cs="Arial"/>
        </w:rPr>
        <w:t>Who are</w:t>
      </w:r>
      <w:r w:rsidR="00F90D5F" w:rsidRPr="00EC5379">
        <w:rPr>
          <w:rFonts w:cs="Arial"/>
        </w:rPr>
        <w:t xml:space="preserve"> </w:t>
      </w:r>
      <w:r w:rsidR="0071726F">
        <w:rPr>
          <w:rFonts w:cs="Arial"/>
        </w:rPr>
        <w:t xml:space="preserve">regarded as </w:t>
      </w:r>
      <w:r w:rsidR="00F90D5F" w:rsidRPr="00EC5379">
        <w:rPr>
          <w:rFonts w:cs="Arial"/>
        </w:rPr>
        <w:t>employees in the community services sector;</w:t>
      </w:r>
    </w:p>
    <w:p w14:paraId="49E65B57" w14:textId="6549B46A" w:rsidR="00F90D5F" w:rsidRPr="00EC5379" w:rsidRDefault="00F90D5F" w:rsidP="008639FE">
      <w:pPr>
        <w:pStyle w:val="ListBullet"/>
        <w:contextualSpacing w:val="0"/>
        <w:rPr>
          <w:rFonts w:cs="Arial"/>
        </w:rPr>
      </w:pPr>
      <w:r w:rsidRPr="00EC5379">
        <w:rPr>
          <w:rFonts w:cs="Arial"/>
        </w:rPr>
        <w:t xml:space="preserve">Who is </w:t>
      </w:r>
      <w:r w:rsidR="0071726F">
        <w:rPr>
          <w:rFonts w:cs="Arial"/>
          <w:color w:val="auto"/>
        </w:rPr>
        <w:t xml:space="preserve">regarded as </w:t>
      </w:r>
      <w:r w:rsidRPr="00EC5379">
        <w:rPr>
          <w:rFonts w:cs="Arial"/>
        </w:rPr>
        <w:t xml:space="preserve">an employee in the security industry; and </w:t>
      </w:r>
    </w:p>
    <w:p w14:paraId="0E052C46" w14:textId="038CF6E8" w:rsidR="00F90D5F" w:rsidRPr="00EC5379" w:rsidRDefault="00CF5417" w:rsidP="008639FE">
      <w:pPr>
        <w:pStyle w:val="ListBullet"/>
        <w:contextualSpacing w:val="0"/>
        <w:rPr>
          <w:rFonts w:cs="Arial"/>
        </w:rPr>
      </w:pPr>
      <w:r>
        <w:rPr>
          <w:rFonts w:cs="Arial"/>
        </w:rPr>
        <w:t xml:space="preserve">Reimbursing employers for </w:t>
      </w:r>
      <w:r w:rsidR="00DB3ADD">
        <w:rPr>
          <w:rFonts w:cs="Arial"/>
        </w:rPr>
        <w:t>double-dipping</w:t>
      </w:r>
      <w:r w:rsidR="0072722B">
        <w:rPr>
          <w:rFonts w:cs="Arial"/>
        </w:rPr>
        <w:t xml:space="preserve"> claims</w:t>
      </w:r>
      <w:r w:rsidR="00F90D5F" w:rsidRPr="00EC5379">
        <w:rPr>
          <w:rFonts w:cs="Arial"/>
        </w:rPr>
        <w:t xml:space="preserve"> in the community services sector</w:t>
      </w:r>
      <w:r w:rsidR="00AD7B94">
        <w:rPr>
          <w:rFonts w:cs="Arial"/>
        </w:rPr>
        <w:t xml:space="preserve"> under the </w:t>
      </w:r>
      <w:r w:rsidR="00AD7B94" w:rsidRPr="00274787">
        <w:rPr>
          <w:rFonts w:cs="Arial"/>
          <w:i/>
        </w:rPr>
        <w:t>Long Service Leave Act</w:t>
      </w:r>
      <w:r w:rsidR="00274787">
        <w:rPr>
          <w:rFonts w:cs="Arial"/>
          <w:i/>
        </w:rPr>
        <w:t> </w:t>
      </w:r>
      <w:r w:rsidR="005B41C8" w:rsidRPr="00274787">
        <w:rPr>
          <w:rFonts w:cs="Arial"/>
          <w:i/>
        </w:rPr>
        <w:t>2018</w:t>
      </w:r>
      <w:r w:rsidR="00F90D5F" w:rsidRPr="00EC5379">
        <w:rPr>
          <w:rFonts w:cs="Arial"/>
        </w:rPr>
        <w:t>.</w:t>
      </w:r>
    </w:p>
    <w:p w14:paraId="545A0E10" w14:textId="56ECB031" w:rsidR="00E13F2A" w:rsidRPr="00E07AF7" w:rsidRDefault="00E9487D" w:rsidP="00E13F2A">
      <w:pPr>
        <w:spacing w:before="240"/>
        <w:rPr>
          <w:rFonts w:ascii="Arial" w:hAnsi="Arial" w:cs="Arial"/>
          <w:color w:val="auto"/>
        </w:rPr>
      </w:pPr>
      <w:r>
        <w:rPr>
          <w:rFonts w:ascii="Arial" w:hAnsi="Arial" w:cs="Arial"/>
          <w:color w:val="auto"/>
        </w:rPr>
        <w:t xml:space="preserve">As illustrated in </w:t>
      </w:r>
      <w:r>
        <w:rPr>
          <w:rFonts w:ascii="Arial" w:hAnsi="Arial" w:cs="Arial"/>
          <w:color w:val="auto"/>
        </w:rPr>
        <w:fldChar w:fldCharType="begin"/>
      </w:r>
      <w:r>
        <w:rPr>
          <w:rFonts w:ascii="Arial" w:hAnsi="Arial" w:cs="Arial"/>
          <w:color w:val="auto"/>
        </w:rPr>
        <w:instrText xml:space="preserve"> REF _Ref35504026 \h </w:instrText>
      </w:r>
      <w:r>
        <w:rPr>
          <w:rFonts w:ascii="Arial" w:hAnsi="Arial" w:cs="Arial"/>
          <w:color w:val="auto"/>
        </w:rPr>
      </w:r>
      <w:r>
        <w:rPr>
          <w:rFonts w:ascii="Arial" w:hAnsi="Arial" w:cs="Arial"/>
          <w:color w:val="auto"/>
        </w:rPr>
        <w:fldChar w:fldCharType="separate"/>
      </w:r>
      <w:r w:rsidR="009F48BA" w:rsidRPr="003A15C8">
        <w:rPr>
          <w:rFonts w:ascii="Arial" w:hAnsi="Arial" w:cs="Arial"/>
          <w:color w:val="auto"/>
        </w:rPr>
        <w:t xml:space="preserve">Figure </w:t>
      </w:r>
      <w:r w:rsidR="009F48BA">
        <w:rPr>
          <w:rFonts w:ascii="Arial" w:hAnsi="Arial" w:cs="Arial"/>
          <w:noProof/>
          <w:color w:val="auto"/>
        </w:rPr>
        <w:t>2</w:t>
      </w:r>
      <w:r>
        <w:rPr>
          <w:rFonts w:ascii="Arial" w:hAnsi="Arial" w:cs="Arial"/>
          <w:color w:val="auto"/>
        </w:rPr>
        <w:fldChar w:fldCharType="end"/>
      </w:r>
      <w:r>
        <w:rPr>
          <w:rFonts w:ascii="Arial" w:hAnsi="Arial" w:cs="Arial"/>
          <w:color w:val="auto"/>
        </w:rPr>
        <w:t xml:space="preserve">, </w:t>
      </w:r>
      <w:r w:rsidR="0063565D">
        <w:rPr>
          <w:rFonts w:ascii="Arial" w:hAnsi="Arial" w:cs="Arial"/>
          <w:color w:val="auto"/>
        </w:rPr>
        <w:t>there</w:t>
      </w:r>
      <w:r w:rsidR="0063565D" w:rsidRPr="00E07AF7">
        <w:rPr>
          <w:rFonts w:ascii="Arial" w:hAnsi="Arial" w:cs="Arial"/>
          <w:color w:val="auto"/>
        </w:rPr>
        <w:t xml:space="preserve"> </w:t>
      </w:r>
      <w:r w:rsidR="00E13F2A" w:rsidRPr="00E07AF7">
        <w:rPr>
          <w:rFonts w:ascii="Arial" w:hAnsi="Arial" w:cs="Arial"/>
          <w:color w:val="auto"/>
        </w:rPr>
        <w:t xml:space="preserve">is an interrelationship between </w:t>
      </w:r>
      <w:r w:rsidR="00E6474D" w:rsidRPr="00E07AF7">
        <w:rPr>
          <w:rFonts w:ascii="Arial" w:hAnsi="Arial" w:cs="Arial"/>
          <w:color w:val="auto"/>
        </w:rPr>
        <w:t>the</w:t>
      </w:r>
      <w:r w:rsidR="00DC5217">
        <w:rPr>
          <w:rFonts w:ascii="Arial" w:hAnsi="Arial" w:cs="Arial"/>
          <w:color w:val="auto"/>
        </w:rPr>
        <w:t xml:space="preserve"> first</w:t>
      </w:r>
      <w:r w:rsidR="00456394">
        <w:rPr>
          <w:rFonts w:ascii="Arial" w:hAnsi="Arial" w:cs="Arial"/>
          <w:color w:val="auto"/>
        </w:rPr>
        <w:t xml:space="preserve"> </w:t>
      </w:r>
      <w:r w:rsidR="00297B17">
        <w:rPr>
          <w:rFonts w:ascii="Arial" w:hAnsi="Arial" w:cs="Arial"/>
          <w:color w:val="auto"/>
        </w:rPr>
        <w:t xml:space="preserve">three </w:t>
      </w:r>
      <w:r w:rsidR="00E6474D" w:rsidRPr="00E07AF7">
        <w:rPr>
          <w:rFonts w:ascii="Arial" w:hAnsi="Arial" w:cs="Arial"/>
          <w:color w:val="auto"/>
        </w:rPr>
        <w:t>items</w:t>
      </w:r>
      <w:r w:rsidR="00E13F2A" w:rsidRPr="00E07AF7">
        <w:rPr>
          <w:rFonts w:ascii="Arial" w:hAnsi="Arial" w:cs="Arial"/>
          <w:color w:val="auto"/>
        </w:rPr>
        <w:t xml:space="preserve"> above under the multi-factorial test of eligibility</w:t>
      </w:r>
      <w:r w:rsidR="00C33E5A">
        <w:rPr>
          <w:rFonts w:ascii="Arial" w:hAnsi="Arial" w:cs="Arial"/>
          <w:color w:val="auto"/>
        </w:rPr>
        <w:t xml:space="preserve"> in the </w:t>
      </w:r>
      <w:r w:rsidR="0027356E">
        <w:rPr>
          <w:rFonts w:ascii="Arial" w:hAnsi="Arial" w:cs="Arial"/>
          <w:color w:val="auto"/>
        </w:rPr>
        <w:t>community services</w:t>
      </w:r>
      <w:r w:rsidR="00C33E5A">
        <w:rPr>
          <w:rFonts w:ascii="Arial" w:hAnsi="Arial" w:cs="Arial"/>
          <w:color w:val="auto"/>
        </w:rPr>
        <w:t xml:space="preserve"> sector</w:t>
      </w:r>
      <w:r w:rsidR="00E13F2A" w:rsidRPr="00E07AF7">
        <w:rPr>
          <w:rFonts w:ascii="Arial" w:hAnsi="Arial" w:cs="Arial"/>
          <w:color w:val="auto"/>
        </w:rPr>
        <w:t xml:space="preserve"> to </w:t>
      </w:r>
      <w:r w:rsidR="00BB00F5">
        <w:rPr>
          <w:rFonts w:ascii="Arial" w:hAnsi="Arial" w:cs="Arial"/>
          <w:color w:val="auto"/>
        </w:rPr>
        <w:t>participate in the S</w:t>
      </w:r>
      <w:r w:rsidR="00E13F2A" w:rsidRPr="00E07AF7">
        <w:rPr>
          <w:rFonts w:ascii="Arial" w:hAnsi="Arial" w:cs="Arial"/>
          <w:color w:val="auto"/>
        </w:rPr>
        <w:t>cheme.</w:t>
      </w:r>
    </w:p>
    <w:p w14:paraId="1DDA5BA6" w14:textId="2E6EEB0A" w:rsidR="00E13F2A" w:rsidRDefault="00E13F2A" w:rsidP="00A63CF4">
      <w:pPr>
        <w:spacing w:before="120" w:after="120"/>
        <w:rPr>
          <w:rFonts w:ascii="Arial" w:hAnsi="Arial" w:cs="Arial"/>
          <w:b/>
        </w:rPr>
      </w:pPr>
      <w:r w:rsidRPr="00EC5379">
        <w:rPr>
          <w:rFonts w:ascii="Arial" w:hAnsi="Arial" w:cs="Arial"/>
          <w:b/>
        </w:rPr>
        <w:t>The purpose of this RIS is to consider regulatory options to support the LSBP Act to address these residual problems</w:t>
      </w:r>
      <w:r w:rsidR="00F90D5F" w:rsidRPr="00EC5379">
        <w:rPr>
          <w:rFonts w:ascii="Arial" w:hAnsi="Arial" w:cs="Arial"/>
          <w:b/>
        </w:rPr>
        <w:t xml:space="preserve"> compared to the </w:t>
      </w:r>
      <w:r w:rsidR="0013418B">
        <w:rPr>
          <w:rFonts w:ascii="Arial" w:hAnsi="Arial" w:cs="Arial"/>
          <w:b/>
        </w:rPr>
        <w:t>status quo</w:t>
      </w:r>
      <w:r w:rsidR="00F90D5F" w:rsidRPr="00EC5379">
        <w:rPr>
          <w:rFonts w:ascii="Arial" w:hAnsi="Arial" w:cs="Arial"/>
          <w:b/>
        </w:rPr>
        <w:t xml:space="preserve"> under the</w:t>
      </w:r>
      <w:r w:rsidR="00E509BE">
        <w:rPr>
          <w:rFonts w:ascii="Arial" w:hAnsi="Arial" w:cs="Arial"/>
          <w:b/>
        </w:rPr>
        <w:t xml:space="preserve"> current</w:t>
      </w:r>
      <w:r w:rsidR="00F90D5F" w:rsidRPr="00EC5379">
        <w:rPr>
          <w:rFonts w:ascii="Arial" w:hAnsi="Arial" w:cs="Arial"/>
          <w:b/>
        </w:rPr>
        <w:t xml:space="preserve"> Interim Regulations.</w:t>
      </w:r>
    </w:p>
    <w:p w14:paraId="6F886210" w14:textId="596A1304" w:rsidR="00297B17" w:rsidRDefault="00297B17" w:rsidP="00EE62A5">
      <w:pPr>
        <w:pStyle w:val="Heading3"/>
        <w:tabs>
          <w:tab w:val="clear" w:pos="5115"/>
        </w:tabs>
        <w:spacing w:before="100" w:beforeAutospacing="1" w:after="100" w:afterAutospacing="1"/>
        <w:ind w:left="709"/>
        <w:rPr>
          <w:rFonts w:ascii="Arial" w:hAnsi="Arial" w:cs="Arial"/>
        </w:rPr>
      </w:pPr>
      <w:bookmarkStart w:id="53" w:name="_Ref36730265"/>
      <w:bookmarkStart w:id="54" w:name="_Ref32927952"/>
      <w:bookmarkStart w:id="55" w:name="_Ref35593080"/>
      <w:r>
        <w:rPr>
          <w:rFonts w:ascii="Arial" w:hAnsi="Arial" w:cs="Arial"/>
        </w:rPr>
        <w:t>What is defined as community service work</w:t>
      </w:r>
      <w:bookmarkEnd w:id="53"/>
    </w:p>
    <w:p w14:paraId="5E26E3C4" w14:textId="41DD1BD7" w:rsidR="00297B17" w:rsidRDefault="00297B17" w:rsidP="00DB3ADD">
      <w:pPr>
        <w:tabs>
          <w:tab w:val="num" w:pos="680"/>
        </w:tabs>
      </w:pPr>
      <w:r w:rsidRPr="00C22E90">
        <w:rPr>
          <w:rFonts w:ascii="Arial" w:hAnsi="Arial" w:cs="Arial"/>
          <w:color w:val="auto"/>
        </w:rPr>
        <w:t xml:space="preserve">The Interim Regulations lack precision as to </w:t>
      </w:r>
      <w:r>
        <w:rPr>
          <w:rFonts w:ascii="Arial" w:hAnsi="Arial" w:cs="Arial"/>
          <w:color w:val="auto"/>
        </w:rPr>
        <w:t xml:space="preserve">whether community service work in a private residence is defined as community service work for the purposes of the Scheme. </w:t>
      </w:r>
      <w:r w:rsidRPr="00C22E90">
        <w:rPr>
          <w:rFonts w:ascii="Arial" w:hAnsi="Arial" w:cs="Arial"/>
          <w:color w:val="auto"/>
        </w:rPr>
        <w:t>Regulation</w:t>
      </w:r>
      <w:r>
        <w:rPr>
          <w:rFonts w:ascii="Arial" w:hAnsi="Arial" w:cs="Arial"/>
          <w:color w:val="auto"/>
        </w:rPr>
        <w:t> </w:t>
      </w:r>
      <w:r w:rsidRPr="00C22E90">
        <w:rPr>
          <w:rFonts w:ascii="Arial" w:hAnsi="Arial" w:cs="Arial"/>
          <w:color w:val="auto"/>
        </w:rPr>
        <w:t>8(1)(b) of the Interim Regulations was designed to clarify that</w:t>
      </w:r>
      <w:r w:rsidR="0063565D">
        <w:rPr>
          <w:rFonts w:ascii="Arial" w:hAnsi="Arial" w:cs="Arial"/>
          <w:color w:val="auto"/>
        </w:rPr>
        <w:t>,</w:t>
      </w:r>
      <w:r w:rsidRPr="00C22E90">
        <w:rPr>
          <w:rFonts w:ascii="Arial" w:hAnsi="Arial" w:cs="Arial"/>
          <w:color w:val="auto"/>
        </w:rPr>
        <w:t xml:space="preserve"> where support activities are provided in a private residence, it is considered to be home care support and not health or aged care support. </w:t>
      </w:r>
      <w:r>
        <w:rPr>
          <w:rFonts w:ascii="Arial" w:hAnsi="Arial" w:cs="Arial"/>
          <w:color w:val="auto"/>
        </w:rPr>
        <w:t>However, feedback from stakeholders demonstrate</w:t>
      </w:r>
      <w:r w:rsidR="007A387F">
        <w:rPr>
          <w:rFonts w:ascii="Arial" w:hAnsi="Arial" w:cs="Arial"/>
          <w:color w:val="auto"/>
        </w:rPr>
        <w:t>s that</w:t>
      </w:r>
      <w:r>
        <w:rPr>
          <w:rFonts w:ascii="Arial" w:hAnsi="Arial" w:cs="Arial"/>
          <w:color w:val="auto"/>
        </w:rPr>
        <w:t xml:space="preserve"> the current drafting lacks precision. The uncertainty has </w:t>
      </w:r>
      <w:r w:rsidRPr="00C22E90">
        <w:rPr>
          <w:rFonts w:ascii="Arial" w:hAnsi="Arial" w:cs="Arial"/>
          <w:color w:val="auto"/>
        </w:rPr>
        <w:t>caused confusion</w:t>
      </w:r>
      <w:r>
        <w:rPr>
          <w:rFonts w:ascii="Arial" w:hAnsi="Arial" w:cs="Arial"/>
          <w:color w:val="auto"/>
        </w:rPr>
        <w:t xml:space="preserve"> </w:t>
      </w:r>
      <w:r w:rsidR="007A387F">
        <w:rPr>
          <w:rFonts w:ascii="Arial" w:hAnsi="Arial" w:cs="Arial"/>
          <w:color w:val="auto"/>
        </w:rPr>
        <w:t xml:space="preserve">within </w:t>
      </w:r>
      <w:r>
        <w:rPr>
          <w:rFonts w:ascii="Arial" w:hAnsi="Arial" w:cs="Arial"/>
          <w:color w:val="auto"/>
        </w:rPr>
        <w:t xml:space="preserve">the sector and has created an administrative burden for employers in determining whether </w:t>
      </w:r>
      <w:r w:rsidR="007A387F">
        <w:rPr>
          <w:rFonts w:ascii="Arial" w:hAnsi="Arial" w:cs="Arial"/>
          <w:color w:val="auto"/>
        </w:rPr>
        <w:t xml:space="preserve">their organisation </w:t>
      </w:r>
      <w:r>
        <w:rPr>
          <w:rFonts w:ascii="Arial" w:hAnsi="Arial" w:cs="Arial"/>
          <w:color w:val="auto"/>
        </w:rPr>
        <w:t xml:space="preserve">and their employees are engaged in community service work or health and aged care work. </w:t>
      </w:r>
    </w:p>
    <w:tbl>
      <w:tblPr>
        <w:tblStyle w:val="TableGrid"/>
        <w:tblW w:w="9026" w:type="dxa"/>
        <w:tblLook w:val="04A0" w:firstRow="1" w:lastRow="0" w:firstColumn="1" w:lastColumn="0" w:noHBand="0" w:noVBand="1"/>
      </w:tblPr>
      <w:tblGrid>
        <w:gridCol w:w="9026"/>
      </w:tblGrid>
      <w:tr w:rsidR="00297B17" w:rsidRPr="00F738AD" w14:paraId="7AF41DDB" w14:textId="77777777" w:rsidTr="00DB01D9">
        <w:trPr>
          <w:tblHeader/>
        </w:trPr>
        <w:tc>
          <w:tcPr>
            <w:tcW w:w="9026" w:type="dxa"/>
            <w:tcBorders>
              <w:left w:val="nil"/>
              <w:right w:val="nil"/>
            </w:tcBorders>
            <w:shd w:val="clear" w:color="auto" w:fill="002060"/>
          </w:tcPr>
          <w:p w14:paraId="218EB64B" w14:textId="77777777" w:rsidR="00297B17" w:rsidRPr="00F738AD" w:rsidRDefault="00297B17" w:rsidP="00DB01D9">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297B17" w:rsidRPr="00EC5379" w14:paraId="2AE93F0B" w14:textId="77777777" w:rsidTr="00DB01D9">
        <w:trPr>
          <w:trHeight w:val="551"/>
        </w:trPr>
        <w:tc>
          <w:tcPr>
            <w:tcW w:w="9026" w:type="dxa"/>
            <w:tcBorders>
              <w:left w:val="nil"/>
              <w:right w:val="nil"/>
            </w:tcBorders>
            <w:shd w:val="clear" w:color="auto" w:fill="DEEAF6" w:themeFill="accent1" w:themeFillTint="33"/>
          </w:tcPr>
          <w:p w14:paraId="022A46C2" w14:textId="441B1006" w:rsidR="00297B17" w:rsidRPr="00EC5379" w:rsidRDefault="00297B17" w:rsidP="00D50857">
            <w:pPr>
              <w:pStyle w:val="BodyText"/>
              <w:ind w:left="459" w:hanging="459"/>
              <w:rPr>
                <w:rFonts w:cs="Arial"/>
              </w:rPr>
            </w:pPr>
            <w:r>
              <w:rPr>
                <w:rFonts w:cs="Arial"/>
                <w:b/>
              </w:rPr>
              <w:t>S.1</w:t>
            </w:r>
            <w:r w:rsidR="0063565D">
              <w:rPr>
                <w:rFonts w:cs="Arial"/>
                <w:b/>
              </w:rPr>
              <w:tab/>
            </w:r>
            <w:r>
              <w:rPr>
                <w:rFonts w:cs="Arial"/>
              </w:rPr>
              <w:t xml:space="preserve">Are there any other challenges employers in the community services sector face </w:t>
            </w:r>
            <w:r w:rsidR="0063565D">
              <w:rPr>
                <w:rFonts w:cs="Arial"/>
              </w:rPr>
              <w:t xml:space="preserve">in </w:t>
            </w:r>
            <w:r>
              <w:rPr>
                <w:rFonts w:cs="Arial"/>
              </w:rPr>
              <w:t>determin</w:t>
            </w:r>
            <w:r w:rsidR="00D77837">
              <w:rPr>
                <w:rFonts w:cs="Arial"/>
              </w:rPr>
              <w:t>ing</w:t>
            </w:r>
            <w:r>
              <w:rPr>
                <w:rFonts w:cs="Arial"/>
              </w:rPr>
              <w:t xml:space="preserve"> what is defined as community service work?</w:t>
            </w:r>
          </w:p>
        </w:tc>
      </w:tr>
    </w:tbl>
    <w:p w14:paraId="1FF63783" w14:textId="773D1098" w:rsidR="00E13F2A" w:rsidRPr="00EC5379" w:rsidRDefault="00E6474D" w:rsidP="00EE62A5">
      <w:pPr>
        <w:pStyle w:val="Heading3"/>
        <w:tabs>
          <w:tab w:val="clear" w:pos="5115"/>
        </w:tabs>
        <w:spacing w:before="100" w:beforeAutospacing="1" w:after="100" w:afterAutospacing="1"/>
        <w:ind w:left="709"/>
        <w:rPr>
          <w:rFonts w:ascii="Arial" w:hAnsi="Arial" w:cs="Arial"/>
        </w:rPr>
      </w:pPr>
      <w:r w:rsidRPr="00EC5379">
        <w:rPr>
          <w:rFonts w:ascii="Arial" w:hAnsi="Arial" w:cs="Arial"/>
        </w:rPr>
        <w:t xml:space="preserve">Who is </w:t>
      </w:r>
      <w:r w:rsidR="0071726F" w:rsidRPr="00AD518C">
        <w:rPr>
          <w:rFonts w:ascii="Arial" w:hAnsi="Arial" w:cs="Arial"/>
        </w:rPr>
        <w:t xml:space="preserve">regarded as </w:t>
      </w:r>
      <w:r w:rsidRPr="00EC5379">
        <w:rPr>
          <w:rFonts w:ascii="Arial" w:hAnsi="Arial" w:cs="Arial"/>
        </w:rPr>
        <w:t>an employer in the community services sector</w:t>
      </w:r>
      <w:bookmarkEnd w:id="54"/>
      <w:bookmarkEnd w:id="55"/>
    </w:p>
    <w:p w14:paraId="60A3EE14" w14:textId="23708DF5" w:rsidR="008D7140" w:rsidRPr="008D7140" w:rsidRDefault="008D7140" w:rsidP="008D7140">
      <w:pPr>
        <w:pStyle w:val="Heading4"/>
        <w:ind w:left="709"/>
        <w:rPr>
          <w:rFonts w:ascii="Arial" w:hAnsi="Arial" w:cs="Arial"/>
          <w:sz w:val="20"/>
          <w:szCs w:val="20"/>
        </w:rPr>
      </w:pPr>
      <w:bookmarkStart w:id="56" w:name="_Ref34122257"/>
      <w:r w:rsidRPr="008D7140">
        <w:rPr>
          <w:rFonts w:ascii="Arial" w:hAnsi="Arial" w:cs="Arial"/>
          <w:sz w:val="20"/>
          <w:szCs w:val="20"/>
        </w:rPr>
        <w:t>Employer predominance test</w:t>
      </w:r>
      <w:bookmarkEnd w:id="56"/>
    </w:p>
    <w:p w14:paraId="3D3DBCF7" w14:textId="3E26870D" w:rsidR="007577C5" w:rsidRDefault="00D430EE" w:rsidP="00D430EE">
      <w:pPr>
        <w:tabs>
          <w:tab w:val="num" w:pos="680"/>
        </w:tabs>
        <w:rPr>
          <w:rFonts w:ascii="Arial" w:hAnsi="Arial" w:cs="Arial"/>
          <w:color w:val="auto"/>
        </w:rPr>
      </w:pPr>
      <w:r w:rsidRPr="00C22E90">
        <w:rPr>
          <w:rFonts w:ascii="Arial" w:hAnsi="Arial" w:cs="Arial"/>
          <w:color w:val="auto"/>
        </w:rPr>
        <w:t xml:space="preserve">The Interim Regulations lack precision as to who is </w:t>
      </w:r>
      <w:r w:rsidR="0071726F">
        <w:rPr>
          <w:rFonts w:ascii="Arial" w:hAnsi="Arial" w:cs="Arial"/>
          <w:color w:val="auto"/>
        </w:rPr>
        <w:t xml:space="preserve">regarded as </w:t>
      </w:r>
      <w:r w:rsidRPr="00C22E90">
        <w:rPr>
          <w:rFonts w:ascii="Arial" w:hAnsi="Arial" w:cs="Arial"/>
          <w:color w:val="auto"/>
        </w:rPr>
        <w:t xml:space="preserve">an employer in the community services sector. </w:t>
      </w:r>
      <w:r w:rsidR="00183E89">
        <w:rPr>
          <w:rFonts w:ascii="Arial" w:hAnsi="Arial" w:cs="Arial"/>
          <w:color w:val="auto"/>
        </w:rPr>
        <w:t xml:space="preserve">There is no guidance in the Regulations about how to measure predominance to determine whether an employer is </w:t>
      </w:r>
      <w:r w:rsidR="009A14D8">
        <w:rPr>
          <w:rFonts w:ascii="Arial" w:hAnsi="Arial" w:cs="Arial"/>
          <w:color w:val="auto"/>
        </w:rPr>
        <w:t>primarily delivering health or aged care work (as opposed to community service work) and is therefore not covered by the Scheme</w:t>
      </w:r>
      <w:r w:rsidR="00183E89">
        <w:rPr>
          <w:rFonts w:ascii="Arial" w:hAnsi="Arial" w:cs="Arial"/>
          <w:color w:val="auto"/>
        </w:rPr>
        <w:t xml:space="preserve">. </w:t>
      </w:r>
      <w:r>
        <w:rPr>
          <w:rFonts w:ascii="Arial" w:hAnsi="Arial" w:cs="Arial"/>
          <w:color w:val="auto"/>
        </w:rPr>
        <w:t>Stakeholders from the community services sector</w:t>
      </w:r>
      <w:r w:rsidR="007577C5">
        <w:rPr>
          <w:rFonts w:ascii="Arial" w:hAnsi="Arial" w:cs="Arial"/>
          <w:color w:val="auto"/>
        </w:rPr>
        <w:t xml:space="preserve"> </w:t>
      </w:r>
      <w:r>
        <w:rPr>
          <w:rFonts w:ascii="Arial" w:hAnsi="Arial" w:cs="Arial"/>
          <w:color w:val="auto"/>
        </w:rPr>
        <w:t>have expressed concern with the lack of clarity</w:t>
      </w:r>
      <w:r w:rsidR="007577C5">
        <w:rPr>
          <w:rFonts w:ascii="Arial" w:hAnsi="Arial" w:cs="Arial"/>
          <w:color w:val="auto"/>
        </w:rPr>
        <w:t xml:space="preserve"> and the impact on employers, employees and the Authority</w:t>
      </w:r>
      <w:r>
        <w:rPr>
          <w:rFonts w:ascii="Arial" w:hAnsi="Arial" w:cs="Arial"/>
          <w:color w:val="auto"/>
        </w:rPr>
        <w:t xml:space="preserve">. </w:t>
      </w:r>
    </w:p>
    <w:p w14:paraId="047A6BBA" w14:textId="6717E619" w:rsidR="007577C5" w:rsidRDefault="00D430EE" w:rsidP="00D430EE">
      <w:pPr>
        <w:tabs>
          <w:tab w:val="num" w:pos="680"/>
        </w:tabs>
        <w:rPr>
          <w:rFonts w:ascii="Arial" w:hAnsi="Arial" w:cs="Arial"/>
          <w:color w:val="auto"/>
        </w:rPr>
      </w:pPr>
      <w:r>
        <w:rPr>
          <w:rFonts w:ascii="Arial" w:hAnsi="Arial" w:cs="Arial"/>
          <w:color w:val="auto"/>
        </w:rPr>
        <w:t xml:space="preserve">Attempts to </w:t>
      </w:r>
      <w:r w:rsidR="009A14D8">
        <w:rPr>
          <w:rFonts w:ascii="Arial" w:hAnsi="Arial" w:cs="Arial"/>
          <w:color w:val="auto"/>
        </w:rPr>
        <w:t xml:space="preserve">measure predominance through what is widely known </w:t>
      </w:r>
      <w:r w:rsidR="007A387F">
        <w:rPr>
          <w:rFonts w:ascii="Arial" w:hAnsi="Arial" w:cs="Arial"/>
          <w:color w:val="auto"/>
        </w:rPr>
        <w:t xml:space="preserve">as </w:t>
      </w:r>
      <w:r w:rsidR="009A14D8">
        <w:rPr>
          <w:rFonts w:ascii="Arial" w:hAnsi="Arial" w:cs="Arial"/>
          <w:color w:val="auto"/>
        </w:rPr>
        <w:t xml:space="preserve">the </w:t>
      </w:r>
      <w:r>
        <w:rPr>
          <w:rFonts w:ascii="Arial" w:hAnsi="Arial" w:cs="Arial"/>
          <w:color w:val="auto"/>
        </w:rPr>
        <w:t xml:space="preserve">employer predominance test have been administratively burdensome for some employers in the sector as they try to </w:t>
      </w:r>
      <w:r w:rsidR="0063565D">
        <w:rPr>
          <w:rFonts w:ascii="Arial" w:hAnsi="Arial" w:cs="Arial"/>
          <w:color w:val="auto"/>
        </w:rPr>
        <w:t>determine</w:t>
      </w:r>
      <w:r>
        <w:rPr>
          <w:rFonts w:ascii="Arial" w:hAnsi="Arial" w:cs="Arial"/>
          <w:color w:val="auto"/>
        </w:rPr>
        <w:t xml:space="preserve"> whether they are covered by the Scheme.</w:t>
      </w:r>
      <w:r w:rsidR="003B2762">
        <w:rPr>
          <w:rStyle w:val="FootnoteReference"/>
          <w:rFonts w:ascii="Arial" w:hAnsi="Arial" w:cs="Arial"/>
          <w:color w:val="auto"/>
        </w:rPr>
        <w:footnoteReference w:id="15"/>
      </w:r>
      <w:r>
        <w:rPr>
          <w:rFonts w:ascii="Arial" w:hAnsi="Arial" w:cs="Arial"/>
          <w:color w:val="auto"/>
        </w:rPr>
        <w:t xml:space="preserve"> For example, it is not </w:t>
      </w:r>
      <w:r>
        <w:rPr>
          <w:rFonts w:ascii="Arial" w:hAnsi="Arial" w:cs="Arial"/>
          <w:color w:val="auto"/>
        </w:rPr>
        <w:lastRenderedPageBreak/>
        <w:t>clear whether predominance is measured by funding share, headcount of full-time equivalent (FTE) employees</w:t>
      </w:r>
      <w:r w:rsidR="0072722B">
        <w:rPr>
          <w:rFonts w:ascii="Arial" w:hAnsi="Arial" w:cs="Arial"/>
          <w:color w:val="auto"/>
        </w:rPr>
        <w:t>, or</w:t>
      </w:r>
      <w:r>
        <w:rPr>
          <w:rFonts w:ascii="Arial" w:hAnsi="Arial" w:cs="Arial"/>
          <w:color w:val="auto"/>
        </w:rPr>
        <w:t xml:space="preserve"> in terms of the split between community sector work and other work (including health or aged care work). </w:t>
      </w:r>
      <w:r w:rsidR="00D10FD4">
        <w:rPr>
          <w:rFonts w:ascii="Arial" w:hAnsi="Arial" w:cs="Arial"/>
          <w:color w:val="auto"/>
        </w:rPr>
        <w:t>Employers have also stated that the lack of clarity in the Interim Regulations has made it difficult for the Authority to provide consistent advice.</w:t>
      </w:r>
    </w:p>
    <w:p w14:paraId="4E97DC2F" w14:textId="177E5BBA" w:rsidR="00D85311" w:rsidRDefault="007577C5" w:rsidP="008D7140">
      <w:pPr>
        <w:tabs>
          <w:tab w:val="num" w:pos="680"/>
        </w:tabs>
        <w:rPr>
          <w:rFonts w:ascii="Arial" w:hAnsi="Arial" w:cs="Arial"/>
          <w:color w:val="auto"/>
        </w:rPr>
      </w:pPr>
      <w:r>
        <w:rPr>
          <w:rFonts w:ascii="Arial" w:hAnsi="Arial" w:cs="Arial"/>
          <w:color w:val="auto"/>
        </w:rPr>
        <w:t xml:space="preserve">As employers are responsible for determining the share of their work that is </w:t>
      </w:r>
      <w:r w:rsidR="00D10FD4">
        <w:rPr>
          <w:rFonts w:ascii="Arial" w:hAnsi="Arial" w:cs="Arial"/>
          <w:color w:val="auto"/>
        </w:rPr>
        <w:t xml:space="preserve">not health or aged care </w:t>
      </w:r>
      <w:r>
        <w:rPr>
          <w:rFonts w:ascii="Arial" w:hAnsi="Arial" w:cs="Arial"/>
          <w:color w:val="auto"/>
        </w:rPr>
        <w:t>work, the lack of clarity has meant some employers in the sector who should be covered by the Scheme have not registered with the Authority.</w:t>
      </w:r>
      <w:r w:rsidR="00D41B29">
        <w:rPr>
          <w:rFonts w:ascii="Arial" w:hAnsi="Arial" w:cs="Arial"/>
          <w:color w:val="auto"/>
        </w:rPr>
        <w:t xml:space="preserve"> T</w:t>
      </w:r>
      <w:r w:rsidR="00205270">
        <w:rPr>
          <w:rFonts w:ascii="Arial" w:hAnsi="Arial" w:cs="Arial"/>
          <w:color w:val="auto"/>
        </w:rPr>
        <w:t xml:space="preserve">he application of the employer predominance test </w:t>
      </w:r>
      <w:r>
        <w:rPr>
          <w:rFonts w:ascii="Arial" w:hAnsi="Arial" w:cs="Arial"/>
          <w:color w:val="auto"/>
        </w:rPr>
        <w:t xml:space="preserve">has resulted in employees </w:t>
      </w:r>
      <w:r w:rsidR="0063565D">
        <w:rPr>
          <w:rFonts w:ascii="Arial" w:hAnsi="Arial" w:cs="Arial"/>
          <w:color w:val="auto"/>
        </w:rPr>
        <w:t xml:space="preserve">who </w:t>
      </w:r>
      <w:r w:rsidR="00205270">
        <w:rPr>
          <w:rFonts w:ascii="Arial" w:hAnsi="Arial" w:cs="Arial"/>
          <w:color w:val="auto"/>
        </w:rPr>
        <w:t>perform</w:t>
      </w:r>
      <w:r>
        <w:rPr>
          <w:rFonts w:ascii="Arial" w:hAnsi="Arial" w:cs="Arial"/>
          <w:color w:val="auto"/>
        </w:rPr>
        <w:t xml:space="preserve"> community service work being denied access to portable long service benefits because t</w:t>
      </w:r>
      <w:r w:rsidR="00205270">
        <w:rPr>
          <w:rFonts w:ascii="Arial" w:hAnsi="Arial" w:cs="Arial"/>
          <w:color w:val="auto"/>
        </w:rPr>
        <w:t xml:space="preserve">heir employer is not a covered </w:t>
      </w:r>
      <w:r>
        <w:rPr>
          <w:rFonts w:ascii="Arial" w:hAnsi="Arial" w:cs="Arial"/>
          <w:color w:val="auto"/>
        </w:rPr>
        <w:t xml:space="preserve">employer for the purposes of the Scheme. Peak bodies and unions have also reported the predominance test unintentionally excluding smaller charity and palliative care providers who employ </w:t>
      </w:r>
      <w:r w:rsidR="00BA4E89">
        <w:rPr>
          <w:rFonts w:ascii="Arial" w:hAnsi="Arial" w:cs="Arial"/>
          <w:color w:val="auto"/>
        </w:rPr>
        <w:t>employee</w:t>
      </w:r>
      <w:r>
        <w:rPr>
          <w:rFonts w:ascii="Arial" w:hAnsi="Arial" w:cs="Arial"/>
          <w:color w:val="auto"/>
        </w:rPr>
        <w:t xml:space="preserve">s to deliver community </w:t>
      </w:r>
      <w:r w:rsidRPr="003C6FA0">
        <w:rPr>
          <w:rFonts w:ascii="Arial" w:hAnsi="Arial" w:cs="Arial"/>
          <w:color w:val="auto"/>
        </w:rPr>
        <w:t>services.</w:t>
      </w:r>
    </w:p>
    <w:tbl>
      <w:tblPr>
        <w:tblStyle w:val="TableGrid"/>
        <w:tblW w:w="9026" w:type="dxa"/>
        <w:tblLook w:val="04A0" w:firstRow="1" w:lastRow="0" w:firstColumn="1" w:lastColumn="0" w:noHBand="0" w:noVBand="1"/>
      </w:tblPr>
      <w:tblGrid>
        <w:gridCol w:w="9026"/>
      </w:tblGrid>
      <w:tr w:rsidR="00B9690B" w:rsidRPr="00F738AD" w14:paraId="4C5C27E9" w14:textId="77777777" w:rsidTr="00905A24">
        <w:trPr>
          <w:tblHeader/>
        </w:trPr>
        <w:tc>
          <w:tcPr>
            <w:tcW w:w="9026" w:type="dxa"/>
            <w:tcBorders>
              <w:left w:val="nil"/>
              <w:right w:val="nil"/>
            </w:tcBorders>
            <w:shd w:val="clear" w:color="auto" w:fill="002060"/>
          </w:tcPr>
          <w:p w14:paraId="59091449" w14:textId="77777777" w:rsidR="00B9690B" w:rsidRPr="00F738AD" w:rsidRDefault="00B9690B" w:rsidP="00905A24">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B9690B" w:rsidRPr="00EC5379" w14:paraId="49AC388A" w14:textId="77777777" w:rsidTr="00905A24">
        <w:trPr>
          <w:trHeight w:val="551"/>
        </w:trPr>
        <w:tc>
          <w:tcPr>
            <w:tcW w:w="9026" w:type="dxa"/>
            <w:tcBorders>
              <w:left w:val="nil"/>
              <w:right w:val="nil"/>
            </w:tcBorders>
            <w:shd w:val="clear" w:color="auto" w:fill="DEEAF6" w:themeFill="accent1" w:themeFillTint="33"/>
          </w:tcPr>
          <w:p w14:paraId="2724CBD4" w14:textId="70E748FE" w:rsidR="00B9690B" w:rsidRPr="00EC5379" w:rsidRDefault="00D10FD4" w:rsidP="00D10FD4">
            <w:pPr>
              <w:pStyle w:val="BodyText"/>
              <w:ind w:left="459" w:hanging="459"/>
              <w:rPr>
                <w:rFonts w:cs="Arial"/>
              </w:rPr>
            </w:pPr>
            <w:r>
              <w:rPr>
                <w:rFonts w:cs="Arial"/>
                <w:b/>
              </w:rPr>
              <w:t>S.</w:t>
            </w:r>
            <w:r w:rsidR="00D50857">
              <w:rPr>
                <w:rFonts w:cs="Arial"/>
                <w:b/>
              </w:rPr>
              <w:t>2</w:t>
            </w:r>
            <w:r w:rsidR="00CB029E">
              <w:rPr>
                <w:rFonts w:cs="Arial"/>
                <w:b/>
              </w:rPr>
              <w:tab/>
            </w:r>
            <w:r w:rsidR="00B9690B">
              <w:rPr>
                <w:rFonts w:cs="Arial"/>
              </w:rPr>
              <w:t xml:space="preserve">Are there any </w:t>
            </w:r>
            <w:r>
              <w:rPr>
                <w:rFonts w:cs="Arial"/>
              </w:rPr>
              <w:t xml:space="preserve">other </w:t>
            </w:r>
            <w:r w:rsidR="00CB66EC">
              <w:rPr>
                <w:rFonts w:cs="Arial"/>
              </w:rPr>
              <w:t>challenges employers</w:t>
            </w:r>
            <w:r>
              <w:rPr>
                <w:rFonts w:cs="Arial"/>
              </w:rPr>
              <w:t xml:space="preserve"> in the community services sector</w:t>
            </w:r>
            <w:r w:rsidR="00CB66EC">
              <w:rPr>
                <w:rFonts w:cs="Arial"/>
              </w:rPr>
              <w:t xml:space="preserve"> face </w:t>
            </w:r>
            <w:r w:rsidR="00CB029E">
              <w:rPr>
                <w:rFonts w:cs="Arial"/>
              </w:rPr>
              <w:t xml:space="preserve">in </w:t>
            </w:r>
            <w:r>
              <w:rPr>
                <w:rFonts w:cs="Arial"/>
              </w:rPr>
              <w:t xml:space="preserve">determining what share of their work is not health or aged care work under the </w:t>
            </w:r>
            <w:r w:rsidR="00D77837">
              <w:rPr>
                <w:rFonts w:cs="Arial"/>
              </w:rPr>
              <w:t xml:space="preserve">existing </w:t>
            </w:r>
            <w:r>
              <w:rPr>
                <w:rFonts w:cs="Arial"/>
              </w:rPr>
              <w:t>employer predominance test</w:t>
            </w:r>
            <w:r w:rsidR="00B9690B">
              <w:rPr>
                <w:rFonts w:cs="Arial"/>
              </w:rPr>
              <w:t>?</w:t>
            </w:r>
          </w:p>
        </w:tc>
      </w:tr>
    </w:tbl>
    <w:p w14:paraId="328F9D7B" w14:textId="226970D9" w:rsidR="00CB66EC" w:rsidRDefault="0072722B" w:rsidP="008D7140">
      <w:pPr>
        <w:pStyle w:val="Heading4"/>
        <w:tabs>
          <w:tab w:val="num" w:pos="720"/>
        </w:tabs>
        <w:ind w:left="720"/>
        <w:rPr>
          <w:rFonts w:ascii="Arial" w:hAnsi="Arial" w:cs="Arial"/>
          <w:sz w:val="20"/>
          <w:szCs w:val="20"/>
        </w:rPr>
      </w:pPr>
      <w:bookmarkStart w:id="57" w:name="_Ref34836880"/>
      <w:bookmarkStart w:id="58" w:name="_Ref34122276"/>
      <w:r>
        <w:rPr>
          <w:rFonts w:ascii="Arial" w:hAnsi="Arial" w:cs="Arial"/>
          <w:sz w:val="20"/>
          <w:szCs w:val="20"/>
        </w:rPr>
        <w:t>Community Health</w:t>
      </w:r>
      <w:r w:rsidR="002A1244">
        <w:rPr>
          <w:rFonts w:ascii="Arial" w:hAnsi="Arial" w:cs="Arial"/>
          <w:sz w:val="20"/>
          <w:szCs w:val="20"/>
        </w:rPr>
        <w:t xml:space="preserve"> and </w:t>
      </w:r>
      <w:r>
        <w:rPr>
          <w:rFonts w:ascii="Arial" w:hAnsi="Arial" w:cs="Arial"/>
          <w:sz w:val="20"/>
          <w:szCs w:val="20"/>
        </w:rPr>
        <w:t>Women’s Health Centre</w:t>
      </w:r>
      <w:r w:rsidR="002A1244">
        <w:rPr>
          <w:rFonts w:ascii="Arial" w:hAnsi="Arial" w:cs="Arial"/>
          <w:sz w:val="20"/>
          <w:szCs w:val="20"/>
        </w:rPr>
        <w:t>s</w:t>
      </w:r>
      <w:bookmarkEnd w:id="57"/>
      <w:r w:rsidR="002A1244">
        <w:rPr>
          <w:rFonts w:ascii="Arial" w:hAnsi="Arial" w:cs="Arial"/>
          <w:sz w:val="20"/>
          <w:szCs w:val="20"/>
        </w:rPr>
        <w:t xml:space="preserve"> </w:t>
      </w:r>
    </w:p>
    <w:p w14:paraId="5DBECFBE" w14:textId="5B1C9895" w:rsidR="0072722B" w:rsidRDefault="00D90694" w:rsidP="00CB66EC">
      <w:pPr>
        <w:tabs>
          <w:tab w:val="num" w:pos="680"/>
        </w:tabs>
        <w:rPr>
          <w:rFonts w:ascii="Arial" w:hAnsi="Arial" w:cs="Arial"/>
          <w:color w:val="auto"/>
        </w:rPr>
      </w:pPr>
      <w:r>
        <w:rPr>
          <w:rFonts w:ascii="Arial" w:hAnsi="Arial" w:cs="Arial"/>
          <w:color w:val="auto"/>
        </w:rPr>
        <w:t xml:space="preserve">There is uncertainty about whether </w:t>
      </w:r>
      <w:r w:rsidR="0072722B">
        <w:rPr>
          <w:rFonts w:ascii="Arial" w:hAnsi="Arial" w:cs="Arial"/>
          <w:color w:val="auto"/>
        </w:rPr>
        <w:t>Community Health</w:t>
      </w:r>
      <w:r>
        <w:rPr>
          <w:rFonts w:ascii="Arial" w:hAnsi="Arial" w:cs="Arial"/>
          <w:color w:val="auto"/>
        </w:rPr>
        <w:t xml:space="preserve"> and </w:t>
      </w:r>
      <w:r w:rsidR="0072722B">
        <w:rPr>
          <w:rFonts w:ascii="Arial" w:hAnsi="Arial" w:cs="Arial"/>
          <w:color w:val="auto"/>
        </w:rPr>
        <w:t>Women’s Health Centre</w:t>
      </w:r>
      <w:r>
        <w:rPr>
          <w:rFonts w:ascii="Arial" w:hAnsi="Arial" w:cs="Arial"/>
          <w:color w:val="auto"/>
        </w:rPr>
        <w:t xml:space="preserve">s are covered by the Scheme. </w:t>
      </w:r>
      <w:r w:rsidR="00CB66EC" w:rsidRPr="00C22E90">
        <w:rPr>
          <w:rFonts w:ascii="Arial" w:hAnsi="Arial" w:cs="Arial"/>
          <w:color w:val="auto"/>
        </w:rPr>
        <w:t xml:space="preserve">The application of the employer predominance test </w:t>
      </w:r>
      <w:r w:rsidR="002A1244">
        <w:rPr>
          <w:rFonts w:ascii="Arial" w:hAnsi="Arial" w:cs="Arial"/>
          <w:color w:val="auto"/>
        </w:rPr>
        <w:t xml:space="preserve">in </w:t>
      </w:r>
      <w:r w:rsidR="00CB66EC" w:rsidRPr="00C22E90">
        <w:rPr>
          <w:rFonts w:ascii="Arial" w:hAnsi="Arial" w:cs="Arial"/>
          <w:color w:val="auto"/>
        </w:rPr>
        <w:t xml:space="preserve">the Interim Regulations </w:t>
      </w:r>
      <w:r w:rsidR="00EE62A5">
        <w:rPr>
          <w:rFonts w:ascii="Arial" w:hAnsi="Arial" w:cs="Arial"/>
          <w:color w:val="auto"/>
        </w:rPr>
        <w:t xml:space="preserve">can potentially exclude </w:t>
      </w:r>
      <w:r w:rsidR="00CB029E">
        <w:rPr>
          <w:rFonts w:ascii="Arial" w:hAnsi="Arial" w:cs="Arial"/>
          <w:color w:val="auto"/>
        </w:rPr>
        <w:t xml:space="preserve">from the Scheme </w:t>
      </w:r>
      <w:r w:rsidR="00CB66EC" w:rsidRPr="00C22E90">
        <w:rPr>
          <w:rFonts w:ascii="Arial" w:hAnsi="Arial" w:cs="Arial"/>
          <w:color w:val="auto"/>
        </w:rPr>
        <w:t>employees of a</w:t>
      </w:r>
      <w:r w:rsidR="0052339C">
        <w:rPr>
          <w:rFonts w:ascii="Arial" w:hAnsi="Arial" w:cs="Arial"/>
          <w:color w:val="auto"/>
        </w:rPr>
        <w:t xml:space="preserve"> </w:t>
      </w:r>
      <w:r w:rsidR="00CB66EC">
        <w:rPr>
          <w:rFonts w:ascii="Arial" w:hAnsi="Arial" w:cs="Arial"/>
          <w:color w:val="auto"/>
        </w:rPr>
        <w:t>registered</w:t>
      </w:r>
      <w:r w:rsidR="002A1244">
        <w:rPr>
          <w:rFonts w:ascii="Arial" w:hAnsi="Arial" w:cs="Arial"/>
          <w:color w:val="auto"/>
        </w:rPr>
        <w:t xml:space="preserve"> </w:t>
      </w:r>
      <w:r w:rsidR="0072722B">
        <w:rPr>
          <w:rFonts w:ascii="Arial" w:hAnsi="Arial" w:cs="Arial"/>
          <w:color w:val="auto"/>
        </w:rPr>
        <w:t>Community Health Centre</w:t>
      </w:r>
      <w:r w:rsidR="002A1244">
        <w:rPr>
          <w:rFonts w:ascii="Arial" w:hAnsi="Arial" w:cs="Arial"/>
          <w:color w:val="auto"/>
        </w:rPr>
        <w:t xml:space="preserve">, </w:t>
      </w:r>
      <w:r w:rsidR="0072722B">
        <w:rPr>
          <w:rFonts w:ascii="Arial" w:hAnsi="Arial" w:cs="Arial"/>
          <w:color w:val="auto"/>
        </w:rPr>
        <w:t>W</w:t>
      </w:r>
      <w:r w:rsidR="002A1244">
        <w:rPr>
          <w:rFonts w:ascii="Arial" w:hAnsi="Arial" w:cs="Arial"/>
          <w:color w:val="auto"/>
        </w:rPr>
        <w:t>omen’s</w:t>
      </w:r>
      <w:r w:rsidR="00CB66EC" w:rsidRPr="00C22E90">
        <w:rPr>
          <w:rFonts w:ascii="Arial" w:hAnsi="Arial" w:cs="Arial"/>
          <w:color w:val="auto"/>
        </w:rPr>
        <w:t xml:space="preserve"> </w:t>
      </w:r>
      <w:r w:rsidR="0072722B">
        <w:rPr>
          <w:rFonts w:ascii="Arial" w:hAnsi="Arial" w:cs="Arial"/>
          <w:color w:val="auto"/>
        </w:rPr>
        <w:t>H</w:t>
      </w:r>
      <w:r w:rsidR="00CB66EC" w:rsidRPr="00C22E90">
        <w:rPr>
          <w:rFonts w:ascii="Arial" w:hAnsi="Arial" w:cs="Arial"/>
          <w:color w:val="auto"/>
        </w:rPr>
        <w:t>ealth service</w:t>
      </w:r>
      <w:r w:rsidR="002A1244">
        <w:rPr>
          <w:rFonts w:ascii="Arial" w:hAnsi="Arial" w:cs="Arial"/>
          <w:color w:val="auto"/>
        </w:rPr>
        <w:t>s and some disability service providers</w:t>
      </w:r>
      <w:r w:rsidR="00CB66EC" w:rsidRPr="00C22E90">
        <w:rPr>
          <w:rFonts w:ascii="Arial" w:hAnsi="Arial" w:cs="Arial"/>
          <w:color w:val="auto"/>
        </w:rPr>
        <w:t xml:space="preserve"> who deliver community services.</w:t>
      </w:r>
      <w:r w:rsidR="003A3F67">
        <w:rPr>
          <w:rStyle w:val="FootnoteReference"/>
          <w:rFonts w:ascii="Arial" w:hAnsi="Arial" w:cs="Arial"/>
          <w:color w:val="auto"/>
        </w:rPr>
        <w:footnoteReference w:id="16"/>
      </w:r>
      <w:r w:rsidR="00CB66EC" w:rsidRPr="00C22E90">
        <w:rPr>
          <w:rFonts w:ascii="Arial" w:hAnsi="Arial" w:cs="Arial"/>
          <w:color w:val="auto"/>
        </w:rPr>
        <w:t xml:space="preserve"> This is because the </w:t>
      </w:r>
      <w:r w:rsidR="002A1244">
        <w:rPr>
          <w:rFonts w:ascii="Arial" w:hAnsi="Arial" w:cs="Arial"/>
          <w:color w:val="auto"/>
        </w:rPr>
        <w:t>Interim Regulations define health and aged care work in reference</w:t>
      </w:r>
      <w:r w:rsidR="00CB029E">
        <w:rPr>
          <w:rFonts w:ascii="Arial" w:hAnsi="Arial" w:cs="Arial"/>
          <w:color w:val="auto"/>
        </w:rPr>
        <w:t xml:space="preserve"> to</w:t>
      </w:r>
      <w:r w:rsidR="002A1244">
        <w:rPr>
          <w:rFonts w:ascii="Arial" w:hAnsi="Arial" w:cs="Arial"/>
          <w:color w:val="auto"/>
        </w:rPr>
        <w:t xml:space="preserve"> </w:t>
      </w:r>
      <w:r w:rsidR="00CB66EC">
        <w:rPr>
          <w:rFonts w:ascii="Arial" w:hAnsi="Arial" w:cs="Arial"/>
          <w:color w:val="auto"/>
        </w:rPr>
        <w:t xml:space="preserve">the </w:t>
      </w:r>
      <w:r w:rsidR="00CB66EC">
        <w:rPr>
          <w:rFonts w:ascii="Arial" w:hAnsi="Arial" w:cs="Arial"/>
          <w:i/>
          <w:color w:val="auto"/>
        </w:rPr>
        <w:t>Health Services Act 1988</w:t>
      </w:r>
      <w:r w:rsidR="00CB66EC" w:rsidRPr="00C22E90">
        <w:rPr>
          <w:rFonts w:ascii="Arial" w:hAnsi="Arial" w:cs="Arial"/>
          <w:color w:val="auto"/>
        </w:rPr>
        <w:t xml:space="preserve">. </w:t>
      </w:r>
    </w:p>
    <w:p w14:paraId="0CD087E6" w14:textId="674C14D2" w:rsidR="00CB66EC" w:rsidRDefault="00CB66EC" w:rsidP="00CB66EC">
      <w:pPr>
        <w:tabs>
          <w:tab w:val="num" w:pos="680"/>
        </w:tabs>
        <w:rPr>
          <w:rFonts w:ascii="Arial" w:hAnsi="Arial" w:cs="Arial"/>
          <w:color w:val="auto"/>
        </w:rPr>
      </w:pPr>
      <w:r>
        <w:rPr>
          <w:rFonts w:ascii="Arial" w:hAnsi="Arial" w:cs="Arial"/>
          <w:color w:val="auto"/>
        </w:rPr>
        <w:t xml:space="preserve">The Health Services Act governs the operation of </w:t>
      </w:r>
      <w:r w:rsidR="002A1244">
        <w:rPr>
          <w:rFonts w:ascii="Arial" w:hAnsi="Arial" w:cs="Arial"/>
          <w:color w:val="auto"/>
        </w:rPr>
        <w:t>these health services providers</w:t>
      </w:r>
      <w:r>
        <w:rPr>
          <w:rFonts w:ascii="Arial" w:hAnsi="Arial" w:cs="Arial"/>
          <w:color w:val="auto"/>
        </w:rPr>
        <w:t xml:space="preserve"> and</w:t>
      </w:r>
      <w:r w:rsidR="00113546">
        <w:rPr>
          <w:rFonts w:ascii="Arial" w:hAnsi="Arial" w:cs="Arial"/>
          <w:color w:val="auto"/>
        </w:rPr>
        <w:t>, subject to the predominance test,</w:t>
      </w:r>
      <w:r>
        <w:rPr>
          <w:rFonts w:ascii="Arial" w:hAnsi="Arial" w:cs="Arial"/>
          <w:color w:val="auto"/>
        </w:rPr>
        <w:t xml:space="preserve"> has </w:t>
      </w:r>
      <w:r w:rsidRPr="008942FC">
        <w:rPr>
          <w:rFonts w:ascii="Arial" w:hAnsi="Arial" w:cs="Arial"/>
          <w:color w:val="auto"/>
        </w:rPr>
        <w:t>resulted in their exclusion from the Scheme</w:t>
      </w:r>
      <w:r w:rsidR="00113546" w:rsidRPr="008942FC">
        <w:rPr>
          <w:rFonts w:ascii="Arial" w:hAnsi="Arial" w:cs="Arial"/>
          <w:color w:val="auto"/>
        </w:rPr>
        <w:t>. This is</w:t>
      </w:r>
      <w:r w:rsidR="00F74E70" w:rsidRPr="008942FC">
        <w:rPr>
          <w:rFonts w:ascii="Arial" w:hAnsi="Arial" w:cs="Arial"/>
          <w:color w:val="auto"/>
        </w:rPr>
        <w:t xml:space="preserve"> because health and aged care work is excluded from the Scheme</w:t>
      </w:r>
      <w:r w:rsidRPr="008942FC">
        <w:rPr>
          <w:rFonts w:ascii="Arial" w:hAnsi="Arial" w:cs="Arial"/>
          <w:color w:val="auto"/>
        </w:rPr>
        <w:t xml:space="preserve">, despite </w:t>
      </w:r>
      <w:r w:rsidR="002A1244" w:rsidRPr="008942FC">
        <w:rPr>
          <w:rFonts w:ascii="Arial" w:hAnsi="Arial" w:cs="Arial"/>
          <w:color w:val="auto"/>
        </w:rPr>
        <w:t xml:space="preserve">these providers employing </w:t>
      </w:r>
      <w:r w:rsidR="00BA4E89">
        <w:rPr>
          <w:rFonts w:ascii="Arial" w:hAnsi="Arial" w:cs="Arial"/>
          <w:color w:val="auto"/>
        </w:rPr>
        <w:t>employee</w:t>
      </w:r>
      <w:r w:rsidR="002A1244" w:rsidRPr="008942FC">
        <w:rPr>
          <w:rFonts w:ascii="Arial" w:hAnsi="Arial" w:cs="Arial"/>
          <w:color w:val="auto"/>
        </w:rPr>
        <w:t>s to deliver community service work</w:t>
      </w:r>
      <w:r w:rsidR="00057FF0" w:rsidRPr="008942FC">
        <w:rPr>
          <w:rFonts w:ascii="Arial" w:hAnsi="Arial" w:cs="Arial"/>
          <w:color w:val="auto"/>
        </w:rPr>
        <w:t xml:space="preserve"> (including </w:t>
      </w:r>
      <w:r w:rsidR="00BA4E89">
        <w:rPr>
          <w:rFonts w:ascii="Arial" w:hAnsi="Arial" w:cs="Arial"/>
          <w:color w:val="auto"/>
        </w:rPr>
        <w:t>employee</w:t>
      </w:r>
      <w:r w:rsidR="00057FF0" w:rsidRPr="008942FC">
        <w:rPr>
          <w:rFonts w:ascii="Arial" w:hAnsi="Arial" w:cs="Arial"/>
          <w:color w:val="auto"/>
        </w:rPr>
        <w:t>s who deliver disability services under the NDIS)</w:t>
      </w:r>
      <w:r w:rsidRPr="008942FC">
        <w:rPr>
          <w:rFonts w:ascii="Arial" w:hAnsi="Arial" w:cs="Arial"/>
          <w:color w:val="auto"/>
        </w:rPr>
        <w:t>.</w:t>
      </w:r>
      <w:r w:rsidR="003A3F67" w:rsidRPr="008942FC">
        <w:rPr>
          <w:rFonts w:ascii="Arial" w:hAnsi="Arial" w:cs="Arial"/>
          <w:color w:val="auto"/>
        </w:rPr>
        <w:t xml:space="preserve"> </w:t>
      </w:r>
      <w:r w:rsidR="00F74E70" w:rsidRPr="008942FC">
        <w:rPr>
          <w:rFonts w:ascii="Arial" w:hAnsi="Arial" w:cs="Arial"/>
          <w:color w:val="auto"/>
        </w:rPr>
        <w:t>This is inconsistent with the</w:t>
      </w:r>
      <w:r w:rsidR="00C33E5A" w:rsidRPr="008942FC">
        <w:rPr>
          <w:rFonts w:ascii="Arial" w:hAnsi="Arial" w:cs="Arial"/>
          <w:color w:val="auto"/>
        </w:rPr>
        <w:t xml:space="preserve"> </w:t>
      </w:r>
      <w:r w:rsidR="008942FC" w:rsidRPr="008942FC">
        <w:rPr>
          <w:rFonts w:ascii="Arial" w:hAnsi="Arial" w:cs="Arial"/>
          <w:color w:val="auto"/>
        </w:rPr>
        <w:t>LSBP</w:t>
      </w:r>
      <w:r w:rsidR="00C33E5A" w:rsidRPr="008942FC">
        <w:rPr>
          <w:rFonts w:ascii="Arial" w:hAnsi="Arial" w:cs="Arial"/>
          <w:color w:val="auto"/>
        </w:rPr>
        <w:t> </w:t>
      </w:r>
      <w:r w:rsidR="003A3F67" w:rsidRPr="008942FC">
        <w:rPr>
          <w:rFonts w:ascii="Arial" w:hAnsi="Arial" w:cs="Arial"/>
          <w:color w:val="auto"/>
        </w:rPr>
        <w:t>Act</w:t>
      </w:r>
      <w:r w:rsidR="00F74E70" w:rsidRPr="008942FC">
        <w:rPr>
          <w:rFonts w:ascii="Arial" w:hAnsi="Arial" w:cs="Arial"/>
          <w:color w:val="auto"/>
        </w:rPr>
        <w:t>, which</w:t>
      </w:r>
      <w:r w:rsidR="003A3F67" w:rsidRPr="008942FC">
        <w:rPr>
          <w:rFonts w:ascii="Arial" w:hAnsi="Arial" w:cs="Arial"/>
          <w:color w:val="auto"/>
        </w:rPr>
        <w:t xml:space="preserve"> specifically state</w:t>
      </w:r>
      <w:r w:rsidR="007A387F">
        <w:rPr>
          <w:rFonts w:ascii="Arial" w:hAnsi="Arial" w:cs="Arial"/>
          <w:color w:val="auto"/>
        </w:rPr>
        <w:t>s</w:t>
      </w:r>
      <w:r w:rsidR="003A3F67" w:rsidRPr="008942FC">
        <w:rPr>
          <w:rFonts w:ascii="Arial" w:hAnsi="Arial" w:cs="Arial"/>
          <w:color w:val="auto"/>
        </w:rPr>
        <w:t xml:space="preserve"> that </w:t>
      </w:r>
      <w:r w:rsidR="0052339C" w:rsidRPr="008942FC">
        <w:rPr>
          <w:rFonts w:ascii="Arial" w:hAnsi="Arial" w:cs="Arial"/>
          <w:color w:val="auto"/>
        </w:rPr>
        <w:t xml:space="preserve">registered </w:t>
      </w:r>
      <w:r w:rsidR="0072722B">
        <w:rPr>
          <w:rFonts w:ascii="Arial" w:hAnsi="Arial" w:cs="Arial"/>
          <w:color w:val="auto"/>
        </w:rPr>
        <w:t>Community Health Centre</w:t>
      </w:r>
      <w:r w:rsidR="003A3F67" w:rsidRPr="008942FC">
        <w:rPr>
          <w:rFonts w:ascii="Arial" w:hAnsi="Arial" w:cs="Arial"/>
          <w:color w:val="auto"/>
        </w:rPr>
        <w:t xml:space="preserve"> employees undertaking community service work</w:t>
      </w:r>
      <w:r w:rsidRPr="008942FC">
        <w:rPr>
          <w:rFonts w:ascii="Arial" w:hAnsi="Arial" w:cs="Arial"/>
          <w:color w:val="auto"/>
        </w:rPr>
        <w:t xml:space="preserve"> </w:t>
      </w:r>
      <w:r w:rsidR="00F74E70" w:rsidRPr="008942FC">
        <w:rPr>
          <w:rFonts w:ascii="Arial" w:hAnsi="Arial" w:cs="Arial"/>
          <w:color w:val="auto"/>
        </w:rPr>
        <w:t>are</w:t>
      </w:r>
      <w:r w:rsidR="003A3F67" w:rsidRPr="008942FC">
        <w:rPr>
          <w:rFonts w:ascii="Arial" w:hAnsi="Arial" w:cs="Arial"/>
          <w:color w:val="auto"/>
        </w:rPr>
        <w:t xml:space="preserve"> </w:t>
      </w:r>
      <w:r w:rsidR="0052339C" w:rsidRPr="008942FC">
        <w:rPr>
          <w:rFonts w:ascii="Arial" w:hAnsi="Arial" w:cs="Arial"/>
          <w:color w:val="auto"/>
        </w:rPr>
        <w:t xml:space="preserve">not excluded from </w:t>
      </w:r>
      <w:r w:rsidR="003A3F67" w:rsidRPr="008942FC">
        <w:rPr>
          <w:rFonts w:ascii="Arial" w:hAnsi="Arial" w:cs="Arial"/>
          <w:color w:val="auto"/>
        </w:rPr>
        <w:t xml:space="preserve">the Scheme. </w:t>
      </w:r>
      <w:r w:rsidR="0072722B">
        <w:rPr>
          <w:rFonts w:ascii="Arial" w:hAnsi="Arial" w:cs="Arial"/>
          <w:color w:val="auto"/>
        </w:rPr>
        <w:t>The position for Women’s Health Centre</w:t>
      </w:r>
      <w:r w:rsidRPr="008942FC">
        <w:rPr>
          <w:rFonts w:ascii="Arial" w:hAnsi="Arial" w:cs="Arial"/>
          <w:color w:val="auto"/>
        </w:rPr>
        <w:t xml:space="preserve">s </w:t>
      </w:r>
      <w:r w:rsidR="0072722B">
        <w:rPr>
          <w:rFonts w:ascii="Arial" w:hAnsi="Arial" w:cs="Arial"/>
          <w:color w:val="auto"/>
        </w:rPr>
        <w:t>is</w:t>
      </w:r>
      <w:r w:rsidR="0072722B" w:rsidRPr="008942FC">
        <w:rPr>
          <w:rFonts w:ascii="Arial" w:hAnsi="Arial" w:cs="Arial"/>
          <w:color w:val="auto"/>
        </w:rPr>
        <w:t xml:space="preserve"> </w:t>
      </w:r>
      <w:r w:rsidRPr="008942FC">
        <w:rPr>
          <w:rFonts w:ascii="Arial" w:hAnsi="Arial" w:cs="Arial"/>
          <w:color w:val="auto"/>
        </w:rPr>
        <w:t xml:space="preserve">particularly </w:t>
      </w:r>
      <w:r w:rsidR="00E87382">
        <w:rPr>
          <w:rFonts w:ascii="Arial" w:hAnsi="Arial" w:cs="Arial"/>
          <w:color w:val="auto"/>
        </w:rPr>
        <w:t>confusing</w:t>
      </w:r>
      <w:r w:rsidR="00BD6667" w:rsidRPr="008942FC">
        <w:rPr>
          <w:rFonts w:ascii="Arial" w:hAnsi="Arial" w:cs="Arial"/>
          <w:color w:val="auto"/>
        </w:rPr>
        <w:t xml:space="preserve">. </w:t>
      </w:r>
      <w:r w:rsidR="00E87382">
        <w:rPr>
          <w:rFonts w:ascii="Arial" w:hAnsi="Arial" w:cs="Arial"/>
          <w:color w:val="auto"/>
        </w:rPr>
        <w:t>Community health providers</w:t>
      </w:r>
      <w:r w:rsidR="00E87382" w:rsidRPr="008942FC">
        <w:rPr>
          <w:rFonts w:ascii="Arial" w:hAnsi="Arial" w:cs="Arial"/>
          <w:color w:val="auto"/>
        </w:rPr>
        <w:t xml:space="preserve"> </w:t>
      </w:r>
      <w:r w:rsidRPr="008942FC">
        <w:rPr>
          <w:rFonts w:ascii="Arial" w:hAnsi="Arial" w:cs="Arial"/>
          <w:color w:val="auto"/>
        </w:rPr>
        <w:t>understood that they were to be covered by the Scheme</w:t>
      </w:r>
      <w:r w:rsidR="0072722B">
        <w:rPr>
          <w:rFonts w:ascii="Arial" w:hAnsi="Arial" w:cs="Arial"/>
          <w:color w:val="auto"/>
        </w:rPr>
        <w:t xml:space="preserve">, because many of the services that Women’s Health centres provide (e.g. family support services, family violence prevention and response, and housing and homelessness services) are included in the definition of community service work in the Interim Regulations.  </w:t>
      </w:r>
    </w:p>
    <w:p w14:paraId="32E6E79E" w14:textId="2F70BDC1" w:rsidR="00D85311" w:rsidRPr="00051E64" w:rsidRDefault="0072722B" w:rsidP="00051E64">
      <w:pPr>
        <w:tabs>
          <w:tab w:val="num" w:pos="680"/>
        </w:tabs>
        <w:rPr>
          <w:rFonts w:ascii="Arial" w:hAnsi="Arial" w:cs="Arial"/>
          <w:color w:val="auto"/>
        </w:rPr>
      </w:pPr>
      <w:r>
        <w:rPr>
          <w:rFonts w:ascii="Arial" w:hAnsi="Arial" w:cs="Arial"/>
          <w:b/>
          <w:color w:val="auto"/>
        </w:rPr>
        <w:t>Community Health</w:t>
      </w:r>
      <w:r w:rsidR="00222C41" w:rsidRPr="00222C41">
        <w:rPr>
          <w:rFonts w:ascii="Arial" w:hAnsi="Arial" w:cs="Arial"/>
          <w:b/>
          <w:color w:val="auto"/>
        </w:rPr>
        <w:t xml:space="preserve"> providers are of the firm view that they should be excluded from the Scheme.</w:t>
      </w:r>
      <w:r w:rsidR="00CB66EC">
        <w:rPr>
          <w:rFonts w:ascii="Arial" w:hAnsi="Arial" w:cs="Arial"/>
          <w:color w:val="auto"/>
        </w:rPr>
        <w:t xml:space="preserve"> </w:t>
      </w:r>
      <w:r>
        <w:rPr>
          <w:rFonts w:ascii="Arial" w:hAnsi="Arial" w:cs="Arial"/>
          <w:color w:val="auto"/>
        </w:rPr>
        <w:t>Community Health Centre</w:t>
      </w:r>
      <w:r w:rsidR="002A1244">
        <w:rPr>
          <w:rFonts w:ascii="Arial" w:hAnsi="Arial" w:cs="Arial"/>
          <w:color w:val="auto"/>
        </w:rPr>
        <w:t>s argue</w:t>
      </w:r>
      <w:r w:rsidR="00051E64">
        <w:rPr>
          <w:rFonts w:ascii="Arial" w:hAnsi="Arial" w:cs="Arial"/>
          <w:color w:val="auto"/>
        </w:rPr>
        <w:t xml:space="preserve"> </w:t>
      </w:r>
      <w:r w:rsidR="002A1244" w:rsidRPr="00051E64">
        <w:rPr>
          <w:rFonts w:ascii="Arial" w:hAnsi="Arial" w:cs="Arial"/>
          <w:color w:val="auto"/>
        </w:rPr>
        <w:t>that they</w:t>
      </w:r>
      <w:r w:rsidR="00051E64" w:rsidRPr="00051E64">
        <w:rPr>
          <w:rFonts w:ascii="Arial" w:hAnsi="Arial" w:cs="Arial"/>
          <w:color w:val="auto"/>
        </w:rPr>
        <w:t xml:space="preserve"> </w:t>
      </w:r>
      <w:r w:rsidR="00051E64">
        <w:rPr>
          <w:rFonts w:ascii="Arial" w:hAnsi="Arial" w:cs="Arial"/>
          <w:color w:val="auto"/>
        </w:rPr>
        <w:t>provide</w:t>
      </w:r>
      <w:r w:rsidR="00051E64" w:rsidRPr="00051E64">
        <w:rPr>
          <w:rFonts w:ascii="Arial" w:hAnsi="Arial" w:cs="Arial"/>
          <w:color w:val="auto"/>
        </w:rPr>
        <w:t xml:space="preserve"> health </w:t>
      </w:r>
      <w:r w:rsidR="00051E64">
        <w:rPr>
          <w:rFonts w:ascii="Arial" w:hAnsi="Arial" w:cs="Arial"/>
          <w:color w:val="auto"/>
        </w:rPr>
        <w:t xml:space="preserve">services </w:t>
      </w:r>
      <w:r w:rsidR="00051E64" w:rsidRPr="00051E64">
        <w:rPr>
          <w:rFonts w:ascii="Arial" w:hAnsi="Arial" w:cs="Arial"/>
          <w:color w:val="auto"/>
        </w:rPr>
        <w:t xml:space="preserve">and not community services </w:t>
      </w:r>
      <w:r w:rsidR="00051E64">
        <w:rPr>
          <w:rFonts w:ascii="Arial" w:hAnsi="Arial" w:cs="Arial"/>
          <w:color w:val="auto"/>
        </w:rPr>
        <w:t xml:space="preserve">and should not be covered by the Scheme. </w:t>
      </w:r>
      <w:r>
        <w:rPr>
          <w:rFonts w:ascii="Arial" w:hAnsi="Arial" w:cs="Arial"/>
          <w:color w:val="auto"/>
        </w:rPr>
        <w:t>Community Health</w:t>
      </w:r>
      <w:r w:rsidR="00D10FD4">
        <w:rPr>
          <w:rFonts w:ascii="Arial" w:hAnsi="Arial" w:cs="Arial"/>
          <w:color w:val="auto"/>
        </w:rPr>
        <w:t xml:space="preserve"> providers argue</w:t>
      </w:r>
      <w:r w:rsidR="00051E64">
        <w:rPr>
          <w:rFonts w:ascii="Arial" w:hAnsi="Arial" w:cs="Arial"/>
          <w:color w:val="auto"/>
        </w:rPr>
        <w:t xml:space="preserve"> that they</w:t>
      </w:r>
      <w:r w:rsidR="002A1244" w:rsidRPr="00051E64">
        <w:rPr>
          <w:rFonts w:ascii="Arial" w:hAnsi="Arial" w:cs="Arial"/>
          <w:color w:val="auto"/>
        </w:rPr>
        <w:t xml:space="preserve"> have greater funding certainty than the rest of the community services sector and </w:t>
      </w:r>
      <w:r w:rsidR="00CB029E">
        <w:rPr>
          <w:rFonts w:ascii="Arial" w:hAnsi="Arial" w:cs="Arial"/>
          <w:color w:val="auto"/>
        </w:rPr>
        <w:t>therefore</w:t>
      </w:r>
      <w:r w:rsidR="00CB029E" w:rsidRPr="00051E64">
        <w:rPr>
          <w:rFonts w:ascii="Arial" w:hAnsi="Arial" w:cs="Arial"/>
          <w:color w:val="auto"/>
        </w:rPr>
        <w:t xml:space="preserve"> </w:t>
      </w:r>
      <w:r w:rsidR="002A1244" w:rsidRPr="00051E64">
        <w:rPr>
          <w:rFonts w:ascii="Arial" w:hAnsi="Arial" w:cs="Arial"/>
          <w:color w:val="auto"/>
        </w:rPr>
        <w:t xml:space="preserve">their </w:t>
      </w:r>
      <w:r w:rsidR="00BA4E89">
        <w:rPr>
          <w:rFonts w:ascii="Arial" w:hAnsi="Arial" w:cs="Arial"/>
          <w:color w:val="auto"/>
        </w:rPr>
        <w:t>employee</w:t>
      </w:r>
      <w:r w:rsidR="002A1244" w:rsidRPr="00051E64">
        <w:rPr>
          <w:rFonts w:ascii="Arial" w:hAnsi="Arial" w:cs="Arial"/>
          <w:color w:val="auto"/>
        </w:rPr>
        <w:t>s are not as de</w:t>
      </w:r>
      <w:r w:rsidR="00D10FD4">
        <w:rPr>
          <w:rFonts w:ascii="Arial" w:hAnsi="Arial" w:cs="Arial"/>
          <w:color w:val="auto"/>
        </w:rPr>
        <w:t>pendent on short-term contracts</w:t>
      </w:r>
      <w:r w:rsidR="002A1244" w:rsidRPr="00051E64">
        <w:rPr>
          <w:rFonts w:ascii="Arial" w:hAnsi="Arial" w:cs="Arial"/>
          <w:color w:val="auto"/>
        </w:rPr>
        <w:t>. They also argue</w:t>
      </w:r>
      <w:r w:rsidR="00CB66EC" w:rsidRPr="00051E64">
        <w:rPr>
          <w:rFonts w:ascii="Arial" w:hAnsi="Arial" w:cs="Arial"/>
          <w:color w:val="auto"/>
        </w:rPr>
        <w:t xml:space="preserve"> that the Scheme would duplicate existing portability entitlements for some </w:t>
      </w:r>
      <w:r w:rsidR="00BA4E89">
        <w:rPr>
          <w:rFonts w:ascii="Arial" w:hAnsi="Arial" w:cs="Arial"/>
          <w:color w:val="auto"/>
        </w:rPr>
        <w:t>employee</w:t>
      </w:r>
      <w:r w:rsidR="00CB66EC" w:rsidRPr="00051E64">
        <w:rPr>
          <w:rFonts w:ascii="Arial" w:hAnsi="Arial" w:cs="Arial"/>
          <w:color w:val="auto"/>
        </w:rPr>
        <w:t xml:space="preserve">s in </w:t>
      </w:r>
      <w:r>
        <w:rPr>
          <w:rFonts w:ascii="Arial" w:hAnsi="Arial" w:cs="Arial"/>
          <w:color w:val="auto"/>
        </w:rPr>
        <w:t>Community Health Centre</w:t>
      </w:r>
      <w:r w:rsidR="00CB66EC" w:rsidRPr="00051E64">
        <w:rPr>
          <w:rFonts w:ascii="Arial" w:hAnsi="Arial" w:cs="Arial"/>
          <w:color w:val="auto"/>
        </w:rPr>
        <w:t xml:space="preserve">s under </w:t>
      </w:r>
      <w:r w:rsidR="00ED17BA">
        <w:rPr>
          <w:rFonts w:ascii="Arial" w:hAnsi="Arial" w:cs="Arial"/>
          <w:color w:val="auto"/>
        </w:rPr>
        <w:t>f</w:t>
      </w:r>
      <w:r w:rsidR="00CB66EC" w:rsidRPr="00051E64">
        <w:rPr>
          <w:rFonts w:ascii="Arial" w:hAnsi="Arial" w:cs="Arial"/>
          <w:color w:val="auto"/>
        </w:rPr>
        <w:t xml:space="preserve">air </w:t>
      </w:r>
      <w:r w:rsidR="00ED17BA">
        <w:rPr>
          <w:rFonts w:ascii="Arial" w:hAnsi="Arial" w:cs="Arial"/>
          <w:color w:val="auto"/>
        </w:rPr>
        <w:t>w</w:t>
      </w:r>
      <w:r w:rsidR="00CB66EC" w:rsidRPr="00051E64">
        <w:rPr>
          <w:rFonts w:ascii="Arial" w:hAnsi="Arial" w:cs="Arial"/>
          <w:color w:val="auto"/>
        </w:rPr>
        <w:t xml:space="preserve">ork instruments (including multi-enterprise </w:t>
      </w:r>
      <w:r w:rsidR="00CB66EC" w:rsidRPr="00051E64">
        <w:rPr>
          <w:rFonts w:ascii="Arial" w:hAnsi="Arial" w:cs="Arial"/>
          <w:color w:val="auto"/>
        </w:rPr>
        <w:lastRenderedPageBreak/>
        <w:t xml:space="preserve">agreements). However, the existing portability entitlements do not cover employees who move between </w:t>
      </w:r>
      <w:r>
        <w:rPr>
          <w:rFonts w:ascii="Arial" w:hAnsi="Arial" w:cs="Arial"/>
          <w:color w:val="auto"/>
        </w:rPr>
        <w:t>Community Health Centre</w:t>
      </w:r>
      <w:r w:rsidR="00CB66EC" w:rsidRPr="00051E64">
        <w:rPr>
          <w:rFonts w:ascii="Arial" w:hAnsi="Arial" w:cs="Arial"/>
          <w:color w:val="auto"/>
        </w:rPr>
        <w:t>s and the broader community services sector.</w:t>
      </w:r>
    </w:p>
    <w:tbl>
      <w:tblPr>
        <w:tblStyle w:val="TableGrid"/>
        <w:tblW w:w="9026" w:type="dxa"/>
        <w:tblLook w:val="04A0" w:firstRow="1" w:lastRow="0" w:firstColumn="1" w:lastColumn="0" w:noHBand="0" w:noVBand="1"/>
      </w:tblPr>
      <w:tblGrid>
        <w:gridCol w:w="9026"/>
      </w:tblGrid>
      <w:tr w:rsidR="002A1244" w:rsidRPr="00F738AD" w14:paraId="65C75B76" w14:textId="77777777" w:rsidTr="004D21B4">
        <w:trPr>
          <w:tblHeader/>
        </w:trPr>
        <w:tc>
          <w:tcPr>
            <w:tcW w:w="9026" w:type="dxa"/>
            <w:tcBorders>
              <w:left w:val="nil"/>
              <w:right w:val="nil"/>
            </w:tcBorders>
            <w:shd w:val="clear" w:color="auto" w:fill="002060"/>
          </w:tcPr>
          <w:p w14:paraId="15046C9C" w14:textId="77777777" w:rsidR="002A1244" w:rsidRPr="00F738AD" w:rsidRDefault="002A1244" w:rsidP="004D21B4">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2A1244" w:rsidRPr="00EC5379" w14:paraId="7B60FE32" w14:textId="77777777" w:rsidTr="004D21B4">
        <w:trPr>
          <w:trHeight w:val="551"/>
        </w:trPr>
        <w:tc>
          <w:tcPr>
            <w:tcW w:w="9026" w:type="dxa"/>
            <w:tcBorders>
              <w:left w:val="nil"/>
              <w:right w:val="nil"/>
            </w:tcBorders>
            <w:shd w:val="clear" w:color="auto" w:fill="DEEAF6" w:themeFill="accent1" w:themeFillTint="33"/>
          </w:tcPr>
          <w:p w14:paraId="2C0C9FF3" w14:textId="1A7BCD21" w:rsidR="002A1244" w:rsidRPr="00EC5379" w:rsidRDefault="00D10FD4" w:rsidP="00D10FD4">
            <w:pPr>
              <w:pStyle w:val="BodyText"/>
              <w:ind w:left="459" w:hanging="459"/>
              <w:rPr>
                <w:rFonts w:cs="Arial"/>
              </w:rPr>
            </w:pPr>
            <w:r>
              <w:rPr>
                <w:rFonts w:cs="Arial"/>
                <w:b/>
              </w:rPr>
              <w:t>S.</w:t>
            </w:r>
            <w:r w:rsidR="00D50857">
              <w:rPr>
                <w:rFonts w:cs="Arial"/>
                <w:b/>
              </w:rPr>
              <w:t>3</w:t>
            </w:r>
            <w:r w:rsidR="0055008B">
              <w:rPr>
                <w:rFonts w:cs="Arial"/>
                <w:b/>
              </w:rPr>
              <w:t xml:space="preserve"> </w:t>
            </w:r>
            <w:r w:rsidR="00CB029E">
              <w:rPr>
                <w:rFonts w:cs="Arial"/>
                <w:b/>
              </w:rPr>
              <w:tab/>
            </w:r>
            <w:r w:rsidR="002A1244">
              <w:rPr>
                <w:rFonts w:cs="Arial"/>
              </w:rPr>
              <w:t xml:space="preserve">Are there any other </w:t>
            </w:r>
            <w:r w:rsidR="002106A3">
              <w:rPr>
                <w:rFonts w:cs="Arial"/>
              </w:rPr>
              <w:t>sub</w:t>
            </w:r>
            <w:r w:rsidR="002106A3">
              <w:rPr>
                <w:rFonts w:cs="Arial"/>
              </w:rPr>
              <w:noBreakHyphen/>
              <w:t>sector</w:t>
            </w:r>
            <w:r w:rsidR="002A1244">
              <w:rPr>
                <w:rFonts w:cs="Arial"/>
              </w:rPr>
              <w:t>s that have been unintentionally excluded from the Scheme through the definition of health and aged care work in the Interim Regulations?</w:t>
            </w:r>
          </w:p>
        </w:tc>
      </w:tr>
    </w:tbl>
    <w:p w14:paraId="4CF8DA6D" w14:textId="77777777" w:rsidR="00CB029E" w:rsidRDefault="00CB029E" w:rsidP="00CB029E">
      <w:pPr>
        <w:pStyle w:val="BodyText"/>
      </w:pPr>
      <w:bookmarkStart w:id="59" w:name="_Ref34837671"/>
      <w:bookmarkStart w:id="60" w:name="_Ref36115693"/>
    </w:p>
    <w:p w14:paraId="43CDAC79" w14:textId="3870EED0" w:rsidR="008D7140" w:rsidRPr="008D7140" w:rsidRDefault="008D7140" w:rsidP="008D7140">
      <w:pPr>
        <w:pStyle w:val="Heading4"/>
        <w:tabs>
          <w:tab w:val="num" w:pos="720"/>
        </w:tabs>
        <w:ind w:left="720"/>
        <w:rPr>
          <w:rFonts w:ascii="Arial" w:hAnsi="Arial" w:cs="Arial"/>
          <w:sz w:val="20"/>
          <w:szCs w:val="20"/>
        </w:rPr>
      </w:pPr>
      <w:r w:rsidRPr="008D7140">
        <w:rPr>
          <w:rFonts w:ascii="Arial" w:hAnsi="Arial" w:cs="Arial"/>
          <w:sz w:val="20"/>
          <w:szCs w:val="20"/>
        </w:rPr>
        <w:t xml:space="preserve">For-profit providers of </w:t>
      </w:r>
      <w:r>
        <w:rPr>
          <w:rFonts w:ascii="Arial" w:hAnsi="Arial" w:cs="Arial"/>
          <w:sz w:val="20"/>
          <w:szCs w:val="20"/>
        </w:rPr>
        <w:t>early childhood</w:t>
      </w:r>
      <w:r w:rsidRPr="008D7140">
        <w:rPr>
          <w:rFonts w:ascii="Arial" w:hAnsi="Arial" w:cs="Arial"/>
          <w:sz w:val="20"/>
          <w:szCs w:val="20"/>
        </w:rPr>
        <w:t xml:space="preserve"> services</w:t>
      </w:r>
      <w:bookmarkEnd w:id="58"/>
      <w:bookmarkEnd w:id="59"/>
      <w:bookmarkEnd w:id="60"/>
    </w:p>
    <w:p w14:paraId="2B4AAC75" w14:textId="719ABBCE" w:rsidR="00D90694" w:rsidRPr="008942FC" w:rsidRDefault="00113546" w:rsidP="000D5F66">
      <w:pPr>
        <w:tabs>
          <w:tab w:val="num" w:pos="680"/>
        </w:tabs>
        <w:rPr>
          <w:rFonts w:ascii="Arial" w:hAnsi="Arial" w:cs="Arial"/>
          <w:color w:val="auto"/>
        </w:rPr>
      </w:pPr>
      <w:r>
        <w:rPr>
          <w:rFonts w:ascii="Arial" w:hAnsi="Arial" w:cs="Arial"/>
          <w:color w:val="auto"/>
        </w:rPr>
        <w:t xml:space="preserve">The drafting of the Interim Regulations has led to some uncertainty </w:t>
      </w:r>
      <w:r w:rsidR="00CB029E">
        <w:rPr>
          <w:rFonts w:ascii="Arial" w:hAnsi="Arial" w:cs="Arial"/>
          <w:color w:val="auto"/>
        </w:rPr>
        <w:t xml:space="preserve">as to </w:t>
      </w:r>
      <w:r>
        <w:rPr>
          <w:rFonts w:ascii="Arial" w:hAnsi="Arial" w:cs="Arial"/>
          <w:color w:val="auto"/>
        </w:rPr>
        <w:t xml:space="preserve">whether </w:t>
      </w:r>
      <w:r w:rsidR="00D36BC6">
        <w:rPr>
          <w:rFonts w:ascii="Arial" w:hAnsi="Arial" w:cs="Arial"/>
          <w:color w:val="auto"/>
        </w:rPr>
        <w:t>for</w:t>
      </w:r>
      <w:r w:rsidR="00D36BC6">
        <w:rPr>
          <w:rFonts w:ascii="Arial" w:hAnsi="Arial" w:cs="Arial"/>
          <w:color w:val="auto"/>
        </w:rPr>
        <w:noBreakHyphen/>
        <w:t>profit</w:t>
      </w:r>
      <w:r>
        <w:rPr>
          <w:rFonts w:ascii="Arial" w:hAnsi="Arial" w:cs="Arial"/>
          <w:color w:val="auto"/>
        </w:rPr>
        <w:t xml:space="preserve"> providers of early childhood services are covered by the Scheme. </w:t>
      </w:r>
      <w:r w:rsidR="000D5F66" w:rsidRPr="00FB5655">
        <w:rPr>
          <w:rFonts w:ascii="Arial" w:hAnsi="Arial" w:cs="Arial"/>
          <w:color w:val="auto"/>
        </w:rPr>
        <w:t xml:space="preserve">The Interim Regulations prescribe services provided by an entity that is a licensed children's service under the </w:t>
      </w:r>
      <w:r w:rsidR="000D5F66" w:rsidRPr="00FB5655">
        <w:rPr>
          <w:rFonts w:ascii="Arial" w:hAnsi="Arial" w:cs="Arial"/>
          <w:i/>
          <w:iCs/>
          <w:color w:val="auto"/>
        </w:rPr>
        <w:t xml:space="preserve">Children's Services Act 1996 </w:t>
      </w:r>
      <w:r w:rsidR="000D5F66" w:rsidRPr="00FB5655">
        <w:rPr>
          <w:rFonts w:ascii="Arial" w:hAnsi="Arial" w:cs="Arial"/>
          <w:color w:val="auto"/>
        </w:rPr>
        <w:t xml:space="preserve">or an approved provider under the Education and Care Services National Law (Victoria) as community service work. Under Schedule 1 of the </w:t>
      </w:r>
      <w:r w:rsidR="008942FC" w:rsidRPr="008942FC">
        <w:rPr>
          <w:rFonts w:ascii="Arial" w:hAnsi="Arial" w:cs="Arial"/>
          <w:color w:val="auto"/>
        </w:rPr>
        <w:t>LSBP</w:t>
      </w:r>
      <w:r w:rsidR="00524140" w:rsidRPr="008942FC">
        <w:rPr>
          <w:rFonts w:ascii="Arial" w:hAnsi="Arial" w:cs="Arial"/>
          <w:color w:val="auto"/>
        </w:rPr>
        <w:t> </w:t>
      </w:r>
      <w:r w:rsidR="000D5F66" w:rsidRPr="008942FC">
        <w:rPr>
          <w:rFonts w:ascii="Arial" w:hAnsi="Arial" w:cs="Arial"/>
          <w:color w:val="auto"/>
        </w:rPr>
        <w:t xml:space="preserve">Act, </w:t>
      </w:r>
      <w:r w:rsidR="00D36BC6">
        <w:rPr>
          <w:rFonts w:ascii="Arial" w:hAnsi="Arial" w:cs="Arial"/>
          <w:color w:val="auto"/>
        </w:rPr>
        <w:t>for</w:t>
      </w:r>
      <w:r w:rsidR="00D36BC6">
        <w:rPr>
          <w:rFonts w:ascii="Arial" w:hAnsi="Arial" w:cs="Arial"/>
          <w:color w:val="auto"/>
        </w:rPr>
        <w:noBreakHyphen/>
        <w:t>profit</w:t>
      </w:r>
      <w:r w:rsidR="000D5F66" w:rsidRPr="008942FC">
        <w:rPr>
          <w:rFonts w:ascii="Arial" w:hAnsi="Arial" w:cs="Arial"/>
          <w:color w:val="auto"/>
        </w:rPr>
        <w:t xml:space="preserve"> providers are excluded from the Scheme, with the exception of entities that employ persons to perform ‘community service work for persons with a disability’. </w:t>
      </w:r>
    </w:p>
    <w:p w14:paraId="6578B14E" w14:textId="485D0756" w:rsidR="000D5F66" w:rsidRPr="008942FC" w:rsidRDefault="00D10FD4" w:rsidP="000D5F66">
      <w:pPr>
        <w:tabs>
          <w:tab w:val="num" w:pos="680"/>
        </w:tabs>
        <w:rPr>
          <w:rFonts w:ascii="Arial" w:hAnsi="Arial" w:cs="Arial"/>
          <w:color w:val="auto"/>
        </w:rPr>
      </w:pPr>
      <w:r w:rsidRPr="008942FC">
        <w:rPr>
          <w:rFonts w:ascii="Arial" w:hAnsi="Arial" w:cs="Arial"/>
          <w:color w:val="auto"/>
        </w:rPr>
        <w:t>Some providers have interpreted that</w:t>
      </w:r>
      <w:r w:rsidR="00CB029E">
        <w:rPr>
          <w:rFonts w:ascii="Arial" w:hAnsi="Arial" w:cs="Arial"/>
          <w:color w:val="auto"/>
        </w:rPr>
        <w:t>,</w:t>
      </w:r>
      <w:r w:rsidRPr="008942FC">
        <w:rPr>
          <w:rFonts w:ascii="Arial" w:hAnsi="Arial" w:cs="Arial"/>
          <w:color w:val="auto"/>
        </w:rPr>
        <w:t xml:space="preserve"> if a </w:t>
      </w:r>
      <w:r w:rsidR="00D36BC6">
        <w:rPr>
          <w:rFonts w:ascii="Arial" w:hAnsi="Arial" w:cs="Arial"/>
          <w:color w:val="auto"/>
        </w:rPr>
        <w:t>for</w:t>
      </w:r>
      <w:r w:rsidR="00D36BC6">
        <w:rPr>
          <w:rFonts w:ascii="Arial" w:hAnsi="Arial" w:cs="Arial"/>
          <w:color w:val="auto"/>
        </w:rPr>
        <w:noBreakHyphen/>
        <w:t>profit</w:t>
      </w:r>
      <w:r w:rsidRPr="008942FC">
        <w:rPr>
          <w:rFonts w:ascii="Arial" w:hAnsi="Arial" w:cs="Arial"/>
          <w:color w:val="auto"/>
        </w:rPr>
        <w:t xml:space="preserve"> entity that is a licensed children’s service provider or an approved provider under the Education and Care Services National Law employs </w:t>
      </w:r>
      <w:r w:rsidR="00D90694" w:rsidRPr="008942FC">
        <w:rPr>
          <w:rFonts w:ascii="Arial" w:hAnsi="Arial" w:cs="Arial"/>
          <w:color w:val="auto"/>
        </w:rPr>
        <w:t xml:space="preserve">a disability </w:t>
      </w:r>
      <w:r w:rsidR="007A387F">
        <w:rPr>
          <w:rFonts w:ascii="Arial" w:hAnsi="Arial" w:cs="Arial"/>
          <w:color w:val="auto"/>
        </w:rPr>
        <w:t>worker</w:t>
      </w:r>
      <w:r w:rsidRPr="008942FC">
        <w:rPr>
          <w:rFonts w:ascii="Arial" w:hAnsi="Arial" w:cs="Arial"/>
          <w:color w:val="auto"/>
        </w:rPr>
        <w:t xml:space="preserve">, the service will come within the scope of the Scheme. Consequently, all other employees who perform community service work will also come within scope. This is an incorrect interpretation, and is inconsistent with the intent of the </w:t>
      </w:r>
      <w:r w:rsidR="008942FC" w:rsidRPr="008942FC">
        <w:rPr>
          <w:rFonts w:ascii="Arial" w:hAnsi="Arial" w:cs="Arial"/>
          <w:color w:val="auto"/>
        </w:rPr>
        <w:t>LSBP</w:t>
      </w:r>
      <w:r w:rsidRPr="008942FC">
        <w:rPr>
          <w:rFonts w:ascii="Arial" w:hAnsi="Arial" w:cs="Arial"/>
          <w:color w:val="auto"/>
        </w:rPr>
        <w:t xml:space="preserve"> Act to exclude </w:t>
      </w:r>
      <w:r w:rsidR="00D36BC6">
        <w:rPr>
          <w:rFonts w:ascii="Arial" w:hAnsi="Arial" w:cs="Arial"/>
          <w:color w:val="auto"/>
        </w:rPr>
        <w:t>for</w:t>
      </w:r>
      <w:r w:rsidR="00D36BC6">
        <w:rPr>
          <w:rFonts w:ascii="Arial" w:hAnsi="Arial" w:cs="Arial"/>
          <w:color w:val="auto"/>
        </w:rPr>
        <w:noBreakHyphen/>
        <w:t>profit</w:t>
      </w:r>
      <w:r w:rsidRPr="008942FC">
        <w:rPr>
          <w:rFonts w:ascii="Arial" w:hAnsi="Arial" w:cs="Arial"/>
          <w:color w:val="auto"/>
        </w:rPr>
        <w:t xml:space="preserve"> providers from the Scheme. </w:t>
      </w:r>
      <w:r w:rsidR="00D90694" w:rsidRPr="008942FC">
        <w:rPr>
          <w:rFonts w:ascii="Arial" w:hAnsi="Arial" w:cs="Arial"/>
          <w:color w:val="auto"/>
        </w:rPr>
        <w:t xml:space="preserve">The Regulations require redrafting to clarify this problem. </w:t>
      </w:r>
    </w:p>
    <w:p w14:paraId="2E13A456" w14:textId="7C8DAC3B" w:rsidR="00D430EE" w:rsidRDefault="00524140" w:rsidP="00D430EE">
      <w:pPr>
        <w:tabs>
          <w:tab w:val="num" w:pos="680"/>
        </w:tabs>
        <w:rPr>
          <w:rFonts w:ascii="Arial" w:hAnsi="Arial" w:cs="Arial"/>
          <w:color w:val="auto"/>
        </w:rPr>
      </w:pPr>
      <w:bookmarkStart w:id="61" w:name="_Ref32928673"/>
      <w:r w:rsidRPr="008942FC">
        <w:rPr>
          <w:rFonts w:ascii="Arial" w:hAnsi="Arial" w:cs="Arial"/>
          <w:color w:val="auto"/>
        </w:rPr>
        <w:t>In addition, e</w:t>
      </w:r>
      <w:r w:rsidR="00D430EE" w:rsidRPr="008942FC">
        <w:rPr>
          <w:rFonts w:ascii="Arial" w:hAnsi="Arial" w:cs="Arial"/>
          <w:color w:val="auto"/>
        </w:rPr>
        <w:t>mployer groups representing not-</w:t>
      </w:r>
      <w:r w:rsidR="00D36BC6">
        <w:rPr>
          <w:rFonts w:ascii="Arial" w:hAnsi="Arial" w:cs="Arial"/>
          <w:color w:val="auto"/>
        </w:rPr>
        <w:t>for</w:t>
      </w:r>
      <w:r w:rsidR="00D36BC6">
        <w:rPr>
          <w:rFonts w:ascii="Arial" w:hAnsi="Arial" w:cs="Arial"/>
          <w:color w:val="auto"/>
        </w:rPr>
        <w:noBreakHyphen/>
        <w:t>profit</w:t>
      </w:r>
      <w:r w:rsidR="00D430EE" w:rsidRPr="008942FC">
        <w:rPr>
          <w:rFonts w:ascii="Arial" w:hAnsi="Arial" w:cs="Arial"/>
          <w:color w:val="auto"/>
        </w:rPr>
        <w:t xml:space="preserve"> early learning providers have</w:t>
      </w:r>
      <w:r w:rsidRPr="008942FC">
        <w:rPr>
          <w:rFonts w:ascii="Arial" w:hAnsi="Arial" w:cs="Arial"/>
          <w:color w:val="auto"/>
        </w:rPr>
        <w:t xml:space="preserve"> raised broader</w:t>
      </w:r>
      <w:r w:rsidR="00D430EE" w:rsidRPr="008942FC">
        <w:rPr>
          <w:rFonts w:ascii="Arial" w:hAnsi="Arial" w:cs="Arial"/>
          <w:color w:val="auto"/>
        </w:rPr>
        <w:t xml:space="preserve"> concerns with the exclusion of </w:t>
      </w:r>
      <w:r w:rsidR="00D36BC6">
        <w:rPr>
          <w:rFonts w:ascii="Arial" w:hAnsi="Arial" w:cs="Arial"/>
          <w:color w:val="auto"/>
        </w:rPr>
        <w:t>for</w:t>
      </w:r>
      <w:r w:rsidR="00D36BC6">
        <w:rPr>
          <w:rFonts w:ascii="Arial" w:hAnsi="Arial" w:cs="Arial"/>
          <w:color w:val="auto"/>
        </w:rPr>
        <w:noBreakHyphen/>
        <w:t>profit</w:t>
      </w:r>
      <w:r w:rsidR="00D430EE" w:rsidRPr="008942FC">
        <w:rPr>
          <w:rFonts w:ascii="Arial" w:hAnsi="Arial" w:cs="Arial"/>
          <w:color w:val="auto"/>
        </w:rPr>
        <w:t xml:space="preserve"> providers from the Scheme. It is argued that the exclusion of </w:t>
      </w:r>
      <w:r w:rsidR="00D36BC6">
        <w:rPr>
          <w:rFonts w:ascii="Arial" w:hAnsi="Arial" w:cs="Arial"/>
          <w:color w:val="auto"/>
        </w:rPr>
        <w:t>for</w:t>
      </w:r>
      <w:r w:rsidR="00D36BC6">
        <w:rPr>
          <w:rFonts w:ascii="Arial" w:hAnsi="Arial" w:cs="Arial"/>
          <w:color w:val="auto"/>
        </w:rPr>
        <w:noBreakHyphen/>
        <w:t>profit</w:t>
      </w:r>
      <w:r w:rsidR="00D430EE" w:rsidRPr="008942FC">
        <w:rPr>
          <w:rFonts w:ascii="Arial" w:hAnsi="Arial" w:cs="Arial"/>
          <w:color w:val="auto"/>
        </w:rPr>
        <w:t xml:space="preserve"> providers undermines the portability of the Scheme. Employees who move from not-</w:t>
      </w:r>
      <w:r w:rsidR="00D36BC6">
        <w:rPr>
          <w:rFonts w:ascii="Arial" w:hAnsi="Arial" w:cs="Arial"/>
          <w:color w:val="auto"/>
        </w:rPr>
        <w:t>for</w:t>
      </w:r>
      <w:r w:rsidR="00D36BC6">
        <w:rPr>
          <w:rFonts w:ascii="Arial" w:hAnsi="Arial" w:cs="Arial"/>
          <w:color w:val="auto"/>
        </w:rPr>
        <w:noBreakHyphen/>
        <w:t>profit</w:t>
      </w:r>
      <w:r w:rsidR="00D430EE" w:rsidRPr="008942FC">
        <w:rPr>
          <w:rFonts w:ascii="Arial" w:hAnsi="Arial" w:cs="Arial"/>
          <w:color w:val="auto"/>
        </w:rPr>
        <w:t xml:space="preserve"> providers to </w:t>
      </w:r>
      <w:r w:rsidR="00D36BC6">
        <w:rPr>
          <w:rFonts w:ascii="Arial" w:hAnsi="Arial" w:cs="Arial"/>
          <w:color w:val="auto"/>
        </w:rPr>
        <w:t>for</w:t>
      </w:r>
      <w:r w:rsidR="00D36BC6">
        <w:rPr>
          <w:rFonts w:ascii="Arial" w:hAnsi="Arial" w:cs="Arial"/>
          <w:color w:val="auto"/>
        </w:rPr>
        <w:noBreakHyphen/>
        <w:t>profit</w:t>
      </w:r>
      <w:r w:rsidR="00D430EE" w:rsidRPr="008942FC">
        <w:rPr>
          <w:rFonts w:ascii="Arial" w:hAnsi="Arial" w:cs="Arial"/>
          <w:color w:val="auto"/>
        </w:rPr>
        <w:t xml:space="preserve"> providers will lose their portable long service entitlement. It also creates an uneven playing field between </w:t>
      </w:r>
      <w:r w:rsidR="00D36BC6">
        <w:rPr>
          <w:rFonts w:ascii="Arial" w:hAnsi="Arial" w:cs="Arial"/>
          <w:color w:val="auto"/>
        </w:rPr>
        <w:t>for</w:t>
      </w:r>
      <w:r w:rsidR="00D36BC6">
        <w:rPr>
          <w:rFonts w:ascii="Arial" w:hAnsi="Arial" w:cs="Arial"/>
          <w:color w:val="auto"/>
        </w:rPr>
        <w:noBreakHyphen/>
        <w:t>profit</w:t>
      </w:r>
      <w:r w:rsidR="00D430EE" w:rsidRPr="008942FC">
        <w:rPr>
          <w:rFonts w:ascii="Arial" w:hAnsi="Arial" w:cs="Arial"/>
          <w:color w:val="auto"/>
        </w:rPr>
        <w:t xml:space="preserve"> and not-</w:t>
      </w:r>
      <w:r w:rsidR="00D36BC6">
        <w:rPr>
          <w:rFonts w:ascii="Arial" w:hAnsi="Arial" w:cs="Arial"/>
          <w:color w:val="auto"/>
        </w:rPr>
        <w:t>for</w:t>
      </w:r>
      <w:r w:rsidR="00D36BC6">
        <w:rPr>
          <w:rFonts w:ascii="Arial" w:hAnsi="Arial" w:cs="Arial"/>
          <w:color w:val="auto"/>
        </w:rPr>
        <w:noBreakHyphen/>
        <w:t>profit</w:t>
      </w:r>
      <w:r w:rsidR="00D430EE" w:rsidRPr="008942FC">
        <w:rPr>
          <w:rFonts w:ascii="Arial" w:hAnsi="Arial" w:cs="Arial"/>
          <w:color w:val="auto"/>
        </w:rPr>
        <w:t xml:space="preserve"> providers, as it places an additional financial burden on not-</w:t>
      </w:r>
      <w:r w:rsidR="00D36BC6">
        <w:rPr>
          <w:rFonts w:ascii="Arial" w:hAnsi="Arial" w:cs="Arial"/>
          <w:color w:val="auto"/>
        </w:rPr>
        <w:t>for</w:t>
      </w:r>
      <w:r w:rsidR="00D36BC6">
        <w:rPr>
          <w:rFonts w:ascii="Arial" w:hAnsi="Arial" w:cs="Arial"/>
          <w:color w:val="auto"/>
        </w:rPr>
        <w:noBreakHyphen/>
        <w:t>profit</w:t>
      </w:r>
      <w:r w:rsidR="00D430EE" w:rsidRPr="008942FC">
        <w:rPr>
          <w:rFonts w:ascii="Arial" w:hAnsi="Arial" w:cs="Arial"/>
          <w:color w:val="auto"/>
        </w:rPr>
        <w:t xml:space="preserve"> providers. It is not within the scope of th</w:t>
      </w:r>
      <w:r w:rsidR="00CB029E">
        <w:rPr>
          <w:rFonts w:ascii="Arial" w:hAnsi="Arial" w:cs="Arial"/>
          <w:color w:val="auto"/>
        </w:rPr>
        <w:t>is</w:t>
      </w:r>
      <w:r w:rsidR="00D430EE" w:rsidRPr="008942FC">
        <w:rPr>
          <w:rFonts w:ascii="Arial" w:hAnsi="Arial" w:cs="Arial"/>
          <w:color w:val="auto"/>
        </w:rPr>
        <w:t xml:space="preserve"> RIS to re-prosecute the arguments for and against including </w:t>
      </w:r>
      <w:r w:rsidR="00D36BC6">
        <w:rPr>
          <w:rFonts w:ascii="Arial" w:hAnsi="Arial" w:cs="Arial"/>
          <w:color w:val="auto"/>
        </w:rPr>
        <w:t>for</w:t>
      </w:r>
      <w:r w:rsidR="00D36BC6">
        <w:rPr>
          <w:rFonts w:ascii="Arial" w:hAnsi="Arial" w:cs="Arial"/>
          <w:color w:val="auto"/>
        </w:rPr>
        <w:noBreakHyphen/>
        <w:t>profit</w:t>
      </w:r>
      <w:r w:rsidR="00D430EE" w:rsidRPr="008942FC">
        <w:rPr>
          <w:rFonts w:ascii="Arial" w:hAnsi="Arial" w:cs="Arial"/>
          <w:color w:val="auto"/>
        </w:rPr>
        <w:t xml:space="preserve"> early childhood services providers as </w:t>
      </w:r>
      <w:r w:rsidR="00D36BC6">
        <w:rPr>
          <w:rFonts w:ascii="Arial" w:hAnsi="Arial" w:cs="Arial"/>
          <w:color w:val="auto"/>
        </w:rPr>
        <w:t>for</w:t>
      </w:r>
      <w:r w:rsidR="00D36BC6">
        <w:rPr>
          <w:rFonts w:ascii="Arial" w:hAnsi="Arial" w:cs="Arial"/>
          <w:color w:val="auto"/>
        </w:rPr>
        <w:noBreakHyphen/>
        <w:t>profit</w:t>
      </w:r>
      <w:r w:rsidR="00D430EE" w:rsidRPr="008942FC">
        <w:rPr>
          <w:rFonts w:ascii="Arial" w:hAnsi="Arial" w:cs="Arial"/>
          <w:color w:val="auto"/>
        </w:rPr>
        <w:t xml:space="preserve"> providers were explicitly excluded by Parliament in the </w:t>
      </w:r>
      <w:r w:rsidR="008942FC" w:rsidRPr="008942FC">
        <w:rPr>
          <w:rFonts w:ascii="Arial" w:hAnsi="Arial" w:cs="Arial"/>
          <w:color w:val="auto"/>
        </w:rPr>
        <w:t>LSBP</w:t>
      </w:r>
      <w:r w:rsidR="00D430EE" w:rsidRPr="008942FC">
        <w:rPr>
          <w:rFonts w:ascii="Arial" w:hAnsi="Arial" w:cs="Arial"/>
          <w:color w:val="auto"/>
        </w:rPr>
        <w:t xml:space="preserve"> Act</w:t>
      </w:r>
      <w:r w:rsidR="00D430EE">
        <w:rPr>
          <w:rFonts w:ascii="Arial" w:hAnsi="Arial" w:cs="Arial"/>
          <w:color w:val="auto"/>
        </w:rPr>
        <w:t xml:space="preserve">. Any future change </w:t>
      </w:r>
      <w:r w:rsidR="00D90694">
        <w:rPr>
          <w:rFonts w:ascii="Arial" w:hAnsi="Arial" w:cs="Arial"/>
          <w:color w:val="auto"/>
        </w:rPr>
        <w:t xml:space="preserve">to include </w:t>
      </w:r>
      <w:r w:rsidR="00D36BC6">
        <w:rPr>
          <w:rFonts w:ascii="Arial" w:hAnsi="Arial" w:cs="Arial"/>
          <w:color w:val="auto"/>
        </w:rPr>
        <w:t>for</w:t>
      </w:r>
      <w:r w:rsidR="00D36BC6">
        <w:rPr>
          <w:rFonts w:ascii="Arial" w:hAnsi="Arial" w:cs="Arial"/>
          <w:color w:val="auto"/>
        </w:rPr>
        <w:noBreakHyphen/>
        <w:t>profit</w:t>
      </w:r>
      <w:r w:rsidR="00D90694">
        <w:rPr>
          <w:rFonts w:ascii="Arial" w:hAnsi="Arial" w:cs="Arial"/>
          <w:color w:val="auto"/>
        </w:rPr>
        <w:t xml:space="preserve"> providers</w:t>
      </w:r>
      <w:r w:rsidR="00D430EE">
        <w:rPr>
          <w:rFonts w:ascii="Arial" w:hAnsi="Arial" w:cs="Arial"/>
          <w:color w:val="auto"/>
        </w:rPr>
        <w:t xml:space="preserve"> will require legislative amendment. </w:t>
      </w:r>
    </w:p>
    <w:p w14:paraId="4A10BFD6" w14:textId="67CA1A30" w:rsidR="00E13F2A" w:rsidRPr="00EC5379" w:rsidRDefault="00E6474D" w:rsidP="00EE62A5">
      <w:pPr>
        <w:pStyle w:val="Heading3"/>
        <w:tabs>
          <w:tab w:val="clear" w:pos="5115"/>
        </w:tabs>
        <w:spacing w:before="100" w:beforeAutospacing="1" w:after="100" w:afterAutospacing="1"/>
        <w:ind w:left="709"/>
        <w:rPr>
          <w:rFonts w:ascii="Arial" w:hAnsi="Arial" w:cs="Arial"/>
        </w:rPr>
      </w:pPr>
      <w:bookmarkStart w:id="62" w:name="_Ref35594455"/>
      <w:r w:rsidRPr="00EC5379">
        <w:rPr>
          <w:rFonts w:ascii="Arial" w:hAnsi="Arial" w:cs="Arial"/>
        </w:rPr>
        <w:t xml:space="preserve">Who is </w:t>
      </w:r>
      <w:r w:rsidR="0071726F" w:rsidRPr="00AD518C">
        <w:rPr>
          <w:rFonts w:ascii="Arial" w:hAnsi="Arial" w:cs="Arial"/>
        </w:rPr>
        <w:t xml:space="preserve">regarded as </w:t>
      </w:r>
      <w:r w:rsidRPr="00EC5379">
        <w:rPr>
          <w:rFonts w:ascii="Arial" w:hAnsi="Arial" w:cs="Arial"/>
        </w:rPr>
        <w:t>an employee in the community services sector</w:t>
      </w:r>
      <w:bookmarkEnd w:id="61"/>
      <w:bookmarkEnd w:id="62"/>
    </w:p>
    <w:p w14:paraId="6F7C4908" w14:textId="77777777" w:rsidR="000742E1" w:rsidRDefault="00D90694" w:rsidP="00D430EE">
      <w:pPr>
        <w:tabs>
          <w:tab w:val="num" w:pos="680"/>
        </w:tabs>
        <w:rPr>
          <w:rFonts w:ascii="Arial" w:hAnsi="Arial" w:cs="Arial"/>
          <w:color w:val="auto"/>
        </w:rPr>
      </w:pPr>
      <w:bookmarkStart w:id="63" w:name="_Ref32928663"/>
      <w:bookmarkStart w:id="64" w:name="_Ref33786352"/>
      <w:r w:rsidRPr="00C22E90">
        <w:rPr>
          <w:rFonts w:ascii="Arial" w:hAnsi="Arial" w:cs="Arial"/>
          <w:color w:val="auto"/>
        </w:rPr>
        <w:t>The Interim Regulations lack pre</w:t>
      </w:r>
      <w:r>
        <w:rPr>
          <w:rFonts w:ascii="Arial" w:hAnsi="Arial" w:cs="Arial"/>
          <w:color w:val="auto"/>
        </w:rPr>
        <w:t xml:space="preserve">cision as to who is </w:t>
      </w:r>
      <w:r w:rsidR="0071726F">
        <w:rPr>
          <w:rFonts w:ascii="Arial" w:hAnsi="Arial" w:cs="Arial"/>
          <w:color w:val="auto"/>
        </w:rPr>
        <w:t xml:space="preserve">regarded as </w:t>
      </w:r>
      <w:r>
        <w:rPr>
          <w:rFonts w:ascii="Arial" w:hAnsi="Arial" w:cs="Arial"/>
          <w:color w:val="auto"/>
        </w:rPr>
        <w:t xml:space="preserve">an employee </w:t>
      </w:r>
      <w:r w:rsidRPr="00C22E90">
        <w:rPr>
          <w:rFonts w:ascii="Arial" w:hAnsi="Arial" w:cs="Arial"/>
          <w:color w:val="auto"/>
        </w:rPr>
        <w:t xml:space="preserve">in the community services sector. </w:t>
      </w:r>
      <w:r>
        <w:rPr>
          <w:rFonts w:ascii="Arial" w:hAnsi="Arial" w:cs="Arial"/>
          <w:color w:val="auto"/>
        </w:rPr>
        <w:t>There is no guidance in the Regulations about how to measure predominance to determine whether an employee is primarily delivering health or aged care work (as opposed to community service work) and is therefore not covered by the Scheme. Each eligible employer is responsible for assessing each of their employees to determine what share of their work is health or aged care work</w:t>
      </w:r>
      <w:r w:rsidR="0072722B">
        <w:rPr>
          <w:rFonts w:ascii="Arial" w:hAnsi="Arial" w:cs="Arial"/>
          <w:color w:val="auto"/>
        </w:rPr>
        <w:t xml:space="preserve">. </w:t>
      </w:r>
      <w:r w:rsidR="000742E1">
        <w:rPr>
          <w:rFonts w:ascii="Arial" w:hAnsi="Arial" w:cs="Arial"/>
          <w:color w:val="auto"/>
        </w:rPr>
        <w:t xml:space="preserve">Employers were also uncertain about an employee’s ongoing eligibility for the Scheme if the nature of their work substantially and permanently changed. </w:t>
      </w:r>
    </w:p>
    <w:p w14:paraId="53B16898" w14:textId="08AA590D" w:rsidR="00D90694" w:rsidRDefault="0072722B" w:rsidP="00D430EE">
      <w:pPr>
        <w:tabs>
          <w:tab w:val="num" w:pos="680"/>
        </w:tabs>
        <w:rPr>
          <w:rFonts w:ascii="Arial" w:hAnsi="Arial" w:cs="Arial"/>
          <w:color w:val="auto"/>
        </w:rPr>
      </w:pPr>
      <w:r>
        <w:rPr>
          <w:rFonts w:ascii="Arial" w:hAnsi="Arial" w:cs="Arial"/>
          <w:color w:val="auto"/>
        </w:rPr>
        <w:t>As the nature of an employee’s work may change over time, employers also reported challenges in determining at</w:t>
      </w:r>
      <w:r w:rsidR="000742E1">
        <w:rPr>
          <w:rFonts w:ascii="Arial" w:hAnsi="Arial" w:cs="Arial"/>
          <w:color w:val="auto"/>
        </w:rPr>
        <w:t xml:space="preserve"> what point</w:t>
      </w:r>
      <w:r>
        <w:rPr>
          <w:rFonts w:ascii="Arial" w:hAnsi="Arial" w:cs="Arial"/>
          <w:color w:val="auto"/>
        </w:rPr>
        <w:t xml:space="preserve"> and over what time period predominance should be m</w:t>
      </w:r>
      <w:r w:rsidR="000742E1">
        <w:rPr>
          <w:rFonts w:ascii="Arial" w:hAnsi="Arial" w:cs="Arial"/>
          <w:color w:val="auto"/>
        </w:rPr>
        <w:t>easured</w:t>
      </w:r>
      <w:r>
        <w:rPr>
          <w:rFonts w:ascii="Arial" w:hAnsi="Arial" w:cs="Arial"/>
          <w:color w:val="auto"/>
        </w:rPr>
        <w:t>.</w:t>
      </w:r>
      <w:r w:rsidR="000742E1">
        <w:rPr>
          <w:rFonts w:ascii="Arial" w:hAnsi="Arial" w:cs="Arial"/>
          <w:color w:val="auto"/>
        </w:rPr>
        <w:t xml:space="preserve"> Some stakeholders made anecdotal claims that a single employee could be performing community service work one day and health care work the next. However, </w:t>
      </w:r>
      <w:r w:rsidR="000742E1">
        <w:rPr>
          <w:rFonts w:ascii="Arial" w:hAnsi="Arial" w:cs="Arial"/>
          <w:color w:val="auto"/>
        </w:rPr>
        <w:lastRenderedPageBreak/>
        <w:t xml:space="preserve">stakeholders did not provide any data or specific examples of individuals or jobs that would allow any conclusions to be drawn about </w:t>
      </w:r>
      <w:r w:rsidR="00110BCE">
        <w:rPr>
          <w:rFonts w:ascii="Arial" w:hAnsi="Arial" w:cs="Arial"/>
          <w:color w:val="auto"/>
        </w:rPr>
        <w:t>the nature and extent of this issue in the sector</w:t>
      </w:r>
      <w:r w:rsidR="000742E1">
        <w:rPr>
          <w:rFonts w:ascii="Arial" w:hAnsi="Arial" w:cs="Arial"/>
          <w:color w:val="auto"/>
        </w:rPr>
        <w:t>.</w:t>
      </w:r>
    </w:p>
    <w:p w14:paraId="5EC453D3" w14:textId="2FC4F612" w:rsidR="00D430EE" w:rsidRDefault="00D430EE" w:rsidP="00CB029E">
      <w:pPr>
        <w:pStyle w:val="Bodytextkeepwithnext"/>
      </w:pPr>
      <w:r w:rsidRPr="00C22E90">
        <w:t>The employee predominance test at Regulation 10(</w:t>
      </w:r>
      <w:r>
        <w:t>3</w:t>
      </w:r>
      <w:r w:rsidRPr="00C22E90">
        <w:t>) of the Interim Regulations states that</w:t>
      </w:r>
      <w:r>
        <w:t>:</w:t>
      </w:r>
      <w:r w:rsidR="003B2762">
        <w:rPr>
          <w:rStyle w:val="FootnoteReference"/>
          <w:rFonts w:cs="Arial"/>
          <w:color w:val="auto"/>
        </w:rPr>
        <w:footnoteReference w:id="17"/>
      </w:r>
    </w:p>
    <w:p w14:paraId="2CD0A124" w14:textId="661F3BC9" w:rsidR="00D430EE" w:rsidRPr="004D5E10" w:rsidRDefault="00D430EE" w:rsidP="00D430EE">
      <w:pPr>
        <w:tabs>
          <w:tab w:val="num" w:pos="680"/>
        </w:tabs>
        <w:ind w:left="680"/>
        <w:rPr>
          <w:rFonts w:ascii="Arial" w:hAnsi="Arial" w:cs="Arial"/>
          <w:i/>
          <w:color w:val="auto"/>
        </w:rPr>
      </w:pPr>
      <w:r w:rsidRPr="004D5E10">
        <w:rPr>
          <w:rFonts w:ascii="Arial" w:hAnsi="Arial" w:cs="Arial"/>
          <w:i/>
          <w:color w:val="auto"/>
        </w:rPr>
        <w:t xml:space="preserve">‘an individual is prescribed not to be an employee for the community services sector if the predominant activity of the individual's substantive role is not the personal delivery of services or the personal performance of activities that are community service work’. </w:t>
      </w:r>
    </w:p>
    <w:p w14:paraId="5AC2B399" w14:textId="4E83BAC4" w:rsidR="00D430EE" w:rsidRDefault="00D430EE" w:rsidP="00D430EE">
      <w:pPr>
        <w:tabs>
          <w:tab w:val="num" w:pos="680"/>
        </w:tabs>
        <w:rPr>
          <w:rFonts w:ascii="Arial" w:hAnsi="Arial" w:cs="Arial"/>
          <w:color w:val="auto"/>
        </w:rPr>
      </w:pPr>
      <w:r w:rsidRPr="00C22E90">
        <w:rPr>
          <w:rFonts w:ascii="Arial" w:hAnsi="Arial" w:cs="Arial"/>
          <w:color w:val="auto"/>
        </w:rPr>
        <w:t>When applying this test</w:t>
      </w:r>
      <w:r>
        <w:rPr>
          <w:rFonts w:ascii="Arial" w:hAnsi="Arial" w:cs="Arial"/>
          <w:color w:val="auto"/>
        </w:rPr>
        <w:t xml:space="preserve"> (</w:t>
      </w:r>
      <w:r w:rsidR="00CF5417">
        <w:rPr>
          <w:rFonts w:ascii="Arial" w:hAnsi="Arial" w:cs="Arial"/>
          <w:color w:val="auto"/>
        </w:rPr>
        <w:t>because of</w:t>
      </w:r>
      <w:r w:rsidR="00CF5417" w:rsidRPr="00C22E90">
        <w:rPr>
          <w:rFonts w:ascii="Arial" w:hAnsi="Arial" w:cs="Arial"/>
          <w:color w:val="auto"/>
        </w:rPr>
        <w:t xml:space="preserve"> </w:t>
      </w:r>
      <w:r w:rsidRPr="00C22E90">
        <w:rPr>
          <w:rFonts w:ascii="Arial" w:hAnsi="Arial" w:cs="Arial"/>
          <w:color w:val="auto"/>
        </w:rPr>
        <w:t>its ability to be interpreted broadly</w:t>
      </w:r>
      <w:r>
        <w:rPr>
          <w:rFonts w:ascii="Arial" w:hAnsi="Arial" w:cs="Arial"/>
          <w:color w:val="auto"/>
        </w:rPr>
        <w:t>)</w:t>
      </w:r>
      <w:r w:rsidR="00CB029E">
        <w:rPr>
          <w:rFonts w:ascii="Arial" w:hAnsi="Arial" w:cs="Arial"/>
          <w:color w:val="auto"/>
        </w:rPr>
        <w:t>,</w:t>
      </w:r>
      <w:r w:rsidRPr="00C22E90">
        <w:rPr>
          <w:rFonts w:ascii="Arial" w:hAnsi="Arial" w:cs="Arial"/>
          <w:color w:val="auto"/>
        </w:rPr>
        <w:t xml:space="preserve"> it is not clear whether certain employees are covered by the Scheme, such as </w:t>
      </w:r>
      <w:r w:rsidR="0060532D">
        <w:rPr>
          <w:rFonts w:ascii="Arial" w:hAnsi="Arial" w:cs="Arial"/>
          <w:color w:val="auto"/>
        </w:rPr>
        <w:t xml:space="preserve">support staff, </w:t>
      </w:r>
      <w:r w:rsidRPr="00C22E90">
        <w:rPr>
          <w:rFonts w:ascii="Arial" w:hAnsi="Arial" w:cs="Arial"/>
          <w:color w:val="auto"/>
        </w:rPr>
        <w:t xml:space="preserve">secretarial and managerial employees. </w:t>
      </w:r>
      <w:r>
        <w:rPr>
          <w:rFonts w:ascii="Arial" w:hAnsi="Arial" w:cs="Arial"/>
          <w:color w:val="auto"/>
        </w:rPr>
        <w:t xml:space="preserve">This employee predominance test has resulted in arbitrary exclusions and is more complicated to apply than the </w:t>
      </w:r>
      <w:r w:rsidR="00CF5417">
        <w:rPr>
          <w:rFonts w:ascii="Arial" w:hAnsi="Arial" w:cs="Arial"/>
          <w:color w:val="auto"/>
        </w:rPr>
        <w:t>equivalent test in the ACT Leave Scheme</w:t>
      </w:r>
      <w:r>
        <w:rPr>
          <w:rFonts w:ascii="Arial" w:hAnsi="Arial" w:cs="Arial"/>
          <w:color w:val="auto"/>
        </w:rPr>
        <w:t xml:space="preserve">. In the ACT, all employees of an employer carrying out work in the community </w:t>
      </w:r>
      <w:r w:rsidR="00CB029E">
        <w:rPr>
          <w:rFonts w:ascii="Arial" w:hAnsi="Arial" w:cs="Arial"/>
          <w:color w:val="auto"/>
        </w:rPr>
        <w:t xml:space="preserve">services </w:t>
      </w:r>
      <w:r>
        <w:rPr>
          <w:rFonts w:ascii="Arial" w:hAnsi="Arial" w:cs="Arial"/>
          <w:color w:val="auto"/>
        </w:rPr>
        <w:t>sector are covered. This includes, for example, the ch</w:t>
      </w:r>
      <w:r w:rsidR="0072722B">
        <w:rPr>
          <w:rFonts w:ascii="Arial" w:hAnsi="Arial" w:cs="Arial"/>
          <w:color w:val="auto"/>
        </w:rPr>
        <w:t>i</w:t>
      </w:r>
      <w:r>
        <w:rPr>
          <w:rFonts w:ascii="Arial" w:hAnsi="Arial" w:cs="Arial"/>
          <w:color w:val="auto"/>
        </w:rPr>
        <w:t>ef</w:t>
      </w:r>
      <w:r w:rsidR="0072722B">
        <w:rPr>
          <w:rFonts w:ascii="Arial" w:hAnsi="Arial" w:cs="Arial"/>
          <w:color w:val="auto"/>
        </w:rPr>
        <w:t xml:space="preserve"> executive, chef</w:t>
      </w:r>
      <w:r>
        <w:rPr>
          <w:rFonts w:ascii="Arial" w:hAnsi="Arial" w:cs="Arial"/>
          <w:color w:val="auto"/>
        </w:rPr>
        <w:t xml:space="preserve"> and the administration staff of a childcare centre. </w:t>
      </w:r>
    </w:p>
    <w:p w14:paraId="7A70E665" w14:textId="7262F841" w:rsidR="00D430EE" w:rsidRDefault="00D430EE" w:rsidP="00D430EE">
      <w:pPr>
        <w:tabs>
          <w:tab w:val="num" w:pos="680"/>
        </w:tabs>
        <w:rPr>
          <w:rFonts w:ascii="Arial" w:hAnsi="Arial" w:cs="Arial"/>
          <w:color w:val="auto"/>
        </w:rPr>
      </w:pPr>
      <w:r>
        <w:rPr>
          <w:rFonts w:ascii="Arial" w:hAnsi="Arial" w:cs="Arial"/>
          <w:color w:val="auto"/>
        </w:rPr>
        <w:t>Stakeholders across the sector have also reported that it has been difficult to determine whether different activities engaged in by a single employee would cumulatively meet the predominance test for inclusion in the Scheme.</w:t>
      </w:r>
      <w:r w:rsidR="0072722B">
        <w:rPr>
          <w:rFonts w:ascii="Arial" w:hAnsi="Arial" w:cs="Arial"/>
          <w:color w:val="auto"/>
        </w:rPr>
        <w:t xml:space="preserve"> </w:t>
      </w:r>
      <w:r>
        <w:rPr>
          <w:rFonts w:ascii="Arial" w:hAnsi="Arial" w:cs="Arial"/>
          <w:color w:val="auto"/>
        </w:rPr>
        <w:t xml:space="preserve">This has been administratively burdensome for employers. This has also made it difficult for employees to understand their entitlements and whether their employer should be registering them with the Authority. The lack of clarity in the Interim Regulations has reportedly led to inconsistent advice being provided by the Authority. </w:t>
      </w:r>
      <w:r w:rsidRPr="00C22E90">
        <w:rPr>
          <w:rFonts w:ascii="Arial" w:hAnsi="Arial" w:cs="Arial"/>
          <w:color w:val="auto"/>
        </w:rPr>
        <w:t xml:space="preserve">Additional clarity is required to </w:t>
      </w:r>
      <w:r w:rsidR="00CB029E">
        <w:rPr>
          <w:rFonts w:ascii="Arial" w:hAnsi="Arial" w:cs="Arial"/>
          <w:color w:val="auto"/>
        </w:rPr>
        <w:t>aid</w:t>
      </w:r>
      <w:r w:rsidR="00CB029E" w:rsidRPr="00C22E90">
        <w:rPr>
          <w:rFonts w:ascii="Arial" w:hAnsi="Arial" w:cs="Arial"/>
          <w:color w:val="auto"/>
        </w:rPr>
        <w:t xml:space="preserve"> </w:t>
      </w:r>
      <w:r w:rsidRPr="00C22E90">
        <w:rPr>
          <w:rFonts w:ascii="Arial" w:hAnsi="Arial" w:cs="Arial"/>
          <w:color w:val="auto"/>
        </w:rPr>
        <w:t xml:space="preserve">the sector and the Authority </w:t>
      </w:r>
      <w:r w:rsidR="00CB029E">
        <w:rPr>
          <w:rFonts w:ascii="Arial" w:hAnsi="Arial" w:cs="Arial"/>
          <w:color w:val="auto"/>
        </w:rPr>
        <w:t xml:space="preserve">in </w:t>
      </w:r>
      <w:r w:rsidRPr="00C22E90">
        <w:rPr>
          <w:rFonts w:ascii="Arial" w:hAnsi="Arial" w:cs="Arial"/>
          <w:color w:val="auto"/>
        </w:rPr>
        <w:t>determin</w:t>
      </w:r>
      <w:r w:rsidR="00CB029E">
        <w:rPr>
          <w:rFonts w:ascii="Arial" w:hAnsi="Arial" w:cs="Arial"/>
          <w:color w:val="auto"/>
        </w:rPr>
        <w:t>ing</w:t>
      </w:r>
      <w:r w:rsidRPr="00C22E90">
        <w:rPr>
          <w:rFonts w:ascii="Arial" w:hAnsi="Arial" w:cs="Arial"/>
          <w:color w:val="auto"/>
        </w:rPr>
        <w:t xml:space="preserve"> who is </w:t>
      </w:r>
      <w:r w:rsidR="0071726F">
        <w:rPr>
          <w:rFonts w:ascii="Arial" w:hAnsi="Arial" w:cs="Arial"/>
          <w:color w:val="auto"/>
        </w:rPr>
        <w:t xml:space="preserve">regarded as </w:t>
      </w:r>
      <w:r w:rsidRPr="00C22E90">
        <w:rPr>
          <w:rFonts w:ascii="Arial" w:hAnsi="Arial" w:cs="Arial"/>
          <w:color w:val="auto"/>
        </w:rPr>
        <w:t>an employee for the purposes of the community services sector.</w:t>
      </w:r>
      <w:r>
        <w:rPr>
          <w:rFonts w:ascii="Arial" w:hAnsi="Arial" w:cs="Arial"/>
          <w:color w:val="auto"/>
        </w:rPr>
        <w:t xml:space="preserve"> </w:t>
      </w:r>
    </w:p>
    <w:p w14:paraId="5843AD85" w14:textId="59DAC2DC" w:rsidR="00D430EE" w:rsidRPr="00C22E90" w:rsidRDefault="00D430EE" w:rsidP="00D430EE">
      <w:pPr>
        <w:tabs>
          <w:tab w:val="num" w:pos="680"/>
        </w:tabs>
        <w:rPr>
          <w:rFonts w:ascii="Arial" w:hAnsi="Arial" w:cs="Arial"/>
          <w:color w:val="auto"/>
        </w:rPr>
      </w:pPr>
      <w:r>
        <w:rPr>
          <w:rFonts w:ascii="Arial" w:hAnsi="Arial" w:cs="Arial"/>
          <w:color w:val="auto"/>
        </w:rPr>
        <w:t xml:space="preserve">Employers, peak bodies and unions in the sector have also raised concerns about the impact of the employee predominance test on intra-workplace equity between employees. The application of the test could detrimentally impact workplace culture and harmony where employees who undertake very similar jobs are provided with or denied an additional workplace entitlement under the Scheme. On the other hand, employees within the one workplace </w:t>
      </w:r>
      <w:r w:rsidR="0072722B">
        <w:rPr>
          <w:rFonts w:ascii="Arial" w:hAnsi="Arial" w:cs="Arial"/>
          <w:color w:val="auto"/>
        </w:rPr>
        <w:t>can be</w:t>
      </w:r>
      <w:r>
        <w:rPr>
          <w:rFonts w:ascii="Arial" w:hAnsi="Arial" w:cs="Arial"/>
          <w:color w:val="auto"/>
        </w:rPr>
        <w:t xml:space="preserve"> employed under different </w:t>
      </w:r>
      <w:r w:rsidR="00755B20">
        <w:rPr>
          <w:rFonts w:ascii="Arial" w:hAnsi="Arial" w:cs="Arial"/>
          <w:color w:val="auto"/>
        </w:rPr>
        <w:t xml:space="preserve">terms and </w:t>
      </w:r>
      <w:r>
        <w:rPr>
          <w:rFonts w:ascii="Arial" w:hAnsi="Arial" w:cs="Arial"/>
          <w:color w:val="auto"/>
        </w:rPr>
        <w:t xml:space="preserve">conditions or industrial instruments. </w:t>
      </w:r>
    </w:p>
    <w:p w14:paraId="0EFA0472" w14:textId="79096730" w:rsidR="00E13F2A" w:rsidRPr="00EC5379" w:rsidRDefault="00E6474D" w:rsidP="00EE62A5">
      <w:pPr>
        <w:pStyle w:val="Heading3"/>
        <w:tabs>
          <w:tab w:val="clear" w:pos="5115"/>
        </w:tabs>
        <w:ind w:left="709"/>
        <w:rPr>
          <w:rFonts w:ascii="Arial" w:hAnsi="Arial" w:cs="Arial"/>
        </w:rPr>
      </w:pPr>
      <w:bookmarkStart w:id="65" w:name="_Ref35597700"/>
      <w:r w:rsidRPr="00EC5379">
        <w:rPr>
          <w:rFonts w:ascii="Arial" w:hAnsi="Arial" w:cs="Arial"/>
        </w:rPr>
        <w:t xml:space="preserve">Who is </w:t>
      </w:r>
      <w:r w:rsidR="0071726F" w:rsidRPr="00AD518C">
        <w:rPr>
          <w:rFonts w:ascii="Arial" w:hAnsi="Arial" w:cs="Arial"/>
        </w:rPr>
        <w:t>regarded as</w:t>
      </w:r>
      <w:r w:rsidR="0071726F">
        <w:rPr>
          <w:rFonts w:ascii="Arial" w:hAnsi="Arial" w:cs="Arial"/>
          <w:color w:val="auto"/>
        </w:rPr>
        <w:t xml:space="preserve"> </w:t>
      </w:r>
      <w:r w:rsidRPr="00EC5379">
        <w:rPr>
          <w:rFonts w:ascii="Arial" w:hAnsi="Arial" w:cs="Arial"/>
        </w:rPr>
        <w:t>an employee in the security industry</w:t>
      </w:r>
      <w:bookmarkEnd w:id="63"/>
      <w:bookmarkEnd w:id="64"/>
      <w:bookmarkEnd w:id="65"/>
    </w:p>
    <w:p w14:paraId="3EDAB7B5" w14:textId="3B9F6F88" w:rsidR="00E87382" w:rsidRPr="00AD518C" w:rsidRDefault="00D430EE" w:rsidP="007B63D7">
      <w:pPr>
        <w:pStyle w:val="BodyText"/>
      </w:pPr>
      <w:bookmarkStart w:id="66" w:name="_Ref32928648"/>
      <w:r w:rsidRPr="00AD518C">
        <w:t>The Interim Regulations do not pro</w:t>
      </w:r>
      <w:r w:rsidR="00D90694" w:rsidRPr="00AD518C">
        <w:t xml:space="preserve">vide a test to </w:t>
      </w:r>
      <w:r w:rsidR="009C4140" w:rsidRPr="00AD518C">
        <w:t xml:space="preserve">determine </w:t>
      </w:r>
      <w:r w:rsidR="00D90694" w:rsidRPr="00AD518C">
        <w:t xml:space="preserve">who is </w:t>
      </w:r>
      <w:r w:rsidR="0071726F" w:rsidRPr="00AD518C">
        <w:t xml:space="preserve">regarded as </w:t>
      </w:r>
      <w:r w:rsidR="00D90694" w:rsidRPr="00AD518C">
        <w:t xml:space="preserve">an employee </w:t>
      </w:r>
      <w:r w:rsidRPr="00AD518C">
        <w:t xml:space="preserve">for the purposes of the security sector. The reference to the Private Security Act 2004 in Schedule 3 to the LSBP Act provides clarity as to who is a covered employer in the security industry. However, stakeholders in the sector and the Authority have reported challenges in determining who is a covered employee for the purposes of the Scheme. </w:t>
      </w:r>
      <w:r w:rsidR="00D90694" w:rsidRPr="00AD518C">
        <w:t xml:space="preserve">It is not clear whether employees need to perform a certain amount of security work to be covered by the Scheme. It is also not clear whether managerial and administrative staff are covered by the Scheme. </w:t>
      </w:r>
      <w:r w:rsidRPr="00AD518C">
        <w:t>Stakeholders in the security sector have reportedly been applying their own tests to determine eligibility and have requested additional clarity be incorporated into the Regulations to clarify which of their employees they are required to register with the Authority.</w:t>
      </w:r>
    </w:p>
    <w:p w14:paraId="1AA95DB9" w14:textId="7EE5CBF6" w:rsidR="006D166D" w:rsidRPr="007B63D7" w:rsidRDefault="006D166D" w:rsidP="007B63D7">
      <w:pPr>
        <w:pStyle w:val="Heading3"/>
        <w:tabs>
          <w:tab w:val="clear" w:pos="5115"/>
        </w:tabs>
        <w:ind w:left="709"/>
        <w:rPr>
          <w:rFonts w:ascii="Arial" w:hAnsi="Arial" w:cs="Arial"/>
        </w:rPr>
      </w:pPr>
      <w:bookmarkStart w:id="67" w:name="_Ref35598317"/>
      <w:bookmarkStart w:id="68" w:name="_Ref36730497"/>
      <w:bookmarkEnd w:id="66"/>
      <w:r w:rsidRPr="007B63D7">
        <w:rPr>
          <w:rFonts w:ascii="Arial" w:hAnsi="Arial" w:cs="Arial"/>
        </w:rPr>
        <w:lastRenderedPageBreak/>
        <w:t xml:space="preserve">Reimbursing employers for </w:t>
      </w:r>
      <w:r w:rsidR="00DB3ADD" w:rsidRPr="007B63D7">
        <w:rPr>
          <w:rFonts w:ascii="Arial" w:hAnsi="Arial" w:cs="Arial"/>
        </w:rPr>
        <w:t>double-dipping</w:t>
      </w:r>
      <w:r w:rsidR="000500F9" w:rsidRPr="007B63D7">
        <w:rPr>
          <w:rFonts w:ascii="Arial" w:hAnsi="Arial" w:cs="Arial"/>
        </w:rPr>
        <w:t xml:space="preserve"> claims</w:t>
      </w:r>
      <w:r w:rsidRPr="007B63D7">
        <w:rPr>
          <w:rFonts w:ascii="Arial" w:hAnsi="Arial" w:cs="Arial"/>
        </w:rPr>
        <w:t xml:space="preserve"> in the community services sector under the Long Service Leave Act 2018</w:t>
      </w:r>
    </w:p>
    <w:bookmarkEnd w:id="67"/>
    <w:bookmarkEnd w:id="68"/>
    <w:p w14:paraId="54F823E3" w14:textId="22E828F4" w:rsidR="005A49B9" w:rsidRDefault="00DB3ADD" w:rsidP="005A49B9">
      <w:pPr>
        <w:tabs>
          <w:tab w:val="num" w:pos="680"/>
        </w:tabs>
        <w:rPr>
          <w:rFonts w:ascii="Arial" w:hAnsi="Arial" w:cs="Arial"/>
          <w:color w:val="auto"/>
        </w:rPr>
      </w:pPr>
      <w:r>
        <w:rPr>
          <w:rFonts w:ascii="Arial" w:hAnsi="Arial" w:cs="Arial"/>
          <w:color w:val="auto"/>
        </w:rPr>
        <w:t>Double-dipping</w:t>
      </w:r>
      <w:r w:rsidR="00F81D91" w:rsidRPr="00F81D91">
        <w:rPr>
          <w:rFonts w:ascii="Arial" w:hAnsi="Arial" w:cs="Arial"/>
          <w:color w:val="auto"/>
        </w:rPr>
        <w:t xml:space="preserve"> refers to situations where an employe</w:t>
      </w:r>
      <w:r w:rsidR="00ED17BA">
        <w:rPr>
          <w:rFonts w:ascii="Arial" w:hAnsi="Arial" w:cs="Arial"/>
          <w:color w:val="auto"/>
        </w:rPr>
        <w:t>e</w:t>
      </w:r>
      <w:r w:rsidR="00F81D91" w:rsidRPr="00F81D91">
        <w:rPr>
          <w:rFonts w:ascii="Arial" w:hAnsi="Arial" w:cs="Arial"/>
          <w:color w:val="auto"/>
        </w:rPr>
        <w:t xml:space="preserve"> might have or accrue an entitlement to a long service benefit </w:t>
      </w:r>
      <w:r w:rsidR="00755B20" w:rsidRPr="00696818">
        <w:rPr>
          <w:rFonts w:ascii="Arial" w:hAnsi="Arial" w:cs="Arial"/>
          <w:color w:val="auto"/>
        </w:rPr>
        <w:t xml:space="preserve">under more than one of the LSBP Act, the </w:t>
      </w:r>
      <w:r w:rsidR="00755B20" w:rsidRPr="00696818">
        <w:rPr>
          <w:rFonts w:ascii="Arial" w:hAnsi="Arial" w:cs="Arial"/>
          <w:i/>
          <w:color w:val="auto"/>
        </w:rPr>
        <w:t>Long Service Leave Act</w:t>
      </w:r>
      <w:r w:rsidR="00755B20">
        <w:rPr>
          <w:rFonts w:ascii="Arial" w:hAnsi="Arial" w:cs="Arial"/>
          <w:i/>
          <w:color w:val="auto"/>
        </w:rPr>
        <w:t> </w:t>
      </w:r>
      <w:r w:rsidR="00755B20" w:rsidRPr="00696818">
        <w:rPr>
          <w:rFonts w:ascii="Arial" w:hAnsi="Arial" w:cs="Arial"/>
          <w:i/>
          <w:color w:val="auto"/>
        </w:rPr>
        <w:t>2018</w:t>
      </w:r>
      <w:r w:rsidR="00755B20" w:rsidRPr="00696818">
        <w:rPr>
          <w:rFonts w:ascii="Arial" w:hAnsi="Arial" w:cs="Arial"/>
          <w:color w:val="auto"/>
        </w:rPr>
        <w:t xml:space="preserve"> or some other </w:t>
      </w:r>
      <w:r w:rsidR="00CB029E">
        <w:rPr>
          <w:rFonts w:ascii="Arial" w:hAnsi="Arial" w:cs="Arial"/>
          <w:color w:val="auto"/>
        </w:rPr>
        <w:t xml:space="preserve">act </w:t>
      </w:r>
      <w:r w:rsidR="00755B20" w:rsidRPr="00696818">
        <w:rPr>
          <w:rFonts w:ascii="Arial" w:hAnsi="Arial" w:cs="Arial"/>
          <w:color w:val="auto"/>
        </w:rPr>
        <w:t>and</w:t>
      </w:r>
      <w:r w:rsidR="00CB029E">
        <w:rPr>
          <w:rFonts w:ascii="Arial" w:hAnsi="Arial" w:cs="Arial"/>
          <w:color w:val="auto"/>
        </w:rPr>
        <w:t>/or</w:t>
      </w:r>
      <w:r w:rsidR="00755B20" w:rsidRPr="00696818">
        <w:rPr>
          <w:rFonts w:ascii="Arial" w:hAnsi="Arial" w:cs="Arial"/>
          <w:color w:val="auto"/>
        </w:rPr>
        <w:t xml:space="preserve"> under an existing workplace entitlement,</w:t>
      </w:r>
      <w:r w:rsidR="00F81D91" w:rsidRPr="00F81D91">
        <w:rPr>
          <w:rFonts w:ascii="Arial" w:hAnsi="Arial" w:cs="Arial"/>
          <w:color w:val="auto"/>
        </w:rPr>
        <w:t xml:space="preserve"> </w:t>
      </w:r>
      <w:r w:rsidR="00ED17BA">
        <w:rPr>
          <w:rFonts w:ascii="Arial" w:hAnsi="Arial" w:cs="Arial"/>
          <w:color w:val="auto"/>
        </w:rPr>
        <w:t>for the same period of service</w:t>
      </w:r>
      <w:r w:rsidR="00F81D91" w:rsidRPr="00F81D91">
        <w:rPr>
          <w:rFonts w:ascii="Arial" w:hAnsi="Arial" w:cs="Arial"/>
          <w:color w:val="auto"/>
        </w:rPr>
        <w:t>.</w:t>
      </w:r>
      <w:r w:rsidR="00FC10AF">
        <w:rPr>
          <w:rFonts w:ascii="Arial" w:hAnsi="Arial" w:cs="Arial"/>
          <w:color w:val="auto"/>
        </w:rPr>
        <w:t xml:space="preserve"> </w:t>
      </w:r>
      <w:r w:rsidR="00CE77A7">
        <w:rPr>
          <w:rFonts w:ascii="Arial" w:hAnsi="Arial" w:cs="Arial"/>
          <w:color w:val="auto"/>
        </w:rPr>
        <w:t xml:space="preserve">Schedule 1 of the LSBP Act </w:t>
      </w:r>
      <w:r w:rsidR="00CB029E">
        <w:rPr>
          <w:rFonts w:ascii="Arial" w:hAnsi="Arial" w:cs="Arial"/>
          <w:color w:val="auto"/>
        </w:rPr>
        <w:t xml:space="preserve">states that </w:t>
      </w:r>
      <w:r w:rsidR="00CE77A7">
        <w:rPr>
          <w:rFonts w:ascii="Arial" w:hAnsi="Arial" w:cs="Arial"/>
          <w:color w:val="auto"/>
        </w:rPr>
        <w:t xml:space="preserve">this should be avoided. </w:t>
      </w:r>
    </w:p>
    <w:p w14:paraId="6EA58B2A" w14:textId="45A615D3" w:rsidR="00BD42DB" w:rsidRDefault="00BD42DB" w:rsidP="00BD42DB">
      <w:pPr>
        <w:tabs>
          <w:tab w:val="num" w:pos="680"/>
        </w:tabs>
        <w:rPr>
          <w:rFonts w:ascii="Arial" w:hAnsi="Arial" w:cs="Arial"/>
          <w:color w:val="auto"/>
        </w:rPr>
      </w:pPr>
      <w:r>
        <w:rPr>
          <w:rFonts w:ascii="Arial" w:hAnsi="Arial" w:cs="Arial"/>
          <w:color w:val="auto"/>
        </w:rPr>
        <w:t>A modern award or enterprise agreement can provide for a long service leave entitlement, which will apply subject to any inconsistency with an applicable State or Territory long service leave law.</w:t>
      </w:r>
      <w:r>
        <w:rPr>
          <w:rStyle w:val="FootnoteReference"/>
          <w:rFonts w:ascii="Arial" w:hAnsi="Arial" w:cs="Arial"/>
          <w:color w:val="auto"/>
        </w:rPr>
        <w:footnoteReference w:id="18"/>
      </w:r>
      <w:r>
        <w:rPr>
          <w:rFonts w:ascii="Arial" w:hAnsi="Arial" w:cs="Arial"/>
          <w:color w:val="auto"/>
        </w:rPr>
        <w:t xml:space="preserve"> However, such laws cannot invalidate an entitlement to long service leave under a </w:t>
      </w:r>
      <w:r w:rsidR="00464892">
        <w:rPr>
          <w:rFonts w:ascii="Arial" w:hAnsi="Arial" w:cs="Arial"/>
          <w:color w:val="auto"/>
        </w:rPr>
        <w:t>F</w:t>
      </w:r>
      <w:r>
        <w:rPr>
          <w:rFonts w:ascii="Arial" w:hAnsi="Arial" w:cs="Arial"/>
          <w:color w:val="auto"/>
        </w:rPr>
        <w:t>ederal fair work instrument.</w:t>
      </w:r>
      <w:r>
        <w:rPr>
          <w:rFonts w:ascii="Arial" w:hAnsi="Arial" w:cs="Arial"/>
          <w:color w:val="auto"/>
          <w:vertAlign w:val="superscript"/>
        </w:rPr>
        <w:t xml:space="preserve"> </w:t>
      </w:r>
      <w:r>
        <w:rPr>
          <w:rFonts w:ascii="Arial" w:hAnsi="Arial" w:cs="Arial"/>
          <w:color w:val="auto"/>
          <w:vertAlign w:val="superscript"/>
        </w:rPr>
        <w:footnoteReference w:id="19"/>
      </w:r>
      <w:r>
        <w:rPr>
          <w:rFonts w:ascii="Arial" w:hAnsi="Arial" w:cs="Arial"/>
          <w:color w:val="auto"/>
        </w:rPr>
        <w:t xml:space="preserve"> This is to be contrasted with pre-modern awards preserved by the NES which will apply to the exclusion of the </w:t>
      </w:r>
      <w:r>
        <w:rPr>
          <w:rFonts w:ascii="Arial" w:hAnsi="Arial" w:cs="Arial"/>
          <w:i/>
          <w:color w:val="auto"/>
        </w:rPr>
        <w:t>Long Service Leave Act 2018</w:t>
      </w:r>
      <w:r>
        <w:rPr>
          <w:rFonts w:ascii="Arial" w:hAnsi="Arial" w:cs="Arial"/>
          <w:color w:val="auto"/>
        </w:rPr>
        <w:t>.</w:t>
      </w:r>
      <w:r>
        <w:rPr>
          <w:rStyle w:val="FootnoteReference"/>
          <w:rFonts w:ascii="Arial" w:hAnsi="Arial" w:cs="Arial"/>
          <w:color w:val="auto"/>
        </w:rPr>
        <w:footnoteReference w:id="20"/>
      </w:r>
      <w:r>
        <w:rPr>
          <w:rFonts w:ascii="Arial" w:hAnsi="Arial" w:cs="Arial"/>
          <w:color w:val="auto"/>
        </w:rPr>
        <w:t xml:space="preserve"> This position is also reflected in section 5(b) of the </w:t>
      </w:r>
      <w:r>
        <w:rPr>
          <w:rFonts w:ascii="Arial" w:hAnsi="Arial" w:cs="Arial"/>
          <w:i/>
          <w:color w:val="auto"/>
        </w:rPr>
        <w:t>Long Service Leave Act 2018</w:t>
      </w:r>
      <w:r>
        <w:rPr>
          <w:rFonts w:ascii="Arial" w:hAnsi="Arial" w:cs="Arial"/>
          <w:color w:val="auto"/>
        </w:rPr>
        <w:t xml:space="preserve"> which states that the Act does not apply to employees with an entitlement under an employment agreement (which is defined to include a fair work instrument) to the extent of any inconsistency with that employment agreement, if the long service leave entitlements are more favourable under the agreement tha</w:t>
      </w:r>
      <w:r w:rsidR="00755B20">
        <w:rPr>
          <w:rFonts w:ascii="Arial" w:hAnsi="Arial" w:cs="Arial"/>
          <w:color w:val="auto"/>
        </w:rPr>
        <w:t>n</w:t>
      </w:r>
      <w:r>
        <w:rPr>
          <w:rFonts w:ascii="Arial" w:hAnsi="Arial" w:cs="Arial"/>
          <w:color w:val="auto"/>
        </w:rPr>
        <w:t xml:space="preserve"> those under the Act. The </w:t>
      </w:r>
      <w:r>
        <w:rPr>
          <w:rFonts w:ascii="Arial" w:hAnsi="Arial" w:cs="Arial"/>
          <w:i/>
          <w:color w:val="auto"/>
        </w:rPr>
        <w:t>Long Service Leave Act 2018</w:t>
      </w:r>
      <w:r>
        <w:rPr>
          <w:rFonts w:ascii="Arial" w:hAnsi="Arial" w:cs="Arial"/>
          <w:color w:val="auto"/>
        </w:rPr>
        <w:t xml:space="preserve"> is therefore silent on long service leave entitlements derived under pre</w:t>
      </w:r>
      <w:r w:rsidR="00464892">
        <w:rPr>
          <w:rFonts w:ascii="Arial" w:hAnsi="Arial" w:cs="Arial"/>
          <w:color w:val="auto"/>
        </w:rPr>
        <w:noBreakHyphen/>
      </w:r>
      <w:r>
        <w:rPr>
          <w:rFonts w:ascii="Arial" w:hAnsi="Arial" w:cs="Arial"/>
          <w:color w:val="auto"/>
        </w:rPr>
        <w:t xml:space="preserve">reform awards preserved by the NES. </w:t>
      </w:r>
    </w:p>
    <w:p w14:paraId="5FD8C789" w14:textId="6FBE816B" w:rsidR="00BD42DB" w:rsidRDefault="00BD42DB" w:rsidP="00BD42DB">
      <w:pPr>
        <w:tabs>
          <w:tab w:val="num" w:pos="680"/>
        </w:tabs>
        <w:rPr>
          <w:rFonts w:ascii="Arial" w:hAnsi="Arial" w:cs="Arial"/>
        </w:rPr>
      </w:pPr>
      <w:r>
        <w:rPr>
          <w:rFonts w:ascii="Arial" w:hAnsi="Arial" w:cs="Arial"/>
          <w:color w:val="auto"/>
        </w:rPr>
        <w:t xml:space="preserve">Therefore, the </w:t>
      </w:r>
      <w:r>
        <w:rPr>
          <w:rFonts w:ascii="Arial" w:hAnsi="Arial" w:cs="Arial"/>
        </w:rPr>
        <w:t xml:space="preserve">possibility of </w:t>
      </w:r>
      <w:r w:rsidR="00DB3ADD">
        <w:rPr>
          <w:rFonts w:ascii="Arial" w:hAnsi="Arial" w:cs="Arial"/>
        </w:rPr>
        <w:t>double-dipping</w:t>
      </w:r>
      <w:r>
        <w:rPr>
          <w:rFonts w:ascii="Arial" w:hAnsi="Arial" w:cs="Arial"/>
        </w:rPr>
        <w:t xml:space="preserve"> is not eliminated because an employee covered by the LSBP Act is neither excluded from the coverage of the </w:t>
      </w:r>
      <w:r>
        <w:rPr>
          <w:rFonts w:ascii="Arial" w:hAnsi="Arial" w:cs="Arial"/>
          <w:i/>
        </w:rPr>
        <w:t>Long Service Leave Act 2018</w:t>
      </w:r>
      <w:r>
        <w:rPr>
          <w:rFonts w:ascii="Arial" w:hAnsi="Arial" w:cs="Arial"/>
        </w:rPr>
        <w:t xml:space="preserve"> (as compared to employees entitled to long service leave under the </w:t>
      </w:r>
      <w:r>
        <w:rPr>
          <w:rFonts w:ascii="Arial" w:hAnsi="Arial" w:cs="Arial"/>
          <w:i/>
        </w:rPr>
        <w:t>Construction Industry Long Service Leave Act 1997</w:t>
      </w:r>
      <w:r>
        <w:rPr>
          <w:rFonts w:ascii="Arial" w:hAnsi="Arial" w:cs="Arial"/>
        </w:rPr>
        <w:t>)</w:t>
      </w:r>
      <w:r>
        <w:rPr>
          <w:rStyle w:val="FootnoteReference"/>
          <w:rFonts w:ascii="Arial" w:hAnsi="Arial" w:cs="Arial"/>
        </w:rPr>
        <w:footnoteReference w:id="21"/>
      </w:r>
      <w:r>
        <w:rPr>
          <w:rFonts w:ascii="Arial" w:hAnsi="Arial" w:cs="Arial"/>
        </w:rPr>
        <w:t>, nor are they prevented from claiming a long service leave entitlement under a pre-modern award or a fair work instrument.</w:t>
      </w:r>
    </w:p>
    <w:p w14:paraId="1A6BC796" w14:textId="74766B66" w:rsidR="00BD42DB" w:rsidRDefault="00BD42DB" w:rsidP="00464892">
      <w:pPr>
        <w:pStyle w:val="CommentText"/>
      </w:pPr>
      <w:r>
        <w:t xml:space="preserve">While it is possible to amend the LSBP Act and the </w:t>
      </w:r>
      <w:r>
        <w:rPr>
          <w:i/>
        </w:rPr>
        <w:t>Long Service Leave Act 2018</w:t>
      </w:r>
      <w:r>
        <w:t xml:space="preserve"> to make coverage under each Act mutually exclusive to the other, this will not of itself eliminate the possibility of </w:t>
      </w:r>
      <w:r w:rsidR="00DB3ADD">
        <w:t>double-dipping</w:t>
      </w:r>
      <w:r>
        <w:t>. It would remain possible for an employee to claim a long service leave entitlement under a pre-modern award or a fair work instrument</w:t>
      </w:r>
      <w:r w:rsidR="0055008B">
        <w:t xml:space="preserve">. </w:t>
      </w:r>
    </w:p>
    <w:p w14:paraId="33D47FCA" w14:textId="0FA00C02" w:rsidR="00BD42DB" w:rsidRDefault="00BD42DB" w:rsidP="00464892">
      <w:pPr>
        <w:pStyle w:val="CommentText"/>
      </w:pPr>
      <w:r>
        <w:t xml:space="preserve">Seeking to eliminate this possibility of </w:t>
      </w:r>
      <w:r w:rsidR="00DB3ADD">
        <w:t>double-dipping</w:t>
      </w:r>
      <w:r>
        <w:t xml:space="preserve">, by excluding employees with </w:t>
      </w:r>
      <w:r w:rsidR="00A35C1F">
        <w:t xml:space="preserve">other long service leave </w:t>
      </w:r>
      <w:r>
        <w:t>entitlements from the coverage of the LSBP Act, would be problematic, as employers could then use enterprise agreements to ‘opt out’ of the Scheme. State laws cannot control the enterprise agreement-making process, including which employees are covered, and the terms of any long service leave entitlement</w:t>
      </w:r>
      <w:r w:rsidR="0055008B">
        <w:t xml:space="preserve">. </w:t>
      </w:r>
    </w:p>
    <w:p w14:paraId="7A3727FE" w14:textId="630AC9BF" w:rsidR="00BD42DB" w:rsidRDefault="00BD42DB" w:rsidP="00464892">
      <w:pPr>
        <w:pStyle w:val="CommentText"/>
      </w:pPr>
      <w:r>
        <w:t>Unlike the construction industry and the C</w:t>
      </w:r>
      <w:r w:rsidR="00755B20">
        <w:t>o</w:t>
      </w:r>
      <w:r>
        <w:t xml:space="preserve">INVEST scheme, enterprise agreements in the community services sector </w:t>
      </w:r>
      <w:r w:rsidR="00755B20">
        <w:t xml:space="preserve">often </w:t>
      </w:r>
      <w:r>
        <w:t xml:space="preserve">cover entire workplaces which would include employees eligible for portable long service leave and those </w:t>
      </w:r>
      <w:r w:rsidR="00464892">
        <w:t xml:space="preserve">who </w:t>
      </w:r>
      <w:r>
        <w:t>are not</w:t>
      </w:r>
      <w:r w:rsidR="00464892">
        <w:t xml:space="preserve"> eligible</w:t>
      </w:r>
      <w:r>
        <w:t xml:space="preserve">. This means that a line cannot be drawn between employees covered by </w:t>
      </w:r>
      <w:r w:rsidR="00464892">
        <w:t>F</w:t>
      </w:r>
      <w:r>
        <w:t xml:space="preserve">ederal instruments and those </w:t>
      </w:r>
      <w:r w:rsidR="00464892">
        <w:t xml:space="preserve">who </w:t>
      </w:r>
      <w:r>
        <w:t>are not</w:t>
      </w:r>
      <w:r w:rsidR="00464892">
        <w:t xml:space="preserve"> covered</w:t>
      </w:r>
      <w:r>
        <w:t>, as coverage under a fair work instrument would exclude an otherwise eligible employee from the Scheme.</w:t>
      </w:r>
    </w:p>
    <w:p w14:paraId="310643A5" w14:textId="6CCBD19F" w:rsidR="00BD42DB" w:rsidRDefault="00BD42DB" w:rsidP="00464892">
      <w:pPr>
        <w:pStyle w:val="CommentText"/>
      </w:pPr>
      <w:r>
        <w:t>Further</w:t>
      </w:r>
      <w:r w:rsidR="00464892">
        <w:t>more</w:t>
      </w:r>
      <w:r>
        <w:t xml:space="preserve">, it is not possible to separate the entitlement to long service leave under a fair work instrument and the </w:t>
      </w:r>
      <w:r>
        <w:rPr>
          <w:i/>
        </w:rPr>
        <w:t>Long Service Leave Act 2018</w:t>
      </w:r>
      <w:r>
        <w:t>, because that Act effectively acts as a ‘safety net’ in circumstances where the entitlement under a fair work instrument (</w:t>
      </w:r>
      <w:r w:rsidR="00A35C1F">
        <w:t>e.g</w:t>
      </w:r>
      <w:r>
        <w:t xml:space="preserve">. an enterprise agreement) is less favourable than the entitlement under the </w:t>
      </w:r>
      <w:r>
        <w:rPr>
          <w:i/>
        </w:rPr>
        <w:t xml:space="preserve">Long Service Leave </w:t>
      </w:r>
      <w:r>
        <w:rPr>
          <w:i/>
        </w:rPr>
        <w:lastRenderedPageBreak/>
        <w:t>Act 2018</w:t>
      </w:r>
      <w:r>
        <w:t xml:space="preserve">. In that case, the </w:t>
      </w:r>
      <w:r>
        <w:rPr>
          <w:i/>
        </w:rPr>
        <w:t>Long Service Leave Act 2018</w:t>
      </w:r>
      <w:r>
        <w:t xml:space="preserve"> would apply as a protection as the entitlements under that Act are more favourable. </w:t>
      </w:r>
    </w:p>
    <w:p w14:paraId="3F8EBA13" w14:textId="02FDBD92" w:rsidR="004F1506" w:rsidRPr="004F1506" w:rsidRDefault="004F1506" w:rsidP="00464892">
      <w:pPr>
        <w:pStyle w:val="CommentText"/>
        <w:rPr>
          <w:rFonts w:cs="Arial"/>
          <w:iCs/>
        </w:rPr>
      </w:pPr>
      <w:r>
        <w:rPr>
          <w:rFonts w:cs="Arial"/>
        </w:rPr>
        <w:t xml:space="preserve">Completely closing off the possibility of double-dipping between the Scheme and other long service leave entitlements is </w:t>
      </w:r>
      <w:r w:rsidR="002E6B54">
        <w:rPr>
          <w:rFonts w:cs="Arial"/>
        </w:rPr>
        <w:t>problematic for the reasons set out above</w:t>
      </w:r>
      <w:r>
        <w:rPr>
          <w:rFonts w:cs="Arial"/>
        </w:rPr>
        <w:t xml:space="preserve">. In addition, the Department considers the risks associated with making the LSBP Act and the </w:t>
      </w:r>
      <w:r>
        <w:rPr>
          <w:rFonts w:cs="Arial"/>
          <w:i/>
        </w:rPr>
        <w:t xml:space="preserve">Long Service Leave Act 2018 </w:t>
      </w:r>
      <w:r>
        <w:rPr>
          <w:rFonts w:cs="Arial"/>
        </w:rPr>
        <w:t xml:space="preserve">mutually exclusive, such as creating ‘gaps’ so that some employees </w:t>
      </w:r>
      <w:r w:rsidR="00E87382">
        <w:rPr>
          <w:rFonts w:cs="Arial"/>
        </w:rPr>
        <w:t xml:space="preserve">who are </w:t>
      </w:r>
      <w:r>
        <w:rPr>
          <w:rFonts w:cs="Arial"/>
        </w:rPr>
        <w:t>intended to be covered by the LSBP</w:t>
      </w:r>
      <w:r w:rsidR="00673355">
        <w:rPr>
          <w:rFonts w:cs="Arial"/>
        </w:rPr>
        <w:t xml:space="preserve"> Act</w:t>
      </w:r>
      <w:r>
        <w:rPr>
          <w:rFonts w:cs="Arial"/>
        </w:rPr>
        <w:t xml:space="preserve"> are not covered, are greater than the risks associated with employees double-dipping. Therefore, removing the possibility of double-dipping between the LSBP Act and the </w:t>
      </w:r>
      <w:r>
        <w:rPr>
          <w:rFonts w:cs="Arial"/>
          <w:i/>
        </w:rPr>
        <w:t>Long Service Leave Act 2018</w:t>
      </w:r>
      <w:r>
        <w:rPr>
          <w:rFonts w:cs="Arial"/>
          <w:iCs/>
        </w:rPr>
        <w:t xml:space="preserve"> is not considered further.</w:t>
      </w:r>
    </w:p>
    <w:p w14:paraId="5D510144" w14:textId="5B5E3DBD" w:rsidR="0072722B" w:rsidRPr="00AD518C" w:rsidRDefault="0072722B" w:rsidP="00AD518C">
      <w:pPr>
        <w:spacing w:line="240" w:lineRule="auto"/>
        <w:rPr>
          <w:rFonts w:ascii="Arial" w:hAnsi="Arial"/>
        </w:rPr>
      </w:pPr>
      <w:r w:rsidRPr="00AD518C">
        <w:rPr>
          <w:rFonts w:ascii="Arial" w:hAnsi="Arial"/>
        </w:rPr>
        <w:t xml:space="preserve">As it is not wholly possible to prevent the potential for employees of double-dipping, instead, the LSBP Act and Interim Regulations include provisions to ensure employers are reimbursed if they have paid a levy to the Authority and then </w:t>
      </w:r>
      <w:r w:rsidR="00E87382">
        <w:rPr>
          <w:rFonts w:ascii="Arial" w:hAnsi="Arial"/>
        </w:rPr>
        <w:t xml:space="preserve">have </w:t>
      </w:r>
      <w:r w:rsidRPr="00AD518C">
        <w:rPr>
          <w:rFonts w:ascii="Arial" w:hAnsi="Arial"/>
        </w:rPr>
        <w:t>been required to pay an employee for a long service entitlement under a fair work instrument for the same period of service.</w:t>
      </w:r>
    </w:p>
    <w:p w14:paraId="7826AC65" w14:textId="48E8444A" w:rsidR="00D430EE" w:rsidRPr="00C22E90" w:rsidRDefault="00FC10AF" w:rsidP="00CF5417">
      <w:pPr>
        <w:rPr>
          <w:rFonts w:ascii="Arial" w:hAnsi="Arial" w:cs="Arial"/>
          <w:color w:val="auto"/>
        </w:rPr>
      </w:pPr>
      <w:r>
        <w:rPr>
          <w:rFonts w:ascii="Arial" w:hAnsi="Arial" w:cs="Arial"/>
          <w:color w:val="auto"/>
        </w:rPr>
        <w:t>However, t</w:t>
      </w:r>
      <w:r w:rsidR="00D430EE" w:rsidRPr="00C22E90">
        <w:rPr>
          <w:rFonts w:ascii="Arial" w:hAnsi="Arial" w:cs="Arial"/>
          <w:color w:val="auto"/>
        </w:rPr>
        <w:t>he LSBP Act,</w:t>
      </w:r>
      <w:r w:rsidR="00CE77A7">
        <w:rPr>
          <w:rFonts w:ascii="Arial" w:hAnsi="Arial" w:cs="Arial"/>
          <w:color w:val="auto"/>
        </w:rPr>
        <w:t xml:space="preserve"> and Interim Regulations,</w:t>
      </w:r>
      <w:r w:rsidR="00D430EE" w:rsidRPr="00C22E90">
        <w:rPr>
          <w:rFonts w:ascii="Arial" w:hAnsi="Arial" w:cs="Arial"/>
          <w:color w:val="auto"/>
        </w:rPr>
        <w:t xml:space="preserve"> do not refer to </w:t>
      </w:r>
      <w:r w:rsidR="00D430EE">
        <w:rPr>
          <w:rFonts w:ascii="Arial" w:hAnsi="Arial" w:cs="Arial"/>
          <w:color w:val="auto"/>
        </w:rPr>
        <w:t xml:space="preserve">existing </w:t>
      </w:r>
      <w:r w:rsidR="00D430EE" w:rsidRPr="00C22E90">
        <w:rPr>
          <w:rFonts w:ascii="Arial" w:hAnsi="Arial" w:cs="Arial"/>
          <w:color w:val="auto"/>
        </w:rPr>
        <w:t>entitlements</w:t>
      </w:r>
      <w:r w:rsidR="006D166D">
        <w:rPr>
          <w:rFonts w:ascii="Arial" w:hAnsi="Arial" w:cs="Arial"/>
          <w:color w:val="auto"/>
        </w:rPr>
        <w:t xml:space="preserve"> in Victorian law, </w:t>
      </w:r>
      <w:r w:rsidR="00D430EE" w:rsidRPr="00C22E90">
        <w:rPr>
          <w:rFonts w:ascii="Arial" w:hAnsi="Arial" w:cs="Arial"/>
          <w:color w:val="auto"/>
        </w:rPr>
        <w:t xml:space="preserve">under the </w:t>
      </w:r>
      <w:r w:rsidR="00D430EE" w:rsidRPr="00C22E90">
        <w:rPr>
          <w:rFonts w:ascii="Arial" w:hAnsi="Arial" w:cs="Arial"/>
          <w:i/>
          <w:color w:val="auto"/>
        </w:rPr>
        <w:t>Long Service Leave Act 2018</w:t>
      </w:r>
      <w:r w:rsidR="00D90694">
        <w:rPr>
          <w:rFonts w:ascii="Arial" w:hAnsi="Arial" w:cs="Arial"/>
          <w:color w:val="auto"/>
        </w:rPr>
        <w:t xml:space="preserve">, which is not defined as a </w:t>
      </w:r>
      <w:r w:rsidR="00ED17BA">
        <w:rPr>
          <w:rFonts w:ascii="Arial" w:hAnsi="Arial" w:cs="Arial"/>
          <w:color w:val="auto"/>
        </w:rPr>
        <w:t>f</w:t>
      </w:r>
      <w:r w:rsidR="00D90694">
        <w:rPr>
          <w:rFonts w:ascii="Arial" w:hAnsi="Arial" w:cs="Arial"/>
          <w:color w:val="auto"/>
        </w:rPr>
        <w:t xml:space="preserve">air </w:t>
      </w:r>
      <w:r w:rsidR="00ED17BA">
        <w:rPr>
          <w:rFonts w:ascii="Arial" w:hAnsi="Arial" w:cs="Arial"/>
          <w:color w:val="auto"/>
        </w:rPr>
        <w:t>w</w:t>
      </w:r>
      <w:r w:rsidR="00D430EE" w:rsidRPr="00C22E90">
        <w:rPr>
          <w:rFonts w:ascii="Arial" w:hAnsi="Arial" w:cs="Arial"/>
          <w:color w:val="auto"/>
        </w:rPr>
        <w:t>ork instrument by the LSBP Act</w:t>
      </w:r>
      <w:r w:rsidR="00D430EE">
        <w:rPr>
          <w:rFonts w:ascii="Arial" w:hAnsi="Arial" w:cs="Arial"/>
          <w:color w:val="auto"/>
        </w:rPr>
        <w:t xml:space="preserve"> (or the Interim Regulations)</w:t>
      </w:r>
      <w:r w:rsidR="00D430EE" w:rsidRPr="00C22E90">
        <w:rPr>
          <w:rFonts w:ascii="Arial" w:hAnsi="Arial" w:cs="Arial"/>
          <w:color w:val="auto"/>
        </w:rPr>
        <w:t xml:space="preserve">. This </w:t>
      </w:r>
      <w:r w:rsidR="00D430EE">
        <w:rPr>
          <w:rFonts w:ascii="Arial" w:hAnsi="Arial" w:cs="Arial"/>
          <w:color w:val="auto"/>
        </w:rPr>
        <w:t>means</w:t>
      </w:r>
      <w:r w:rsidR="00D430EE" w:rsidRPr="00C22E90">
        <w:rPr>
          <w:rFonts w:ascii="Arial" w:hAnsi="Arial" w:cs="Arial"/>
          <w:color w:val="auto"/>
        </w:rPr>
        <w:t xml:space="preserve"> that</w:t>
      </w:r>
      <w:r w:rsidR="00D430EE">
        <w:rPr>
          <w:rFonts w:ascii="Arial" w:hAnsi="Arial" w:cs="Arial"/>
          <w:color w:val="auto"/>
        </w:rPr>
        <w:t>, in its current form,</w:t>
      </w:r>
      <w:r w:rsidR="00D430EE" w:rsidRPr="00C22E90">
        <w:rPr>
          <w:rFonts w:ascii="Arial" w:hAnsi="Arial" w:cs="Arial"/>
          <w:color w:val="auto"/>
        </w:rPr>
        <w:t xml:space="preserve"> employers </w:t>
      </w:r>
      <w:r w:rsidR="00D430EE">
        <w:rPr>
          <w:rFonts w:ascii="Arial" w:hAnsi="Arial" w:cs="Arial"/>
          <w:color w:val="auto"/>
        </w:rPr>
        <w:t xml:space="preserve">are not </w:t>
      </w:r>
      <w:r w:rsidR="00D430EE" w:rsidRPr="00C22E90">
        <w:rPr>
          <w:rFonts w:ascii="Arial" w:hAnsi="Arial" w:cs="Arial"/>
          <w:color w:val="auto"/>
        </w:rPr>
        <w:t xml:space="preserve">entitled to a reimbursement </w:t>
      </w:r>
      <w:r w:rsidR="00D430EE">
        <w:rPr>
          <w:rFonts w:ascii="Arial" w:hAnsi="Arial" w:cs="Arial"/>
          <w:color w:val="auto"/>
        </w:rPr>
        <w:t>from the Authority if they paid</w:t>
      </w:r>
      <w:r w:rsidR="00D430EE" w:rsidRPr="00C22E90">
        <w:rPr>
          <w:rFonts w:ascii="Arial" w:hAnsi="Arial" w:cs="Arial"/>
          <w:color w:val="auto"/>
        </w:rPr>
        <w:t xml:space="preserve"> an entitlement under the </w:t>
      </w:r>
      <w:r w:rsidR="00D430EE" w:rsidRPr="00C22E90">
        <w:rPr>
          <w:rFonts w:ascii="Arial" w:hAnsi="Arial" w:cs="Arial"/>
          <w:i/>
          <w:color w:val="auto"/>
        </w:rPr>
        <w:t>Long Service Leave Act 2018</w:t>
      </w:r>
      <w:r w:rsidR="00D430EE" w:rsidRPr="00C22E90">
        <w:rPr>
          <w:rFonts w:ascii="Arial" w:hAnsi="Arial" w:cs="Arial"/>
          <w:color w:val="auto"/>
        </w:rPr>
        <w:t xml:space="preserve">. As currently drafted, Regulation 12 of the Interim Regulations only allows employers to claim a reimbursement for long service entitlements where </w:t>
      </w:r>
      <w:r w:rsidR="00D430EE">
        <w:rPr>
          <w:rFonts w:ascii="Arial" w:hAnsi="Arial" w:cs="Arial"/>
          <w:color w:val="auto"/>
        </w:rPr>
        <w:t>an employee has an entitlement</w:t>
      </w:r>
      <w:r w:rsidR="00F81D91">
        <w:rPr>
          <w:rFonts w:ascii="Arial" w:hAnsi="Arial" w:cs="Arial"/>
          <w:color w:val="auto"/>
        </w:rPr>
        <w:t xml:space="preserve"> to long service leave under a </w:t>
      </w:r>
      <w:r w:rsidR="00ED17BA">
        <w:rPr>
          <w:rFonts w:ascii="Arial" w:hAnsi="Arial" w:cs="Arial"/>
          <w:color w:val="auto"/>
        </w:rPr>
        <w:t>f</w:t>
      </w:r>
      <w:r w:rsidR="00F81D91">
        <w:rPr>
          <w:rFonts w:ascii="Arial" w:hAnsi="Arial" w:cs="Arial"/>
          <w:color w:val="auto"/>
        </w:rPr>
        <w:t xml:space="preserve">air </w:t>
      </w:r>
      <w:r w:rsidR="00ED17BA">
        <w:rPr>
          <w:rFonts w:ascii="Arial" w:hAnsi="Arial" w:cs="Arial"/>
          <w:color w:val="auto"/>
        </w:rPr>
        <w:t>w</w:t>
      </w:r>
      <w:r w:rsidR="00D430EE">
        <w:rPr>
          <w:rFonts w:ascii="Arial" w:hAnsi="Arial" w:cs="Arial"/>
          <w:color w:val="auto"/>
        </w:rPr>
        <w:t xml:space="preserve">ork instrument for the same service period (for example, under a National Employment Standard, a modern award, an enterprise agreement or a transitional instrument under the </w:t>
      </w:r>
      <w:r w:rsidR="00D430EE">
        <w:rPr>
          <w:rFonts w:ascii="Arial" w:hAnsi="Arial" w:cs="Arial"/>
          <w:i/>
          <w:color w:val="auto"/>
        </w:rPr>
        <w:t xml:space="preserve">Fair Work Act </w:t>
      </w:r>
      <w:r w:rsidR="00D430EE" w:rsidRPr="006B2F01">
        <w:rPr>
          <w:rFonts w:ascii="Arial" w:hAnsi="Arial" w:cs="Arial"/>
          <w:i/>
          <w:color w:val="auto"/>
        </w:rPr>
        <w:t>2009</w:t>
      </w:r>
      <w:r w:rsidR="00D430EE">
        <w:rPr>
          <w:rFonts w:ascii="Arial" w:hAnsi="Arial" w:cs="Arial"/>
          <w:color w:val="auto"/>
        </w:rPr>
        <w:t xml:space="preserve">). </w:t>
      </w:r>
      <w:r>
        <w:rPr>
          <w:rFonts w:ascii="Arial" w:hAnsi="Arial" w:cs="Arial"/>
          <w:color w:val="auto"/>
        </w:rPr>
        <w:t>This was an oversight in the drafting of the LSBP Act and the Interim Regulations.</w:t>
      </w:r>
    </w:p>
    <w:p w14:paraId="334F5AA8" w14:textId="4400DE22" w:rsidR="00D41437" w:rsidRDefault="00755B20" w:rsidP="00464892">
      <w:pPr>
        <w:pStyle w:val="BodyText"/>
      </w:pPr>
      <w:r>
        <w:t>A</w:t>
      </w:r>
      <w:r w:rsidR="00D430EE" w:rsidRPr="00C22E90">
        <w:t xml:space="preserve">ddressing this problem will require an amendment to the LSBP Act. As a result, </w:t>
      </w:r>
      <w:r w:rsidR="00464892">
        <w:t xml:space="preserve">at this time, </w:t>
      </w:r>
      <w:r w:rsidR="00D430EE" w:rsidRPr="00C22E90">
        <w:t xml:space="preserve">any regulatory amendments to </w:t>
      </w:r>
      <w:r w:rsidR="00CE77A7">
        <w:t xml:space="preserve">reimburse employers for </w:t>
      </w:r>
      <w:r w:rsidR="00DB3ADD">
        <w:t>double-dipping</w:t>
      </w:r>
      <w:r w:rsidR="00D430EE" w:rsidRPr="00C22E90">
        <w:t xml:space="preserve"> </w:t>
      </w:r>
      <w:r w:rsidR="00CE77A7">
        <w:t xml:space="preserve">under the </w:t>
      </w:r>
      <w:r w:rsidR="00CE77A7" w:rsidRPr="00CE77A7">
        <w:rPr>
          <w:i/>
        </w:rPr>
        <w:t>Long Service Leave Act 2018</w:t>
      </w:r>
      <w:r w:rsidR="00CE77A7">
        <w:t xml:space="preserve"> </w:t>
      </w:r>
      <w:r w:rsidR="00D430EE" w:rsidRPr="00C22E90">
        <w:t xml:space="preserve">will not be included in the Proposed Regulations. </w:t>
      </w:r>
      <w:r w:rsidR="00CE3DED">
        <w:t>Subject to Parliamentary approval, a</w:t>
      </w:r>
      <w:r w:rsidR="00CE3DED" w:rsidRPr="00C22E90">
        <w:t xml:space="preserve">ny </w:t>
      </w:r>
      <w:r w:rsidR="00D430EE" w:rsidRPr="00C22E90">
        <w:t>changes will not proceed until 2021 at the earliest. However, this RIS will consider the impact of future regulatory changes to address this residual problem alon</w:t>
      </w:r>
      <w:r w:rsidR="00D430EE">
        <w:t>gside any amendment to the LSBP </w:t>
      </w:r>
      <w:r w:rsidR="00D430EE" w:rsidRPr="00C22E90">
        <w:t>Act</w:t>
      </w:r>
      <w:r w:rsidR="0055008B">
        <w:t xml:space="preserve">. </w:t>
      </w:r>
    </w:p>
    <w:p w14:paraId="52862829" w14:textId="77777777" w:rsidR="00464892" w:rsidRPr="00205270" w:rsidRDefault="00464892" w:rsidP="00464892">
      <w:pPr>
        <w:pStyle w:val="BodyText"/>
      </w:pPr>
    </w:p>
    <w:p w14:paraId="0581AF08" w14:textId="5D63E063" w:rsidR="00E13F2A" w:rsidRPr="00EC5379" w:rsidRDefault="00E13F2A" w:rsidP="00E13F2A">
      <w:pPr>
        <w:pStyle w:val="Heading1"/>
        <w:rPr>
          <w:rFonts w:ascii="Arial" w:hAnsi="Arial" w:cs="Arial"/>
        </w:rPr>
      </w:pPr>
      <w:bookmarkStart w:id="69" w:name="_Toc4768885"/>
      <w:bookmarkStart w:id="70" w:name="_Ref5829029"/>
      <w:bookmarkStart w:id="71" w:name="_Ref5830357"/>
      <w:bookmarkStart w:id="72" w:name="_Ref35864425"/>
      <w:bookmarkStart w:id="73" w:name="_Toc37921482"/>
      <w:r w:rsidRPr="00EC5379">
        <w:rPr>
          <w:rFonts w:ascii="Arial" w:hAnsi="Arial" w:cs="Arial"/>
        </w:rPr>
        <w:lastRenderedPageBreak/>
        <w:t>OBJECTIVES</w:t>
      </w:r>
      <w:bookmarkEnd w:id="69"/>
      <w:bookmarkEnd w:id="70"/>
      <w:bookmarkEnd w:id="71"/>
      <w:bookmarkEnd w:id="72"/>
      <w:bookmarkEnd w:id="73"/>
      <w:r w:rsidRPr="00EC5379">
        <w:rPr>
          <w:rFonts w:ascii="Arial" w:hAnsi="Arial" w:cs="Arial"/>
        </w:rPr>
        <w:t xml:space="preserve"> </w:t>
      </w:r>
    </w:p>
    <w:p w14:paraId="06D4FE7B" w14:textId="72A7DA6C" w:rsidR="002A1244" w:rsidRPr="003A15C8" w:rsidRDefault="00E13F2A" w:rsidP="002A1244">
      <w:pPr>
        <w:rPr>
          <w:rFonts w:ascii="Arial" w:hAnsi="Arial" w:cs="Arial"/>
        </w:rPr>
      </w:pPr>
      <w:r w:rsidRPr="00EC5379">
        <w:rPr>
          <w:rFonts w:ascii="Arial" w:hAnsi="Arial" w:cs="Arial"/>
        </w:rPr>
        <w:t xml:space="preserve">Options for each of the </w:t>
      </w:r>
      <w:r w:rsidR="00297B17">
        <w:rPr>
          <w:rFonts w:ascii="Arial" w:hAnsi="Arial" w:cs="Arial"/>
        </w:rPr>
        <w:t xml:space="preserve">five </w:t>
      </w:r>
      <w:r w:rsidRPr="00EC5379">
        <w:rPr>
          <w:rFonts w:ascii="Arial" w:hAnsi="Arial" w:cs="Arial"/>
        </w:rPr>
        <w:t xml:space="preserve">residual problems should address the </w:t>
      </w:r>
      <w:r w:rsidR="002A1244" w:rsidRPr="003A15C8">
        <w:rPr>
          <w:rFonts w:ascii="Arial" w:hAnsi="Arial" w:cs="Arial"/>
        </w:rPr>
        <w:t>primary</w:t>
      </w:r>
      <w:r w:rsidR="002A1244">
        <w:rPr>
          <w:rFonts w:ascii="Arial" w:hAnsi="Arial" w:cs="Arial"/>
        </w:rPr>
        <w:t xml:space="preserve"> objective of the LSBP </w:t>
      </w:r>
      <w:r w:rsidR="002A1244" w:rsidRPr="003A15C8">
        <w:rPr>
          <w:rFonts w:ascii="Arial" w:hAnsi="Arial" w:cs="Arial"/>
        </w:rPr>
        <w:t xml:space="preserve">Act to provide for the portability of long service benefits for </w:t>
      </w:r>
      <w:r w:rsidR="00BA4E89">
        <w:rPr>
          <w:rFonts w:ascii="Arial" w:hAnsi="Arial" w:cs="Arial"/>
        </w:rPr>
        <w:t>employee</w:t>
      </w:r>
      <w:r w:rsidR="002A1244" w:rsidRPr="003A15C8">
        <w:rPr>
          <w:rFonts w:ascii="Arial" w:hAnsi="Arial" w:cs="Arial"/>
        </w:rPr>
        <w:t>s in sectors that rarely quali</w:t>
      </w:r>
      <w:r w:rsidR="00ED17BA">
        <w:rPr>
          <w:rFonts w:ascii="Arial" w:hAnsi="Arial" w:cs="Arial"/>
        </w:rPr>
        <w:t>f</w:t>
      </w:r>
      <w:r w:rsidR="002A1244" w:rsidRPr="003A15C8">
        <w:rPr>
          <w:rFonts w:ascii="Arial" w:hAnsi="Arial" w:cs="Arial"/>
        </w:rPr>
        <w:t>y for long service entitlements under traditional long service schemes, due to the contract and project nature of the industries in which they work. I</w:t>
      </w:r>
      <w:r w:rsidR="002A1244">
        <w:rPr>
          <w:rFonts w:ascii="Arial" w:hAnsi="Arial" w:cs="Arial"/>
        </w:rPr>
        <w:t>mproving access to entitlements will i</w:t>
      </w:r>
      <w:r w:rsidR="002A1244" w:rsidRPr="003A15C8">
        <w:rPr>
          <w:rFonts w:ascii="Arial" w:hAnsi="Arial" w:cs="Arial"/>
        </w:rPr>
        <w:t>ncrease equity i</w:t>
      </w:r>
      <w:r w:rsidR="00FC10AF">
        <w:rPr>
          <w:rFonts w:ascii="Arial" w:hAnsi="Arial" w:cs="Arial"/>
        </w:rPr>
        <w:t>n sectors with comparable work.</w:t>
      </w:r>
    </w:p>
    <w:p w14:paraId="6A8C9B6A" w14:textId="705688D4" w:rsidR="002A1244" w:rsidRPr="002A1244" w:rsidRDefault="002A1244" w:rsidP="002A1244">
      <w:pPr>
        <w:rPr>
          <w:rFonts w:ascii="Arial" w:hAnsi="Arial" w:cs="Arial"/>
        </w:rPr>
      </w:pPr>
      <w:r w:rsidRPr="002A1244">
        <w:rPr>
          <w:rFonts w:ascii="Arial" w:hAnsi="Arial" w:cs="Arial"/>
        </w:rPr>
        <w:t xml:space="preserve">In </w:t>
      </w:r>
      <w:r w:rsidR="00FC10AF">
        <w:rPr>
          <w:rFonts w:ascii="Arial" w:hAnsi="Arial" w:cs="Arial"/>
        </w:rPr>
        <w:t xml:space="preserve">meeting the </w:t>
      </w:r>
      <w:r w:rsidR="00464892">
        <w:rPr>
          <w:rFonts w:ascii="Arial" w:hAnsi="Arial" w:cs="Arial"/>
        </w:rPr>
        <w:t xml:space="preserve">primary objective of the </w:t>
      </w:r>
      <w:r w:rsidR="00FC10AF">
        <w:rPr>
          <w:rFonts w:ascii="Arial" w:hAnsi="Arial" w:cs="Arial"/>
        </w:rPr>
        <w:t>LSBP Act</w:t>
      </w:r>
      <w:r w:rsidRPr="002A1244">
        <w:rPr>
          <w:rFonts w:ascii="Arial" w:hAnsi="Arial" w:cs="Arial"/>
        </w:rPr>
        <w:t>, options developed to resolve each of the residual problems within the scope of this RIS address a more specific set of objectives.</w:t>
      </w:r>
    </w:p>
    <w:p w14:paraId="48D1FA51" w14:textId="6487CE02" w:rsidR="00297B17" w:rsidRDefault="00297B17" w:rsidP="00D430EE">
      <w:pPr>
        <w:pStyle w:val="Heading2"/>
        <w:ind w:left="709"/>
        <w:rPr>
          <w:rFonts w:ascii="Arial" w:hAnsi="Arial" w:cs="Arial"/>
        </w:rPr>
      </w:pPr>
      <w:bookmarkStart w:id="74" w:name="_Toc37921483"/>
      <w:bookmarkStart w:id="75" w:name="_Ref35937834"/>
      <w:r>
        <w:rPr>
          <w:rFonts w:ascii="Arial" w:hAnsi="Arial" w:cs="Arial"/>
        </w:rPr>
        <w:t>What is defined as community service work</w:t>
      </w:r>
      <w:bookmarkEnd w:id="74"/>
    </w:p>
    <w:p w14:paraId="4AD4E5FC" w14:textId="22F2C9E9" w:rsidR="00297B17" w:rsidRDefault="00297B17" w:rsidP="00DB3ADD">
      <w:pPr>
        <w:pStyle w:val="BodyText"/>
        <w:rPr>
          <w:rFonts w:cs="Arial"/>
        </w:rPr>
      </w:pPr>
      <w:r>
        <w:rPr>
          <w:rFonts w:cs="Arial"/>
        </w:rPr>
        <w:t xml:space="preserve">In clarifying </w:t>
      </w:r>
      <w:r w:rsidR="00B44E32">
        <w:rPr>
          <w:rFonts w:cs="Arial"/>
        </w:rPr>
        <w:t xml:space="preserve">whether care delivered in a private residence </w:t>
      </w:r>
      <w:r>
        <w:rPr>
          <w:rFonts w:cs="Arial"/>
        </w:rPr>
        <w:t>is defined as community service work</w:t>
      </w:r>
      <w:r w:rsidR="00B44E32">
        <w:rPr>
          <w:rFonts w:cs="Arial"/>
        </w:rPr>
        <w:t xml:space="preserve"> for the purposes of the Scheme</w:t>
      </w:r>
      <w:r>
        <w:rPr>
          <w:rFonts w:cs="Arial"/>
        </w:rPr>
        <w:t>, the Proposed Regulations should look to:</w:t>
      </w:r>
    </w:p>
    <w:p w14:paraId="74544DF2" w14:textId="5A7B5378" w:rsidR="00B44E32" w:rsidRDefault="00B44E32" w:rsidP="00B44E32">
      <w:pPr>
        <w:pStyle w:val="ListParagraph"/>
        <w:numPr>
          <w:ilvl w:val="0"/>
          <w:numId w:val="12"/>
        </w:numPr>
        <w:spacing w:before="100" w:beforeAutospacing="1" w:after="100" w:afterAutospacing="1"/>
        <w:rPr>
          <w:rFonts w:ascii="Arial" w:hAnsi="Arial" w:cs="Arial"/>
        </w:rPr>
      </w:pPr>
      <w:r>
        <w:rPr>
          <w:rFonts w:ascii="Arial" w:hAnsi="Arial" w:cs="Arial"/>
        </w:rPr>
        <w:t>Provide certainty to employees and employers about the scope of the community services secto</w:t>
      </w:r>
      <w:r w:rsidR="006D166D">
        <w:rPr>
          <w:rFonts w:ascii="Arial" w:hAnsi="Arial" w:cs="Arial"/>
        </w:rPr>
        <w:t>r to be covered by the LSBP Act; and</w:t>
      </w:r>
    </w:p>
    <w:p w14:paraId="30FC2A06" w14:textId="1B76D94F" w:rsidR="00B44E32" w:rsidRPr="00DB3ADD" w:rsidRDefault="00B44E32" w:rsidP="00DB3ADD">
      <w:pPr>
        <w:pStyle w:val="ListBullet"/>
        <w:numPr>
          <w:ilvl w:val="0"/>
          <w:numId w:val="12"/>
        </w:numPr>
        <w:contextualSpacing w:val="0"/>
        <w:rPr>
          <w:rFonts w:cs="Arial"/>
        </w:rPr>
      </w:pPr>
      <w:r>
        <w:rPr>
          <w:rFonts w:cs="Arial"/>
        </w:rPr>
        <w:t>Ensure employees across the community services sector have fair and equitable access to the Scheme.</w:t>
      </w:r>
    </w:p>
    <w:p w14:paraId="58F2C98A" w14:textId="40F20AFC" w:rsidR="00D430EE" w:rsidRPr="00EC5379" w:rsidRDefault="00D430EE" w:rsidP="00D430EE">
      <w:pPr>
        <w:pStyle w:val="Heading2"/>
        <w:ind w:left="709"/>
        <w:rPr>
          <w:rFonts w:ascii="Arial" w:hAnsi="Arial" w:cs="Arial"/>
        </w:rPr>
      </w:pPr>
      <w:bookmarkStart w:id="76" w:name="_Ref36731262"/>
      <w:bookmarkStart w:id="77" w:name="_Toc37921484"/>
      <w:r w:rsidRPr="00EC5379">
        <w:rPr>
          <w:rFonts w:ascii="Arial" w:hAnsi="Arial" w:cs="Arial"/>
        </w:rPr>
        <w:t xml:space="preserve">Who is </w:t>
      </w:r>
      <w:r w:rsidR="0071726F" w:rsidRPr="00AD518C">
        <w:rPr>
          <w:rFonts w:ascii="Arial" w:hAnsi="Arial" w:cs="Arial"/>
        </w:rPr>
        <w:t xml:space="preserve">regarded as </w:t>
      </w:r>
      <w:r w:rsidRPr="00EC5379">
        <w:rPr>
          <w:rFonts w:ascii="Arial" w:hAnsi="Arial" w:cs="Arial"/>
        </w:rPr>
        <w:t>an employer in the community services sector</w:t>
      </w:r>
      <w:bookmarkEnd w:id="75"/>
      <w:bookmarkEnd w:id="76"/>
      <w:bookmarkEnd w:id="77"/>
    </w:p>
    <w:p w14:paraId="752A9F67" w14:textId="42028F3C" w:rsidR="00D430EE" w:rsidRDefault="0072722B" w:rsidP="00D430EE">
      <w:pPr>
        <w:spacing w:before="100" w:beforeAutospacing="1" w:after="100" w:afterAutospacing="1"/>
        <w:rPr>
          <w:rFonts w:ascii="Arial" w:hAnsi="Arial" w:cs="Arial"/>
        </w:rPr>
      </w:pPr>
      <w:r>
        <w:rPr>
          <w:rFonts w:ascii="Arial" w:hAnsi="Arial" w:cs="Arial"/>
        </w:rPr>
        <w:t>In clarifying</w:t>
      </w:r>
      <w:r w:rsidR="00D430EE" w:rsidRPr="00EC5379">
        <w:rPr>
          <w:rFonts w:ascii="Arial" w:hAnsi="Arial" w:cs="Arial"/>
        </w:rPr>
        <w:t xml:space="preserve"> who is </w:t>
      </w:r>
      <w:r w:rsidR="0071726F">
        <w:rPr>
          <w:rFonts w:ascii="Arial" w:hAnsi="Arial" w:cs="Arial"/>
          <w:color w:val="auto"/>
        </w:rPr>
        <w:t xml:space="preserve">regarded as </w:t>
      </w:r>
      <w:r w:rsidR="00D430EE" w:rsidRPr="00EC5379">
        <w:rPr>
          <w:rFonts w:ascii="Arial" w:hAnsi="Arial" w:cs="Arial"/>
        </w:rPr>
        <w:t>an employer in the community services</w:t>
      </w:r>
      <w:r>
        <w:rPr>
          <w:rFonts w:ascii="Arial" w:hAnsi="Arial" w:cs="Arial"/>
        </w:rPr>
        <w:t>, the Proposed Regulations should look to</w:t>
      </w:r>
      <w:r w:rsidR="00D430EE" w:rsidRPr="00EC5379">
        <w:rPr>
          <w:rFonts w:ascii="Arial" w:hAnsi="Arial" w:cs="Arial"/>
        </w:rPr>
        <w:t xml:space="preserve">: </w:t>
      </w:r>
    </w:p>
    <w:p w14:paraId="7F321E50" w14:textId="571BE488" w:rsidR="00D430EE" w:rsidRPr="009A1FD6" w:rsidRDefault="00D430EE" w:rsidP="009A1FD6">
      <w:pPr>
        <w:pStyle w:val="ListBullet"/>
        <w:contextualSpacing w:val="0"/>
        <w:rPr>
          <w:rFonts w:cs="Arial"/>
        </w:rPr>
      </w:pPr>
      <w:r w:rsidRPr="007F4727">
        <w:rPr>
          <w:rFonts w:cs="Arial"/>
        </w:rPr>
        <w:t xml:space="preserve">Provide certainty to </w:t>
      </w:r>
      <w:r w:rsidR="00BA4E89">
        <w:rPr>
          <w:rFonts w:cs="Arial"/>
        </w:rPr>
        <w:t>employee</w:t>
      </w:r>
      <w:r w:rsidRPr="007F4727">
        <w:rPr>
          <w:rFonts w:cs="Arial"/>
        </w:rPr>
        <w:t xml:space="preserve">s and </w:t>
      </w:r>
      <w:r w:rsidR="00DB01D9">
        <w:rPr>
          <w:rFonts w:cs="Arial"/>
        </w:rPr>
        <w:t>employers</w:t>
      </w:r>
      <w:r w:rsidRPr="007F4727">
        <w:rPr>
          <w:rFonts w:cs="Arial"/>
        </w:rPr>
        <w:t xml:space="preserve"> in the sector </w:t>
      </w:r>
      <w:r>
        <w:rPr>
          <w:rFonts w:cs="Arial"/>
        </w:rPr>
        <w:t>regarding</w:t>
      </w:r>
      <w:r w:rsidRPr="007F4727">
        <w:rPr>
          <w:rFonts w:cs="Arial"/>
        </w:rPr>
        <w:t xml:space="preserve"> which employers </w:t>
      </w:r>
      <w:r>
        <w:rPr>
          <w:rFonts w:cs="Arial"/>
        </w:rPr>
        <w:t>are covered by the S</w:t>
      </w:r>
      <w:r w:rsidRPr="007F4727">
        <w:rPr>
          <w:rFonts w:cs="Arial"/>
        </w:rPr>
        <w:t>cheme</w:t>
      </w:r>
      <w:r w:rsidR="009A1FD6">
        <w:rPr>
          <w:rFonts w:cs="Arial"/>
        </w:rPr>
        <w:t xml:space="preserve">; </w:t>
      </w:r>
      <w:r w:rsidR="00412CB4">
        <w:rPr>
          <w:rFonts w:cs="Arial"/>
        </w:rPr>
        <w:t>and</w:t>
      </w:r>
    </w:p>
    <w:p w14:paraId="2F2E7D18" w14:textId="1197AE33" w:rsidR="009A1FD6" w:rsidRDefault="009A1FD6" w:rsidP="00D430EE">
      <w:pPr>
        <w:pStyle w:val="ListBullet"/>
        <w:contextualSpacing w:val="0"/>
        <w:rPr>
          <w:rFonts w:cs="Arial"/>
        </w:rPr>
      </w:pPr>
      <w:r>
        <w:rPr>
          <w:rFonts w:cs="Arial"/>
        </w:rPr>
        <w:t>Ensure employees across the community services sector have fair and equitable access to the Scheme</w:t>
      </w:r>
      <w:r w:rsidR="001146A3">
        <w:rPr>
          <w:rFonts w:cs="Arial"/>
        </w:rPr>
        <w:t>.</w:t>
      </w:r>
    </w:p>
    <w:p w14:paraId="3A2D8732" w14:textId="2754F253" w:rsidR="00E13F2A" w:rsidRPr="00EC5379" w:rsidRDefault="00E6474D" w:rsidP="00BD5970">
      <w:pPr>
        <w:pStyle w:val="Heading2"/>
        <w:rPr>
          <w:rFonts w:ascii="Arial" w:hAnsi="Arial" w:cs="Arial"/>
        </w:rPr>
      </w:pPr>
      <w:bookmarkStart w:id="78" w:name="_Ref35937777"/>
      <w:bookmarkStart w:id="79" w:name="_Toc37921485"/>
      <w:r w:rsidRPr="00EC5379">
        <w:rPr>
          <w:rFonts w:ascii="Arial" w:hAnsi="Arial" w:cs="Arial"/>
        </w:rPr>
        <w:t xml:space="preserve">Who is </w:t>
      </w:r>
      <w:r w:rsidR="0071726F" w:rsidRPr="00AD518C">
        <w:rPr>
          <w:rFonts w:ascii="Arial" w:hAnsi="Arial" w:cs="Arial"/>
        </w:rPr>
        <w:t xml:space="preserve">regarded as </w:t>
      </w:r>
      <w:r w:rsidRPr="00EC5379">
        <w:rPr>
          <w:rFonts w:ascii="Arial" w:hAnsi="Arial" w:cs="Arial"/>
        </w:rPr>
        <w:t>an employee in the community services sector</w:t>
      </w:r>
      <w:bookmarkEnd w:id="78"/>
      <w:bookmarkEnd w:id="79"/>
    </w:p>
    <w:p w14:paraId="3FB806D4" w14:textId="00E12C0E" w:rsidR="000B22F8" w:rsidRPr="00EC5379" w:rsidRDefault="000B22F8" w:rsidP="000B22F8">
      <w:pPr>
        <w:pStyle w:val="BodyText"/>
        <w:rPr>
          <w:rFonts w:cs="Arial"/>
        </w:rPr>
      </w:pPr>
      <w:r w:rsidRPr="00EC5379">
        <w:rPr>
          <w:rFonts w:cs="Arial"/>
        </w:rPr>
        <w:t xml:space="preserve">In clarifying who is </w:t>
      </w:r>
      <w:r w:rsidR="0071726F">
        <w:rPr>
          <w:rFonts w:cs="Arial"/>
          <w:color w:val="auto"/>
        </w:rPr>
        <w:t xml:space="preserve">regarded as </w:t>
      </w:r>
      <w:r w:rsidRPr="00EC5379">
        <w:rPr>
          <w:rFonts w:cs="Arial"/>
        </w:rPr>
        <w:t xml:space="preserve">an employee in the community services sector, the </w:t>
      </w:r>
      <w:r w:rsidR="00FC10AF">
        <w:rPr>
          <w:rFonts w:cs="Arial"/>
        </w:rPr>
        <w:t xml:space="preserve">Proposed </w:t>
      </w:r>
      <w:r w:rsidRPr="00EC5379">
        <w:rPr>
          <w:rFonts w:cs="Arial"/>
        </w:rPr>
        <w:t>Regulation</w:t>
      </w:r>
      <w:r w:rsidR="00FC10AF">
        <w:rPr>
          <w:rFonts w:cs="Arial"/>
        </w:rPr>
        <w:t>s</w:t>
      </w:r>
      <w:r w:rsidRPr="00EC5379">
        <w:rPr>
          <w:rFonts w:cs="Arial"/>
        </w:rPr>
        <w:t xml:space="preserve"> should look to:</w:t>
      </w:r>
    </w:p>
    <w:p w14:paraId="78E603EE" w14:textId="4842565B" w:rsidR="009A1FD6" w:rsidRDefault="007F4727" w:rsidP="009A1FD6">
      <w:pPr>
        <w:pStyle w:val="ListBullet"/>
        <w:contextualSpacing w:val="0"/>
        <w:rPr>
          <w:rFonts w:cs="Arial"/>
        </w:rPr>
      </w:pPr>
      <w:r w:rsidRPr="007F4727">
        <w:rPr>
          <w:rFonts w:cs="Arial"/>
        </w:rPr>
        <w:t xml:space="preserve">Provide certainty to </w:t>
      </w:r>
      <w:r w:rsidR="00DB01D9">
        <w:rPr>
          <w:rFonts w:cs="Arial"/>
        </w:rPr>
        <w:t>employers</w:t>
      </w:r>
      <w:r w:rsidRPr="007F4727">
        <w:rPr>
          <w:rFonts w:cs="Arial"/>
        </w:rPr>
        <w:t xml:space="preserve"> on which employees will </w:t>
      </w:r>
      <w:r w:rsidR="005A3ACE">
        <w:rPr>
          <w:rFonts w:cs="Arial"/>
        </w:rPr>
        <w:t>be required</w:t>
      </w:r>
      <w:r w:rsidR="005A3ACE" w:rsidRPr="007F4727">
        <w:rPr>
          <w:rFonts w:cs="Arial"/>
        </w:rPr>
        <w:t xml:space="preserve"> </w:t>
      </w:r>
      <w:r w:rsidRPr="007F4727">
        <w:rPr>
          <w:rFonts w:cs="Arial"/>
        </w:rPr>
        <w:t>to have levies paid t</w:t>
      </w:r>
      <w:r w:rsidR="009A1FD6">
        <w:rPr>
          <w:rFonts w:cs="Arial"/>
        </w:rPr>
        <w:t xml:space="preserve">o the Authority on their behalf; and </w:t>
      </w:r>
    </w:p>
    <w:p w14:paraId="2DB7A011" w14:textId="61FF56DB" w:rsidR="009A1FD6" w:rsidRPr="00D44303" w:rsidRDefault="009A1FD6" w:rsidP="00D44303">
      <w:pPr>
        <w:pStyle w:val="ListBullet"/>
        <w:contextualSpacing w:val="0"/>
        <w:rPr>
          <w:rFonts w:cs="Arial"/>
        </w:rPr>
      </w:pPr>
      <w:r>
        <w:rPr>
          <w:rFonts w:cs="Arial"/>
        </w:rPr>
        <w:t>Ensure employees undertaking community service</w:t>
      </w:r>
      <w:r w:rsidRPr="00D44303">
        <w:rPr>
          <w:rFonts w:cs="Arial"/>
        </w:rPr>
        <w:t xml:space="preserve"> work have fair and equitable access to the Scheme.</w:t>
      </w:r>
    </w:p>
    <w:p w14:paraId="36A29238" w14:textId="5963B6A7" w:rsidR="00E13F2A" w:rsidRPr="00EC5379" w:rsidRDefault="00E6474D" w:rsidP="00BD5970">
      <w:pPr>
        <w:pStyle w:val="Heading2"/>
        <w:rPr>
          <w:rFonts w:ascii="Arial" w:hAnsi="Arial" w:cs="Arial"/>
        </w:rPr>
      </w:pPr>
      <w:bookmarkStart w:id="80" w:name="_Ref35937901"/>
      <w:bookmarkStart w:id="81" w:name="_Toc37921486"/>
      <w:r w:rsidRPr="00EC5379">
        <w:rPr>
          <w:rFonts w:ascii="Arial" w:hAnsi="Arial" w:cs="Arial"/>
        </w:rPr>
        <w:t xml:space="preserve">Who is </w:t>
      </w:r>
      <w:r w:rsidR="0071726F" w:rsidRPr="00AD518C">
        <w:rPr>
          <w:rFonts w:ascii="Arial" w:hAnsi="Arial" w:cs="Arial"/>
        </w:rPr>
        <w:t xml:space="preserve">regarded as </w:t>
      </w:r>
      <w:r w:rsidRPr="00EC5379">
        <w:rPr>
          <w:rFonts w:ascii="Arial" w:hAnsi="Arial" w:cs="Arial"/>
        </w:rPr>
        <w:t>an employee in the security industry</w:t>
      </w:r>
      <w:bookmarkEnd w:id="80"/>
      <w:bookmarkEnd w:id="81"/>
    </w:p>
    <w:p w14:paraId="15D0330E" w14:textId="61EF9EBE" w:rsidR="00E13F2A" w:rsidRPr="00EC5379" w:rsidRDefault="0072722B" w:rsidP="00E13F2A">
      <w:pPr>
        <w:spacing w:before="240"/>
        <w:rPr>
          <w:rFonts w:ascii="Arial" w:hAnsi="Arial" w:cs="Arial"/>
        </w:rPr>
      </w:pPr>
      <w:r>
        <w:rPr>
          <w:rFonts w:ascii="Arial" w:hAnsi="Arial" w:cs="Arial"/>
        </w:rPr>
        <w:t>In clarifying</w:t>
      </w:r>
      <w:r w:rsidR="000B22F8" w:rsidRPr="00EC5379">
        <w:rPr>
          <w:rFonts w:ascii="Arial" w:hAnsi="Arial" w:cs="Arial"/>
        </w:rPr>
        <w:t xml:space="preserve"> who is </w:t>
      </w:r>
      <w:r w:rsidR="0071726F">
        <w:rPr>
          <w:rFonts w:ascii="Arial" w:hAnsi="Arial" w:cs="Arial"/>
          <w:color w:val="auto"/>
        </w:rPr>
        <w:t xml:space="preserve">regarded as </w:t>
      </w:r>
      <w:r w:rsidR="000B22F8" w:rsidRPr="00EC5379">
        <w:rPr>
          <w:rFonts w:ascii="Arial" w:hAnsi="Arial" w:cs="Arial"/>
        </w:rPr>
        <w:t>an employee in the security sector</w:t>
      </w:r>
      <w:r>
        <w:rPr>
          <w:rFonts w:ascii="Arial" w:hAnsi="Arial" w:cs="Arial"/>
        </w:rPr>
        <w:t>, the Proposed Regulations</w:t>
      </w:r>
      <w:r w:rsidR="00E13F2A" w:rsidRPr="00EC5379">
        <w:rPr>
          <w:rFonts w:ascii="Arial" w:hAnsi="Arial" w:cs="Arial"/>
        </w:rPr>
        <w:t xml:space="preserve"> should</w:t>
      </w:r>
      <w:r>
        <w:rPr>
          <w:rFonts w:ascii="Arial" w:hAnsi="Arial" w:cs="Arial"/>
        </w:rPr>
        <w:t xml:space="preserve"> look to</w:t>
      </w:r>
      <w:r w:rsidR="00E13F2A" w:rsidRPr="00EC5379">
        <w:rPr>
          <w:rFonts w:ascii="Arial" w:hAnsi="Arial" w:cs="Arial"/>
        </w:rPr>
        <w:t>:</w:t>
      </w:r>
    </w:p>
    <w:p w14:paraId="08CC0A80" w14:textId="40A9D629" w:rsidR="007F4727" w:rsidRDefault="007F4727" w:rsidP="00BE3544">
      <w:pPr>
        <w:pStyle w:val="ListBullet"/>
        <w:contextualSpacing w:val="0"/>
        <w:rPr>
          <w:rFonts w:cs="Arial"/>
        </w:rPr>
      </w:pPr>
      <w:r w:rsidRPr="007F4727">
        <w:rPr>
          <w:rFonts w:cs="Arial"/>
        </w:rPr>
        <w:t xml:space="preserve">Provide certainty to </w:t>
      </w:r>
      <w:r w:rsidR="00DB01D9">
        <w:rPr>
          <w:rFonts w:cs="Arial"/>
        </w:rPr>
        <w:t>employers</w:t>
      </w:r>
      <w:r w:rsidRPr="007F4727">
        <w:rPr>
          <w:rFonts w:cs="Arial"/>
        </w:rPr>
        <w:t xml:space="preserve"> on which employees will </w:t>
      </w:r>
      <w:r w:rsidR="005A3ACE">
        <w:rPr>
          <w:rFonts w:cs="Arial"/>
        </w:rPr>
        <w:t>be required</w:t>
      </w:r>
      <w:r w:rsidR="005A3ACE" w:rsidRPr="007F4727">
        <w:rPr>
          <w:rFonts w:cs="Arial"/>
        </w:rPr>
        <w:t xml:space="preserve"> </w:t>
      </w:r>
      <w:r w:rsidRPr="007F4727">
        <w:rPr>
          <w:rFonts w:cs="Arial"/>
        </w:rPr>
        <w:t>to have levies paid t</w:t>
      </w:r>
      <w:r w:rsidR="00BE3544">
        <w:rPr>
          <w:rFonts w:cs="Arial"/>
        </w:rPr>
        <w:t>o the Authority on their behalf; and</w:t>
      </w:r>
    </w:p>
    <w:p w14:paraId="1E8031B9" w14:textId="1CDB06F1" w:rsidR="00BE3544" w:rsidRPr="00BE3544" w:rsidRDefault="00BE3544" w:rsidP="00BE3544">
      <w:pPr>
        <w:pStyle w:val="ListBullet"/>
        <w:contextualSpacing w:val="0"/>
        <w:rPr>
          <w:rFonts w:cs="Arial"/>
        </w:rPr>
      </w:pPr>
      <w:r>
        <w:rPr>
          <w:rFonts w:cs="Arial"/>
        </w:rPr>
        <w:lastRenderedPageBreak/>
        <w:t>Ensure employees undertaking security</w:t>
      </w:r>
      <w:r w:rsidRPr="00D44303">
        <w:rPr>
          <w:rFonts w:cs="Arial"/>
        </w:rPr>
        <w:t xml:space="preserve"> work have fair and </w:t>
      </w:r>
      <w:r>
        <w:rPr>
          <w:rFonts w:cs="Arial"/>
        </w:rPr>
        <w:t>equitable access to the Scheme.</w:t>
      </w:r>
    </w:p>
    <w:p w14:paraId="0828479D" w14:textId="3B40D445" w:rsidR="00E13F2A" w:rsidRPr="00CE77A7" w:rsidRDefault="00CF5417" w:rsidP="00CE77A7">
      <w:pPr>
        <w:pStyle w:val="Heading2"/>
        <w:rPr>
          <w:rFonts w:ascii="Arial" w:hAnsi="Arial" w:cs="Arial"/>
        </w:rPr>
      </w:pPr>
      <w:bookmarkStart w:id="82" w:name="_Ref35937919"/>
      <w:bookmarkStart w:id="83" w:name="_Ref36731333"/>
      <w:bookmarkStart w:id="84" w:name="_Toc37921487"/>
      <w:r>
        <w:rPr>
          <w:rFonts w:ascii="Arial" w:hAnsi="Arial" w:cs="Arial"/>
        </w:rPr>
        <w:t xml:space="preserve">Reimbursing employers for </w:t>
      </w:r>
      <w:bookmarkStart w:id="85" w:name="_Toc35947970"/>
      <w:bookmarkEnd w:id="82"/>
      <w:r w:rsidR="00DB3ADD">
        <w:rPr>
          <w:rFonts w:ascii="Arial" w:hAnsi="Arial" w:cs="Arial"/>
        </w:rPr>
        <w:t>double-dipping</w:t>
      </w:r>
      <w:r w:rsidR="000500F9">
        <w:rPr>
          <w:rFonts w:ascii="Arial" w:hAnsi="Arial" w:cs="Arial"/>
        </w:rPr>
        <w:t xml:space="preserve"> claims</w:t>
      </w:r>
      <w:r w:rsidR="00CE77A7">
        <w:rPr>
          <w:rFonts w:ascii="Arial" w:hAnsi="Arial" w:cs="Arial"/>
        </w:rPr>
        <w:t xml:space="preserve"> in the community services sector</w:t>
      </w:r>
      <w:r w:rsidR="00CE77A7" w:rsidRPr="00EC5379">
        <w:rPr>
          <w:rFonts w:ascii="Arial" w:hAnsi="Arial" w:cs="Arial"/>
        </w:rPr>
        <w:t xml:space="preserve"> </w:t>
      </w:r>
      <w:r w:rsidR="00CE77A7">
        <w:rPr>
          <w:rFonts w:ascii="Arial" w:hAnsi="Arial" w:cs="Arial"/>
        </w:rPr>
        <w:t>under the Long Service Leave Act</w:t>
      </w:r>
      <w:bookmarkEnd w:id="85"/>
      <w:r w:rsidR="00CE77A7">
        <w:rPr>
          <w:rFonts w:ascii="Arial" w:hAnsi="Arial" w:cs="Arial"/>
        </w:rPr>
        <w:t xml:space="preserve"> 2018</w:t>
      </w:r>
      <w:bookmarkEnd w:id="83"/>
      <w:bookmarkEnd w:id="84"/>
    </w:p>
    <w:p w14:paraId="18FB4B5C" w14:textId="03F00DED" w:rsidR="00D430EE" w:rsidRPr="00EC5379" w:rsidRDefault="0072722B" w:rsidP="00D430EE">
      <w:pPr>
        <w:spacing w:after="0"/>
        <w:rPr>
          <w:rFonts w:ascii="Arial" w:hAnsi="Arial" w:cs="Arial"/>
        </w:rPr>
      </w:pPr>
      <w:r>
        <w:rPr>
          <w:rFonts w:ascii="Arial" w:hAnsi="Arial" w:cs="Arial"/>
        </w:rPr>
        <w:t>Reimbursing</w:t>
      </w:r>
      <w:r w:rsidR="00CF5417">
        <w:rPr>
          <w:rFonts w:ascii="Arial" w:hAnsi="Arial" w:cs="Arial"/>
        </w:rPr>
        <w:t xml:space="preserve"> employers for</w:t>
      </w:r>
      <w:r w:rsidR="00D430EE">
        <w:rPr>
          <w:rFonts w:ascii="Arial" w:hAnsi="Arial" w:cs="Arial"/>
        </w:rPr>
        <w:t xml:space="preserve"> </w:t>
      </w:r>
      <w:r w:rsidR="00DB3ADD">
        <w:rPr>
          <w:rFonts w:ascii="Arial" w:hAnsi="Arial" w:cs="Arial"/>
        </w:rPr>
        <w:t>double-dipping</w:t>
      </w:r>
      <w:r>
        <w:rPr>
          <w:rFonts w:ascii="Arial" w:hAnsi="Arial" w:cs="Arial"/>
        </w:rPr>
        <w:t xml:space="preserve"> claims</w:t>
      </w:r>
      <w:r w:rsidR="00D430EE">
        <w:rPr>
          <w:rFonts w:ascii="Arial" w:hAnsi="Arial" w:cs="Arial"/>
        </w:rPr>
        <w:t xml:space="preserve"> in the community services sector </w:t>
      </w:r>
      <w:r w:rsidR="00AD7B94">
        <w:rPr>
          <w:rFonts w:ascii="Arial" w:hAnsi="Arial" w:cs="Arial"/>
        </w:rPr>
        <w:t xml:space="preserve">under the </w:t>
      </w:r>
      <w:r w:rsidR="00AD7B94" w:rsidRPr="00274787">
        <w:rPr>
          <w:rFonts w:ascii="Arial" w:hAnsi="Arial" w:cs="Arial"/>
          <w:i/>
        </w:rPr>
        <w:t>Long Service Leave Act</w:t>
      </w:r>
      <w:r w:rsidR="00381BA8">
        <w:rPr>
          <w:rFonts w:ascii="Arial" w:hAnsi="Arial" w:cs="Arial"/>
          <w:i/>
        </w:rPr>
        <w:t xml:space="preserve"> 2018</w:t>
      </w:r>
      <w:r w:rsidR="00AD7B94" w:rsidRPr="00274787">
        <w:rPr>
          <w:rFonts w:ascii="Arial" w:hAnsi="Arial" w:cs="Arial"/>
          <w:i/>
        </w:rPr>
        <w:t xml:space="preserve"> </w:t>
      </w:r>
      <w:r w:rsidR="00D430EE">
        <w:rPr>
          <w:rFonts w:ascii="Arial" w:hAnsi="Arial" w:cs="Arial"/>
        </w:rPr>
        <w:t>should</w:t>
      </w:r>
      <w:r w:rsidR="00D430EE" w:rsidRPr="00EC5379">
        <w:rPr>
          <w:rFonts w:ascii="Arial" w:hAnsi="Arial" w:cs="Arial"/>
        </w:rPr>
        <w:t xml:space="preserve"> give effect to the following principle:</w:t>
      </w:r>
    </w:p>
    <w:p w14:paraId="79C6A507" w14:textId="64C29DE0" w:rsidR="00D430EE" w:rsidRPr="00EC5379" w:rsidRDefault="00D430EE" w:rsidP="00D430EE">
      <w:pPr>
        <w:pStyle w:val="ListBullet"/>
        <w:contextualSpacing w:val="0"/>
        <w:rPr>
          <w:rFonts w:cs="Arial"/>
        </w:rPr>
      </w:pPr>
      <w:r w:rsidRPr="00EC5379">
        <w:rPr>
          <w:rFonts w:cs="Arial"/>
        </w:rPr>
        <w:t>An employer is not to be required to pay a</w:t>
      </w:r>
      <w:r w:rsidR="00BA4E89">
        <w:rPr>
          <w:rFonts w:cs="Arial"/>
        </w:rPr>
        <w:t>n</w:t>
      </w:r>
      <w:r w:rsidRPr="00EC5379">
        <w:rPr>
          <w:rFonts w:cs="Arial"/>
        </w:rPr>
        <w:t xml:space="preserve"> </w:t>
      </w:r>
      <w:r w:rsidR="00BA4E89">
        <w:rPr>
          <w:rFonts w:cs="Arial"/>
        </w:rPr>
        <w:t>employee</w:t>
      </w:r>
      <w:r>
        <w:rPr>
          <w:rFonts w:cs="Arial"/>
        </w:rPr>
        <w:t xml:space="preserve"> for long service leave under an existing workplace law or industrial instrument </w:t>
      </w:r>
      <w:r w:rsidRPr="00EC5379">
        <w:rPr>
          <w:rFonts w:cs="Arial"/>
        </w:rPr>
        <w:t>and to pay a levy under the LSBP Act</w:t>
      </w:r>
      <w:r w:rsidRPr="00EC5379" w:rsidDel="00EE442D">
        <w:rPr>
          <w:rFonts w:cs="Arial"/>
        </w:rPr>
        <w:t xml:space="preserve"> </w:t>
      </w:r>
      <w:r w:rsidRPr="00EC5379">
        <w:rPr>
          <w:rFonts w:cs="Arial"/>
        </w:rPr>
        <w:t xml:space="preserve">for the </w:t>
      </w:r>
      <w:r w:rsidR="00BA4E89">
        <w:rPr>
          <w:rFonts w:cs="Arial"/>
        </w:rPr>
        <w:t>employee</w:t>
      </w:r>
      <w:r w:rsidRPr="00EC5379">
        <w:rPr>
          <w:rFonts w:cs="Arial"/>
        </w:rPr>
        <w:t xml:space="preserve"> in respect of the same service period</w:t>
      </w:r>
      <w:r>
        <w:rPr>
          <w:rFonts w:cs="Arial"/>
        </w:rPr>
        <w:t xml:space="preserve"> (without reimbursement)</w:t>
      </w:r>
      <w:r w:rsidR="00CF5417">
        <w:rPr>
          <w:rFonts w:cs="Arial"/>
        </w:rPr>
        <w:t>.</w:t>
      </w:r>
    </w:p>
    <w:p w14:paraId="6AABE98E" w14:textId="77777777" w:rsidR="00E13F2A" w:rsidRPr="00EC5379" w:rsidRDefault="00E13F2A" w:rsidP="00E13F2A">
      <w:pPr>
        <w:pStyle w:val="ListBullet"/>
        <w:numPr>
          <w:ilvl w:val="0"/>
          <w:numId w:val="0"/>
        </w:numPr>
        <w:ind w:left="340" w:hanging="340"/>
        <w:rPr>
          <w:rFonts w:cs="Arial"/>
        </w:rPr>
      </w:pPr>
    </w:p>
    <w:p w14:paraId="602BD52F" w14:textId="2B88C5D0" w:rsidR="00E13F2A" w:rsidRPr="00EC5379" w:rsidRDefault="00E13F2A" w:rsidP="00E13F2A">
      <w:pPr>
        <w:pStyle w:val="Heading1"/>
        <w:rPr>
          <w:rFonts w:ascii="Arial" w:hAnsi="Arial" w:cs="Arial"/>
        </w:rPr>
      </w:pPr>
      <w:bookmarkStart w:id="86" w:name="_Toc3479742"/>
      <w:bookmarkStart w:id="87" w:name="_Toc4768886"/>
      <w:bookmarkStart w:id="88" w:name="_Ref5825247"/>
      <w:bookmarkStart w:id="89" w:name="_Ref5829036"/>
      <w:bookmarkStart w:id="90" w:name="_Toc37921488"/>
      <w:r w:rsidRPr="00EC5379">
        <w:rPr>
          <w:rFonts w:ascii="Arial" w:hAnsi="Arial" w:cs="Arial"/>
        </w:rPr>
        <w:lastRenderedPageBreak/>
        <w:t>OPTIONS</w:t>
      </w:r>
      <w:bookmarkEnd w:id="86"/>
      <w:bookmarkEnd w:id="87"/>
      <w:bookmarkEnd w:id="88"/>
      <w:bookmarkEnd w:id="89"/>
      <w:bookmarkEnd w:id="90"/>
    </w:p>
    <w:p w14:paraId="0C9E5BCC" w14:textId="2B52DE5E" w:rsidR="00E13F2A" w:rsidRPr="00EC5379" w:rsidRDefault="009D3E9D" w:rsidP="00E13F2A">
      <w:pPr>
        <w:rPr>
          <w:rFonts w:ascii="Arial" w:hAnsi="Arial" w:cs="Arial"/>
        </w:rPr>
      </w:pPr>
      <w:r>
        <w:rPr>
          <w:rFonts w:ascii="Arial" w:hAnsi="Arial" w:cs="Arial"/>
        </w:rPr>
        <w:t xml:space="preserve">In line with the problems </w:t>
      </w:r>
      <w:r w:rsidR="00E13F2A" w:rsidRPr="00EC5379">
        <w:rPr>
          <w:rFonts w:ascii="Arial" w:hAnsi="Arial" w:cs="Arial"/>
        </w:rPr>
        <w:t xml:space="preserve">outlined </w:t>
      </w:r>
      <w:r w:rsidR="00FC10AF">
        <w:rPr>
          <w:rFonts w:ascii="Arial" w:hAnsi="Arial" w:cs="Arial"/>
        </w:rPr>
        <w:t xml:space="preserve">in section </w:t>
      </w:r>
      <w:r w:rsidR="00464892">
        <w:rPr>
          <w:rFonts w:ascii="Arial" w:hAnsi="Arial" w:cs="Arial"/>
        </w:rPr>
        <w:fldChar w:fldCharType="begin"/>
      </w:r>
      <w:r w:rsidR="00464892">
        <w:rPr>
          <w:rFonts w:ascii="Arial" w:hAnsi="Arial" w:cs="Arial"/>
        </w:rPr>
        <w:instrText xml:space="preserve"> REF _Ref36622534 \w \h </w:instrText>
      </w:r>
      <w:r w:rsidR="00464892">
        <w:rPr>
          <w:rFonts w:ascii="Arial" w:hAnsi="Arial" w:cs="Arial"/>
        </w:rPr>
      </w:r>
      <w:r w:rsidR="00464892">
        <w:rPr>
          <w:rFonts w:ascii="Arial" w:hAnsi="Arial" w:cs="Arial"/>
        </w:rPr>
        <w:fldChar w:fldCharType="separate"/>
      </w:r>
      <w:r w:rsidR="00464892">
        <w:rPr>
          <w:rFonts w:ascii="Arial" w:hAnsi="Arial" w:cs="Arial"/>
        </w:rPr>
        <w:t>2</w:t>
      </w:r>
      <w:r w:rsidR="00464892">
        <w:rPr>
          <w:rFonts w:ascii="Arial" w:hAnsi="Arial" w:cs="Arial"/>
        </w:rPr>
        <w:fldChar w:fldCharType="end"/>
      </w:r>
      <w:r w:rsidR="00FC10AF">
        <w:rPr>
          <w:rFonts w:ascii="Arial" w:hAnsi="Arial" w:cs="Arial"/>
        </w:rPr>
        <w:t xml:space="preserve"> </w:t>
      </w:r>
      <w:r w:rsidR="00E13F2A" w:rsidRPr="00EC5379">
        <w:rPr>
          <w:rFonts w:ascii="Arial" w:hAnsi="Arial" w:cs="Arial"/>
        </w:rPr>
        <w:t xml:space="preserve">above, there are </w:t>
      </w:r>
      <w:r w:rsidR="00297B17" w:rsidRPr="00EC5379">
        <w:rPr>
          <w:rFonts w:ascii="Arial" w:hAnsi="Arial" w:cs="Arial"/>
        </w:rPr>
        <w:t>f</w:t>
      </w:r>
      <w:r w:rsidR="00297B17">
        <w:rPr>
          <w:rFonts w:ascii="Arial" w:hAnsi="Arial" w:cs="Arial"/>
        </w:rPr>
        <w:t>ive</w:t>
      </w:r>
      <w:r w:rsidR="00297B17" w:rsidRPr="00EC5379">
        <w:rPr>
          <w:rFonts w:ascii="Arial" w:hAnsi="Arial" w:cs="Arial"/>
        </w:rPr>
        <w:t xml:space="preserve"> </w:t>
      </w:r>
      <w:r w:rsidR="00E13F2A" w:rsidRPr="00EC5379">
        <w:rPr>
          <w:rFonts w:ascii="Arial" w:hAnsi="Arial" w:cs="Arial"/>
        </w:rPr>
        <w:t>primary areas in which options have been identified:</w:t>
      </w:r>
    </w:p>
    <w:p w14:paraId="5AD1348B" w14:textId="37E53754" w:rsidR="00297B17" w:rsidRDefault="00297B17" w:rsidP="008639FE">
      <w:pPr>
        <w:pStyle w:val="ListBullet"/>
        <w:contextualSpacing w:val="0"/>
        <w:rPr>
          <w:rFonts w:cs="Arial"/>
        </w:rPr>
      </w:pPr>
      <w:r>
        <w:rPr>
          <w:rFonts w:cs="Arial"/>
        </w:rPr>
        <w:t>What is defined as community service work;</w:t>
      </w:r>
    </w:p>
    <w:p w14:paraId="1D940555" w14:textId="2FF28588" w:rsidR="00A4562B" w:rsidRPr="00EC5379" w:rsidRDefault="00A4562B" w:rsidP="008639FE">
      <w:pPr>
        <w:pStyle w:val="ListBullet"/>
        <w:contextualSpacing w:val="0"/>
        <w:rPr>
          <w:rFonts w:cs="Arial"/>
        </w:rPr>
      </w:pPr>
      <w:r w:rsidRPr="00EC5379">
        <w:rPr>
          <w:rFonts w:cs="Arial"/>
        </w:rPr>
        <w:t xml:space="preserve">Who is </w:t>
      </w:r>
      <w:r w:rsidR="0071726F">
        <w:rPr>
          <w:rFonts w:cs="Arial"/>
          <w:color w:val="auto"/>
        </w:rPr>
        <w:t xml:space="preserve">regarded as </w:t>
      </w:r>
      <w:r w:rsidRPr="00EC5379">
        <w:rPr>
          <w:rFonts w:cs="Arial"/>
        </w:rPr>
        <w:t>an employer in the community services sector;</w:t>
      </w:r>
    </w:p>
    <w:p w14:paraId="529D4746" w14:textId="52693457" w:rsidR="00A4562B" w:rsidRPr="00EC5379" w:rsidRDefault="00D10FD4" w:rsidP="008639FE">
      <w:pPr>
        <w:pStyle w:val="ListBullet"/>
        <w:contextualSpacing w:val="0"/>
        <w:rPr>
          <w:rFonts w:cs="Arial"/>
        </w:rPr>
      </w:pPr>
      <w:r>
        <w:rPr>
          <w:rFonts w:cs="Arial"/>
        </w:rPr>
        <w:t>Who are</w:t>
      </w:r>
      <w:r w:rsidR="00A4562B" w:rsidRPr="00EC5379">
        <w:rPr>
          <w:rFonts w:cs="Arial"/>
        </w:rPr>
        <w:t xml:space="preserve"> </w:t>
      </w:r>
      <w:r w:rsidR="0071726F">
        <w:rPr>
          <w:rFonts w:cs="Arial"/>
        </w:rPr>
        <w:t xml:space="preserve">regarded as </w:t>
      </w:r>
      <w:r w:rsidR="00A4562B" w:rsidRPr="00EC5379">
        <w:rPr>
          <w:rFonts w:cs="Arial"/>
        </w:rPr>
        <w:t>employees in the community services sector;</w:t>
      </w:r>
    </w:p>
    <w:p w14:paraId="76C42783" w14:textId="05F9922B" w:rsidR="00A4562B" w:rsidRPr="00EC5379" w:rsidRDefault="00A4562B" w:rsidP="008639FE">
      <w:pPr>
        <w:pStyle w:val="ListBullet"/>
        <w:contextualSpacing w:val="0"/>
        <w:rPr>
          <w:rFonts w:cs="Arial"/>
        </w:rPr>
      </w:pPr>
      <w:r w:rsidRPr="00EC5379">
        <w:rPr>
          <w:rFonts w:cs="Arial"/>
        </w:rPr>
        <w:t xml:space="preserve">Who is </w:t>
      </w:r>
      <w:r w:rsidR="0071726F">
        <w:rPr>
          <w:rFonts w:cs="Arial"/>
          <w:color w:val="auto"/>
        </w:rPr>
        <w:t xml:space="preserve">regarded as </w:t>
      </w:r>
      <w:r w:rsidRPr="00EC5379">
        <w:rPr>
          <w:rFonts w:cs="Arial"/>
        </w:rPr>
        <w:t xml:space="preserve">an employee in the security industry; and </w:t>
      </w:r>
    </w:p>
    <w:p w14:paraId="5E2CB9AF" w14:textId="411C3535" w:rsidR="00A4562B" w:rsidRPr="00EC5379" w:rsidRDefault="00CF5417" w:rsidP="008639FE">
      <w:pPr>
        <w:pStyle w:val="ListBullet"/>
        <w:contextualSpacing w:val="0"/>
        <w:rPr>
          <w:rFonts w:cs="Arial"/>
        </w:rPr>
      </w:pPr>
      <w:r>
        <w:rPr>
          <w:rFonts w:cs="Arial"/>
        </w:rPr>
        <w:t xml:space="preserve">Reimbursing employers for </w:t>
      </w:r>
      <w:r w:rsidR="00DB3ADD">
        <w:rPr>
          <w:rFonts w:cs="Arial"/>
        </w:rPr>
        <w:t>double-dipping</w:t>
      </w:r>
      <w:r w:rsidR="000500F9">
        <w:rPr>
          <w:rFonts w:cs="Arial"/>
        </w:rPr>
        <w:t xml:space="preserve"> claims</w:t>
      </w:r>
      <w:r w:rsidR="00A4562B" w:rsidRPr="00EC5379">
        <w:rPr>
          <w:rFonts w:cs="Arial"/>
        </w:rPr>
        <w:t xml:space="preserve"> in the community services sector</w:t>
      </w:r>
      <w:r w:rsidR="00AD7B94">
        <w:rPr>
          <w:rFonts w:cs="Arial"/>
        </w:rPr>
        <w:t xml:space="preserve"> under the </w:t>
      </w:r>
      <w:r w:rsidR="00AD7B94" w:rsidRPr="00274787">
        <w:rPr>
          <w:rFonts w:cs="Arial"/>
          <w:i/>
        </w:rPr>
        <w:t>Long Service Leave Act</w:t>
      </w:r>
      <w:r w:rsidR="00274787">
        <w:rPr>
          <w:rFonts w:cs="Arial"/>
        </w:rPr>
        <w:t> </w:t>
      </w:r>
      <w:r w:rsidR="00381BA8" w:rsidRPr="00274787">
        <w:rPr>
          <w:rFonts w:cs="Arial"/>
          <w:i/>
        </w:rPr>
        <w:t>2018</w:t>
      </w:r>
      <w:r w:rsidR="00A4562B" w:rsidRPr="00EC5379">
        <w:rPr>
          <w:rFonts w:cs="Arial"/>
        </w:rPr>
        <w:t>.</w:t>
      </w:r>
    </w:p>
    <w:p w14:paraId="2E532933" w14:textId="51B58011" w:rsidR="00E13F2A" w:rsidRPr="00CE04EE" w:rsidRDefault="00FC10AF" w:rsidP="00DB3ADD">
      <w:pPr>
        <w:spacing w:before="240"/>
        <w:rPr>
          <w:rFonts w:ascii="Arial" w:hAnsi="Arial" w:cs="Arial"/>
          <w:color w:val="auto"/>
        </w:rPr>
      </w:pPr>
      <w:r>
        <w:rPr>
          <w:rFonts w:ascii="Arial" w:hAnsi="Arial" w:cs="Arial"/>
          <w:color w:val="auto"/>
        </w:rPr>
        <w:t xml:space="preserve">As illustrated in </w:t>
      </w:r>
      <w:r>
        <w:rPr>
          <w:rFonts w:ascii="Arial" w:hAnsi="Arial" w:cs="Arial"/>
          <w:color w:val="auto"/>
        </w:rPr>
        <w:fldChar w:fldCharType="begin"/>
      </w:r>
      <w:r>
        <w:rPr>
          <w:rFonts w:ascii="Arial" w:hAnsi="Arial" w:cs="Arial"/>
          <w:color w:val="auto"/>
        </w:rPr>
        <w:instrText xml:space="preserve"> REF _Ref35504026 \h </w:instrText>
      </w:r>
      <w:r>
        <w:rPr>
          <w:rFonts w:ascii="Arial" w:hAnsi="Arial" w:cs="Arial"/>
          <w:color w:val="auto"/>
        </w:rPr>
      </w:r>
      <w:r>
        <w:rPr>
          <w:rFonts w:ascii="Arial" w:hAnsi="Arial" w:cs="Arial"/>
          <w:color w:val="auto"/>
        </w:rPr>
        <w:fldChar w:fldCharType="separate"/>
      </w:r>
      <w:r w:rsidR="009F48BA" w:rsidRPr="003A15C8">
        <w:rPr>
          <w:rFonts w:ascii="Arial" w:hAnsi="Arial" w:cs="Arial"/>
          <w:color w:val="auto"/>
        </w:rPr>
        <w:t xml:space="preserve">Figure </w:t>
      </w:r>
      <w:r w:rsidR="009F48BA">
        <w:rPr>
          <w:rFonts w:ascii="Arial" w:hAnsi="Arial" w:cs="Arial"/>
          <w:noProof/>
          <w:color w:val="auto"/>
        </w:rPr>
        <w:t>2</w:t>
      </w:r>
      <w:r>
        <w:rPr>
          <w:rFonts w:ascii="Arial" w:hAnsi="Arial" w:cs="Arial"/>
          <w:color w:val="auto"/>
        </w:rPr>
        <w:fldChar w:fldCharType="end"/>
      </w:r>
      <w:r>
        <w:rPr>
          <w:rFonts w:ascii="Arial" w:hAnsi="Arial" w:cs="Arial"/>
          <w:color w:val="auto"/>
        </w:rPr>
        <w:t xml:space="preserve">, </w:t>
      </w:r>
      <w:r w:rsidR="00E13F2A" w:rsidRPr="00CE04EE">
        <w:rPr>
          <w:rFonts w:ascii="Arial" w:hAnsi="Arial" w:cs="Arial"/>
          <w:color w:val="auto"/>
        </w:rPr>
        <w:t xml:space="preserve">there is an interrelationship between </w:t>
      </w:r>
      <w:r w:rsidR="00A4562B" w:rsidRPr="00CE04EE">
        <w:rPr>
          <w:rFonts w:ascii="Arial" w:hAnsi="Arial" w:cs="Arial"/>
          <w:color w:val="auto"/>
        </w:rPr>
        <w:t xml:space="preserve">the </w:t>
      </w:r>
      <w:r w:rsidR="00DC5217">
        <w:rPr>
          <w:rFonts w:ascii="Arial" w:hAnsi="Arial" w:cs="Arial"/>
          <w:color w:val="auto"/>
        </w:rPr>
        <w:t>first</w:t>
      </w:r>
      <w:r w:rsidR="0027356E">
        <w:rPr>
          <w:rFonts w:ascii="Arial" w:hAnsi="Arial" w:cs="Arial"/>
          <w:color w:val="auto"/>
        </w:rPr>
        <w:t xml:space="preserve"> </w:t>
      </w:r>
      <w:r w:rsidR="00297B17">
        <w:rPr>
          <w:rFonts w:ascii="Arial" w:hAnsi="Arial" w:cs="Arial"/>
          <w:color w:val="auto"/>
        </w:rPr>
        <w:t xml:space="preserve">three </w:t>
      </w:r>
      <w:r w:rsidR="00A4562B" w:rsidRPr="00CE04EE">
        <w:rPr>
          <w:rFonts w:ascii="Arial" w:hAnsi="Arial" w:cs="Arial"/>
          <w:color w:val="auto"/>
        </w:rPr>
        <w:t>items</w:t>
      </w:r>
      <w:r w:rsidR="00E13F2A" w:rsidRPr="00CE04EE">
        <w:rPr>
          <w:rFonts w:ascii="Arial" w:hAnsi="Arial" w:cs="Arial"/>
          <w:color w:val="auto"/>
        </w:rPr>
        <w:t xml:space="preserve"> above under the multi-factorial test of eligibi</w:t>
      </w:r>
      <w:r w:rsidR="00BB00F5">
        <w:rPr>
          <w:rFonts w:ascii="Arial" w:hAnsi="Arial" w:cs="Arial"/>
          <w:color w:val="auto"/>
        </w:rPr>
        <w:t xml:space="preserve">lity </w:t>
      </w:r>
      <w:r>
        <w:rPr>
          <w:rFonts w:ascii="Arial" w:hAnsi="Arial" w:cs="Arial"/>
          <w:color w:val="auto"/>
        </w:rPr>
        <w:t xml:space="preserve">for the social services sector </w:t>
      </w:r>
      <w:r w:rsidR="00BB00F5">
        <w:rPr>
          <w:rFonts w:ascii="Arial" w:hAnsi="Arial" w:cs="Arial"/>
          <w:color w:val="auto"/>
        </w:rPr>
        <w:t>to participate in the S</w:t>
      </w:r>
      <w:r w:rsidR="00E13F2A" w:rsidRPr="00CE04EE">
        <w:rPr>
          <w:rFonts w:ascii="Arial" w:hAnsi="Arial" w:cs="Arial"/>
          <w:color w:val="auto"/>
        </w:rPr>
        <w:t>cheme.</w:t>
      </w:r>
    </w:p>
    <w:p w14:paraId="47605D26" w14:textId="25298881" w:rsidR="00E13F2A" w:rsidRPr="00EC5379" w:rsidRDefault="00E13F2A" w:rsidP="00E13F2A">
      <w:pPr>
        <w:rPr>
          <w:rFonts w:ascii="Arial" w:hAnsi="Arial" w:cs="Arial"/>
        </w:rPr>
      </w:pPr>
      <w:r w:rsidRPr="00EC5379">
        <w:rPr>
          <w:rFonts w:ascii="Arial" w:hAnsi="Arial" w:cs="Arial"/>
        </w:rPr>
        <w:t xml:space="preserve">Options in each area have been identified by reference to the objectives and the nature of the problem outlined </w:t>
      </w:r>
      <w:r w:rsidR="00FC10AF">
        <w:rPr>
          <w:rFonts w:ascii="Arial" w:hAnsi="Arial" w:cs="Arial"/>
        </w:rPr>
        <w:t>in the previous two sections of th</w:t>
      </w:r>
      <w:r w:rsidR="00464892">
        <w:rPr>
          <w:rFonts w:ascii="Arial" w:hAnsi="Arial" w:cs="Arial"/>
        </w:rPr>
        <w:t>is</w:t>
      </w:r>
      <w:r w:rsidR="00FC10AF">
        <w:rPr>
          <w:rFonts w:ascii="Arial" w:hAnsi="Arial" w:cs="Arial"/>
        </w:rPr>
        <w:t xml:space="preserve"> RIS</w:t>
      </w:r>
      <w:r w:rsidRPr="00EC5379">
        <w:rPr>
          <w:rFonts w:ascii="Arial" w:hAnsi="Arial" w:cs="Arial"/>
        </w:rPr>
        <w:t>.</w:t>
      </w:r>
    </w:p>
    <w:p w14:paraId="1CF971C8" w14:textId="7A72F01B" w:rsidR="00AF3A1B" w:rsidRPr="00AF3A1B" w:rsidRDefault="001146A3" w:rsidP="00AF3A1B">
      <w:pPr>
        <w:rPr>
          <w:rFonts w:ascii="Arial" w:hAnsi="Arial" w:cs="Arial"/>
          <w:color w:val="auto"/>
        </w:rPr>
      </w:pPr>
      <w:bookmarkStart w:id="91" w:name="_Ref5983771"/>
      <w:r w:rsidRPr="00AF3A1B">
        <w:rPr>
          <w:rFonts w:ascii="Arial" w:hAnsi="Arial" w:cs="Arial"/>
          <w:color w:val="auto"/>
        </w:rPr>
        <w:t xml:space="preserve">Options have not been progressed to impact analysis where there are expected to be unworkable technical difficulties in their </w:t>
      </w:r>
      <w:r w:rsidRPr="00EC5379">
        <w:rPr>
          <w:rFonts w:ascii="Arial" w:hAnsi="Arial" w:cs="Arial"/>
          <w:color w:val="auto"/>
        </w:rPr>
        <w:t>implementation</w:t>
      </w:r>
      <w:r w:rsidR="00412CB4">
        <w:rPr>
          <w:rFonts w:ascii="Arial" w:hAnsi="Arial" w:cs="Arial"/>
          <w:color w:val="auto"/>
        </w:rPr>
        <w:t xml:space="preserve"> (see section </w:t>
      </w:r>
      <w:r w:rsidR="00464892">
        <w:rPr>
          <w:rFonts w:ascii="Arial" w:hAnsi="Arial" w:cs="Arial"/>
          <w:color w:val="auto"/>
        </w:rPr>
        <w:fldChar w:fldCharType="begin"/>
      </w:r>
      <w:r w:rsidR="00464892">
        <w:rPr>
          <w:rFonts w:ascii="Arial" w:hAnsi="Arial" w:cs="Arial"/>
          <w:color w:val="auto"/>
        </w:rPr>
        <w:instrText xml:space="preserve"> REF _Ref37323718 \w \h </w:instrText>
      </w:r>
      <w:r w:rsidR="00464892">
        <w:rPr>
          <w:rFonts w:ascii="Arial" w:hAnsi="Arial" w:cs="Arial"/>
          <w:color w:val="auto"/>
        </w:rPr>
      </w:r>
      <w:r w:rsidR="00464892">
        <w:rPr>
          <w:rFonts w:ascii="Arial" w:hAnsi="Arial" w:cs="Arial"/>
          <w:color w:val="auto"/>
        </w:rPr>
        <w:fldChar w:fldCharType="separate"/>
      </w:r>
      <w:r w:rsidR="00464892">
        <w:rPr>
          <w:rFonts w:ascii="Arial" w:hAnsi="Arial" w:cs="Arial"/>
          <w:color w:val="auto"/>
        </w:rPr>
        <w:t>4.6</w:t>
      </w:r>
      <w:r w:rsidR="00464892">
        <w:rPr>
          <w:rFonts w:ascii="Arial" w:hAnsi="Arial" w:cs="Arial"/>
          <w:color w:val="auto"/>
        </w:rPr>
        <w:fldChar w:fldCharType="end"/>
      </w:r>
      <w:r w:rsidR="00412CB4">
        <w:rPr>
          <w:rFonts w:ascii="Arial" w:hAnsi="Arial" w:cs="Arial"/>
          <w:color w:val="auto"/>
        </w:rPr>
        <w:t>)</w:t>
      </w:r>
      <w:r w:rsidRPr="00EC5379">
        <w:rPr>
          <w:rFonts w:ascii="Arial" w:hAnsi="Arial" w:cs="Arial"/>
          <w:color w:val="auto"/>
        </w:rPr>
        <w:t xml:space="preserve">. </w:t>
      </w:r>
      <w:r w:rsidRPr="00AF3A1B">
        <w:rPr>
          <w:rFonts w:ascii="Arial" w:hAnsi="Arial" w:cs="Arial"/>
          <w:color w:val="auto"/>
        </w:rPr>
        <w:t>T</w:t>
      </w:r>
      <w:r w:rsidRPr="00EC5379">
        <w:rPr>
          <w:rFonts w:ascii="Arial" w:hAnsi="Arial" w:cs="Arial"/>
          <w:color w:val="auto"/>
        </w:rPr>
        <w:t>his includes the option of allowing the Interim Regulations to expire without any replacement regulations.</w:t>
      </w:r>
      <w:r>
        <w:rPr>
          <w:rFonts w:ascii="Arial" w:hAnsi="Arial" w:cs="Arial"/>
          <w:color w:val="auto"/>
        </w:rPr>
        <w:t xml:space="preserve"> </w:t>
      </w:r>
      <w:r w:rsidRPr="00AF3A1B">
        <w:rPr>
          <w:rFonts w:ascii="Arial" w:hAnsi="Arial" w:cs="Arial"/>
          <w:color w:val="auto"/>
        </w:rPr>
        <w:t>A</w:t>
      </w:r>
      <w:r w:rsidR="00412CB4">
        <w:rPr>
          <w:rFonts w:ascii="Arial" w:hAnsi="Arial" w:cs="Arial"/>
          <w:color w:val="auto"/>
        </w:rPr>
        <w:t xml:space="preserve">s detailed in section </w:t>
      </w:r>
      <w:r w:rsidR="00412CB4">
        <w:rPr>
          <w:rFonts w:ascii="Arial" w:hAnsi="Arial" w:cs="Arial"/>
          <w:color w:val="auto"/>
        </w:rPr>
        <w:fldChar w:fldCharType="begin"/>
      </w:r>
      <w:r w:rsidR="00412CB4">
        <w:rPr>
          <w:rFonts w:ascii="Arial" w:hAnsi="Arial" w:cs="Arial"/>
          <w:color w:val="auto"/>
        </w:rPr>
        <w:instrText xml:space="preserve"> REF _Ref35506219 \r \h </w:instrText>
      </w:r>
      <w:r w:rsidR="00412CB4">
        <w:rPr>
          <w:rFonts w:ascii="Arial" w:hAnsi="Arial" w:cs="Arial"/>
          <w:color w:val="auto"/>
        </w:rPr>
      </w:r>
      <w:r w:rsidR="00412CB4">
        <w:rPr>
          <w:rFonts w:ascii="Arial" w:hAnsi="Arial" w:cs="Arial"/>
          <w:color w:val="auto"/>
        </w:rPr>
        <w:fldChar w:fldCharType="separate"/>
      </w:r>
      <w:r w:rsidR="00412CB4">
        <w:rPr>
          <w:rFonts w:ascii="Arial" w:hAnsi="Arial" w:cs="Arial"/>
          <w:color w:val="auto"/>
        </w:rPr>
        <w:t>1.6</w:t>
      </w:r>
      <w:r w:rsidR="00412CB4">
        <w:rPr>
          <w:rFonts w:ascii="Arial" w:hAnsi="Arial" w:cs="Arial"/>
          <w:color w:val="auto"/>
        </w:rPr>
        <w:fldChar w:fldCharType="end"/>
      </w:r>
      <w:r w:rsidR="00412CB4">
        <w:rPr>
          <w:rFonts w:ascii="Arial" w:hAnsi="Arial" w:cs="Arial"/>
          <w:color w:val="auto"/>
        </w:rPr>
        <w:t>, a</w:t>
      </w:r>
      <w:r w:rsidRPr="00AF3A1B">
        <w:rPr>
          <w:rFonts w:ascii="Arial" w:hAnsi="Arial" w:cs="Arial"/>
          <w:color w:val="auto"/>
        </w:rPr>
        <w:t>llowing the</w:t>
      </w:r>
      <w:r w:rsidR="00381BA8">
        <w:rPr>
          <w:rFonts w:ascii="Arial" w:hAnsi="Arial" w:cs="Arial"/>
          <w:color w:val="auto"/>
        </w:rPr>
        <w:t xml:space="preserve"> Interim</w:t>
      </w:r>
      <w:r w:rsidRPr="00AF3A1B">
        <w:rPr>
          <w:rFonts w:ascii="Arial" w:hAnsi="Arial" w:cs="Arial"/>
          <w:color w:val="auto"/>
        </w:rPr>
        <w:t xml:space="preserve"> Regulations to lapse without replacement would </w:t>
      </w:r>
      <w:r w:rsidR="00AF3A1B" w:rsidRPr="00AF3A1B">
        <w:rPr>
          <w:rFonts w:ascii="Arial" w:hAnsi="Arial" w:cs="Arial"/>
          <w:color w:val="auto"/>
        </w:rPr>
        <w:t xml:space="preserve">reduce clarity for </w:t>
      </w:r>
      <w:r w:rsidR="00DB01D9">
        <w:rPr>
          <w:rFonts w:ascii="Arial" w:hAnsi="Arial" w:cs="Arial"/>
          <w:color w:val="auto"/>
        </w:rPr>
        <w:t>employers</w:t>
      </w:r>
      <w:r w:rsidR="00AF3A1B" w:rsidRPr="00AF3A1B">
        <w:rPr>
          <w:rFonts w:ascii="Arial" w:hAnsi="Arial" w:cs="Arial"/>
          <w:color w:val="auto"/>
        </w:rPr>
        <w:t xml:space="preserve"> and employees </w:t>
      </w:r>
      <w:r w:rsidR="00AF3A1B">
        <w:rPr>
          <w:rFonts w:ascii="Arial" w:hAnsi="Arial" w:cs="Arial"/>
          <w:color w:val="auto"/>
        </w:rPr>
        <w:t xml:space="preserve">about </w:t>
      </w:r>
      <w:r w:rsidR="00AF3A1B" w:rsidRPr="00AF3A1B">
        <w:rPr>
          <w:rFonts w:ascii="Arial" w:hAnsi="Arial" w:cs="Arial"/>
          <w:color w:val="auto"/>
        </w:rPr>
        <w:t xml:space="preserve">who </w:t>
      </w:r>
      <w:r w:rsidR="00464892">
        <w:rPr>
          <w:rFonts w:ascii="Arial" w:hAnsi="Arial" w:cs="Arial"/>
          <w:color w:val="auto"/>
        </w:rPr>
        <w:t>is</w:t>
      </w:r>
      <w:r w:rsidR="00464892" w:rsidRPr="00AF3A1B">
        <w:rPr>
          <w:rFonts w:ascii="Arial" w:hAnsi="Arial" w:cs="Arial"/>
          <w:color w:val="auto"/>
        </w:rPr>
        <w:t xml:space="preserve"> </w:t>
      </w:r>
      <w:r w:rsidR="00AF3A1B" w:rsidRPr="00AF3A1B">
        <w:rPr>
          <w:rFonts w:ascii="Arial" w:hAnsi="Arial" w:cs="Arial"/>
          <w:color w:val="auto"/>
        </w:rPr>
        <w:t xml:space="preserve">covered by the Scheme, remove portable long service entitlements from employees employed </w:t>
      </w:r>
      <w:r w:rsidR="00AF3A1B">
        <w:rPr>
          <w:rFonts w:ascii="Arial" w:hAnsi="Arial" w:cs="Arial"/>
          <w:color w:val="auto"/>
        </w:rPr>
        <w:t xml:space="preserve">by </w:t>
      </w:r>
      <w:r w:rsidR="00464892">
        <w:rPr>
          <w:rFonts w:ascii="Arial" w:hAnsi="Arial" w:cs="Arial"/>
          <w:color w:val="auto"/>
        </w:rPr>
        <w:t xml:space="preserve">the </w:t>
      </w:r>
      <w:r w:rsidR="00AF3A1B">
        <w:rPr>
          <w:rFonts w:ascii="Arial" w:hAnsi="Arial" w:cs="Arial"/>
          <w:color w:val="auto"/>
        </w:rPr>
        <w:t xml:space="preserve">NDIS and early childhood education entities, and impact the effective and efficient operation of the Authority. Also, </w:t>
      </w:r>
      <w:r w:rsidR="00755B20">
        <w:rPr>
          <w:rFonts w:ascii="Arial" w:hAnsi="Arial" w:cs="Arial"/>
          <w:color w:val="auto"/>
        </w:rPr>
        <w:t>while it is not</w:t>
      </w:r>
      <w:r w:rsidR="0072722B">
        <w:rPr>
          <w:rFonts w:ascii="Arial" w:hAnsi="Arial" w:cs="Arial"/>
          <w:color w:val="auto"/>
        </w:rPr>
        <w:t xml:space="preserve"> wholly</w:t>
      </w:r>
      <w:r w:rsidR="00755B20">
        <w:rPr>
          <w:rFonts w:ascii="Arial" w:hAnsi="Arial" w:cs="Arial"/>
          <w:color w:val="auto"/>
        </w:rPr>
        <w:t xml:space="preserve"> possible t</w:t>
      </w:r>
      <w:r w:rsidR="0060163D">
        <w:rPr>
          <w:rFonts w:ascii="Arial" w:hAnsi="Arial" w:cs="Arial"/>
          <w:color w:val="auto"/>
        </w:rPr>
        <w:t>o prevent employees</w:t>
      </w:r>
      <w:r w:rsidR="0072722B">
        <w:rPr>
          <w:rFonts w:ascii="Arial" w:hAnsi="Arial" w:cs="Arial"/>
          <w:color w:val="auto"/>
        </w:rPr>
        <w:t xml:space="preserve"> making a claim resulting</w:t>
      </w:r>
      <w:r w:rsidR="0060163D">
        <w:rPr>
          <w:rFonts w:ascii="Arial" w:hAnsi="Arial" w:cs="Arial"/>
          <w:color w:val="auto"/>
        </w:rPr>
        <w:t xml:space="preserve"> </w:t>
      </w:r>
      <w:r w:rsidR="0072722B">
        <w:rPr>
          <w:rFonts w:ascii="Arial" w:hAnsi="Arial" w:cs="Arial"/>
          <w:color w:val="auto"/>
        </w:rPr>
        <w:t xml:space="preserve">in </w:t>
      </w:r>
      <w:r w:rsidR="0060163D">
        <w:rPr>
          <w:rFonts w:ascii="Arial" w:hAnsi="Arial" w:cs="Arial"/>
          <w:color w:val="auto"/>
        </w:rPr>
        <w:t>double-</w:t>
      </w:r>
      <w:r w:rsidR="00755B20">
        <w:rPr>
          <w:rFonts w:ascii="Arial" w:hAnsi="Arial" w:cs="Arial"/>
          <w:color w:val="auto"/>
        </w:rPr>
        <w:t>dipping, if no replacement Regulations are made, employers in the community services sector would be required</w:t>
      </w:r>
      <w:r w:rsidR="00755B20" w:rsidRPr="00515AD2">
        <w:rPr>
          <w:rFonts w:ascii="Arial" w:hAnsi="Arial" w:cs="Arial"/>
          <w:color w:val="auto"/>
        </w:rPr>
        <w:t xml:space="preserve"> to pay</w:t>
      </w:r>
      <w:r w:rsidR="00755B20">
        <w:rPr>
          <w:rFonts w:ascii="Arial" w:hAnsi="Arial" w:cs="Arial"/>
          <w:color w:val="auto"/>
        </w:rPr>
        <w:t xml:space="preserve"> both</w:t>
      </w:r>
      <w:r w:rsidR="00755B20" w:rsidRPr="00515AD2">
        <w:rPr>
          <w:rFonts w:ascii="Arial" w:hAnsi="Arial" w:cs="Arial"/>
          <w:color w:val="auto"/>
        </w:rPr>
        <w:t xml:space="preserve"> a levy to the Authority and pay an employee for a long</w:t>
      </w:r>
      <w:r w:rsidR="00755B20">
        <w:rPr>
          <w:rFonts w:ascii="Arial" w:hAnsi="Arial" w:cs="Arial"/>
          <w:color w:val="auto"/>
        </w:rPr>
        <w:t xml:space="preserve"> service entitlement under a fair w</w:t>
      </w:r>
      <w:r w:rsidR="00755B20" w:rsidRPr="00C22E90">
        <w:rPr>
          <w:rFonts w:ascii="Arial" w:hAnsi="Arial" w:cs="Arial"/>
          <w:color w:val="auto"/>
        </w:rPr>
        <w:t>ork instrument</w:t>
      </w:r>
      <w:r w:rsidR="00755B20">
        <w:rPr>
          <w:rFonts w:ascii="Arial" w:hAnsi="Arial" w:cs="Arial"/>
          <w:color w:val="auto"/>
        </w:rPr>
        <w:t>, and they would not be entitled to reimbursement.</w:t>
      </w:r>
    </w:p>
    <w:p w14:paraId="1C90DC06" w14:textId="3A248DCB" w:rsidR="001146A3" w:rsidRPr="00EC5379" w:rsidRDefault="001146A3" w:rsidP="001146A3">
      <w:pPr>
        <w:rPr>
          <w:rFonts w:ascii="Arial" w:hAnsi="Arial" w:cs="Arial"/>
        </w:rPr>
      </w:pPr>
      <w:r>
        <w:rPr>
          <w:rFonts w:ascii="Arial" w:hAnsi="Arial" w:cs="Arial"/>
        </w:rPr>
        <w:t>The 2019 RIS analysed the case for Regulations in detail. A</w:t>
      </w:r>
      <w:r w:rsidR="009D3E9D">
        <w:rPr>
          <w:rFonts w:ascii="Arial" w:hAnsi="Arial" w:cs="Arial"/>
        </w:rPr>
        <w:t xml:space="preserve"> summary is provided in section </w:t>
      </w:r>
      <w:r>
        <w:rPr>
          <w:rFonts w:ascii="Arial" w:hAnsi="Arial" w:cs="Arial"/>
        </w:rPr>
        <w:fldChar w:fldCharType="begin"/>
      </w:r>
      <w:r>
        <w:rPr>
          <w:rFonts w:ascii="Arial" w:hAnsi="Arial" w:cs="Arial"/>
        </w:rPr>
        <w:instrText xml:space="preserve"> REF _Ref34831823 \r \h </w:instrText>
      </w:r>
      <w:r>
        <w:rPr>
          <w:rFonts w:ascii="Arial" w:hAnsi="Arial" w:cs="Arial"/>
        </w:rPr>
      </w:r>
      <w:r>
        <w:rPr>
          <w:rFonts w:ascii="Arial" w:hAnsi="Arial" w:cs="Arial"/>
        </w:rPr>
        <w:fldChar w:fldCharType="separate"/>
      </w:r>
      <w:r w:rsidR="009F48BA">
        <w:rPr>
          <w:rFonts w:ascii="Arial" w:hAnsi="Arial" w:cs="Arial"/>
        </w:rPr>
        <w:t>1.4.1</w:t>
      </w:r>
      <w:r>
        <w:rPr>
          <w:rFonts w:ascii="Arial" w:hAnsi="Arial" w:cs="Arial"/>
        </w:rPr>
        <w:fldChar w:fldCharType="end"/>
      </w:r>
      <w:r w:rsidR="009D3E9D">
        <w:rPr>
          <w:rFonts w:ascii="Arial" w:hAnsi="Arial" w:cs="Arial"/>
        </w:rPr>
        <w:t xml:space="preserve"> of this document</w:t>
      </w:r>
      <w:r>
        <w:rPr>
          <w:rFonts w:ascii="Arial" w:hAnsi="Arial" w:cs="Arial"/>
        </w:rPr>
        <w:t xml:space="preserve">. For further information on the operation of </w:t>
      </w:r>
      <w:r w:rsidR="009D3E9D">
        <w:rPr>
          <w:rFonts w:ascii="Arial" w:hAnsi="Arial" w:cs="Arial"/>
        </w:rPr>
        <w:t>the Regulations as a whole, the 2019</w:t>
      </w:r>
      <w:r>
        <w:rPr>
          <w:rFonts w:ascii="Arial" w:hAnsi="Arial" w:cs="Arial"/>
        </w:rPr>
        <w:t xml:space="preserve"> RIS can be found at </w:t>
      </w:r>
      <w:r w:rsidR="00D41B29" w:rsidRPr="00D41B29">
        <w:rPr>
          <w:rFonts w:ascii="Arial" w:hAnsi="Arial" w:cs="Arial"/>
        </w:rPr>
        <w:t>https://www.vic.gov.au/regulatory-impact-statements-2019#long-service-benefits-portability-regulations-2019</w:t>
      </w:r>
      <w:r>
        <w:rPr>
          <w:rFonts w:ascii="Arial" w:hAnsi="Arial" w:cs="Arial"/>
        </w:rPr>
        <w:t>.</w:t>
      </w:r>
    </w:p>
    <w:p w14:paraId="7C558308" w14:textId="4557370D" w:rsidR="001146A3" w:rsidRPr="00EC5379" w:rsidRDefault="001146A3" w:rsidP="001146A3">
      <w:pPr>
        <w:rPr>
          <w:rFonts w:ascii="Arial" w:hAnsi="Arial" w:cs="Arial"/>
        </w:rPr>
      </w:pPr>
      <w:r w:rsidRPr="00EC5379">
        <w:rPr>
          <w:rFonts w:ascii="Arial" w:hAnsi="Arial" w:cs="Arial"/>
        </w:rPr>
        <w:t xml:space="preserve">Options determined to be feasible are subjected to a consistent impact analysis framework </w:t>
      </w:r>
      <w:r w:rsidR="00B53F17">
        <w:rPr>
          <w:rFonts w:ascii="Arial" w:hAnsi="Arial" w:cs="Arial"/>
        </w:rPr>
        <w:t xml:space="preserve">as set out </w:t>
      </w:r>
      <w:r w:rsidRPr="00EC5379">
        <w:rPr>
          <w:rFonts w:ascii="Arial" w:hAnsi="Arial" w:cs="Arial"/>
        </w:rPr>
        <w:t>in section </w:t>
      </w:r>
      <w:r w:rsidRPr="00EC5379">
        <w:rPr>
          <w:rFonts w:ascii="Arial" w:hAnsi="Arial" w:cs="Arial"/>
        </w:rPr>
        <w:fldChar w:fldCharType="begin"/>
      </w:r>
      <w:r w:rsidRPr="00EC5379">
        <w:rPr>
          <w:rFonts w:ascii="Arial" w:hAnsi="Arial" w:cs="Arial"/>
        </w:rPr>
        <w:instrText xml:space="preserve"> REF _Ref32928016 \r \h </w:instrText>
      </w:r>
      <w:r>
        <w:rPr>
          <w:rFonts w:ascii="Arial" w:hAnsi="Arial" w:cs="Arial"/>
        </w:rPr>
        <w:instrText xml:space="preserve"> \* MERGEFORMAT </w:instrText>
      </w:r>
      <w:r w:rsidRPr="00EC5379">
        <w:rPr>
          <w:rFonts w:ascii="Arial" w:hAnsi="Arial" w:cs="Arial"/>
        </w:rPr>
      </w:r>
      <w:r w:rsidRPr="00EC5379">
        <w:rPr>
          <w:rFonts w:ascii="Arial" w:hAnsi="Arial" w:cs="Arial"/>
        </w:rPr>
        <w:fldChar w:fldCharType="separate"/>
      </w:r>
      <w:r w:rsidR="009F48BA">
        <w:rPr>
          <w:rFonts w:ascii="Arial" w:hAnsi="Arial" w:cs="Arial"/>
        </w:rPr>
        <w:t>5</w:t>
      </w:r>
      <w:r w:rsidRPr="00EC5379">
        <w:rPr>
          <w:rFonts w:ascii="Arial" w:hAnsi="Arial" w:cs="Arial"/>
        </w:rPr>
        <w:fldChar w:fldCharType="end"/>
      </w:r>
      <w:r w:rsidRPr="00EC5379">
        <w:rPr>
          <w:rFonts w:ascii="Arial" w:hAnsi="Arial" w:cs="Arial"/>
        </w:rPr>
        <w:t xml:space="preserve">. </w:t>
      </w:r>
    </w:p>
    <w:p w14:paraId="6F87716C" w14:textId="3DE7D4F9" w:rsidR="00D430EE" w:rsidRPr="00EC5379" w:rsidRDefault="00D430EE" w:rsidP="00D430EE">
      <w:pPr>
        <w:rPr>
          <w:rFonts w:ascii="Arial" w:hAnsi="Arial" w:cs="Arial"/>
        </w:rPr>
      </w:pPr>
      <w:r w:rsidRPr="00EC5379">
        <w:rPr>
          <w:rFonts w:ascii="Arial" w:hAnsi="Arial" w:cs="Arial"/>
        </w:rPr>
        <w:t>The following sub</w:t>
      </w:r>
      <w:r w:rsidR="00B53F17">
        <w:rPr>
          <w:rFonts w:ascii="Arial" w:hAnsi="Arial" w:cs="Arial"/>
        </w:rPr>
        <w:t>-</w:t>
      </w:r>
      <w:r w:rsidRPr="00EC5379">
        <w:rPr>
          <w:rFonts w:ascii="Arial" w:hAnsi="Arial" w:cs="Arial"/>
        </w:rPr>
        <w:t xml:space="preserve">sections detail the options identified for each residual problem. </w:t>
      </w:r>
    </w:p>
    <w:p w14:paraId="64F191B3" w14:textId="7AFE6C2D" w:rsidR="00791100" w:rsidRDefault="00791100" w:rsidP="006B7566">
      <w:pPr>
        <w:pStyle w:val="Heading2"/>
        <w:rPr>
          <w:rFonts w:ascii="Arial" w:hAnsi="Arial" w:cs="Arial"/>
        </w:rPr>
      </w:pPr>
      <w:bookmarkStart w:id="92" w:name="_Toc37921489"/>
      <w:r>
        <w:rPr>
          <w:rFonts w:ascii="Arial" w:hAnsi="Arial" w:cs="Arial"/>
        </w:rPr>
        <w:t>What is defined as community service work</w:t>
      </w:r>
      <w:bookmarkEnd w:id="92"/>
    </w:p>
    <w:p w14:paraId="0F5BDB1E" w14:textId="01E239D7" w:rsidR="00791100" w:rsidRDefault="00791100" w:rsidP="00B53F17">
      <w:pPr>
        <w:pStyle w:val="BodyText"/>
      </w:pPr>
      <w:r>
        <w:t>Under the status quo, the distinction between community service work and aged care work delivered in a private residence is not clear. Many of the services delivered in a private residence</w:t>
      </w:r>
      <w:r w:rsidR="00B53F17">
        <w:t>,</w:t>
      </w:r>
      <w:r>
        <w:t xml:space="preserve"> which </w:t>
      </w:r>
      <w:r w:rsidR="00015F56">
        <w:t>are sometimes</w:t>
      </w:r>
      <w:r>
        <w:t xml:space="preserve"> described as aged care</w:t>
      </w:r>
      <w:r w:rsidR="00CF0C6E">
        <w:t>,</w:t>
      </w:r>
      <w:r>
        <w:t xml:space="preserve"> </w:t>
      </w:r>
      <w:r w:rsidR="00015F56">
        <w:t>are only described as aged care</w:t>
      </w:r>
      <w:r>
        <w:t xml:space="preserve"> because of the age of the client and not because of the type of work that is being delivered. Many of these home care support services are the same services that would be provided to a younger client and would otherwise be classified as community service work. </w:t>
      </w:r>
    </w:p>
    <w:p w14:paraId="51F1C199" w14:textId="0D85040C" w:rsidR="00791100" w:rsidRPr="00F211F6" w:rsidRDefault="00791100" w:rsidP="00B53F17">
      <w:pPr>
        <w:pStyle w:val="Bodytextkeepwithnext"/>
      </w:pPr>
      <w:r>
        <w:lastRenderedPageBreak/>
        <w:t>T</w:t>
      </w:r>
      <w:r w:rsidRPr="00F211F6">
        <w:t>here are t</w:t>
      </w:r>
      <w:r>
        <w:t>hree</w:t>
      </w:r>
      <w:r w:rsidRPr="00F211F6">
        <w:t xml:space="preserve"> options to </w:t>
      </w:r>
      <w:r>
        <w:t xml:space="preserve">address the problem of whether delivering care in a private residence is defined as community service work for the purposes of the Scheme </w:t>
      </w:r>
      <w:r w:rsidRPr="00F211F6">
        <w:t xml:space="preserve">(discussed in section </w:t>
      </w:r>
      <w:r>
        <w:fldChar w:fldCharType="begin"/>
      </w:r>
      <w:r>
        <w:instrText xml:space="preserve"> REF _Ref36730265 \r \h </w:instrText>
      </w:r>
      <w:r>
        <w:fldChar w:fldCharType="separate"/>
      </w:r>
      <w:r>
        <w:t>2.3.1</w:t>
      </w:r>
      <w:r>
        <w:fldChar w:fldCharType="end"/>
      </w:r>
      <w:r w:rsidRPr="00F211F6">
        <w:t>), including:</w:t>
      </w:r>
    </w:p>
    <w:p w14:paraId="429CF129" w14:textId="26723A84" w:rsidR="00791100" w:rsidRDefault="00791100" w:rsidP="00791100">
      <w:pPr>
        <w:pStyle w:val="ListBullet"/>
        <w:numPr>
          <w:ilvl w:val="0"/>
          <w:numId w:val="13"/>
        </w:numPr>
        <w:contextualSpacing w:val="0"/>
        <w:rPr>
          <w:rFonts w:cs="Arial"/>
          <w:color w:val="auto"/>
        </w:rPr>
      </w:pPr>
      <w:r w:rsidRPr="00F211F6">
        <w:rPr>
          <w:rFonts w:cs="Arial"/>
          <w:color w:val="auto"/>
        </w:rPr>
        <w:t xml:space="preserve">Clarify that </w:t>
      </w:r>
      <w:r>
        <w:rPr>
          <w:rFonts w:cs="Arial"/>
          <w:color w:val="auto"/>
        </w:rPr>
        <w:t>care provided</w:t>
      </w:r>
      <w:r w:rsidRPr="00F211F6">
        <w:rPr>
          <w:rFonts w:cs="Arial"/>
          <w:color w:val="auto"/>
        </w:rPr>
        <w:t xml:space="preserve"> in a private residence </w:t>
      </w:r>
      <w:r>
        <w:rPr>
          <w:rFonts w:cs="Arial"/>
          <w:color w:val="auto"/>
        </w:rPr>
        <w:t>is defined as community service work for the purposes of the</w:t>
      </w:r>
      <w:r w:rsidRPr="00F211F6">
        <w:rPr>
          <w:rFonts w:cs="Arial"/>
          <w:color w:val="auto"/>
        </w:rPr>
        <w:t xml:space="preserve"> Scheme</w:t>
      </w:r>
      <w:r>
        <w:rPr>
          <w:rFonts w:cs="Arial"/>
          <w:color w:val="auto"/>
        </w:rPr>
        <w:t>, irrespective of the age of the client</w:t>
      </w:r>
      <w:r w:rsidRPr="00F211F6">
        <w:rPr>
          <w:rFonts w:cs="Arial"/>
          <w:color w:val="auto"/>
        </w:rPr>
        <w:t xml:space="preserve">; </w:t>
      </w:r>
    </w:p>
    <w:p w14:paraId="19DC7EEC" w14:textId="073B936D" w:rsidR="00791100" w:rsidRPr="00F211F6" w:rsidRDefault="00791100" w:rsidP="00791100">
      <w:pPr>
        <w:pStyle w:val="ListBullet"/>
        <w:numPr>
          <w:ilvl w:val="0"/>
          <w:numId w:val="13"/>
        </w:numPr>
        <w:contextualSpacing w:val="0"/>
        <w:rPr>
          <w:rFonts w:cs="Arial"/>
          <w:color w:val="auto"/>
        </w:rPr>
      </w:pPr>
      <w:r>
        <w:rPr>
          <w:rFonts w:cs="Arial"/>
          <w:color w:val="auto"/>
        </w:rPr>
        <w:t>Exclud</w:t>
      </w:r>
      <w:r w:rsidR="00B53F17">
        <w:rPr>
          <w:rFonts w:cs="Arial"/>
          <w:color w:val="auto"/>
        </w:rPr>
        <w:t>e</w:t>
      </w:r>
      <w:r>
        <w:rPr>
          <w:rFonts w:cs="Arial"/>
          <w:color w:val="auto"/>
        </w:rPr>
        <w:t xml:space="preserve"> home care work involving ‘aged’ clients from the definition of community service work; </w:t>
      </w:r>
      <w:r w:rsidRPr="00F211F6">
        <w:rPr>
          <w:rFonts w:cs="Arial"/>
          <w:color w:val="auto"/>
        </w:rPr>
        <w:t>and</w:t>
      </w:r>
    </w:p>
    <w:p w14:paraId="3AFDF316" w14:textId="13937C4A" w:rsidR="00791100" w:rsidRDefault="00791100" w:rsidP="00791100">
      <w:pPr>
        <w:pStyle w:val="ListBullet"/>
        <w:numPr>
          <w:ilvl w:val="0"/>
          <w:numId w:val="13"/>
        </w:numPr>
        <w:rPr>
          <w:rFonts w:cs="Arial"/>
          <w:color w:val="auto"/>
        </w:rPr>
      </w:pPr>
      <w:r>
        <w:rPr>
          <w:rFonts w:cs="Arial"/>
          <w:color w:val="auto"/>
        </w:rPr>
        <w:t>Exclud</w:t>
      </w:r>
      <w:r w:rsidR="00B53F17">
        <w:rPr>
          <w:rFonts w:cs="Arial"/>
          <w:color w:val="auto"/>
        </w:rPr>
        <w:t>e</w:t>
      </w:r>
      <w:r>
        <w:rPr>
          <w:rFonts w:cs="Arial"/>
          <w:color w:val="auto"/>
        </w:rPr>
        <w:t xml:space="preserve"> all work undertaken in a private residence from the definition of community service work for the purposes of the Scheme.</w:t>
      </w:r>
    </w:p>
    <w:p w14:paraId="3B63542E" w14:textId="58CFABDA" w:rsidR="00791100" w:rsidRPr="00CE3DED" w:rsidRDefault="00791100" w:rsidP="00B53F17">
      <w:pPr>
        <w:pStyle w:val="Heading6"/>
      </w:pPr>
      <w:r w:rsidRPr="00337958">
        <w:t xml:space="preserve">Option 1 – Clarify that </w:t>
      </w:r>
      <w:r>
        <w:t>care provided in a private residence is defined as community service work for the purposes of the Scheme, irrespective of the age of the client</w:t>
      </w:r>
    </w:p>
    <w:p w14:paraId="6CA14399" w14:textId="77777777" w:rsidR="00791100" w:rsidRDefault="00791100" w:rsidP="00B53F17">
      <w:pPr>
        <w:pStyle w:val="BodyText"/>
      </w:pPr>
      <w:r w:rsidRPr="00E81481">
        <w:t xml:space="preserve">This option would clarify that </w:t>
      </w:r>
      <w:r>
        <w:t xml:space="preserve">employers undertaking </w:t>
      </w:r>
      <w:r w:rsidRPr="00E81481">
        <w:t>community service work in the home</w:t>
      </w:r>
      <w:r>
        <w:t xml:space="preserve"> are employers for the purposes of the Scheme. Healthcare delivered in a private residence would continue to be excluded from the Scheme. All h</w:t>
      </w:r>
      <w:r w:rsidRPr="00E81481">
        <w:t xml:space="preserve">ealth and aged care work </w:t>
      </w:r>
      <w:r>
        <w:t xml:space="preserve">performed in a facility </w:t>
      </w:r>
      <w:r w:rsidRPr="00E81481">
        <w:t>would continue to be excluded from the Scheme</w:t>
      </w:r>
      <w:r>
        <w:t>, consistent with the intent of the Scheme</w:t>
      </w:r>
      <w:r w:rsidRPr="00E81481">
        <w:t>.</w:t>
      </w:r>
    </w:p>
    <w:p w14:paraId="01AB2B17" w14:textId="6E10E5B0" w:rsidR="00791100" w:rsidRPr="00CE3DED" w:rsidRDefault="00791100" w:rsidP="00B53F17">
      <w:pPr>
        <w:pStyle w:val="Heading6"/>
      </w:pPr>
      <w:r w:rsidRPr="00337958">
        <w:t xml:space="preserve">Option 2 – </w:t>
      </w:r>
      <w:r>
        <w:t>Exclude home care</w:t>
      </w:r>
      <w:r w:rsidR="00755B20">
        <w:t xml:space="preserve"> work</w:t>
      </w:r>
      <w:r>
        <w:t xml:space="preserve"> involving ‘aged’ clients from the definition of community service work</w:t>
      </w:r>
    </w:p>
    <w:p w14:paraId="1EA0B10D" w14:textId="4257FEF8" w:rsidR="00791100" w:rsidRPr="009B408D" w:rsidRDefault="00791100" w:rsidP="00791100">
      <w:pPr>
        <w:rPr>
          <w:rFonts w:ascii="Arial" w:hAnsi="Arial"/>
          <w:color w:val="auto"/>
        </w:rPr>
      </w:pPr>
      <w:r w:rsidRPr="00F5772B">
        <w:rPr>
          <w:rFonts w:ascii="Arial" w:hAnsi="Arial"/>
          <w:color w:val="auto"/>
        </w:rPr>
        <w:t xml:space="preserve">This option would exclude </w:t>
      </w:r>
      <w:r w:rsidR="00B53F17" w:rsidRPr="00F5772B">
        <w:rPr>
          <w:rFonts w:ascii="Arial" w:hAnsi="Arial"/>
          <w:color w:val="auto"/>
        </w:rPr>
        <w:t xml:space="preserve">from the Scheme </w:t>
      </w:r>
      <w:r w:rsidRPr="00F5772B">
        <w:rPr>
          <w:rFonts w:ascii="Arial" w:hAnsi="Arial"/>
          <w:color w:val="auto"/>
        </w:rPr>
        <w:t>all home care work delivered to clients aged 65</w:t>
      </w:r>
      <w:r w:rsidR="00B53F17">
        <w:rPr>
          <w:rFonts w:ascii="Arial" w:hAnsi="Arial"/>
          <w:color w:val="auto"/>
        </w:rPr>
        <w:t xml:space="preserve"> years</w:t>
      </w:r>
      <w:r w:rsidRPr="00F5772B">
        <w:rPr>
          <w:rFonts w:ascii="Arial" w:hAnsi="Arial"/>
          <w:color w:val="auto"/>
        </w:rPr>
        <w:t xml:space="preserve"> and over. This is the age of eligibility </w:t>
      </w:r>
      <w:r w:rsidR="00B53F17">
        <w:rPr>
          <w:rFonts w:ascii="Arial" w:hAnsi="Arial"/>
          <w:color w:val="auto"/>
        </w:rPr>
        <w:t>for</w:t>
      </w:r>
      <w:r w:rsidR="00B53F17" w:rsidRPr="00F5772B">
        <w:rPr>
          <w:rFonts w:ascii="Arial" w:hAnsi="Arial"/>
          <w:color w:val="auto"/>
        </w:rPr>
        <w:t xml:space="preserve"> </w:t>
      </w:r>
      <w:r w:rsidRPr="00F5772B">
        <w:rPr>
          <w:rFonts w:ascii="Arial" w:hAnsi="Arial"/>
          <w:color w:val="auto"/>
        </w:rPr>
        <w:t xml:space="preserve">the Commonwealth Home Support Programme. </w:t>
      </w:r>
      <w:r w:rsidRPr="00F87691">
        <w:rPr>
          <w:rFonts w:ascii="Arial" w:hAnsi="Arial"/>
          <w:bCs/>
          <w:color w:val="auto"/>
        </w:rPr>
        <w:t>This would mean that employers undertaking any community service work in a private residence that could be described as ‘</w:t>
      </w:r>
      <w:r w:rsidRPr="0051279A">
        <w:rPr>
          <w:rFonts w:ascii="Arial" w:hAnsi="Arial"/>
          <w:bCs/>
          <w:color w:val="auto"/>
        </w:rPr>
        <w:t>aged care’</w:t>
      </w:r>
      <w:r w:rsidRPr="00C85C8C">
        <w:rPr>
          <w:rFonts w:ascii="Arial" w:hAnsi="Arial"/>
          <w:bCs/>
          <w:color w:val="auto"/>
        </w:rPr>
        <w:t xml:space="preserve"> would be excluded, consistent with the principle that the Scheme does not apply to aged care services.</w:t>
      </w:r>
      <w:r w:rsidRPr="00C85C8C">
        <w:rPr>
          <w:rFonts w:ascii="Arial" w:hAnsi="Arial"/>
          <w:color w:val="auto"/>
        </w:rPr>
        <w:t xml:space="preserve"> </w:t>
      </w:r>
      <w:r w:rsidRPr="008E3FED">
        <w:rPr>
          <w:rFonts w:ascii="Arial" w:hAnsi="Arial"/>
          <w:color w:val="auto"/>
        </w:rPr>
        <w:t xml:space="preserve">All health and aged care work performed in a facility would also continue to be excluded from the </w:t>
      </w:r>
      <w:r w:rsidRPr="00710262">
        <w:rPr>
          <w:rFonts w:ascii="Arial" w:hAnsi="Arial"/>
          <w:color w:val="auto"/>
        </w:rPr>
        <w:t>Scheme, consistent with the intent of the Scheme.</w:t>
      </w:r>
    </w:p>
    <w:p w14:paraId="15B51333" w14:textId="5E3CF7F5" w:rsidR="00791100" w:rsidRPr="00CE3DED" w:rsidRDefault="00791100" w:rsidP="00B53F17">
      <w:pPr>
        <w:pStyle w:val="Heading6"/>
      </w:pPr>
      <w:r w:rsidRPr="00337958">
        <w:t xml:space="preserve">Option 3 – Exclude </w:t>
      </w:r>
      <w:r>
        <w:t>all work undertaken in a private residence from the definition of community service work for the purposes of the Scheme</w:t>
      </w:r>
    </w:p>
    <w:p w14:paraId="5EAE3CFA" w14:textId="5C2F4458" w:rsidR="00791100" w:rsidRDefault="00791100" w:rsidP="00791100">
      <w:pPr>
        <w:pStyle w:val="BodyText"/>
        <w:rPr>
          <w:rFonts w:cs="Arial"/>
          <w:color w:val="auto"/>
        </w:rPr>
      </w:pPr>
      <w:r w:rsidRPr="008C01F2">
        <w:rPr>
          <w:rFonts w:cs="Arial"/>
          <w:color w:val="auto"/>
        </w:rPr>
        <w:t xml:space="preserve">This option would exclude </w:t>
      </w:r>
      <w:r w:rsidR="00B53F17" w:rsidRPr="00F5772B">
        <w:rPr>
          <w:color w:val="auto"/>
        </w:rPr>
        <w:t>from the Scheme</w:t>
      </w:r>
      <w:r w:rsidR="00B53F17">
        <w:rPr>
          <w:rFonts w:cs="Arial"/>
          <w:color w:val="auto"/>
        </w:rPr>
        <w:t xml:space="preserve"> </w:t>
      </w:r>
      <w:r>
        <w:rPr>
          <w:rFonts w:cs="Arial"/>
          <w:color w:val="auto"/>
        </w:rPr>
        <w:t xml:space="preserve">employers delivering </w:t>
      </w:r>
      <w:r w:rsidRPr="008C01F2">
        <w:rPr>
          <w:rFonts w:cs="Arial"/>
          <w:color w:val="auto"/>
        </w:rPr>
        <w:t>community work undertaken in a private residence.</w:t>
      </w:r>
      <w:r>
        <w:rPr>
          <w:rFonts w:cs="Arial"/>
          <w:color w:val="auto"/>
        </w:rPr>
        <w:t xml:space="preserve"> In determining whether an employer is covered by the Scheme, employers would not </w:t>
      </w:r>
      <w:r w:rsidR="0038431F">
        <w:rPr>
          <w:rFonts w:cs="Arial"/>
          <w:color w:val="auto"/>
        </w:rPr>
        <w:t xml:space="preserve">be required </w:t>
      </w:r>
      <w:r>
        <w:rPr>
          <w:rFonts w:cs="Arial"/>
          <w:color w:val="auto"/>
        </w:rPr>
        <w:t>to include work undertaken in a private residence. All h</w:t>
      </w:r>
      <w:r w:rsidRPr="00E81481">
        <w:rPr>
          <w:rFonts w:cs="Arial"/>
          <w:color w:val="auto"/>
        </w:rPr>
        <w:t>ealth and aged care work</w:t>
      </w:r>
      <w:r>
        <w:rPr>
          <w:rFonts w:cs="Arial"/>
          <w:color w:val="auto"/>
        </w:rPr>
        <w:t xml:space="preserve"> undertaken in the home or in a health or aged care setting</w:t>
      </w:r>
      <w:r w:rsidRPr="00E81481">
        <w:rPr>
          <w:rFonts w:cs="Arial"/>
          <w:color w:val="auto"/>
        </w:rPr>
        <w:t xml:space="preserve"> would continue to be excluded from the Scheme.</w:t>
      </w:r>
    </w:p>
    <w:tbl>
      <w:tblPr>
        <w:tblStyle w:val="TableGrid"/>
        <w:tblW w:w="9026" w:type="dxa"/>
        <w:tblLook w:val="04A0" w:firstRow="1" w:lastRow="0" w:firstColumn="1" w:lastColumn="0" w:noHBand="0" w:noVBand="1"/>
      </w:tblPr>
      <w:tblGrid>
        <w:gridCol w:w="9026"/>
      </w:tblGrid>
      <w:tr w:rsidR="00791100" w:rsidRPr="00F738AD" w14:paraId="3679969D" w14:textId="77777777" w:rsidTr="00DB01D9">
        <w:trPr>
          <w:tblHeader/>
        </w:trPr>
        <w:tc>
          <w:tcPr>
            <w:tcW w:w="9026" w:type="dxa"/>
            <w:tcBorders>
              <w:left w:val="nil"/>
            </w:tcBorders>
            <w:shd w:val="clear" w:color="auto" w:fill="002060"/>
          </w:tcPr>
          <w:p w14:paraId="5D663E87" w14:textId="77777777" w:rsidR="00791100" w:rsidRPr="00F738AD" w:rsidRDefault="00791100" w:rsidP="00DB01D9">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791100" w:rsidRPr="00EC5379" w14:paraId="6BD5F674" w14:textId="77777777" w:rsidTr="00DB01D9">
        <w:trPr>
          <w:trHeight w:val="523"/>
        </w:trPr>
        <w:tc>
          <w:tcPr>
            <w:tcW w:w="9026" w:type="dxa"/>
            <w:tcBorders>
              <w:left w:val="nil"/>
            </w:tcBorders>
            <w:shd w:val="clear" w:color="auto" w:fill="DEEAF6" w:themeFill="accent1" w:themeFillTint="33"/>
          </w:tcPr>
          <w:p w14:paraId="4D986E8D" w14:textId="24C83FF2" w:rsidR="00791100" w:rsidRPr="00B9690B" w:rsidRDefault="00791100" w:rsidP="00D50857">
            <w:pPr>
              <w:pStyle w:val="BodyText"/>
              <w:ind w:left="459" w:hanging="425"/>
              <w:rPr>
                <w:rFonts w:cs="Arial"/>
              </w:rPr>
            </w:pPr>
            <w:r>
              <w:rPr>
                <w:rFonts w:cs="Arial"/>
                <w:b/>
              </w:rPr>
              <w:t>S.</w:t>
            </w:r>
            <w:r w:rsidR="00D50857">
              <w:rPr>
                <w:rFonts w:cs="Arial"/>
                <w:b/>
              </w:rPr>
              <w:t>4</w:t>
            </w:r>
            <w:r w:rsidR="0055008B">
              <w:rPr>
                <w:rFonts w:cs="Arial"/>
                <w:b/>
              </w:rPr>
              <w:t xml:space="preserve"> </w:t>
            </w:r>
            <w:r w:rsidR="00B53F17">
              <w:rPr>
                <w:rFonts w:cs="Arial"/>
                <w:b/>
              </w:rPr>
              <w:tab/>
            </w:r>
            <w:r>
              <w:rPr>
                <w:rFonts w:cs="Arial"/>
              </w:rPr>
              <w:t>Are there any other viable options to improve clarity as to whether care delivered in a private residence is defined as community service work for the purposes of the Scheme?</w:t>
            </w:r>
          </w:p>
        </w:tc>
      </w:tr>
    </w:tbl>
    <w:p w14:paraId="1459AC96" w14:textId="77777777" w:rsidR="00B53F17" w:rsidRDefault="00B53F17" w:rsidP="00B53F17">
      <w:pPr>
        <w:pStyle w:val="BodyText"/>
      </w:pPr>
    </w:p>
    <w:p w14:paraId="4079C251" w14:textId="2909DAB4" w:rsidR="006B7566" w:rsidRPr="00EC5379" w:rsidRDefault="006B7566" w:rsidP="006B7566">
      <w:pPr>
        <w:pStyle w:val="Heading2"/>
        <w:rPr>
          <w:rFonts w:ascii="Arial" w:hAnsi="Arial" w:cs="Arial"/>
        </w:rPr>
      </w:pPr>
      <w:bookmarkStart w:id="93" w:name="_Toc37921490"/>
      <w:r w:rsidRPr="00EC5379">
        <w:rPr>
          <w:rFonts w:ascii="Arial" w:hAnsi="Arial" w:cs="Arial"/>
        </w:rPr>
        <w:lastRenderedPageBreak/>
        <w:t xml:space="preserve">Who is </w:t>
      </w:r>
      <w:r w:rsidR="0071726F" w:rsidRPr="00AD518C">
        <w:rPr>
          <w:rFonts w:ascii="Arial" w:hAnsi="Arial" w:cs="Arial"/>
        </w:rPr>
        <w:t>regarded as</w:t>
      </w:r>
      <w:r w:rsidR="0071726F">
        <w:rPr>
          <w:rFonts w:ascii="Arial" w:hAnsi="Arial" w:cs="Arial"/>
          <w:color w:val="auto"/>
        </w:rPr>
        <w:t xml:space="preserve"> </w:t>
      </w:r>
      <w:r w:rsidRPr="00EC5379">
        <w:rPr>
          <w:rFonts w:ascii="Arial" w:hAnsi="Arial" w:cs="Arial"/>
        </w:rPr>
        <w:t>an employer in the community services sector</w:t>
      </w:r>
      <w:bookmarkEnd w:id="93"/>
    </w:p>
    <w:p w14:paraId="000F0F79" w14:textId="6A145CD6" w:rsidR="008D7140" w:rsidRDefault="008D7140" w:rsidP="00203494">
      <w:pPr>
        <w:pStyle w:val="Heading3"/>
        <w:tabs>
          <w:tab w:val="clear" w:pos="5115"/>
        </w:tabs>
        <w:ind w:left="709"/>
        <w:rPr>
          <w:rFonts w:ascii="Arial" w:hAnsi="Arial" w:cs="Arial"/>
        </w:rPr>
      </w:pPr>
      <w:r>
        <w:rPr>
          <w:rFonts w:ascii="Arial" w:hAnsi="Arial" w:cs="Arial"/>
        </w:rPr>
        <w:t>Employer predominance test</w:t>
      </w:r>
    </w:p>
    <w:p w14:paraId="72713E6E" w14:textId="7A17F0D9" w:rsidR="00F211F6" w:rsidRPr="00F211F6" w:rsidRDefault="00F211F6" w:rsidP="00B53F17">
      <w:pPr>
        <w:pStyle w:val="Bodytextkeepwithnext"/>
      </w:pPr>
      <w:r w:rsidRPr="00F211F6">
        <w:t xml:space="preserve">Apart from the status quo, there are two options to clarify who is </w:t>
      </w:r>
      <w:r w:rsidR="0071726F">
        <w:t xml:space="preserve">regarded as </w:t>
      </w:r>
      <w:r w:rsidRPr="00F211F6">
        <w:t>an employer in the community services sector</w:t>
      </w:r>
      <w:r w:rsidR="00DA32FB">
        <w:t xml:space="preserve"> and address the problems identified with the current employer predominance test</w:t>
      </w:r>
      <w:r w:rsidRPr="00F211F6">
        <w:t xml:space="preserve"> (discussed in section </w:t>
      </w:r>
      <w:r w:rsidR="00791100">
        <w:fldChar w:fldCharType="begin"/>
      </w:r>
      <w:r w:rsidR="00791100">
        <w:instrText xml:space="preserve"> REF _Ref34122257 \r \h </w:instrText>
      </w:r>
      <w:r w:rsidR="00791100">
        <w:fldChar w:fldCharType="separate"/>
      </w:r>
      <w:r w:rsidR="00791100">
        <w:t>2.3.2.1</w:t>
      </w:r>
      <w:r w:rsidR="00791100">
        <w:fldChar w:fldCharType="end"/>
      </w:r>
      <w:r w:rsidRPr="00F211F6">
        <w:t>), including:</w:t>
      </w:r>
    </w:p>
    <w:p w14:paraId="7D750994" w14:textId="1E3A5554" w:rsidR="00F211F6" w:rsidRPr="00F211F6" w:rsidRDefault="001146A3" w:rsidP="000B6C4D">
      <w:pPr>
        <w:pStyle w:val="ListBullet"/>
        <w:numPr>
          <w:ilvl w:val="0"/>
          <w:numId w:val="13"/>
        </w:numPr>
        <w:contextualSpacing w:val="0"/>
        <w:rPr>
          <w:rFonts w:cs="Arial"/>
          <w:color w:val="auto"/>
        </w:rPr>
      </w:pPr>
      <w:r>
        <w:rPr>
          <w:rFonts w:cs="Arial"/>
          <w:color w:val="auto"/>
        </w:rPr>
        <w:t xml:space="preserve">Providing additional clarity around the application of the </w:t>
      </w:r>
      <w:r w:rsidR="00CB2BBD">
        <w:rPr>
          <w:rFonts w:cs="Arial"/>
          <w:color w:val="auto"/>
        </w:rPr>
        <w:t xml:space="preserve">employer </w:t>
      </w:r>
      <w:r>
        <w:rPr>
          <w:rFonts w:cs="Arial"/>
          <w:color w:val="auto"/>
        </w:rPr>
        <w:t>predominance test</w:t>
      </w:r>
      <w:r w:rsidR="00F211F6" w:rsidRPr="00F211F6">
        <w:rPr>
          <w:rFonts w:cs="Arial"/>
          <w:color w:val="auto"/>
        </w:rPr>
        <w:t>; and</w:t>
      </w:r>
    </w:p>
    <w:p w14:paraId="49283605" w14:textId="7DD63607" w:rsidR="00F211F6" w:rsidRPr="00F211F6" w:rsidRDefault="001146A3" w:rsidP="000B6C4D">
      <w:pPr>
        <w:pStyle w:val="ListBullet"/>
        <w:numPr>
          <w:ilvl w:val="0"/>
          <w:numId w:val="13"/>
        </w:numPr>
        <w:rPr>
          <w:rFonts w:cs="Arial"/>
          <w:color w:val="auto"/>
        </w:rPr>
      </w:pPr>
      <w:r>
        <w:rPr>
          <w:rFonts w:cs="Arial"/>
          <w:color w:val="auto"/>
        </w:rPr>
        <w:t>Abolishing the employer predominance test.</w:t>
      </w:r>
    </w:p>
    <w:p w14:paraId="5791CFF1" w14:textId="7369462D" w:rsidR="00DB5824" w:rsidRPr="00CF0C6E" w:rsidRDefault="00DB5824" w:rsidP="00B53F17">
      <w:pPr>
        <w:pStyle w:val="Heading6"/>
      </w:pPr>
      <w:r w:rsidRPr="00DB3ADD">
        <w:t>Option 1 – Improve clarity around the application of the employer predominance test</w:t>
      </w:r>
    </w:p>
    <w:p w14:paraId="456AE79B" w14:textId="0FFFC3AD" w:rsidR="00DA32FB" w:rsidRDefault="00DB5824" w:rsidP="00DB5824">
      <w:pPr>
        <w:pStyle w:val="BodyText"/>
        <w:rPr>
          <w:rFonts w:cs="Arial"/>
          <w:color w:val="auto"/>
        </w:rPr>
      </w:pPr>
      <w:r w:rsidRPr="00DB5824">
        <w:rPr>
          <w:rFonts w:cs="Arial"/>
          <w:color w:val="auto"/>
        </w:rPr>
        <w:t xml:space="preserve">This option would </w:t>
      </w:r>
      <w:r>
        <w:rPr>
          <w:rFonts w:cs="Arial"/>
          <w:color w:val="auto"/>
        </w:rPr>
        <w:t>provide additional clarity to employe</w:t>
      </w:r>
      <w:r w:rsidR="00AF3A1B">
        <w:rPr>
          <w:rFonts w:cs="Arial"/>
          <w:color w:val="auto"/>
        </w:rPr>
        <w:t xml:space="preserve">rs and the Authority about </w:t>
      </w:r>
      <w:r w:rsidR="004D21B4">
        <w:rPr>
          <w:rFonts w:cs="Arial"/>
          <w:color w:val="auto"/>
        </w:rPr>
        <w:t>how predominance sh</w:t>
      </w:r>
      <w:r w:rsidR="00366BCB">
        <w:rPr>
          <w:rFonts w:cs="Arial"/>
          <w:color w:val="auto"/>
        </w:rPr>
        <w:t xml:space="preserve">ould be measured in terms of the split between community service work and health and aged care work. </w:t>
      </w:r>
      <w:r w:rsidR="00AF3A1B">
        <w:rPr>
          <w:rFonts w:cs="Arial"/>
          <w:color w:val="auto"/>
        </w:rPr>
        <w:t xml:space="preserve">An entity that predominantly performs health or aged </w:t>
      </w:r>
      <w:r w:rsidR="00DA32FB">
        <w:rPr>
          <w:rFonts w:cs="Arial"/>
          <w:color w:val="auto"/>
        </w:rPr>
        <w:t xml:space="preserve">care work, and is therefore ineligible for the Scheme, </w:t>
      </w:r>
      <w:r w:rsidR="00AF3A1B">
        <w:rPr>
          <w:rFonts w:cs="Arial"/>
          <w:color w:val="auto"/>
        </w:rPr>
        <w:t>would be defined as one</w:t>
      </w:r>
      <w:r w:rsidR="00DA32FB">
        <w:rPr>
          <w:rFonts w:cs="Arial"/>
          <w:color w:val="auto"/>
        </w:rPr>
        <w:t xml:space="preserve"> where more than 50</w:t>
      </w:r>
      <w:r w:rsidR="00B53F17">
        <w:rPr>
          <w:rFonts w:cs="Arial"/>
          <w:color w:val="auto"/>
        </w:rPr>
        <w:t> </w:t>
      </w:r>
      <w:r w:rsidR="00DA32FB">
        <w:rPr>
          <w:rFonts w:cs="Arial"/>
          <w:color w:val="auto"/>
        </w:rPr>
        <w:t xml:space="preserve">percent of its employees (on a headcount basis) are performing </w:t>
      </w:r>
      <w:r w:rsidR="0050510D">
        <w:rPr>
          <w:rFonts w:cs="Arial"/>
          <w:color w:val="auto"/>
        </w:rPr>
        <w:t>some</w:t>
      </w:r>
      <w:r w:rsidR="00136A7A">
        <w:rPr>
          <w:rFonts w:cs="Arial"/>
          <w:color w:val="auto"/>
        </w:rPr>
        <w:t xml:space="preserve"> </w:t>
      </w:r>
      <w:r w:rsidR="00DA32FB">
        <w:rPr>
          <w:rFonts w:cs="Arial"/>
          <w:color w:val="auto"/>
        </w:rPr>
        <w:t>health or aged care work.</w:t>
      </w:r>
    </w:p>
    <w:p w14:paraId="03BBF9CF" w14:textId="7A3BF196" w:rsidR="008D7140" w:rsidRPr="00AA2BBF" w:rsidRDefault="00DB5824" w:rsidP="00B53F17">
      <w:pPr>
        <w:pStyle w:val="Heading6"/>
      </w:pPr>
      <w:r w:rsidRPr="00DB3ADD">
        <w:t>Option 2</w:t>
      </w:r>
      <w:r w:rsidR="008D7140" w:rsidRPr="00DB3ADD">
        <w:t xml:space="preserve"> – </w:t>
      </w:r>
      <w:r w:rsidR="00AA2BBF" w:rsidRPr="00AA2BBF">
        <w:t xml:space="preserve">Abolish the employer predominance test </w:t>
      </w:r>
      <w:r w:rsidR="00AA2BBF" w:rsidRPr="00AA2BBF">
        <w:rPr>
          <w:rFonts w:cs="Arial"/>
        </w:rPr>
        <w:t>that applies to health or related services</w:t>
      </w:r>
    </w:p>
    <w:p w14:paraId="04BCFC41" w14:textId="541C364D" w:rsidR="001146A3" w:rsidRDefault="00D430EE" w:rsidP="00D430EE">
      <w:pPr>
        <w:pStyle w:val="BodyText"/>
        <w:rPr>
          <w:rFonts w:cs="Arial"/>
          <w:color w:val="auto"/>
        </w:rPr>
      </w:pPr>
      <w:r w:rsidRPr="003D1EF2">
        <w:rPr>
          <w:rFonts w:cs="Arial"/>
          <w:color w:val="auto"/>
        </w:rPr>
        <w:t xml:space="preserve">This option would abolish the </w:t>
      </w:r>
      <w:r>
        <w:rPr>
          <w:rFonts w:cs="Arial"/>
          <w:color w:val="auto"/>
        </w:rPr>
        <w:t xml:space="preserve">current </w:t>
      </w:r>
      <w:r w:rsidRPr="003D1EF2">
        <w:rPr>
          <w:rFonts w:cs="Arial"/>
          <w:color w:val="auto"/>
        </w:rPr>
        <w:t>employer predominance test</w:t>
      </w:r>
      <w:r w:rsidR="00224EC3">
        <w:rPr>
          <w:rFonts w:cs="Arial"/>
          <w:color w:val="auto"/>
        </w:rPr>
        <w:t xml:space="preserve"> applying to health or related services</w:t>
      </w:r>
      <w:r>
        <w:rPr>
          <w:rFonts w:cs="Arial"/>
          <w:color w:val="auto"/>
        </w:rPr>
        <w:t xml:space="preserve"> included at </w:t>
      </w:r>
      <w:r w:rsidR="00B53F17">
        <w:rPr>
          <w:rFonts w:cs="Arial"/>
          <w:color w:val="auto"/>
        </w:rPr>
        <w:t>R</w:t>
      </w:r>
      <w:r>
        <w:rPr>
          <w:rFonts w:cs="Arial"/>
          <w:color w:val="auto"/>
        </w:rPr>
        <w:t>egulation 8(5) of the Interim Regulations</w:t>
      </w:r>
      <w:r w:rsidRPr="003D1EF2">
        <w:rPr>
          <w:rFonts w:cs="Arial"/>
          <w:color w:val="auto"/>
        </w:rPr>
        <w:t>. Instead, an employer in the community services sector would be defined as one that employs employees covered by the employee predominance test</w:t>
      </w:r>
      <w:r>
        <w:rPr>
          <w:rFonts w:cs="Arial"/>
          <w:color w:val="auto"/>
        </w:rPr>
        <w:t xml:space="preserve"> (currently included at </w:t>
      </w:r>
      <w:r w:rsidR="00B53F17">
        <w:rPr>
          <w:rFonts w:cs="Arial"/>
          <w:color w:val="auto"/>
        </w:rPr>
        <w:t>R</w:t>
      </w:r>
      <w:r>
        <w:rPr>
          <w:rFonts w:cs="Arial"/>
          <w:color w:val="auto"/>
        </w:rPr>
        <w:t>egulation 10(3) of the Interim Regulations)</w:t>
      </w:r>
      <w:r w:rsidRPr="003D1EF2">
        <w:rPr>
          <w:rFonts w:cs="Arial"/>
          <w:color w:val="auto"/>
        </w:rPr>
        <w:t xml:space="preserve">. This would </w:t>
      </w:r>
      <w:r>
        <w:rPr>
          <w:rFonts w:cs="Arial"/>
          <w:color w:val="auto"/>
        </w:rPr>
        <w:t>mean</w:t>
      </w:r>
      <w:r w:rsidRPr="003D1EF2">
        <w:rPr>
          <w:rFonts w:cs="Arial"/>
          <w:color w:val="auto"/>
        </w:rPr>
        <w:t xml:space="preserve"> that employers employing at least one covered employee</w:t>
      </w:r>
      <w:r w:rsidR="001146A3">
        <w:rPr>
          <w:rFonts w:cs="Arial"/>
          <w:color w:val="auto"/>
        </w:rPr>
        <w:t xml:space="preserve"> who undertakes community service work</w:t>
      </w:r>
      <w:r w:rsidR="009D3E9D">
        <w:rPr>
          <w:rFonts w:cs="Arial"/>
          <w:color w:val="auto"/>
        </w:rPr>
        <w:t xml:space="preserve"> </w:t>
      </w:r>
      <w:r w:rsidRPr="003D1EF2">
        <w:rPr>
          <w:rFonts w:cs="Arial"/>
          <w:color w:val="auto"/>
        </w:rPr>
        <w:t>would be required to register with the Authority</w:t>
      </w:r>
      <w:r>
        <w:rPr>
          <w:rFonts w:cs="Arial"/>
          <w:color w:val="auto"/>
        </w:rPr>
        <w:t xml:space="preserve"> and pay a levy on their covered employees’ </w:t>
      </w:r>
      <w:r w:rsidR="00136A7A">
        <w:rPr>
          <w:rFonts w:cs="Arial"/>
          <w:color w:val="auto"/>
        </w:rPr>
        <w:t>behalf</w:t>
      </w:r>
      <w:r w:rsidR="00136A7A" w:rsidRPr="003D1EF2">
        <w:rPr>
          <w:rFonts w:cs="Arial"/>
          <w:color w:val="auto"/>
        </w:rPr>
        <w:t xml:space="preserve">. </w:t>
      </w:r>
    </w:p>
    <w:tbl>
      <w:tblPr>
        <w:tblStyle w:val="TableGrid"/>
        <w:tblW w:w="9026" w:type="dxa"/>
        <w:tblLook w:val="04A0" w:firstRow="1" w:lastRow="0" w:firstColumn="1" w:lastColumn="0" w:noHBand="0" w:noVBand="1"/>
      </w:tblPr>
      <w:tblGrid>
        <w:gridCol w:w="9026"/>
      </w:tblGrid>
      <w:tr w:rsidR="00811AD9" w:rsidRPr="00F738AD" w14:paraId="5A94636E" w14:textId="77777777" w:rsidTr="004D21B4">
        <w:trPr>
          <w:tblHeader/>
        </w:trPr>
        <w:tc>
          <w:tcPr>
            <w:tcW w:w="9026" w:type="dxa"/>
            <w:tcBorders>
              <w:left w:val="nil"/>
            </w:tcBorders>
            <w:shd w:val="clear" w:color="auto" w:fill="002060"/>
          </w:tcPr>
          <w:p w14:paraId="33BC51A1" w14:textId="049FE593" w:rsidR="00811AD9" w:rsidRPr="00F738AD" w:rsidRDefault="0050510D" w:rsidP="004D21B4">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811AD9" w:rsidRPr="00EC5379" w14:paraId="7A8895B2" w14:textId="77777777" w:rsidTr="004D21B4">
        <w:trPr>
          <w:trHeight w:val="523"/>
        </w:trPr>
        <w:tc>
          <w:tcPr>
            <w:tcW w:w="9026" w:type="dxa"/>
            <w:tcBorders>
              <w:left w:val="nil"/>
            </w:tcBorders>
            <w:shd w:val="clear" w:color="auto" w:fill="DEEAF6" w:themeFill="accent1" w:themeFillTint="33"/>
          </w:tcPr>
          <w:p w14:paraId="09B759EB" w14:textId="37E9B867" w:rsidR="00811AD9" w:rsidRDefault="00224EC3" w:rsidP="004D21B4">
            <w:pPr>
              <w:pStyle w:val="BodyText"/>
              <w:ind w:left="459" w:hanging="425"/>
              <w:rPr>
                <w:rFonts w:cs="Arial"/>
              </w:rPr>
            </w:pPr>
            <w:r>
              <w:rPr>
                <w:rFonts w:cs="Arial"/>
                <w:b/>
              </w:rPr>
              <w:t>S.</w:t>
            </w:r>
            <w:r w:rsidR="00D50857">
              <w:rPr>
                <w:rFonts w:cs="Arial"/>
                <w:b/>
              </w:rPr>
              <w:t>5</w:t>
            </w:r>
            <w:r w:rsidR="00811AD9" w:rsidRPr="00EC5379">
              <w:rPr>
                <w:rFonts w:cs="Arial"/>
              </w:rPr>
              <w:t xml:space="preserve"> </w:t>
            </w:r>
            <w:r w:rsidR="00B53F17">
              <w:rPr>
                <w:rFonts w:cs="Arial"/>
              </w:rPr>
              <w:tab/>
            </w:r>
            <w:r w:rsidR="00811AD9">
              <w:rPr>
                <w:rFonts w:cs="Arial"/>
              </w:rPr>
              <w:t>Which option provides employers in the community services sector with the greatest clarity in relation to when they are in-scope?</w:t>
            </w:r>
          </w:p>
          <w:p w14:paraId="5A012F83" w14:textId="1C541B44" w:rsidR="00136A7A" w:rsidRPr="00136A7A" w:rsidRDefault="00224EC3" w:rsidP="00D50857">
            <w:pPr>
              <w:pStyle w:val="BodyText"/>
              <w:ind w:left="459" w:hanging="425"/>
              <w:rPr>
                <w:rFonts w:cs="Arial"/>
              </w:rPr>
            </w:pPr>
            <w:r>
              <w:rPr>
                <w:rFonts w:cs="Arial"/>
                <w:b/>
              </w:rPr>
              <w:t>S.</w:t>
            </w:r>
            <w:r w:rsidR="00D50857">
              <w:rPr>
                <w:rFonts w:cs="Arial"/>
                <w:b/>
              </w:rPr>
              <w:t>6</w:t>
            </w:r>
            <w:r w:rsidR="00811AD9">
              <w:rPr>
                <w:rFonts w:cs="Arial"/>
                <w:b/>
              </w:rPr>
              <w:t xml:space="preserve"> </w:t>
            </w:r>
            <w:r w:rsidR="00B53F17">
              <w:rPr>
                <w:rFonts w:cs="Arial"/>
                <w:b/>
              </w:rPr>
              <w:tab/>
            </w:r>
            <w:r w:rsidR="00811AD9">
              <w:rPr>
                <w:rFonts w:cs="Arial"/>
              </w:rPr>
              <w:t xml:space="preserve">Are there any other viable options to improve clarity as to who is </w:t>
            </w:r>
            <w:r w:rsidR="0071726F">
              <w:rPr>
                <w:rFonts w:cs="Arial"/>
                <w:color w:val="auto"/>
              </w:rPr>
              <w:t xml:space="preserve">regarded as </w:t>
            </w:r>
            <w:r w:rsidR="00811AD9">
              <w:rPr>
                <w:rFonts w:cs="Arial"/>
              </w:rPr>
              <w:t>an employer in the community services sector?</w:t>
            </w:r>
          </w:p>
        </w:tc>
      </w:tr>
    </w:tbl>
    <w:p w14:paraId="2D72F012" w14:textId="77777777" w:rsidR="00D85311" w:rsidRDefault="00D85311" w:rsidP="00337B4A">
      <w:pPr>
        <w:pStyle w:val="BodyText"/>
      </w:pPr>
    </w:p>
    <w:p w14:paraId="6E841042" w14:textId="595C034F" w:rsidR="001146A3" w:rsidRDefault="001146A3" w:rsidP="00DB3ADD">
      <w:pPr>
        <w:pStyle w:val="Heading3"/>
        <w:tabs>
          <w:tab w:val="clear" w:pos="5115"/>
        </w:tabs>
        <w:spacing w:before="0"/>
        <w:ind w:left="709"/>
        <w:rPr>
          <w:rFonts w:ascii="Arial" w:hAnsi="Arial" w:cs="Arial"/>
        </w:rPr>
      </w:pPr>
      <w:r>
        <w:rPr>
          <w:rFonts w:ascii="Arial" w:hAnsi="Arial" w:cs="Arial"/>
        </w:rPr>
        <w:t xml:space="preserve">Community and </w:t>
      </w:r>
      <w:r w:rsidR="0072722B">
        <w:rPr>
          <w:rFonts w:ascii="Arial" w:hAnsi="Arial" w:cs="Arial"/>
        </w:rPr>
        <w:t>Women’s Health Centre</w:t>
      </w:r>
      <w:r>
        <w:rPr>
          <w:rFonts w:ascii="Arial" w:hAnsi="Arial" w:cs="Arial"/>
        </w:rPr>
        <w:t>s</w:t>
      </w:r>
    </w:p>
    <w:p w14:paraId="5B70B4C7" w14:textId="39F7D7A6" w:rsidR="001146A3" w:rsidRPr="00F211F6" w:rsidRDefault="001146A3" w:rsidP="00337B4A">
      <w:pPr>
        <w:pStyle w:val="Bodytextkeepwithnext"/>
      </w:pPr>
      <w:r w:rsidRPr="00F211F6">
        <w:t xml:space="preserve">Apart from the status quo, there are two options to </w:t>
      </w:r>
      <w:r>
        <w:t>clarify the scope of the Scheme in re</w:t>
      </w:r>
      <w:r w:rsidR="00057FF0">
        <w:t>spect</w:t>
      </w:r>
      <w:r>
        <w:t xml:space="preserve"> to community and </w:t>
      </w:r>
      <w:r w:rsidR="0072722B">
        <w:t>Women’s Health Centre</w:t>
      </w:r>
      <w:r>
        <w:t>s</w:t>
      </w:r>
      <w:r w:rsidRPr="00F211F6">
        <w:t xml:space="preserve"> (discussed in section</w:t>
      </w:r>
      <w:r>
        <w:t xml:space="preserve"> </w:t>
      </w:r>
      <w:r w:rsidR="00791100">
        <w:fldChar w:fldCharType="begin"/>
      </w:r>
      <w:r w:rsidR="00791100">
        <w:instrText xml:space="preserve"> REF _Ref34836880 \r \h </w:instrText>
      </w:r>
      <w:r w:rsidR="00791100">
        <w:fldChar w:fldCharType="separate"/>
      </w:r>
      <w:r w:rsidR="00791100">
        <w:t>2.3.2.2</w:t>
      </w:r>
      <w:r w:rsidR="00791100">
        <w:fldChar w:fldCharType="end"/>
      </w:r>
      <w:r w:rsidRPr="00F211F6">
        <w:t>), including:</w:t>
      </w:r>
    </w:p>
    <w:p w14:paraId="0DD4196D" w14:textId="7418CEFF" w:rsidR="001146A3" w:rsidRPr="00F211F6" w:rsidRDefault="00811AD9" w:rsidP="000B6C4D">
      <w:pPr>
        <w:pStyle w:val="ListBullet"/>
        <w:numPr>
          <w:ilvl w:val="0"/>
          <w:numId w:val="13"/>
        </w:numPr>
        <w:contextualSpacing w:val="0"/>
        <w:rPr>
          <w:rFonts w:cs="Arial"/>
          <w:color w:val="auto"/>
        </w:rPr>
      </w:pPr>
      <w:r>
        <w:rPr>
          <w:rFonts w:cs="Arial"/>
          <w:color w:val="auto"/>
        </w:rPr>
        <w:t>Includ</w:t>
      </w:r>
      <w:r w:rsidR="00E95DC9">
        <w:rPr>
          <w:rFonts w:cs="Arial"/>
          <w:color w:val="auto"/>
        </w:rPr>
        <w:t>ing</w:t>
      </w:r>
      <w:r>
        <w:rPr>
          <w:rFonts w:cs="Arial"/>
          <w:color w:val="auto"/>
        </w:rPr>
        <w:t xml:space="preserve"> community and </w:t>
      </w:r>
      <w:r w:rsidR="0072722B">
        <w:rPr>
          <w:rFonts w:cs="Arial"/>
          <w:color w:val="auto"/>
        </w:rPr>
        <w:t>Women’s Health Centre</w:t>
      </w:r>
      <w:r>
        <w:rPr>
          <w:rFonts w:cs="Arial"/>
          <w:color w:val="auto"/>
        </w:rPr>
        <w:t>s in the Scheme</w:t>
      </w:r>
      <w:r w:rsidR="001146A3" w:rsidRPr="00F211F6">
        <w:rPr>
          <w:rFonts w:cs="Arial"/>
          <w:color w:val="auto"/>
        </w:rPr>
        <w:t>; and</w:t>
      </w:r>
    </w:p>
    <w:p w14:paraId="1CE029FD" w14:textId="76CA08B7" w:rsidR="001146A3" w:rsidRDefault="001146A3" w:rsidP="000B6C4D">
      <w:pPr>
        <w:pStyle w:val="ListBullet"/>
        <w:numPr>
          <w:ilvl w:val="0"/>
          <w:numId w:val="13"/>
        </w:numPr>
        <w:rPr>
          <w:rFonts w:cs="Arial"/>
          <w:color w:val="auto"/>
        </w:rPr>
      </w:pPr>
      <w:r>
        <w:rPr>
          <w:rFonts w:cs="Arial"/>
          <w:color w:val="auto"/>
        </w:rPr>
        <w:t>Exclud</w:t>
      </w:r>
      <w:r w:rsidR="00E95DC9">
        <w:rPr>
          <w:rFonts w:cs="Arial"/>
          <w:color w:val="auto"/>
        </w:rPr>
        <w:t>ing</w:t>
      </w:r>
      <w:r>
        <w:rPr>
          <w:rFonts w:cs="Arial"/>
          <w:color w:val="auto"/>
        </w:rPr>
        <w:t xml:space="preserve"> community and </w:t>
      </w:r>
      <w:r w:rsidR="0072722B">
        <w:rPr>
          <w:rFonts w:cs="Arial"/>
          <w:color w:val="auto"/>
        </w:rPr>
        <w:t>Women’s Health Centre</w:t>
      </w:r>
      <w:r>
        <w:rPr>
          <w:rFonts w:cs="Arial"/>
          <w:color w:val="auto"/>
        </w:rPr>
        <w:t>s in the Scheme.</w:t>
      </w:r>
    </w:p>
    <w:p w14:paraId="325F2302" w14:textId="601CF11D" w:rsidR="00E54222" w:rsidRPr="00F211F6" w:rsidRDefault="00136A7A" w:rsidP="00337958">
      <w:pPr>
        <w:pStyle w:val="BodyText"/>
        <w:rPr>
          <w:rFonts w:cs="Arial"/>
          <w:color w:val="auto"/>
        </w:rPr>
      </w:pPr>
      <w:r>
        <w:rPr>
          <w:rFonts w:cs="Arial"/>
          <w:color w:val="auto"/>
        </w:rPr>
        <w:t>The option would also exist to include o</w:t>
      </w:r>
      <w:r w:rsidR="00E54222">
        <w:rPr>
          <w:rFonts w:cs="Arial"/>
          <w:color w:val="auto"/>
        </w:rPr>
        <w:t>nly</w:t>
      </w:r>
      <w:r>
        <w:rPr>
          <w:rFonts w:cs="Arial"/>
          <w:color w:val="auto"/>
        </w:rPr>
        <w:t xml:space="preserve"> </w:t>
      </w:r>
      <w:r w:rsidR="0072722B">
        <w:rPr>
          <w:rFonts w:cs="Arial"/>
          <w:color w:val="auto"/>
        </w:rPr>
        <w:t>Community Health Centre</w:t>
      </w:r>
      <w:r>
        <w:rPr>
          <w:rFonts w:cs="Arial"/>
          <w:color w:val="auto"/>
        </w:rPr>
        <w:t xml:space="preserve">s </w:t>
      </w:r>
      <w:r w:rsidR="00E54222">
        <w:rPr>
          <w:rFonts w:cs="Arial"/>
          <w:color w:val="auto"/>
        </w:rPr>
        <w:t xml:space="preserve">within the Scheme </w:t>
      </w:r>
      <w:r>
        <w:rPr>
          <w:rFonts w:cs="Arial"/>
          <w:color w:val="auto"/>
        </w:rPr>
        <w:t xml:space="preserve">and exclude </w:t>
      </w:r>
      <w:r w:rsidR="0072722B">
        <w:rPr>
          <w:rFonts w:cs="Arial"/>
          <w:color w:val="auto"/>
        </w:rPr>
        <w:t>Women’s Health Centre</w:t>
      </w:r>
      <w:r>
        <w:rPr>
          <w:rFonts w:cs="Arial"/>
          <w:color w:val="auto"/>
        </w:rPr>
        <w:t xml:space="preserve">s, </w:t>
      </w:r>
      <w:r w:rsidR="00880810">
        <w:rPr>
          <w:rFonts w:cs="Arial"/>
          <w:color w:val="auto"/>
        </w:rPr>
        <w:t>or</w:t>
      </w:r>
      <w:r>
        <w:rPr>
          <w:rFonts w:cs="Arial"/>
          <w:color w:val="auto"/>
        </w:rPr>
        <w:t xml:space="preserve"> vice-versa. However, as </w:t>
      </w:r>
      <w:r w:rsidR="00E54222">
        <w:rPr>
          <w:rFonts w:cs="Arial"/>
          <w:color w:val="auto"/>
        </w:rPr>
        <w:t xml:space="preserve">both </w:t>
      </w:r>
      <w:r w:rsidR="0072722B">
        <w:rPr>
          <w:rFonts w:cs="Arial"/>
          <w:color w:val="auto"/>
        </w:rPr>
        <w:t>Community Health Centre</w:t>
      </w:r>
      <w:r w:rsidR="00E54222">
        <w:rPr>
          <w:rFonts w:cs="Arial"/>
          <w:color w:val="auto"/>
        </w:rPr>
        <w:t xml:space="preserve">s and </w:t>
      </w:r>
      <w:r w:rsidR="0072722B">
        <w:rPr>
          <w:rFonts w:cs="Arial"/>
          <w:color w:val="auto"/>
        </w:rPr>
        <w:t>Women’s Health Centre</w:t>
      </w:r>
      <w:r w:rsidR="00E54222">
        <w:rPr>
          <w:rFonts w:cs="Arial"/>
          <w:color w:val="auto"/>
        </w:rPr>
        <w:t xml:space="preserve">s </w:t>
      </w:r>
      <w:r w:rsidR="0072722B">
        <w:rPr>
          <w:rFonts w:cs="Arial"/>
          <w:color w:val="auto"/>
        </w:rPr>
        <w:t>are arguably</w:t>
      </w:r>
      <w:r w:rsidR="00E54222">
        <w:rPr>
          <w:rFonts w:cs="Arial"/>
          <w:color w:val="auto"/>
        </w:rPr>
        <w:t xml:space="preserve"> excluded</w:t>
      </w:r>
      <w:r w:rsidR="00880810">
        <w:rPr>
          <w:rFonts w:cs="Arial"/>
          <w:color w:val="auto"/>
        </w:rPr>
        <w:t xml:space="preserve"> from the Scheme</w:t>
      </w:r>
      <w:r w:rsidR="00E54222">
        <w:rPr>
          <w:rFonts w:cs="Arial"/>
          <w:color w:val="auto"/>
        </w:rPr>
        <w:t xml:space="preserve"> because of the reference to the </w:t>
      </w:r>
      <w:r w:rsidR="00E54222" w:rsidRPr="00880810">
        <w:rPr>
          <w:rFonts w:cs="Arial"/>
          <w:i/>
          <w:color w:val="auto"/>
        </w:rPr>
        <w:t>Health Services Act 1988</w:t>
      </w:r>
      <w:r w:rsidR="00E54222" w:rsidRPr="00337958">
        <w:rPr>
          <w:rFonts w:cs="Arial"/>
          <w:i/>
          <w:color w:val="auto"/>
        </w:rPr>
        <w:t xml:space="preserve"> </w:t>
      </w:r>
      <w:r w:rsidR="00E54222">
        <w:rPr>
          <w:rFonts w:cs="Arial"/>
          <w:color w:val="auto"/>
        </w:rPr>
        <w:t xml:space="preserve">in the Interim Regulations, it is appropriate to consider both </w:t>
      </w:r>
      <w:r w:rsidR="002106A3">
        <w:rPr>
          <w:rFonts w:cs="Arial"/>
          <w:color w:val="auto"/>
        </w:rPr>
        <w:t>sub</w:t>
      </w:r>
      <w:r w:rsidR="002106A3">
        <w:rPr>
          <w:rFonts w:cs="Arial"/>
          <w:color w:val="auto"/>
        </w:rPr>
        <w:noBreakHyphen/>
        <w:t>sector</w:t>
      </w:r>
      <w:r w:rsidR="00E54222">
        <w:rPr>
          <w:rFonts w:cs="Arial"/>
          <w:color w:val="auto"/>
        </w:rPr>
        <w:t xml:space="preserve">s together in determining their inclusion or exclusion from the Scheme. </w:t>
      </w:r>
    </w:p>
    <w:p w14:paraId="7AB6C3CB" w14:textId="515AD7CD" w:rsidR="001146A3" w:rsidRPr="00811AD9" w:rsidRDefault="00811AD9" w:rsidP="00B53F17">
      <w:pPr>
        <w:pStyle w:val="Heading6"/>
        <w:rPr>
          <w:rFonts w:cs="Arial"/>
        </w:rPr>
      </w:pPr>
      <w:r w:rsidRPr="00811AD9">
        <w:lastRenderedPageBreak/>
        <w:t xml:space="preserve">Option 1 – </w:t>
      </w:r>
      <w:r>
        <w:t xml:space="preserve">Include community and </w:t>
      </w:r>
      <w:r w:rsidR="0072722B">
        <w:t>Women’s Health Centre</w:t>
      </w:r>
      <w:r>
        <w:t>s as eligible employers under the Scheme</w:t>
      </w:r>
    </w:p>
    <w:p w14:paraId="1E53C810" w14:textId="4BA9879B" w:rsidR="00D430EE" w:rsidRDefault="00D430EE" w:rsidP="00D430EE">
      <w:pPr>
        <w:pStyle w:val="BodyText"/>
        <w:rPr>
          <w:rFonts w:cs="Arial"/>
          <w:color w:val="auto"/>
        </w:rPr>
      </w:pPr>
      <w:r>
        <w:rPr>
          <w:rFonts w:cs="Arial"/>
          <w:color w:val="auto"/>
        </w:rPr>
        <w:t xml:space="preserve">Under this option, </w:t>
      </w:r>
      <w:r w:rsidR="0072722B">
        <w:rPr>
          <w:rFonts w:cs="Arial"/>
          <w:color w:val="auto"/>
        </w:rPr>
        <w:t>Community Health Centre</w:t>
      </w:r>
      <w:r>
        <w:rPr>
          <w:rFonts w:cs="Arial"/>
          <w:color w:val="auto"/>
        </w:rPr>
        <w:t xml:space="preserve">s, </w:t>
      </w:r>
      <w:r w:rsidR="0072722B">
        <w:rPr>
          <w:rFonts w:cs="Arial"/>
          <w:color w:val="auto"/>
        </w:rPr>
        <w:t>Women’s Health Centre</w:t>
      </w:r>
      <w:r>
        <w:rPr>
          <w:rFonts w:cs="Arial"/>
          <w:color w:val="auto"/>
        </w:rPr>
        <w:t>s and</w:t>
      </w:r>
      <w:r w:rsidR="00811AD9">
        <w:rPr>
          <w:rFonts w:cs="Arial"/>
          <w:color w:val="auto"/>
        </w:rPr>
        <w:t xml:space="preserve"> certain disability services providers who are covered by the </w:t>
      </w:r>
      <w:r w:rsidR="00811AD9" w:rsidRPr="000F0FD9">
        <w:rPr>
          <w:rFonts w:cs="Arial"/>
          <w:i/>
          <w:color w:val="auto"/>
        </w:rPr>
        <w:t>Health Services Act 1988</w:t>
      </w:r>
      <w:r w:rsidR="00811AD9">
        <w:rPr>
          <w:rFonts w:cs="Arial"/>
          <w:i/>
          <w:color w:val="auto"/>
        </w:rPr>
        <w:t xml:space="preserve"> </w:t>
      </w:r>
      <w:r w:rsidR="00811AD9">
        <w:rPr>
          <w:rFonts w:cs="Arial"/>
          <w:color w:val="auto"/>
        </w:rPr>
        <w:t>would be explicitly referenced in the Regulations as covered employers for the purposes of the Scheme</w:t>
      </w:r>
      <w:r w:rsidR="004D21B4">
        <w:rPr>
          <w:rFonts w:cs="Arial"/>
          <w:color w:val="auto"/>
        </w:rPr>
        <w:t>, subject to mee</w:t>
      </w:r>
      <w:r w:rsidR="008942FC">
        <w:rPr>
          <w:rFonts w:cs="Arial"/>
          <w:color w:val="auto"/>
        </w:rPr>
        <w:t>ting the requirements of the LS</w:t>
      </w:r>
      <w:r w:rsidR="004D21B4">
        <w:rPr>
          <w:rFonts w:cs="Arial"/>
          <w:color w:val="auto"/>
        </w:rPr>
        <w:t>B</w:t>
      </w:r>
      <w:r w:rsidR="008942FC">
        <w:rPr>
          <w:rFonts w:cs="Arial"/>
          <w:color w:val="auto"/>
        </w:rPr>
        <w:t>P</w:t>
      </w:r>
      <w:r w:rsidR="004D21B4">
        <w:rPr>
          <w:rFonts w:cs="Arial"/>
          <w:color w:val="auto"/>
        </w:rPr>
        <w:t xml:space="preserve"> Act</w:t>
      </w:r>
      <w:r w:rsidR="00811AD9">
        <w:rPr>
          <w:rFonts w:cs="Arial"/>
          <w:color w:val="auto"/>
        </w:rPr>
        <w:t xml:space="preserve">. These providers </w:t>
      </w:r>
      <w:r>
        <w:rPr>
          <w:rFonts w:cs="Arial"/>
          <w:color w:val="auto"/>
        </w:rPr>
        <w:t xml:space="preserve">would be required to register with the Authority and pay a levy to the Authority on behalf of their employees engaged in community service work. </w:t>
      </w:r>
    </w:p>
    <w:p w14:paraId="158ADDFA" w14:textId="41C41A94" w:rsidR="00B05C45" w:rsidRDefault="00B05C45" w:rsidP="00D430EE">
      <w:pPr>
        <w:pStyle w:val="BodyText"/>
        <w:rPr>
          <w:rFonts w:cs="Arial"/>
          <w:color w:val="auto"/>
        </w:rPr>
      </w:pPr>
      <w:r>
        <w:rPr>
          <w:rFonts w:cs="Arial"/>
          <w:color w:val="auto"/>
        </w:rPr>
        <w:t xml:space="preserve">This option reflects calls from unions and </w:t>
      </w:r>
      <w:r w:rsidR="00057FF0">
        <w:rPr>
          <w:rFonts w:cs="Arial"/>
          <w:color w:val="auto"/>
        </w:rPr>
        <w:t xml:space="preserve">some </w:t>
      </w:r>
      <w:r>
        <w:rPr>
          <w:rFonts w:cs="Arial"/>
          <w:color w:val="auto"/>
        </w:rPr>
        <w:t xml:space="preserve">community service peak bodies to include </w:t>
      </w:r>
      <w:r w:rsidR="0072722B">
        <w:rPr>
          <w:rFonts w:cs="Arial"/>
          <w:color w:val="auto"/>
        </w:rPr>
        <w:t>Community Health Centre</w:t>
      </w:r>
      <w:r>
        <w:rPr>
          <w:rFonts w:cs="Arial"/>
          <w:color w:val="auto"/>
        </w:rPr>
        <w:t>s within</w:t>
      </w:r>
      <w:r w:rsidR="001B1CB6">
        <w:rPr>
          <w:rFonts w:cs="Arial"/>
          <w:color w:val="auto"/>
        </w:rPr>
        <w:t xml:space="preserve"> the</w:t>
      </w:r>
      <w:r>
        <w:rPr>
          <w:rFonts w:cs="Arial"/>
          <w:color w:val="auto"/>
        </w:rPr>
        <w:t xml:space="preserve"> scope of the Scheme because they are part of the sector.</w:t>
      </w:r>
      <w:r w:rsidR="000C012C">
        <w:rPr>
          <w:rFonts w:cs="Arial"/>
          <w:color w:val="auto"/>
        </w:rPr>
        <w:t xml:space="preserve"> The option recognises that these organisations </w:t>
      </w:r>
      <w:r w:rsidR="00BD6667">
        <w:rPr>
          <w:rFonts w:cs="Arial"/>
          <w:color w:val="auto"/>
        </w:rPr>
        <w:t>deliver community services</w:t>
      </w:r>
      <w:r w:rsidR="00057FF0">
        <w:rPr>
          <w:rFonts w:cs="Arial"/>
          <w:color w:val="auto"/>
        </w:rPr>
        <w:t>, including disability services under the NDIS,</w:t>
      </w:r>
      <w:r w:rsidR="00BD6667">
        <w:rPr>
          <w:rFonts w:cs="Arial"/>
          <w:color w:val="auto"/>
        </w:rPr>
        <w:t xml:space="preserve"> and </w:t>
      </w:r>
      <w:r w:rsidR="000C012C">
        <w:rPr>
          <w:rFonts w:cs="Arial"/>
          <w:color w:val="auto"/>
        </w:rPr>
        <w:t xml:space="preserve">may be health centres in name only. </w:t>
      </w:r>
    </w:p>
    <w:p w14:paraId="76973A76" w14:textId="027A6AFA" w:rsidR="000326FC" w:rsidRPr="000326FC" w:rsidRDefault="00811AD9" w:rsidP="00B53F17">
      <w:pPr>
        <w:pStyle w:val="Heading6"/>
      </w:pPr>
      <w:r>
        <w:t>Option 2</w:t>
      </w:r>
      <w:r w:rsidR="000326FC" w:rsidRPr="000326FC">
        <w:t xml:space="preserve"> – </w:t>
      </w:r>
      <w:r w:rsidR="00DB5824">
        <w:t xml:space="preserve">Exclude </w:t>
      </w:r>
      <w:r w:rsidR="0072722B">
        <w:t>Community Health</w:t>
      </w:r>
      <w:r w:rsidR="001146A3">
        <w:t xml:space="preserve"> and </w:t>
      </w:r>
      <w:r w:rsidR="0072722B">
        <w:t>Women’s Health Centre</w:t>
      </w:r>
      <w:r w:rsidR="00DB5824">
        <w:t>s from the Scheme</w:t>
      </w:r>
    </w:p>
    <w:p w14:paraId="1E750A0A" w14:textId="54F40B1F" w:rsidR="00D430EE" w:rsidRDefault="00D430EE" w:rsidP="00D430EE">
      <w:pPr>
        <w:pStyle w:val="BodyText"/>
        <w:rPr>
          <w:rFonts w:cs="Arial"/>
          <w:color w:val="auto"/>
        </w:rPr>
      </w:pPr>
      <w:r w:rsidRPr="00F201C4">
        <w:rPr>
          <w:rFonts w:cs="Arial"/>
          <w:color w:val="auto"/>
        </w:rPr>
        <w:t xml:space="preserve">This option would </w:t>
      </w:r>
      <w:r w:rsidR="004D21B4">
        <w:rPr>
          <w:rFonts w:cs="Arial"/>
          <w:color w:val="auto"/>
        </w:rPr>
        <w:t xml:space="preserve">explicitly </w:t>
      </w:r>
      <w:r w:rsidR="00811AD9">
        <w:rPr>
          <w:rFonts w:cs="Arial"/>
          <w:color w:val="auto"/>
        </w:rPr>
        <w:t>carve</w:t>
      </w:r>
      <w:r w:rsidR="001E0D41">
        <w:rPr>
          <w:rFonts w:cs="Arial"/>
          <w:color w:val="auto"/>
        </w:rPr>
        <w:t xml:space="preserve"> </w:t>
      </w:r>
      <w:r w:rsidR="00811AD9">
        <w:rPr>
          <w:rFonts w:cs="Arial"/>
          <w:color w:val="auto"/>
        </w:rPr>
        <w:t>out</w:t>
      </w:r>
      <w:r>
        <w:rPr>
          <w:rFonts w:cs="Arial"/>
          <w:color w:val="auto"/>
        </w:rPr>
        <w:t xml:space="preserve"> </w:t>
      </w:r>
      <w:r w:rsidR="0072722B">
        <w:rPr>
          <w:rFonts w:cs="Arial"/>
          <w:color w:val="auto"/>
        </w:rPr>
        <w:t>Community Health</w:t>
      </w:r>
      <w:r w:rsidR="00811AD9">
        <w:rPr>
          <w:rFonts w:cs="Arial"/>
          <w:color w:val="auto"/>
        </w:rPr>
        <w:t xml:space="preserve"> and </w:t>
      </w:r>
      <w:r w:rsidR="0072722B">
        <w:rPr>
          <w:rFonts w:cs="Arial"/>
          <w:color w:val="auto"/>
        </w:rPr>
        <w:t>Women’s Health Centre</w:t>
      </w:r>
      <w:r>
        <w:rPr>
          <w:rFonts w:cs="Arial"/>
          <w:color w:val="auto"/>
        </w:rPr>
        <w:t>s from the Scheme</w:t>
      </w:r>
      <w:r w:rsidR="00B05C45">
        <w:rPr>
          <w:rFonts w:cs="Arial"/>
          <w:color w:val="auto"/>
        </w:rPr>
        <w:t xml:space="preserve">. Consistent with the argument put forward by </w:t>
      </w:r>
      <w:r w:rsidR="0072722B">
        <w:rPr>
          <w:rFonts w:cs="Arial"/>
          <w:color w:val="auto"/>
        </w:rPr>
        <w:t>Community Health</w:t>
      </w:r>
      <w:r w:rsidR="00B05C45">
        <w:rPr>
          <w:rFonts w:cs="Arial"/>
          <w:color w:val="auto"/>
        </w:rPr>
        <w:t xml:space="preserve"> providers, t</w:t>
      </w:r>
      <w:r w:rsidR="00811AD9">
        <w:rPr>
          <w:rFonts w:cs="Arial"/>
          <w:color w:val="auto"/>
        </w:rPr>
        <w:t xml:space="preserve">his </w:t>
      </w:r>
      <w:r w:rsidR="00B05C45">
        <w:rPr>
          <w:rFonts w:cs="Arial"/>
          <w:color w:val="auto"/>
        </w:rPr>
        <w:t>option would</w:t>
      </w:r>
      <w:r w:rsidR="00811AD9">
        <w:rPr>
          <w:rFonts w:cs="Arial"/>
          <w:color w:val="auto"/>
        </w:rPr>
        <w:t xml:space="preserve"> recognise their close relationship with the broader Victorian health sector through the </w:t>
      </w:r>
      <w:r w:rsidR="00811AD9" w:rsidRPr="000F0FD9">
        <w:rPr>
          <w:rFonts w:cs="Arial"/>
          <w:i/>
          <w:color w:val="auto"/>
        </w:rPr>
        <w:t>Health Services Act 1988</w:t>
      </w:r>
      <w:r w:rsidR="00811AD9">
        <w:rPr>
          <w:rFonts w:cs="Arial"/>
          <w:i/>
          <w:color w:val="auto"/>
        </w:rPr>
        <w:t xml:space="preserve">. </w:t>
      </w:r>
      <w:r w:rsidR="00BA4E89">
        <w:rPr>
          <w:rFonts w:cs="Arial"/>
          <w:color w:val="auto"/>
        </w:rPr>
        <w:t>Employee</w:t>
      </w:r>
      <w:r w:rsidR="00811AD9">
        <w:rPr>
          <w:rFonts w:cs="Arial"/>
          <w:color w:val="auto"/>
        </w:rPr>
        <w:t xml:space="preserve">s employed by a </w:t>
      </w:r>
      <w:r w:rsidR="0072722B">
        <w:rPr>
          <w:rFonts w:cs="Arial"/>
          <w:color w:val="auto"/>
        </w:rPr>
        <w:t>Community Health</w:t>
      </w:r>
      <w:r w:rsidR="00811AD9">
        <w:rPr>
          <w:rFonts w:cs="Arial"/>
          <w:color w:val="auto"/>
        </w:rPr>
        <w:t xml:space="preserve"> or </w:t>
      </w:r>
      <w:r w:rsidR="0072722B">
        <w:rPr>
          <w:rFonts w:cs="Arial"/>
          <w:color w:val="auto"/>
        </w:rPr>
        <w:t>Women’s Health</w:t>
      </w:r>
      <w:r w:rsidR="00811AD9">
        <w:rPr>
          <w:rFonts w:cs="Arial"/>
          <w:color w:val="auto"/>
        </w:rPr>
        <w:t xml:space="preserve"> service provider would not be eligible for the Scheme, regardless of whether they </w:t>
      </w:r>
      <w:r w:rsidR="004D21B4">
        <w:rPr>
          <w:rFonts w:cs="Arial"/>
          <w:color w:val="auto"/>
        </w:rPr>
        <w:t xml:space="preserve">undertake </w:t>
      </w:r>
      <w:r w:rsidR="00811AD9">
        <w:rPr>
          <w:rFonts w:cs="Arial"/>
          <w:color w:val="auto"/>
        </w:rPr>
        <w:t>community service work.</w:t>
      </w:r>
    </w:p>
    <w:p w14:paraId="2BC513EF" w14:textId="315B95A1" w:rsidR="00D85311" w:rsidRPr="00F201C4" w:rsidRDefault="00F11F33" w:rsidP="00D430EE">
      <w:pPr>
        <w:pStyle w:val="BodyText"/>
        <w:rPr>
          <w:rFonts w:cs="Arial"/>
          <w:color w:val="auto"/>
        </w:rPr>
      </w:pPr>
      <w:r>
        <w:rPr>
          <w:rFonts w:cs="Arial"/>
          <w:color w:val="auto"/>
        </w:rPr>
        <w:t>Option 2</w:t>
      </w:r>
      <w:r w:rsidR="00BD6667">
        <w:rPr>
          <w:rFonts w:cs="Arial"/>
          <w:color w:val="auto"/>
        </w:rPr>
        <w:t xml:space="preserve"> reflects the firm view of the </w:t>
      </w:r>
      <w:r w:rsidR="0072722B">
        <w:rPr>
          <w:rFonts w:cs="Arial"/>
          <w:color w:val="auto"/>
        </w:rPr>
        <w:t>Community Health</w:t>
      </w:r>
      <w:r w:rsidR="00BB41A4">
        <w:rPr>
          <w:rFonts w:cs="Arial"/>
          <w:color w:val="auto"/>
        </w:rPr>
        <w:t xml:space="preserve"> </w:t>
      </w:r>
      <w:r w:rsidR="002106A3">
        <w:rPr>
          <w:rFonts w:cs="Arial"/>
          <w:color w:val="auto"/>
        </w:rPr>
        <w:t>sub</w:t>
      </w:r>
      <w:r w:rsidR="002106A3">
        <w:rPr>
          <w:rFonts w:cs="Arial"/>
          <w:color w:val="auto"/>
        </w:rPr>
        <w:noBreakHyphen/>
        <w:t>sector</w:t>
      </w:r>
      <w:r w:rsidR="00BD6667">
        <w:rPr>
          <w:rFonts w:cs="Arial"/>
          <w:color w:val="auto"/>
        </w:rPr>
        <w:t xml:space="preserve"> that they should be excluded from the Scheme. </w:t>
      </w:r>
    </w:p>
    <w:p w14:paraId="412D2682" w14:textId="43C18E70" w:rsidR="008D7140" w:rsidRDefault="008D7140" w:rsidP="00D50857">
      <w:pPr>
        <w:pStyle w:val="Heading3"/>
        <w:tabs>
          <w:tab w:val="clear" w:pos="5115"/>
          <w:tab w:val="num" w:pos="720"/>
        </w:tabs>
        <w:ind w:left="720"/>
        <w:rPr>
          <w:rFonts w:ascii="Arial" w:hAnsi="Arial" w:cs="Arial"/>
        </w:rPr>
      </w:pPr>
      <w:r>
        <w:rPr>
          <w:rFonts w:ascii="Arial" w:hAnsi="Arial" w:cs="Arial"/>
        </w:rPr>
        <w:t>For-profit providers of early childhood services</w:t>
      </w:r>
    </w:p>
    <w:p w14:paraId="4D4A90CD" w14:textId="562E537F" w:rsidR="008D7140" w:rsidRPr="00F211F6" w:rsidRDefault="008D7140" w:rsidP="001E0D41">
      <w:pPr>
        <w:pStyle w:val="Bodytextkeepwithnext"/>
      </w:pPr>
      <w:r w:rsidRPr="00F211F6">
        <w:t>Due to the specific nature of the residual problem, there is only one option</w:t>
      </w:r>
      <w:r w:rsidR="002A50A9">
        <w:t>,</w:t>
      </w:r>
      <w:r w:rsidRPr="00F211F6">
        <w:t xml:space="preserve"> aside from the </w:t>
      </w:r>
      <w:r w:rsidR="0013418B">
        <w:t>status quo</w:t>
      </w:r>
      <w:r w:rsidR="002A50A9">
        <w:t>,</w:t>
      </w:r>
      <w:r w:rsidR="00DA32FB">
        <w:t xml:space="preserve"> that would clarify whether </w:t>
      </w:r>
      <w:r w:rsidR="00D36BC6">
        <w:t>for</w:t>
      </w:r>
      <w:r w:rsidR="00D36BC6">
        <w:noBreakHyphen/>
        <w:t>profit</w:t>
      </w:r>
      <w:r w:rsidR="00DA32FB">
        <w:t xml:space="preserve"> providers of early childhood services are excluded from the Scheme</w:t>
      </w:r>
      <w:r w:rsidRPr="00F211F6">
        <w:t xml:space="preserve"> </w:t>
      </w:r>
      <w:r w:rsidR="00DA32FB">
        <w:t>to</w:t>
      </w:r>
      <w:r w:rsidRPr="00F211F6">
        <w:t xml:space="preserve"> reflect the intent of </w:t>
      </w:r>
      <w:r w:rsidR="008942FC">
        <w:t>the LSBP</w:t>
      </w:r>
      <w:r w:rsidRPr="00F211F6">
        <w:t xml:space="preserve"> Act</w:t>
      </w:r>
      <w:r w:rsidR="00F211F6" w:rsidRPr="00F211F6">
        <w:t xml:space="preserve"> (discussed in section</w:t>
      </w:r>
      <w:r w:rsidR="008942FC">
        <w:t> </w:t>
      </w:r>
      <w:r w:rsidR="00791100">
        <w:fldChar w:fldCharType="begin"/>
      </w:r>
      <w:r w:rsidR="00791100">
        <w:instrText xml:space="preserve"> REF _Ref36115693 \r \h </w:instrText>
      </w:r>
      <w:r w:rsidR="00791100">
        <w:fldChar w:fldCharType="separate"/>
      </w:r>
      <w:r w:rsidR="00791100">
        <w:t>2.3.2.3</w:t>
      </w:r>
      <w:r w:rsidR="00791100">
        <w:fldChar w:fldCharType="end"/>
      </w:r>
      <w:r w:rsidR="00F211F6" w:rsidRPr="00F211F6">
        <w:t>)</w:t>
      </w:r>
      <w:r w:rsidR="00DA32FB">
        <w:t>:</w:t>
      </w:r>
    </w:p>
    <w:p w14:paraId="40A1ED10" w14:textId="7D711DDE" w:rsidR="008D7140" w:rsidRPr="00DB3ADD" w:rsidRDefault="008D7140" w:rsidP="00DB3ADD">
      <w:pPr>
        <w:pStyle w:val="ListParagraph"/>
        <w:numPr>
          <w:ilvl w:val="0"/>
          <w:numId w:val="81"/>
        </w:numPr>
        <w:rPr>
          <w:rFonts w:ascii="Arial" w:hAnsi="Arial"/>
          <w:color w:val="auto"/>
        </w:rPr>
      </w:pPr>
      <w:r w:rsidRPr="00DB3ADD">
        <w:rPr>
          <w:rFonts w:ascii="Arial" w:hAnsi="Arial"/>
          <w:color w:val="auto"/>
        </w:rPr>
        <w:t xml:space="preserve">Specifically exclude </w:t>
      </w:r>
      <w:r w:rsidR="00D36BC6">
        <w:rPr>
          <w:rFonts w:ascii="Arial" w:hAnsi="Arial"/>
          <w:color w:val="auto"/>
        </w:rPr>
        <w:t>for</w:t>
      </w:r>
      <w:r w:rsidR="00D36BC6">
        <w:rPr>
          <w:rFonts w:ascii="Arial" w:hAnsi="Arial"/>
          <w:color w:val="auto"/>
        </w:rPr>
        <w:noBreakHyphen/>
        <w:t>profit</w:t>
      </w:r>
      <w:r w:rsidRPr="00DB3ADD">
        <w:rPr>
          <w:rFonts w:ascii="Arial" w:hAnsi="Arial"/>
          <w:color w:val="auto"/>
        </w:rPr>
        <w:t xml:space="preserve"> providers from the Scheme</w:t>
      </w:r>
      <w:r w:rsidR="00AF1044" w:rsidRPr="00DB3ADD">
        <w:rPr>
          <w:rFonts w:ascii="Arial" w:hAnsi="Arial"/>
          <w:color w:val="auto"/>
        </w:rPr>
        <w:t>.</w:t>
      </w:r>
    </w:p>
    <w:p w14:paraId="1CD9CE4F" w14:textId="7989D5C1" w:rsidR="008D7140" w:rsidRPr="003D1EF2" w:rsidRDefault="003D1EF2" w:rsidP="008639FE">
      <w:pPr>
        <w:pStyle w:val="BodyText"/>
        <w:rPr>
          <w:rFonts w:cs="Arial"/>
          <w:color w:val="auto"/>
        </w:rPr>
      </w:pPr>
      <w:r w:rsidRPr="003D1EF2">
        <w:rPr>
          <w:rFonts w:cs="Arial"/>
          <w:color w:val="auto"/>
        </w:rPr>
        <w:t xml:space="preserve">This option would clarify that </w:t>
      </w:r>
      <w:r w:rsidR="00D36BC6">
        <w:rPr>
          <w:rFonts w:cs="Arial"/>
          <w:color w:val="auto"/>
        </w:rPr>
        <w:t>for</w:t>
      </w:r>
      <w:r w:rsidR="00D36BC6">
        <w:rPr>
          <w:rFonts w:cs="Arial"/>
          <w:color w:val="auto"/>
        </w:rPr>
        <w:noBreakHyphen/>
        <w:t>profit</w:t>
      </w:r>
      <w:r w:rsidRPr="003D1EF2">
        <w:rPr>
          <w:rFonts w:cs="Arial"/>
          <w:color w:val="auto"/>
        </w:rPr>
        <w:t xml:space="preserve"> licensed children's service</w:t>
      </w:r>
      <w:r w:rsidR="00D430EE">
        <w:rPr>
          <w:rFonts w:cs="Arial"/>
          <w:color w:val="auto"/>
        </w:rPr>
        <w:t>s</w:t>
      </w:r>
      <w:r w:rsidRPr="003D1EF2">
        <w:rPr>
          <w:rFonts w:cs="Arial"/>
          <w:color w:val="auto"/>
        </w:rPr>
        <w:t xml:space="preserve"> under the </w:t>
      </w:r>
      <w:r w:rsidRPr="003D1EF2">
        <w:rPr>
          <w:rFonts w:cs="Arial"/>
          <w:i/>
          <w:iCs/>
          <w:color w:val="auto"/>
        </w:rPr>
        <w:t xml:space="preserve">Children's Services Act 1996 </w:t>
      </w:r>
      <w:r w:rsidRPr="003D1EF2">
        <w:rPr>
          <w:rFonts w:cs="Arial"/>
          <w:color w:val="auto"/>
        </w:rPr>
        <w:t>or an approved provider under the Education and Care Services National Law are not covered by the Scheme and are not required to pay levies to the Authority on behalf on their employees.</w:t>
      </w:r>
    </w:p>
    <w:p w14:paraId="73C86D67" w14:textId="51C1B516" w:rsidR="006B7566" w:rsidRPr="00EC5379" w:rsidRDefault="006B7566" w:rsidP="006B7566">
      <w:pPr>
        <w:pStyle w:val="Heading2"/>
        <w:rPr>
          <w:rFonts w:ascii="Arial" w:hAnsi="Arial" w:cs="Arial"/>
        </w:rPr>
      </w:pPr>
      <w:bookmarkStart w:id="94" w:name="_Toc37921491"/>
      <w:r w:rsidRPr="00EC5379">
        <w:rPr>
          <w:rFonts w:ascii="Arial" w:hAnsi="Arial" w:cs="Arial"/>
        </w:rPr>
        <w:t xml:space="preserve">Who is </w:t>
      </w:r>
      <w:r w:rsidR="0071726F" w:rsidRPr="00AD518C">
        <w:rPr>
          <w:rFonts w:ascii="Arial" w:hAnsi="Arial" w:cs="Arial"/>
        </w:rPr>
        <w:t>regarded as</w:t>
      </w:r>
      <w:r w:rsidR="0071726F">
        <w:rPr>
          <w:rFonts w:ascii="Arial" w:hAnsi="Arial" w:cs="Arial"/>
          <w:color w:val="auto"/>
        </w:rPr>
        <w:t xml:space="preserve"> </w:t>
      </w:r>
      <w:r w:rsidRPr="00EC5379">
        <w:rPr>
          <w:rFonts w:ascii="Arial" w:hAnsi="Arial" w:cs="Arial"/>
        </w:rPr>
        <w:t>an employee in the community services sector</w:t>
      </w:r>
      <w:bookmarkEnd w:id="94"/>
    </w:p>
    <w:p w14:paraId="4FF1F7C9" w14:textId="21881483" w:rsidR="00D430EE" w:rsidRPr="00F211F6" w:rsidRDefault="00D430EE" w:rsidP="00D430EE">
      <w:pPr>
        <w:rPr>
          <w:rFonts w:ascii="Arial" w:hAnsi="Arial" w:cs="Arial"/>
          <w:color w:val="auto"/>
        </w:rPr>
      </w:pPr>
      <w:r w:rsidRPr="00F211F6">
        <w:rPr>
          <w:rFonts w:ascii="Arial" w:hAnsi="Arial" w:cs="Arial"/>
          <w:color w:val="auto"/>
        </w:rPr>
        <w:t xml:space="preserve">Apart from </w:t>
      </w:r>
      <w:r w:rsidR="00DA32FB">
        <w:rPr>
          <w:rFonts w:ascii="Arial" w:hAnsi="Arial" w:cs="Arial"/>
          <w:color w:val="auto"/>
        </w:rPr>
        <w:t xml:space="preserve">applying the existing employee predominance test under </w:t>
      </w:r>
      <w:r w:rsidRPr="00F211F6">
        <w:rPr>
          <w:rFonts w:ascii="Arial" w:hAnsi="Arial" w:cs="Arial"/>
          <w:color w:val="auto"/>
        </w:rPr>
        <w:t xml:space="preserve">the status quo, there are </w:t>
      </w:r>
      <w:r w:rsidR="001E0D41">
        <w:rPr>
          <w:rFonts w:ascii="Arial" w:hAnsi="Arial" w:cs="Arial"/>
          <w:color w:val="auto"/>
        </w:rPr>
        <w:t>three</w:t>
      </w:r>
      <w:r w:rsidR="001E0D41" w:rsidRPr="00F211F6">
        <w:rPr>
          <w:rFonts w:ascii="Arial" w:hAnsi="Arial" w:cs="Arial"/>
          <w:color w:val="auto"/>
        </w:rPr>
        <w:t xml:space="preserve"> </w:t>
      </w:r>
      <w:r w:rsidRPr="00F211F6">
        <w:rPr>
          <w:rFonts w:ascii="Arial" w:hAnsi="Arial" w:cs="Arial"/>
          <w:color w:val="auto"/>
        </w:rPr>
        <w:t xml:space="preserve">options to improve clarity as to who is </w:t>
      </w:r>
      <w:r w:rsidR="0071726F">
        <w:rPr>
          <w:rFonts w:ascii="Arial" w:hAnsi="Arial" w:cs="Arial"/>
          <w:color w:val="auto"/>
        </w:rPr>
        <w:t xml:space="preserve">regarded as </w:t>
      </w:r>
      <w:r w:rsidRPr="00F211F6">
        <w:rPr>
          <w:rFonts w:ascii="Arial" w:hAnsi="Arial" w:cs="Arial"/>
          <w:color w:val="auto"/>
        </w:rPr>
        <w:t xml:space="preserve">an employee in the community services sector (discussed in section </w:t>
      </w:r>
      <w:r w:rsidR="00791100">
        <w:rPr>
          <w:rFonts w:ascii="Arial" w:hAnsi="Arial" w:cs="Arial"/>
          <w:color w:val="auto"/>
        </w:rPr>
        <w:fldChar w:fldCharType="begin"/>
      </w:r>
      <w:r w:rsidR="00791100">
        <w:rPr>
          <w:rFonts w:ascii="Arial" w:hAnsi="Arial" w:cs="Arial"/>
          <w:color w:val="auto"/>
        </w:rPr>
        <w:instrText xml:space="preserve"> REF _Ref35594455 \r \h </w:instrText>
      </w:r>
      <w:r w:rsidR="00791100">
        <w:rPr>
          <w:rFonts w:ascii="Arial" w:hAnsi="Arial" w:cs="Arial"/>
          <w:color w:val="auto"/>
        </w:rPr>
      </w:r>
      <w:r w:rsidR="00791100">
        <w:rPr>
          <w:rFonts w:ascii="Arial" w:hAnsi="Arial" w:cs="Arial"/>
          <w:color w:val="auto"/>
        </w:rPr>
        <w:fldChar w:fldCharType="separate"/>
      </w:r>
      <w:r w:rsidR="00791100">
        <w:rPr>
          <w:rFonts w:ascii="Arial" w:hAnsi="Arial" w:cs="Arial"/>
          <w:color w:val="auto"/>
        </w:rPr>
        <w:t>2.3.3</w:t>
      </w:r>
      <w:r w:rsidR="00791100">
        <w:rPr>
          <w:rFonts w:ascii="Arial" w:hAnsi="Arial" w:cs="Arial"/>
          <w:color w:val="auto"/>
        </w:rPr>
        <w:fldChar w:fldCharType="end"/>
      </w:r>
      <w:r w:rsidRPr="00F211F6">
        <w:rPr>
          <w:rFonts w:ascii="Arial" w:hAnsi="Arial" w:cs="Arial"/>
          <w:color w:val="auto"/>
        </w:rPr>
        <w:t>), including:</w:t>
      </w:r>
    </w:p>
    <w:p w14:paraId="1581B73A" w14:textId="7C87A2F4" w:rsidR="00CB2BBD" w:rsidRDefault="00CB2BBD" w:rsidP="000B6C4D">
      <w:pPr>
        <w:pStyle w:val="ListBullet"/>
        <w:numPr>
          <w:ilvl w:val="0"/>
          <w:numId w:val="13"/>
        </w:numPr>
        <w:contextualSpacing w:val="0"/>
        <w:rPr>
          <w:rFonts w:cs="Arial"/>
          <w:color w:val="auto"/>
        </w:rPr>
      </w:pPr>
      <w:r>
        <w:rPr>
          <w:rFonts w:cs="Arial"/>
          <w:color w:val="auto"/>
        </w:rPr>
        <w:t>Provid</w:t>
      </w:r>
      <w:r w:rsidR="001E0D41">
        <w:rPr>
          <w:rFonts w:cs="Arial"/>
          <w:color w:val="auto"/>
        </w:rPr>
        <w:t>e</w:t>
      </w:r>
      <w:r>
        <w:rPr>
          <w:rFonts w:cs="Arial"/>
          <w:color w:val="auto"/>
        </w:rPr>
        <w:t xml:space="preserve"> additional clarity around the application of the employee predominance test;</w:t>
      </w:r>
      <w:r w:rsidRPr="00F211F6">
        <w:rPr>
          <w:rFonts w:cs="Arial"/>
          <w:color w:val="auto"/>
        </w:rPr>
        <w:t xml:space="preserve"> </w:t>
      </w:r>
    </w:p>
    <w:p w14:paraId="10BBB0B7" w14:textId="7A8361C6" w:rsidR="00D430EE" w:rsidRPr="00F211F6" w:rsidRDefault="00D430EE" w:rsidP="000B6C4D">
      <w:pPr>
        <w:pStyle w:val="ListBullet"/>
        <w:numPr>
          <w:ilvl w:val="0"/>
          <w:numId w:val="13"/>
        </w:numPr>
        <w:contextualSpacing w:val="0"/>
        <w:rPr>
          <w:rFonts w:cs="Arial"/>
          <w:color w:val="auto"/>
        </w:rPr>
      </w:pPr>
      <w:r w:rsidRPr="00F211F6">
        <w:rPr>
          <w:rFonts w:cs="Arial"/>
          <w:color w:val="auto"/>
        </w:rPr>
        <w:t>Replac</w:t>
      </w:r>
      <w:r w:rsidR="001E0D41">
        <w:rPr>
          <w:rFonts w:cs="Arial"/>
          <w:color w:val="auto"/>
        </w:rPr>
        <w:t>e</w:t>
      </w:r>
      <w:r w:rsidRPr="00F211F6">
        <w:rPr>
          <w:rFonts w:cs="Arial"/>
          <w:color w:val="auto"/>
        </w:rPr>
        <w:t xml:space="preserve"> the employee predominance test with a </w:t>
      </w:r>
      <w:r>
        <w:rPr>
          <w:rFonts w:cs="Arial"/>
          <w:color w:val="auto"/>
        </w:rPr>
        <w:t xml:space="preserve">modern award </w:t>
      </w:r>
      <w:r w:rsidRPr="00F211F6">
        <w:rPr>
          <w:rFonts w:cs="Arial"/>
          <w:color w:val="auto"/>
        </w:rPr>
        <w:t>coverage test; and</w:t>
      </w:r>
    </w:p>
    <w:p w14:paraId="0B771607" w14:textId="1D4AE1F1" w:rsidR="00D430EE" w:rsidRPr="00F211F6" w:rsidRDefault="008F4957" w:rsidP="00034D1B">
      <w:pPr>
        <w:pStyle w:val="ListBullet"/>
        <w:numPr>
          <w:ilvl w:val="0"/>
          <w:numId w:val="13"/>
        </w:numPr>
        <w:rPr>
          <w:rFonts w:cs="Arial"/>
          <w:color w:val="auto"/>
        </w:rPr>
      </w:pPr>
      <w:r>
        <w:rPr>
          <w:rFonts w:cs="Arial"/>
          <w:color w:val="auto"/>
        </w:rPr>
        <w:t>Exclud</w:t>
      </w:r>
      <w:r w:rsidR="001E0D41">
        <w:rPr>
          <w:rFonts w:cs="Arial"/>
          <w:color w:val="auto"/>
        </w:rPr>
        <w:t>e</w:t>
      </w:r>
      <w:r w:rsidR="00FE45BE">
        <w:rPr>
          <w:rFonts w:cs="Arial"/>
          <w:color w:val="auto"/>
        </w:rPr>
        <w:t xml:space="preserve"> management and administrative activities from the existing employee test</w:t>
      </w:r>
      <w:r w:rsidR="00D430EE" w:rsidRPr="00F211F6">
        <w:rPr>
          <w:rFonts w:cs="Arial"/>
          <w:color w:val="auto"/>
        </w:rPr>
        <w:t>.</w:t>
      </w:r>
    </w:p>
    <w:p w14:paraId="18C7D9E1" w14:textId="4C8F32E6" w:rsidR="00CB2BBD" w:rsidRPr="00CF0C6E" w:rsidRDefault="00CB2BBD" w:rsidP="001E0D41">
      <w:pPr>
        <w:pStyle w:val="Heading6"/>
      </w:pPr>
      <w:r w:rsidRPr="00DB3ADD">
        <w:lastRenderedPageBreak/>
        <w:t xml:space="preserve">Option 1 – Provide additional clarity around the application of </w:t>
      </w:r>
      <w:r w:rsidR="00B86CBB" w:rsidRPr="00DB3ADD">
        <w:t>the employee predominance test</w:t>
      </w:r>
    </w:p>
    <w:p w14:paraId="10731BA2" w14:textId="63BCDCEF" w:rsidR="009E1A07" w:rsidRPr="00DB5824" w:rsidRDefault="009E1A07" w:rsidP="009E1A07">
      <w:pPr>
        <w:pStyle w:val="BodyText"/>
        <w:rPr>
          <w:rFonts w:cs="Arial"/>
          <w:color w:val="auto"/>
        </w:rPr>
      </w:pPr>
      <w:r w:rsidRPr="00DB5824">
        <w:rPr>
          <w:rFonts w:cs="Arial"/>
          <w:color w:val="auto"/>
        </w:rPr>
        <w:t xml:space="preserve">This option would </w:t>
      </w:r>
      <w:r>
        <w:rPr>
          <w:rFonts w:cs="Arial"/>
          <w:color w:val="auto"/>
        </w:rPr>
        <w:t xml:space="preserve">provide additional clarity to employers and the Authority about how the employee predominance test would be applied. The Regulations would be amended to clarify how predominance should be measured in terms of the split between community service work and health and aged care work. </w:t>
      </w:r>
      <w:r w:rsidR="00BF6059">
        <w:rPr>
          <w:rFonts w:cs="Arial"/>
          <w:color w:val="auto"/>
        </w:rPr>
        <w:t>A</w:t>
      </w:r>
      <w:r w:rsidR="00BA4E89">
        <w:rPr>
          <w:rFonts w:cs="Arial"/>
          <w:color w:val="auto"/>
        </w:rPr>
        <w:t>n</w:t>
      </w:r>
      <w:r w:rsidR="00BF6059">
        <w:rPr>
          <w:rFonts w:cs="Arial"/>
          <w:color w:val="auto"/>
        </w:rPr>
        <w:t xml:space="preserve"> </w:t>
      </w:r>
      <w:r w:rsidR="00BA4E89">
        <w:rPr>
          <w:rFonts w:cs="Arial"/>
          <w:color w:val="auto"/>
        </w:rPr>
        <w:t>employee</w:t>
      </w:r>
      <w:r w:rsidR="00BF6059">
        <w:rPr>
          <w:rFonts w:cs="Arial"/>
          <w:color w:val="auto"/>
        </w:rPr>
        <w:t xml:space="preserve"> would </w:t>
      </w:r>
      <w:r w:rsidR="00E95DC9">
        <w:rPr>
          <w:rFonts w:cs="Arial"/>
          <w:color w:val="auto"/>
        </w:rPr>
        <w:t xml:space="preserve">be expected to </w:t>
      </w:r>
      <w:r w:rsidR="00BF6059">
        <w:rPr>
          <w:rFonts w:cs="Arial"/>
          <w:color w:val="auto"/>
        </w:rPr>
        <w:t xml:space="preserve">spend </w:t>
      </w:r>
      <w:r w:rsidR="00CE3DED">
        <w:rPr>
          <w:rFonts w:cs="Arial"/>
          <w:color w:val="auto"/>
        </w:rPr>
        <w:t xml:space="preserve">at least </w:t>
      </w:r>
      <w:r w:rsidR="00BF6059">
        <w:rPr>
          <w:rFonts w:cs="Arial"/>
          <w:color w:val="auto"/>
        </w:rPr>
        <w:t xml:space="preserve">50 percent of their time performing community service work </w:t>
      </w:r>
      <w:r w:rsidR="00E95DC9">
        <w:rPr>
          <w:rFonts w:cs="Arial"/>
          <w:color w:val="auto"/>
        </w:rPr>
        <w:t>in any</w:t>
      </w:r>
      <w:r w:rsidR="00BF6059">
        <w:rPr>
          <w:rFonts w:cs="Arial"/>
          <w:color w:val="auto"/>
        </w:rPr>
        <w:t xml:space="preserve"> </w:t>
      </w:r>
      <w:r w:rsidR="0072722B">
        <w:rPr>
          <w:rFonts w:cs="Arial"/>
          <w:color w:val="auto"/>
        </w:rPr>
        <w:t xml:space="preserve">quarter </w:t>
      </w:r>
      <w:r w:rsidR="00BF6059">
        <w:rPr>
          <w:rFonts w:cs="Arial"/>
          <w:color w:val="auto"/>
        </w:rPr>
        <w:t>of their employment with an employer to meet the predominance test</w:t>
      </w:r>
      <w:r w:rsidR="00E95DC9">
        <w:rPr>
          <w:rFonts w:cs="Arial"/>
          <w:color w:val="auto"/>
        </w:rPr>
        <w:t xml:space="preserve"> and be eligible for the Scheme</w:t>
      </w:r>
      <w:r w:rsidR="0055008B">
        <w:rPr>
          <w:rFonts w:cs="Arial"/>
          <w:color w:val="auto"/>
        </w:rPr>
        <w:t xml:space="preserve">. </w:t>
      </w:r>
    </w:p>
    <w:p w14:paraId="7294D133" w14:textId="1E9EA4BE" w:rsidR="00D430EE" w:rsidRPr="00CF0C6E" w:rsidRDefault="00D430EE" w:rsidP="00DB3ADD">
      <w:pPr>
        <w:keepNext/>
        <w:rPr>
          <w:rFonts w:ascii="Arial" w:hAnsi="Arial"/>
          <w:color w:val="auto"/>
        </w:rPr>
      </w:pPr>
      <w:r w:rsidRPr="00DB3ADD">
        <w:rPr>
          <w:rFonts w:ascii="Arial" w:hAnsi="Arial"/>
          <w:b/>
          <w:color w:val="auto"/>
        </w:rPr>
        <w:t>Opti</w:t>
      </w:r>
      <w:r w:rsidR="00CB2BBD" w:rsidRPr="00DB3ADD">
        <w:rPr>
          <w:rFonts w:ascii="Arial" w:hAnsi="Arial"/>
          <w:b/>
          <w:color w:val="auto"/>
        </w:rPr>
        <w:t>on 2</w:t>
      </w:r>
      <w:r w:rsidR="00012E12" w:rsidRPr="00DB3ADD">
        <w:rPr>
          <w:rFonts w:ascii="Arial" w:hAnsi="Arial"/>
          <w:b/>
          <w:color w:val="auto"/>
        </w:rPr>
        <w:t xml:space="preserve"> – Replace the</w:t>
      </w:r>
      <w:r w:rsidRPr="00DB3ADD">
        <w:rPr>
          <w:rFonts w:ascii="Arial" w:hAnsi="Arial"/>
          <w:b/>
          <w:color w:val="auto"/>
        </w:rPr>
        <w:t xml:space="preserve"> employee predominance test with a modern award coverage test</w:t>
      </w:r>
    </w:p>
    <w:p w14:paraId="24E9503D" w14:textId="166317A9" w:rsidR="008639FE" w:rsidRPr="001D0F5C" w:rsidRDefault="000A44A4" w:rsidP="008639FE">
      <w:pPr>
        <w:pStyle w:val="BodyText"/>
        <w:rPr>
          <w:rFonts w:cs="Arial"/>
          <w:color w:val="auto"/>
        </w:rPr>
      </w:pPr>
      <w:r w:rsidRPr="001D0F5C">
        <w:rPr>
          <w:rFonts w:cs="Arial"/>
          <w:color w:val="auto"/>
        </w:rPr>
        <w:t xml:space="preserve">This option would define an employee in the community services sector in reference to the </w:t>
      </w:r>
      <w:r w:rsidR="008F4957">
        <w:rPr>
          <w:rFonts w:cs="Arial"/>
          <w:color w:val="auto"/>
        </w:rPr>
        <w:t>four</w:t>
      </w:r>
      <w:r w:rsidRPr="001D0F5C">
        <w:rPr>
          <w:rFonts w:cs="Arial"/>
          <w:color w:val="auto"/>
        </w:rPr>
        <w:t xml:space="preserve"> modern awards that cover the sector:</w:t>
      </w:r>
    </w:p>
    <w:p w14:paraId="7CB7C10A" w14:textId="1B246800" w:rsidR="000A44A4" w:rsidRPr="001D0F5C" w:rsidRDefault="001D0F5C" w:rsidP="000B6C4D">
      <w:pPr>
        <w:pStyle w:val="BodyText"/>
        <w:numPr>
          <w:ilvl w:val="0"/>
          <w:numId w:val="15"/>
        </w:numPr>
        <w:rPr>
          <w:rFonts w:cs="Arial"/>
          <w:color w:val="auto"/>
        </w:rPr>
      </w:pPr>
      <w:r w:rsidRPr="001D0F5C">
        <w:rPr>
          <w:rFonts w:cs="Arial"/>
          <w:color w:val="auto"/>
        </w:rPr>
        <w:t xml:space="preserve">The </w:t>
      </w:r>
      <w:r w:rsidRPr="00274787">
        <w:rPr>
          <w:rFonts w:cs="Arial"/>
          <w:i/>
          <w:color w:val="auto"/>
        </w:rPr>
        <w:t>Social, Community, Home Care and Disability Services Award 2010</w:t>
      </w:r>
      <w:r w:rsidRPr="001D0F5C">
        <w:rPr>
          <w:rFonts w:cs="Arial"/>
          <w:color w:val="auto"/>
        </w:rPr>
        <w:t>;</w:t>
      </w:r>
    </w:p>
    <w:p w14:paraId="65DE45B0" w14:textId="728F7559" w:rsidR="001D0F5C" w:rsidRPr="001D0F5C" w:rsidRDefault="001D0F5C" w:rsidP="000B6C4D">
      <w:pPr>
        <w:pStyle w:val="BodyText"/>
        <w:numPr>
          <w:ilvl w:val="0"/>
          <w:numId w:val="15"/>
        </w:numPr>
        <w:rPr>
          <w:rFonts w:cs="Arial"/>
          <w:color w:val="auto"/>
        </w:rPr>
      </w:pPr>
      <w:r w:rsidRPr="001D0F5C">
        <w:rPr>
          <w:rFonts w:cs="Arial"/>
          <w:color w:val="auto"/>
        </w:rPr>
        <w:t xml:space="preserve">The </w:t>
      </w:r>
      <w:r w:rsidRPr="00274787">
        <w:rPr>
          <w:rFonts w:cs="Arial"/>
          <w:i/>
          <w:color w:val="auto"/>
        </w:rPr>
        <w:t>Chi</w:t>
      </w:r>
      <w:r w:rsidR="004D21B4" w:rsidRPr="00274787">
        <w:rPr>
          <w:rFonts w:cs="Arial"/>
          <w:i/>
          <w:color w:val="auto"/>
        </w:rPr>
        <w:t>ldren’s Services Award 2010</w:t>
      </w:r>
      <w:r w:rsidR="004D21B4">
        <w:rPr>
          <w:rFonts w:cs="Arial"/>
          <w:color w:val="auto"/>
        </w:rPr>
        <w:t xml:space="preserve">; </w:t>
      </w:r>
    </w:p>
    <w:p w14:paraId="3091CBB1" w14:textId="0FC4916B" w:rsidR="004D21B4" w:rsidRDefault="001D0F5C" w:rsidP="000B6C4D">
      <w:pPr>
        <w:pStyle w:val="BodyText"/>
        <w:numPr>
          <w:ilvl w:val="0"/>
          <w:numId w:val="15"/>
        </w:numPr>
        <w:rPr>
          <w:rFonts w:cs="Arial"/>
          <w:color w:val="auto"/>
        </w:rPr>
      </w:pPr>
      <w:r w:rsidRPr="001D0F5C">
        <w:rPr>
          <w:rFonts w:cs="Arial"/>
          <w:color w:val="auto"/>
        </w:rPr>
        <w:t xml:space="preserve">The </w:t>
      </w:r>
      <w:r w:rsidRPr="00274787">
        <w:rPr>
          <w:rFonts w:cs="Arial"/>
          <w:i/>
          <w:color w:val="auto"/>
        </w:rPr>
        <w:t>Educational</w:t>
      </w:r>
      <w:r w:rsidR="004D21B4" w:rsidRPr="00274787">
        <w:rPr>
          <w:rFonts w:cs="Arial"/>
          <w:i/>
          <w:color w:val="auto"/>
        </w:rPr>
        <w:t xml:space="preserve"> Services (Teachers) Award 2010</w:t>
      </w:r>
      <w:r w:rsidR="008F4957">
        <w:rPr>
          <w:rFonts w:cs="Arial"/>
          <w:color w:val="auto"/>
        </w:rPr>
        <w:t>; and</w:t>
      </w:r>
    </w:p>
    <w:p w14:paraId="038E93B1" w14:textId="0D86C968" w:rsidR="008F4957" w:rsidRPr="004D21B4" w:rsidRDefault="008F4957" w:rsidP="000B6C4D">
      <w:pPr>
        <w:pStyle w:val="BodyText"/>
        <w:numPr>
          <w:ilvl w:val="0"/>
          <w:numId w:val="15"/>
        </w:numPr>
        <w:rPr>
          <w:rFonts w:cs="Arial"/>
          <w:color w:val="auto"/>
        </w:rPr>
      </w:pPr>
      <w:r>
        <w:rPr>
          <w:rFonts w:cs="Arial"/>
          <w:color w:val="auto"/>
        </w:rPr>
        <w:t xml:space="preserve">The </w:t>
      </w:r>
      <w:r>
        <w:rPr>
          <w:rFonts w:cs="Arial"/>
          <w:i/>
          <w:color w:val="auto"/>
        </w:rPr>
        <w:t>Labour Market Assistance Industry Award 2010.</w:t>
      </w:r>
    </w:p>
    <w:p w14:paraId="3B2365CF" w14:textId="38655727" w:rsidR="000C012C" w:rsidRPr="000C012C" w:rsidRDefault="008F4957" w:rsidP="004D21B4">
      <w:pPr>
        <w:pStyle w:val="BodyText"/>
        <w:rPr>
          <w:rFonts w:cs="Arial"/>
          <w:color w:val="auto"/>
        </w:rPr>
      </w:pPr>
      <w:r>
        <w:rPr>
          <w:rFonts w:cs="Arial"/>
          <w:color w:val="auto"/>
        </w:rPr>
        <w:t xml:space="preserve">Not all employees in Victoria </w:t>
      </w:r>
      <w:r w:rsidR="00755B20">
        <w:rPr>
          <w:rFonts w:cs="Arial"/>
          <w:color w:val="auto"/>
        </w:rPr>
        <w:t>whose employment is covered by</w:t>
      </w:r>
      <w:r>
        <w:rPr>
          <w:rFonts w:cs="Arial"/>
          <w:color w:val="auto"/>
        </w:rPr>
        <w:t xml:space="preserve"> these four modern awards would automatically be included in the Scheme. </w:t>
      </w:r>
      <w:r w:rsidR="00C976DB">
        <w:rPr>
          <w:rFonts w:cs="Arial"/>
          <w:color w:val="auto"/>
        </w:rPr>
        <w:t>Under th</w:t>
      </w:r>
      <w:r w:rsidR="00AA2BBF">
        <w:rPr>
          <w:rFonts w:cs="Arial"/>
          <w:color w:val="auto"/>
        </w:rPr>
        <w:t xml:space="preserve">is option, </w:t>
      </w:r>
      <w:r>
        <w:rPr>
          <w:rFonts w:cs="Arial"/>
          <w:color w:val="auto"/>
        </w:rPr>
        <w:t>a</w:t>
      </w:r>
      <w:r w:rsidR="00BA4E89">
        <w:rPr>
          <w:rFonts w:cs="Arial"/>
          <w:color w:val="auto"/>
        </w:rPr>
        <w:t>n</w:t>
      </w:r>
      <w:r>
        <w:rPr>
          <w:rFonts w:cs="Arial"/>
          <w:color w:val="auto"/>
        </w:rPr>
        <w:t xml:space="preserve"> </w:t>
      </w:r>
      <w:r w:rsidR="00BA4E89">
        <w:rPr>
          <w:rFonts w:cs="Arial"/>
          <w:color w:val="auto"/>
        </w:rPr>
        <w:t>employee</w:t>
      </w:r>
      <w:r>
        <w:rPr>
          <w:rFonts w:cs="Arial"/>
          <w:color w:val="auto"/>
        </w:rPr>
        <w:t xml:space="preserve"> would still need to be employed by an eligible employer and be performing community service work, as defined by the Regulations</w:t>
      </w:r>
      <w:r w:rsidR="00755B20">
        <w:rPr>
          <w:rFonts w:cs="Arial"/>
          <w:color w:val="auto"/>
        </w:rPr>
        <w:t xml:space="preserve">, under the multi-factorial test of eligibility for the sector (see </w:t>
      </w:r>
      <w:r w:rsidR="00755B20">
        <w:rPr>
          <w:rFonts w:cs="Arial"/>
          <w:color w:val="auto"/>
        </w:rPr>
        <w:fldChar w:fldCharType="begin"/>
      </w:r>
      <w:r w:rsidR="00755B20">
        <w:rPr>
          <w:rFonts w:cs="Arial"/>
          <w:color w:val="auto"/>
        </w:rPr>
        <w:instrText xml:space="preserve"> REF _Ref36560099 \h </w:instrText>
      </w:r>
      <w:r w:rsidR="00755B20">
        <w:rPr>
          <w:rFonts w:cs="Arial"/>
          <w:color w:val="auto"/>
        </w:rPr>
      </w:r>
      <w:r w:rsidR="00755B20">
        <w:rPr>
          <w:rFonts w:cs="Arial"/>
          <w:color w:val="auto"/>
        </w:rPr>
        <w:fldChar w:fldCharType="separate"/>
      </w:r>
      <w:r w:rsidR="00755B20" w:rsidRPr="003A15C8">
        <w:rPr>
          <w:rFonts w:cs="Arial"/>
          <w:color w:val="auto"/>
        </w:rPr>
        <w:t xml:space="preserve">Figure </w:t>
      </w:r>
      <w:r w:rsidR="00755B20">
        <w:rPr>
          <w:rFonts w:cs="Arial"/>
          <w:noProof/>
          <w:color w:val="auto"/>
        </w:rPr>
        <w:t>2</w:t>
      </w:r>
      <w:r w:rsidR="00755B20">
        <w:rPr>
          <w:rFonts w:cs="Arial"/>
          <w:color w:val="auto"/>
        </w:rPr>
        <w:fldChar w:fldCharType="end"/>
      </w:r>
      <w:r w:rsidR="00755B20">
        <w:rPr>
          <w:rFonts w:cs="Arial"/>
          <w:color w:val="auto"/>
        </w:rPr>
        <w:t>)</w:t>
      </w:r>
      <w:r>
        <w:rPr>
          <w:rFonts w:cs="Arial"/>
          <w:color w:val="auto"/>
        </w:rPr>
        <w:t xml:space="preserve">. However, this option would clarify that managerial, administrative and support staff </w:t>
      </w:r>
      <w:r w:rsidR="00755B20">
        <w:rPr>
          <w:rFonts w:cs="Arial"/>
          <w:color w:val="auto"/>
        </w:rPr>
        <w:t>whose employment is covered by</w:t>
      </w:r>
      <w:r>
        <w:rPr>
          <w:rFonts w:cs="Arial"/>
          <w:color w:val="auto"/>
        </w:rPr>
        <w:t xml:space="preserve"> one of these modern awards </w:t>
      </w:r>
      <w:r w:rsidR="00755B20">
        <w:rPr>
          <w:rFonts w:cs="Arial"/>
          <w:color w:val="auto"/>
        </w:rPr>
        <w:t>and who is employed by an</w:t>
      </w:r>
      <w:r>
        <w:rPr>
          <w:rFonts w:cs="Arial"/>
          <w:color w:val="auto"/>
        </w:rPr>
        <w:t xml:space="preserve"> eligible employer would be covered by the Scheme. </w:t>
      </w:r>
      <w:r w:rsidR="000C012C">
        <w:rPr>
          <w:rFonts w:cs="Arial"/>
          <w:color w:val="auto"/>
        </w:rPr>
        <w:t>In partic</w:t>
      </w:r>
      <w:r w:rsidR="000C012C" w:rsidRPr="000C012C">
        <w:rPr>
          <w:rFonts w:cs="Arial"/>
          <w:color w:val="auto"/>
        </w:rPr>
        <w:t>ular, the inclusion of</w:t>
      </w:r>
      <w:r w:rsidR="000C012C" w:rsidRPr="000C012C">
        <w:rPr>
          <w:rFonts w:cs="Arial"/>
          <w:color w:val="252525"/>
        </w:rPr>
        <w:t xml:space="preserve"> the </w:t>
      </w:r>
      <w:r w:rsidR="000C012C" w:rsidRPr="000C012C">
        <w:rPr>
          <w:rFonts w:cs="Arial"/>
          <w:i/>
          <w:color w:val="252525"/>
        </w:rPr>
        <w:t>Educational Services (Teachers) Award</w:t>
      </w:r>
      <w:r w:rsidR="00755B20">
        <w:rPr>
          <w:rFonts w:cs="Arial"/>
          <w:i/>
          <w:color w:val="252525"/>
        </w:rPr>
        <w:t> </w:t>
      </w:r>
      <w:r w:rsidR="000C012C" w:rsidRPr="000C012C">
        <w:rPr>
          <w:rFonts w:cs="Arial"/>
          <w:i/>
          <w:color w:val="252525"/>
        </w:rPr>
        <w:t>2010</w:t>
      </w:r>
      <w:r w:rsidR="000C012C" w:rsidRPr="000C012C">
        <w:rPr>
          <w:rFonts w:cs="Arial"/>
          <w:color w:val="252525"/>
        </w:rPr>
        <w:t xml:space="preserve"> would provide clarification on the position where non-mainstream education and training is provided as part of an eligible community service employer</w:t>
      </w:r>
      <w:r w:rsidR="001E0D41">
        <w:rPr>
          <w:rFonts w:cs="Arial"/>
          <w:color w:val="252525"/>
        </w:rPr>
        <w:t>’</w:t>
      </w:r>
      <w:r w:rsidR="000C012C" w:rsidRPr="000C012C">
        <w:rPr>
          <w:rFonts w:cs="Arial"/>
          <w:color w:val="252525"/>
        </w:rPr>
        <w:t>s activities.</w:t>
      </w:r>
    </w:p>
    <w:p w14:paraId="55788CC2" w14:textId="68916637" w:rsidR="00DC280E" w:rsidRPr="00DC280E" w:rsidRDefault="00DC280E" w:rsidP="00DC280E">
      <w:pPr>
        <w:pStyle w:val="BodyText"/>
        <w:rPr>
          <w:rFonts w:cs="Arial"/>
          <w:color w:val="auto"/>
        </w:rPr>
      </w:pPr>
      <w:r>
        <w:rPr>
          <w:rFonts w:cs="Arial"/>
          <w:color w:val="auto"/>
        </w:rPr>
        <w:t xml:space="preserve">Under this option, it would be clear that employees </w:t>
      </w:r>
      <w:r w:rsidR="00755B20">
        <w:rPr>
          <w:rFonts w:cs="Arial"/>
          <w:color w:val="auto"/>
        </w:rPr>
        <w:t>whose employment is covered by</w:t>
      </w:r>
      <w:r>
        <w:rPr>
          <w:rFonts w:cs="Arial"/>
          <w:color w:val="auto"/>
        </w:rPr>
        <w:t xml:space="preserve"> the </w:t>
      </w:r>
      <w:r>
        <w:rPr>
          <w:rFonts w:cs="Arial"/>
          <w:i/>
          <w:color w:val="auto"/>
        </w:rPr>
        <w:t>Health Professionals and Support Services Award 2010</w:t>
      </w:r>
      <w:r>
        <w:rPr>
          <w:rFonts w:cs="Arial"/>
          <w:color w:val="auto"/>
        </w:rPr>
        <w:t xml:space="preserve"> are not performing community service work for the purposes</w:t>
      </w:r>
      <w:r w:rsidR="00755B20">
        <w:rPr>
          <w:rFonts w:cs="Arial"/>
          <w:color w:val="auto"/>
        </w:rPr>
        <w:t>, and within the meaning</w:t>
      </w:r>
      <w:r w:rsidR="00356FE2">
        <w:rPr>
          <w:rFonts w:cs="Arial"/>
          <w:color w:val="auto"/>
        </w:rPr>
        <w:t>,</w:t>
      </w:r>
      <w:r w:rsidR="00755B20">
        <w:rPr>
          <w:rFonts w:cs="Arial"/>
          <w:color w:val="auto"/>
        </w:rPr>
        <w:t xml:space="preserve"> of</w:t>
      </w:r>
      <w:r>
        <w:rPr>
          <w:rFonts w:cs="Arial"/>
          <w:color w:val="auto"/>
        </w:rPr>
        <w:t xml:space="preserve"> the Scheme. </w:t>
      </w:r>
    </w:p>
    <w:p w14:paraId="72CE3694" w14:textId="77777777" w:rsidR="00755B20" w:rsidRDefault="00755B20" w:rsidP="00755B20">
      <w:pPr>
        <w:pStyle w:val="BodyText"/>
        <w:rPr>
          <w:rFonts w:cs="Arial"/>
          <w:color w:val="auto"/>
        </w:rPr>
      </w:pPr>
      <w:r w:rsidRPr="00696818">
        <w:rPr>
          <w:rFonts w:cs="Arial"/>
          <w:color w:val="auto"/>
        </w:rPr>
        <w:t>This option would apply irrespective of whether an enterprise agreement applies to an employee</w:t>
      </w:r>
      <w:r w:rsidRPr="00AB0AA5">
        <w:rPr>
          <w:rFonts w:cs="Arial"/>
          <w:color w:val="auto"/>
        </w:rPr>
        <w:t>’s employment; the essential question is whether the relevant modern award covers the employment of that employee.</w:t>
      </w:r>
      <w:r w:rsidRPr="00AB0AA5">
        <w:rPr>
          <w:rStyle w:val="FootnoteReference"/>
          <w:rFonts w:cs="Arial"/>
          <w:color w:val="auto"/>
        </w:rPr>
        <w:footnoteReference w:id="22"/>
      </w:r>
      <w:r w:rsidRPr="00AB0AA5">
        <w:rPr>
          <w:rFonts w:cs="Arial"/>
          <w:color w:val="auto"/>
        </w:rPr>
        <w:t xml:space="preserve"> Employers</w:t>
      </w:r>
      <w:r w:rsidRPr="001D0F5C">
        <w:rPr>
          <w:rFonts w:cs="Arial"/>
          <w:color w:val="auto"/>
        </w:rPr>
        <w:t xml:space="preserve"> would be required to register these employees with the Authority and pay a levy to the Authority on their behalf. </w:t>
      </w:r>
    </w:p>
    <w:p w14:paraId="29F43CA0" w14:textId="400E125C" w:rsidR="006B7566" w:rsidRPr="00CF0C6E" w:rsidRDefault="00CB2BBD" w:rsidP="001E0D41">
      <w:pPr>
        <w:pStyle w:val="Heading6"/>
      </w:pPr>
      <w:r w:rsidRPr="00DB3ADD">
        <w:t>Option 3</w:t>
      </w:r>
      <w:r w:rsidR="006B7566" w:rsidRPr="00DB3ADD">
        <w:t xml:space="preserve"> – </w:t>
      </w:r>
      <w:r w:rsidR="00364563" w:rsidRPr="00DB3ADD">
        <w:t xml:space="preserve">Exclude management and administrative activities from the existing </w:t>
      </w:r>
      <w:r w:rsidR="008B720C" w:rsidRPr="00DB3ADD">
        <w:t xml:space="preserve">employee </w:t>
      </w:r>
      <w:r w:rsidR="00364563" w:rsidRPr="00DB3ADD">
        <w:t>predominance test</w:t>
      </w:r>
    </w:p>
    <w:p w14:paraId="4605CFCF" w14:textId="60188DFC" w:rsidR="00D85311" w:rsidRDefault="00465D04" w:rsidP="008639FE">
      <w:pPr>
        <w:pStyle w:val="BodyText"/>
        <w:rPr>
          <w:rFonts w:cs="Arial"/>
          <w:color w:val="auto"/>
        </w:rPr>
      </w:pPr>
      <w:r w:rsidRPr="00465D04">
        <w:rPr>
          <w:rFonts w:cs="Arial"/>
          <w:color w:val="auto"/>
        </w:rPr>
        <w:t xml:space="preserve">This option would amend the </w:t>
      </w:r>
      <w:r>
        <w:rPr>
          <w:rFonts w:cs="Arial"/>
          <w:color w:val="auto"/>
        </w:rPr>
        <w:t xml:space="preserve">existing </w:t>
      </w:r>
      <w:r w:rsidRPr="00465D04">
        <w:rPr>
          <w:rFonts w:cs="Arial"/>
          <w:color w:val="auto"/>
        </w:rPr>
        <w:t xml:space="preserve">employee predominance test to clarify that employees who predominantly undertake </w:t>
      </w:r>
      <w:r w:rsidR="000742E1">
        <w:rPr>
          <w:rFonts w:cs="Arial"/>
          <w:color w:val="auto"/>
        </w:rPr>
        <w:t xml:space="preserve">support roles, </w:t>
      </w:r>
      <w:r w:rsidRPr="00465D04">
        <w:rPr>
          <w:rFonts w:cs="Arial"/>
          <w:color w:val="auto"/>
        </w:rPr>
        <w:t>administrative or management activities</w:t>
      </w:r>
      <w:r>
        <w:rPr>
          <w:rFonts w:cs="Arial"/>
          <w:color w:val="auto"/>
        </w:rPr>
        <w:t xml:space="preserve"> relating </w:t>
      </w:r>
      <w:r>
        <w:rPr>
          <w:rFonts w:cs="Arial"/>
          <w:color w:val="auto"/>
        </w:rPr>
        <w:lastRenderedPageBreak/>
        <w:t>to th</w:t>
      </w:r>
      <w:r w:rsidR="00D430EE">
        <w:rPr>
          <w:rFonts w:cs="Arial"/>
          <w:color w:val="auto"/>
        </w:rPr>
        <w:t>e delivery of community service</w:t>
      </w:r>
      <w:r>
        <w:rPr>
          <w:rFonts w:cs="Arial"/>
          <w:color w:val="auto"/>
        </w:rPr>
        <w:t xml:space="preserve"> work</w:t>
      </w:r>
      <w:r w:rsidRPr="00465D04">
        <w:rPr>
          <w:rFonts w:cs="Arial"/>
          <w:color w:val="auto"/>
        </w:rPr>
        <w:t xml:space="preserve"> are not employees for the purposes of the Scheme. </w:t>
      </w:r>
      <w:r>
        <w:rPr>
          <w:rFonts w:cs="Arial"/>
          <w:color w:val="auto"/>
        </w:rPr>
        <w:t xml:space="preserve">Employers would not be required to register these employees with the Authority or pay a levy to the Authority on their behalf. </w:t>
      </w:r>
    </w:p>
    <w:tbl>
      <w:tblPr>
        <w:tblStyle w:val="TableGrid"/>
        <w:tblW w:w="9026" w:type="dxa"/>
        <w:tblLook w:val="04A0" w:firstRow="1" w:lastRow="0" w:firstColumn="1" w:lastColumn="0" w:noHBand="0" w:noVBand="1"/>
      </w:tblPr>
      <w:tblGrid>
        <w:gridCol w:w="9026"/>
      </w:tblGrid>
      <w:tr w:rsidR="00B9690B" w:rsidRPr="00F738AD" w14:paraId="52E8E5B7" w14:textId="77777777" w:rsidTr="00337958">
        <w:trPr>
          <w:trHeight w:val="278"/>
          <w:tblHeader/>
        </w:trPr>
        <w:tc>
          <w:tcPr>
            <w:tcW w:w="9026" w:type="dxa"/>
            <w:tcBorders>
              <w:left w:val="nil"/>
            </w:tcBorders>
            <w:shd w:val="clear" w:color="auto" w:fill="002060"/>
          </w:tcPr>
          <w:p w14:paraId="22F2AD23" w14:textId="77777777" w:rsidR="00B9690B" w:rsidRPr="00F738AD" w:rsidRDefault="00B9690B" w:rsidP="00905A24">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B9690B" w:rsidRPr="00EC5379" w14:paraId="28616357" w14:textId="77777777" w:rsidTr="00905A24">
        <w:trPr>
          <w:trHeight w:val="523"/>
        </w:trPr>
        <w:tc>
          <w:tcPr>
            <w:tcW w:w="9026" w:type="dxa"/>
            <w:tcBorders>
              <w:left w:val="nil"/>
            </w:tcBorders>
            <w:shd w:val="clear" w:color="auto" w:fill="DEEAF6" w:themeFill="accent1" w:themeFillTint="33"/>
          </w:tcPr>
          <w:p w14:paraId="588CB0A4" w14:textId="2574BE5D" w:rsidR="00E95DC9" w:rsidRPr="00224EC3" w:rsidRDefault="00224EC3" w:rsidP="00D50857">
            <w:pPr>
              <w:pStyle w:val="BodyText"/>
              <w:ind w:left="459" w:hanging="425"/>
              <w:rPr>
                <w:rFonts w:cs="Arial"/>
              </w:rPr>
            </w:pPr>
            <w:r>
              <w:rPr>
                <w:rFonts w:cs="Arial"/>
                <w:b/>
              </w:rPr>
              <w:t>S.</w:t>
            </w:r>
            <w:r w:rsidR="00D50857">
              <w:rPr>
                <w:rFonts w:cs="Arial"/>
                <w:b/>
              </w:rPr>
              <w:t>7</w:t>
            </w:r>
            <w:r w:rsidR="00B9690B">
              <w:rPr>
                <w:rFonts w:cs="Arial"/>
                <w:b/>
              </w:rPr>
              <w:t xml:space="preserve"> </w:t>
            </w:r>
            <w:r w:rsidR="001E0D41">
              <w:rPr>
                <w:rFonts w:cs="Arial"/>
                <w:b/>
              </w:rPr>
              <w:tab/>
            </w:r>
            <w:r w:rsidR="00B9690B" w:rsidRPr="00E95DC9">
              <w:rPr>
                <w:rFonts w:cs="Arial"/>
              </w:rPr>
              <w:t xml:space="preserve">Are there any other viable options to improve clarity as to who is </w:t>
            </w:r>
            <w:r w:rsidR="0071726F">
              <w:rPr>
                <w:rFonts w:cs="Arial"/>
                <w:color w:val="auto"/>
              </w:rPr>
              <w:t xml:space="preserve">regarded as </w:t>
            </w:r>
            <w:r w:rsidR="00B9690B" w:rsidRPr="00E95DC9">
              <w:rPr>
                <w:rFonts w:cs="Arial"/>
              </w:rPr>
              <w:t>an employee in the community services sector?</w:t>
            </w:r>
          </w:p>
        </w:tc>
      </w:tr>
    </w:tbl>
    <w:p w14:paraId="0805A051" w14:textId="2C7BAA7B" w:rsidR="006B7566" w:rsidRPr="00EC5379" w:rsidRDefault="006B7566" w:rsidP="006B7566">
      <w:pPr>
        <w:pStyle w:val="Heading2"/>
        <w:rPr>
          <w:rFonts w:ascii="Arial" w:hAnsi="Arial" w:cs="Arial"/>
        </w:rPr>
      </w:pPr>
      <w:bookmarkStart w:id="95" w:name="_Toc36806262"/>
      <w:bookmarkStart w:id="96" w:name="_Toc37921492"/>
      <w:bookmarkEnd w:id="95"/>
      <w:r w:rsidRPr="00EC5379">
        <w:rPr>
          <w:rFonts w:ascii="Arial" w:hAnsi="Arial" w:cs="Arial"/>
        </w:rPr>
        <w:t xml:space="preserve">Who is </w:t>
      </w:r>
      <w:r w:rsidR="0071726F" w:rsidRPr="00AD518C">
        <w:rPr>
          <w:rFonts w:ascii="Arial" w:hAnsi="Arial" w:cs="Arial"/>
        </w:rPr>
        <w:t>regarded as</w:t>
      </w:r>
      <w:r w:rsidR="0071726F">
        <w:rPr>
          <w:rFonts w:ascii="Arial" w:hAnsi="Arial" w:cs="Arial"/>
          <w:color w:val="auto"/>
        </w:rPr>
        <w:t xml:space="preserve"> </w:t>
      </w:r>
      <w:r w:rsidRPr="00EC5379">
        <w:rPr>
          <w:rFonts w:ascii="Arial" w:hAnsi="Arial" w:cs="Arial"/>
        </w:rPr>
        <w:t>an employee in the security industry</w:t>
      </w:r>
      <w:bookmarkEnd w:id="96"/>
    </w:p>
    <w:p w14:paraId="503DD3CB" w14:textId="1CB5B3CC" w:rsidR="008639FE" w:rsidRPr="00F211F6" w:rsidRDefault="00AD7B94" w:rsidP="008639FE">
      <w:pPr>
        <w:rPr>
          <w:rFonts w:ascii="Arial" w:hAnsi="Arial" w:cs="Arial"/>
          <w:color w:val="auto"/>
        </w:rPr>
      </w:pPr>
      <w:r w:rsidRPr="00C22E90">
        <w:rPr>
          <w:rFonts w:ascii="Arial" w:hAnsi="Arial" w:cs="Arial"/>
          <w:color w:val="auto"/>
        </w:rPr>
        <w:t xml:space="preserve">The Interim Regulations </w:t>
      </w:r>
      <w:r>
        <w:rPr>
          <w:rFonts w:ascii="Arial" w:hAnsi="Arial" w:cs="Arial"/>
          <w:color w:val="auto"/>
        </w:rPr>
        <w:t>do</w:t>
      </w:r>
      <w:r w:rsidRPr="00C22E90">
        <w:rPr>
          <w:rFonts w:ascii="Arial" w:hAnsi="Arial" w:cs="Arial"/>
          <w:color w:val="auto"/>
        </w:rPr>
        <w:t xml:space="preserve"> not pro</w:t>
      </w:r>
      <w:r>
        <w:rPr>
          <w:rFonts w:ascii="Arial" w:hAnsi="Arial" w:cs="Arial"/>
          <w:color w:val="auto"/>
        </w:rPr>
        <w:t xml:space="preserve">vide a test to </w:t>
      </w:r>
      <w:r w:rsidR="009C4140">
        <w:rPr>
          <w:rFonts w:ascii="Arial" w:hAnsi="Arial" w:cs="Arial"/>
          <w:color w:val="auto"/>
        </w:rPr>
        <w:t xml:space="preserve">determine </w:t>
      </w:r>
      <w:r>
        <w:rPr>
          <w:rFonts w:ascii="Arial" w:hAnsi="Arial" w:cs="Arial"/>
          <w:color w:val="auto"/>
        </w:rPr>
        <w:t xml:space="preserve">who is </w:t>
      </w:r>
      <w:r w:rsidR="0071726F">
        <w:rPr>
          <w:rFonts w:ascii="Arial" w:hAnsi="Arial" w:cs="Arial"/>
          <w:color w:val="auto"/>
        </w:rPr>
        <w:t xml:space="preserve">regarded as </w:t>
      </w:r>
      <w:r>
        <w:rPr>
          <w:rFonts w:ascii="Arial" w:hAnsi="Arial" w:cs="Arial"/>
          <w:color w:val="auto"/>
        </w:rPr>
        <w:t xml:space="preserve">an employee </w:t>
      </w:r>
      <w:r w:rsidRPr="00C22E90">
        <w:rPr>
          <w:rFonts w:ascii="Arial" w:hAnsi="Arial" w:cs="Arial"/>
          <w:color w:val="auto"/>
        </w:rPr>
        <w:t>for the purposes of the security sector.</w:t>
      </w:r>
      <w:r>
        <w:rPr>
          <w:rFonts w:ascii="Arial" w:hAnsi="Arial" w:cs="Arial"/>
          <w:color w:val="auto"/>
        </w:rPr>
        <w:t xml:space="preserve"> </w:t>
      </w:r>
      <w:r w:rsidR="008639FE" w:rsidRPr="00F211F6">
        <w:rPr>
          <w:rFonts w:ascii="Arial" w:hAnsi="Arial" w:cs="Arial"/>
          <w:color w:val="auto"/>
        </w:rPr>
        <w:t>Apart fr</w:t>
      </w:r>
      <w:r w:rsidR="00F211F6" w:rsidRPr="00F211F6">
        <w:rPr>
          <w:rFonts w:ascii="Arial" w:hAnsi="Arial" w:cs="Arial"/>
          <w:color w:val="auto"/>
        </w:rPr>
        <w:t>om the status quo, there are three</w:t>
      </w:r>
      <w:r w:rsidR="008639FE" w:rsidRPr="00F211F6">
        <w:rPr>
          <w:rFonts w:ascii="Arial" w:hAnsi="Arial" w:cs="Arial"/>
          <w:color w:val="auto"/>
        </w:rPr>
        <w:t xml:space="preserve"> options to improve </w:t>
      </w:r>
      <w:r w:rsidR="00755B20">
        <w:rPr>
          <w:rFonts w:ascii="Arial" w:hAnsi="Arial" w:cs="Arial"/>
          <w:color w:val="auto"/>
        </w:rPr>
        <w:t>clarity</w:t>
      </w:r>
      <w:r w:rsidR="00755B20" w:rsidRPr="00F211F6">
        <w:rPr>
          <w:rFonts w:ascii="Arial" w:hAnsi="Arial" w:cs="Arial"/>
          <w:color w:val="auto"/>
        </w:rPr>
        <w:t xml:space="preserve"> </w:t>
      </w:r>
      <w:r w:rsidR="008639FE" w:rsidRPr="00F211F6">
        <w:rPr>
          <w:rFonts w:ascii="Arial" w:hAnsi="Arial" w:cs="Arial"/>
          <w:color w:val="auto"/>
        </w:rPr>
        <w:t xml:space="preserve">as to who is </w:t>
      </w:r>
      <w:r w:rsidR="0071726F">
        <w:rPr>
          <w:rFonts w:ascii="Arial" w:hAnsi="Arial" w:cs="Arial"/>
          <w:color w:val="auto"/>
        </w:rPr>
        <w:t xml:space="preserve">regarded as </w:t>
      </w:r>
      <w:r w:rsidR="008639FE" w:rsidRPr="00F211F6">
        <w:rPr>
          <w:rFonts w:ascii="Arial" w:hAnsi="Arial" w:cs="Arial"/>
          <w:color w:val="auto"/>
        </w:rPr>
        <w:t xml:space="preserve">an employee in the security sector (discussed in section </w:t>
      </w:r>
      <w:r w:rsidR="00791100">
        <w:rPr>
          <w:rFonts w:ascii="Arial" w:hAnsi="Arial" w:cs="Arial"/>
          <w:color w:val="auto"/>
        </w:rPr>
        <w:fldChar w:fldCharType="begin"/>
      </w:r>
      <w:r w:rsidR="00791100">
        <w:rPr>
          <w:rFonts w:ascii="Arial" w:hAnsi="Arial" w:cs="Arial"/>
          <w:color w:val="auto"/>
        </w:rPr>
        <w:instrText xml:space="preserve"> REF _Ref35597700 \r \h </w:instrText>
      </w:r>
      <w:r w:rsidR="00791100">
        <w:rPr>
          <w:rFonts w:ascii="Arial" w:hAnsi="Arial" w:cs="Arial"/>
          <w:color w:val="auto"/>
        </w:rPr>
      </w:r>
      <w:r w:rsidR="00791100">
        <w:rPr>
          <w:rFonts w:ascii="Arial" w:hAnsi="Arial" w:cs="Arial"/>
          <w:color w:val="auto"/>
        </w:rPr>
        <w:fldChar w:fldCharType="separate"/>
      </w:r>
      <w:r w:rsidR="00791100">
        <w:rPr>
          <w:rFonts w:ascii="Arial" w:hAnsi="Arial" w:cs="Arial"/>
          <w:color w:val="auto"/>
        </w:rPr>
        <w:t>2.3.4</w:t>
      </w:r>
      <w:r w:rsidR="00791100">
        <w:rPr>
          <w:rFonts w:ascii="Arial" w:hAnsi="Arial" w:cs="Arial"/>
          <w:color w:val="auto"/>
        </w:rPr>
        <w:fldChar w:fldCharType="end"/>
      </w:r>
      <w:r w:rsidR="008639FE" w:rsidRPr="00F211F6">
        <w:rPr>
          <w:rFonts w:ascii="Arial" w:hAnsi="Arial" w:cs="Arial"/>
          <w:color w:val="auto"/>
        </w:rPr>
        <w:t>), including:</w:t>
      </w:r>
    </w:p>
    <w:p w14:paraId="6EF2E47E" w14:textId="01BF5774" w:rsidR="008639FE" w:rsidRPr="00F211F6" w:rsidRDefault="008639FE" w:rsidP="000B6C4D">
      <w:pPr>
        <w:pStyle w:val="ListBullet"/>
        <w:numPr>
          <w:ilvl w:val="0"/>
          <w:numId w:val="13"/>
        </w:numPr>
        <w:contextualSpacing w:val="0"/>
        <w:rPr>
          <w:rFonts w:cs="Arial"/>
          <w:color w:val="auto"/>
        </w:rPr>
      </w:pPr>
      <w:r w:rsidRPr="00F211F6">
        <w:rPr>
          <w:rFonts w:cs="Arial"/>
          <w:color w:val="auto"/>
        </w:rPr>
        <w:t>Introduc</w:t>
      </w:r>
      <w:r w:rsidR="001E0D41">
        <w:rPr>
          <w:rFonts w:cs="Arial"/>
          <w:color w:val="auto"/>
        </w:rPr>
        <w:t>e</w:t>
      </w:r>
      <w:r w:rsidRPr="00F211F6">
        <w:rPr>
          <w:rFonts w:cs="Arial"/>
          <w:color w:val="auto"/>
        </w:rPr>
        <w:t xml:space="preserve"> a</w:t>
      </w:r>
      <w:r w:rsidR="00B8625E" w:rsidRPr="00F211F6">
        <w:rPr>
          <w:rFonts w:cs="Arial"/>
          <w:color w:val="auto"/>
        </w:rPr>
        <w:t>n activity-based</w:t>
      </w:r>
      <w:r w:rsidRPr="00F211F6">
        <w:rPr>
          <w:rFonts w:cs="Arial"/>
          <w:color w:val="auto"/>
        </w:rPr>
        <w:t xml:space="preserve"> predominance tes</w:t>
      </w:r>
      <w:r w:rsidR="00F211F6" w:rsidRPr="00F211F6">
        <w:rPr>
          <w:rFonts w:cs="Arial"/>
          <w:color w:val="auto"/>
        </w:rPr>
        <w:t>t for the security industry;</w:t>
      </w:r>
    </w:p>
    <w:p w14:paraId="77349621" w14:textId="6AE26F33" w:rsidR="008639FE" w:rsidRPr="00F211F6" w:rsidRDefault="008639FE" w:rsidP="000B6C4D">
      <w:pPr>
        <w:pStyle w:val="ListBullet"/>
        <w:numPr>
          <w:ilvl w:val="0"/>
          <w:numId w:val="13"/>
        </w:numPr>
        <w:contextualSpacing w:val="0"/>
        <w:rPr>
          <w:rFonts w:cs="Arial"/>
          <w:color w:val="auto"/>
        </w:rPr>
      </w:pPr>
      <w:r w:rsidRPr="00F211F6">
        <w:rPr>
          <w:rFonts w:cs="Arial"/>
          <w:color w:val="auto"/>
        </w:rPr>
        <w:t xml:space="preserve">Define employees in reference to the </w:t>
      </w:r>
      <w:r w:rsidRPr="00F211F6">
        <w:rPr>
          <w:rFonts w:cs="Arial"/>
          <w:i/>
          <w:color w:val="auto"/>
        </w:rPr>
        <w:t>Private Security Act 2004</w:t>
      </w:r>
      <w:r w:rsidR="00F211F6" w:rsidRPr="00F211F6">
        <w:rPr>
          <w:rFonts w:cs="Arial"/>
          <w:color w:val="auto"/>
        </w:rPr>
        <w:t>; and</w:t>
      </w:r>
    </w:p>
    <w:p w14:paraId="20C2C3E8" w14:textId="432007C0" w:rsidR="00F211F6" w:rsidRPr="00F211F6" w:rsidRDefault="00F211F6" w:rsidP="000B6C4D">
      <w:pPr>
        <w:pStyle w:val="ListBullet"/>
        <w:numPr>
          <w:ilvl w:val="0"/>
          <w:numId w:val="13"/>
        </w:numPr>
        <w:contextualSpacing w:val="0"/>
        <w:rPr>
          <w:rFonts w:cs="Arial"/>
          <w:color w:val="auto"/>
        </w:rPr>
      </w:pPr>
      <w:r w:rsidRPr="00F211F6">
        <w:rPr>
          <w:rFonts w:cs="Arial"/>
          <w:color w:val="auto"/>
        </w:rPr>
        <w:t xml:space="preserve">Define employees in reference to the </w:t>
      </w:r>
      <w:r w:rsidR="00755B20">
        <w:rPr>
          <w:rFonts w:cs="Arial"/>
          <w:color w:val="auto"/>
        </w:rPr>
        <w:t xml:space="preserve">coverage of the </w:t>
      </w:r>
      <w:r w:rsidR="00D430EE" w:rsidRPr="004D5E10">
        <w:rPr>
          <w:rFonts w:cs="Arial"/>
          <w:i/>
          <w:color w:val="auto"/>
        </w:rPr>
        <w:t>Security Services Industry Award 2010</w:t>
      </w:r>
      <w:r w:rsidR="00D430EE" w:rsidRPr="00F211F6">
        <w:rPr>
          <w:rFonts w:cs="Arial"/>
          <w:color w:val="auto"/>
        </w:rPr>
        <w:t>.</w:t>
      </w:r>
    </w:p>
    <w:p w14:paraId="0AA25554" w14:textId="77777777" w:rsidR="00D430EE" w:rsidRPr="00CF0C6E" w:rsidRDefault="006B7566" w:rsidP="001E0D41">
      <w:pPr>
        <w:pStyle w:val="Heading6"/>
      </w:pPr>
      <w:r w:rsidRPr="00DB3ADD">
        <w:t xml:space="preserve">Option 1 – </w:t>
      </w:r>
      <w:r w:rsidR="00D430EE" w:rsidRPr="00DB3ADD">
        <w:t xml:space="preserve">Introduce an activity-based predominance test for the security industry </w:t>
      </w:r>
    </w:p>
    <w:p w14:paraId="10B02AEB" w14:textId="785E66CB" w:rsidR="00D430EE" w:rsidRPr="000442F3" w:rsidRDefault="00D430EE" w:rsidP="00D430EE">
      <w:pPr>
        <w:pStyle w:val="BodyText"/>
        <w:rPr>
          <w:rFonts w:cs="Arial"/>
          <w:color w:val="auto"/>
        </w:rPr>
      </w:pPr>
      <w:r>
        <w:rPr>
          <w:rFonts w:cs="Arial"/>
          <w:color w:val="auto"/>
        </w:rPr>
        <w:t xml:space="preserve">This option would introduce an employee predominance test in the Regulations. This would mean </w:t>
      </w:r>
      <w:r w:rsidRPr="000442F3">
        <w:rPr>
          <w:rFonts w:cs="Arial"/>
          <w:color w:val="auto"/>
        </w:rPr>
        <w:t>persons employed by eligible employers who are not performing security work</w:t>
      </w:r>
      <w:r>
        <w:rPr>
          <w:rFonts w:cs="Arial"/>
          <w:color w:val="auto"/>
        </w:rPr>
        <w:t>,</w:t>
      </w:r>
      <w:r w:rsidRPr="000442F3">
        <w:rPr>
          <w:rFonts w:cs="Arial"/>
          <w:color w:val="auto"/>
        </w:rPr>
        <w:t xml:space="preserve"> as defined by</w:t>
      </w:r>
      <w:r w:rsidR="008942FC">
        <w:rPr>
          <w:rFonts w:cs="Arial"/>
          <w:color w:val="auto"/>
        </w:rPr>
        <w:t xml:space="preserve"> Schedule 3 of the LSBP</w:t>
      </w:r>
      <w:r>
        <w:rPr>
          <w:rFonts w:cs="Arial"/>
          <w:color w:val="auto"/>
        </w:rPr>
        <w:t xml:space="preserve"> Act, as the predominant activity of their employment would be excluded from the Scheme. </w:t>
      </w:r>
      <w:r w:rsidR="00B86CBB">
        <w:rPr>
          <w:rFonts w:cs="Arial"/>
          <w:color w:val="auto"/>
        </w:rPr>
        <w:t xml:space="preserve">The test is consistent </w:t>
      </w:r>
      <w:r w:rsidR="001E0D41">
        <w:rPr>
          <w:rFonts w:cs="Arial"/>
          <w:color w:val="auto"/>
        </w:rPr>
        <w:t xml:space="preserve">with </w:t>
      </w:r>
      <w:r w:rsidR="00B86CBB">
        <w:rPr>
          <w:rFonts w:cs="Arial"/>
          <w:color w:val="auto"/>
        </w:rPr>
        <w:t>the existing test for the contract cleaning sector</w:t>
      </w:r>
      <w:r w:rsidR="001B3E78">
        <w:rPr>
          <w:rFonts w:cs="Arial"/>
          <w:color w:val="auto"/>
        </w:rPr>
        <w:t xml:space="preserve"> in the Interim Regulations</w:t>
      </w:r>
      <w:r w:rsidR="00B86CBB">
        <w:rPr>
          <w:rFonts w:cs="Arial"/>
          <w:color w:val="auto"/>
        </w:rPr>
        <w:t xml:space="preserve">, which has been simple for employers to implement. </w:t>
      </w:r>
      <w:r w:rsidRPr="000442F3">
        <w:rPr>
          <w:rFonts w:cs="Arial"/>
          <w:color w:val="auto"/>
        </w:rPr>
        <w:t xml:space="preserve">Employers would </w:t>
      </w:r>
      <w:r>
        <w:rPr>
          <w:rFonts w:cs="Arial"/>
          <w:color w:val="auto"/>
        </w:rPr>
        <w:t xml:space="preserve">not </w:t>
      </w:r>
      <w:r w:rsidRPr="000442F3">
        <w:rPr>
          <w:rFonts w:cs="Arial"/>
          <w:color w:val="auto"/>
        </w:rPr>
        <w:t>be required to pay a levy to the Authority on these employees</w:t>
      </w:r>
      <w:r>
        <w:rPr>
          <w:rFonts w:cs="Arial"/>
          <w:color w:val="auto"/>
        </w:rPr>
        <w:t>’</w:t>
      </w:r>
      <w:r w:rsidRPr="000442F3">
        <w:rPr>
          <w:rFonts w:cs="Arial"/>
          <w:color w:val="auto"/>
        </w:rPr>
        <w:t xml:space="preserve"> behalf. </w:t>
      </w:r>
      <w:r>
        <w:rPr>
          <w:rFonts w:cs="Arial"/>
          <w:color w:val="auto"/>
        </w:rPr>
        <w:t xml:space="preserve">This option would </w:t>
      </w:r>
      <w:r w:rsidR="002C3249">
        <w:rPr>
          <w:rFonts w:cs="Arial"/>
          <w:color w:val="auto"/>
        </w:rPr>
        <w:t xml:space="preserve">clarify that </w:t>
      </w:r>
      <w:r>
        <w:rPr>
          <w:rFonts w:cs="Arial"/>
          <w:color w:val="auto"/>
        </w:rPr>
        <w:t>managers</w:t>
      </w:r>
      <w:r w:rsidR="00755B20">
        <w:rPr>
          <w:rFonts w:cs="Arial"/>
          <w:color w:val="auto"/>
        </w:rPr>
        <w:t xml:space="preserve">, </w:t>
      </w:r>
      <w:r>
        <w:rPr>
          <w:rFonts w:cs="Arial"/>
          <w:color w:val="auto"/>
        </w:rPr>
        <w:t xml:space="preserve">administrative and sales staff </w:t>
      </w:r>
      <w:r w:rsidR="002C3249">
        <w:rPr>
          <w:rFonts w:cs="Arial"/>
          <w:color w:val="auto"/>
        </w:rPr>
        <w:t>are not covered by the Scheme. This is consistent with the approach taken by most employers under the status quo.</w:t>
      </w:r>
    </w:p>
    <w:p w14:paraId="40DB539C" w14:textId="6756DE7D" w:rsidR="00D430EE" w:rsidRPr="00CF0C6E" w:rsidRDefault="006B7566" w:rsidP="001E0D41">
      <w:pPr>
        <w:pStyle w:val="Heading6"/>
      </w:pPr>
      <w:r w:rsidRPr="00DB3ADD">
        <w:t xml:space="preserve">Option 2 – </w:t>
      </w:r>
      <w:r w:rsidR="00D430EE" w:rsidRPr="00DB3ADD">
        <w:t xml:space="preserve">Define covered employees in reference to the </w:t>
      </w:r>
      <w:r w:rsidR="00D430EE" w:rsidRPr="00DB3ADD">
        <w:rPr>
          <w:i/>
        </w:rPr>
        <w:t>Private Security Act 2004</w:t>
      </w:r>
      <w:r w:rsidR="00D430EE" w:rsidRPr="00DB3ADD">
        <w:t xml:space="preserve"> </w:t>
      </w:r>
    </w:p>
    <w:p w14:paraId="39235825" w14:textId="379EA3F6" w:rsidR="00D430EE" w:rsidRPr="00515AD2" w:rsidRDefault="00D430EE" w:rsidP="00D430EE">
      <w:pPr>
        <w:pStyle w:val="BodyText"/>
        <w:rPr>
          <w:rFonts w:cs="Arial"/>
          <w:color w:val="auto"/>
        </w:rPr>
      </w:pPr>
      <w:r w:rsidRPr="009B0CAB">
        <w:rPr>
          <w:rFonts w:cs="Arial"/>
          <w:color w:val="auto"/>
        </w:rPr>
        <w:t xml:space="preserve">This option would introduce a test to define who is </w:t>
      </w:r>
      <w:r w:rsidR="0071726F">
        <w:rPr>
          <w:rFonts w:cs="Arial"/>
          <w:color w:val="auto"/>
        </w:rPr>
        <w:t xml:space="preserve">regarded as </w:t>
      </w:r>
      <w:r w:rsidRPr="009B0CAB">
        <w:rPr>
          <w:rFonts w:cs="Arial"/>
          <w:color w:val="auto"/>
        </w:rPr>
        <w:t xml:space="preserve">an employee in the security industry </w:t>
      </w:r>
      <w:r w:rsidR="000742E1">
        <w:rPr>
          <w:rFonts w:cs="Arial"/>
          <w:color w:val="auto"/>
        </w:rPr>
        <w:t>by</w:t>
      </w:r>
      <w:r w:rsidR="000742E1" w:rsidRPr="009B0CAB">
        <w:rPr>
          <w:rFonts w:cs="Arial"/>
          <w:color w:val="auto"/>
        </w:rPr>
        <w:t xml:space="preserve"> </w:t>
      </w:r>
      <w:r w:rsidRPr="009B0CAB">
        <w:rPr>
          <w:rFonts w:cs="Arial"/>
          <w:color w:val="auto"/>
        </w:rPr>
        <w:t xml:space="preserve">reference </w:t>
      </w:r>
      <w:r w:rsidR="001E0D41">
        <w:rPr>
          <w:rFonts w:cs="Arial"/>
          <w:color w:val="auto"/>
        </w:rPr>
        <w:t xml:space="preserve">to </w:t>
      </w:r>
      <w:r w:rsidRPr="009B0CAB">
        <w:rPr>
          <w:rFonts w:cs="Arial"/>
          <w:color w:val="auto"/>
        </w:rPr>
        <w:t xml:space="preserve">the </w:t>
      </w:r>
      <w:r w:rsidRPr="009B0CAB">
        <w:rPr>
          <w:rFonts w:cs="Arial"/>
          <w:i/>
          <w:color w:val="auto"/>
        </w:rPr>
        <w:t xml:space="preserve">Private Security Act </w:t>
      </w:r>
      <w:r w:rsidRPr="00515AD2">
        <w:rPr>
          <w:rFonts w:cs="Arial"/>
          <w:i/>
          <w:color w:val="auto"/>
        </w:rPr>
        <w:t>2004</w:t>
      </w:r>
      <w:r w:rsidRPr="009B0CAB">
        <w:rPr>
          <w:rFonts w:cs="Arial"/>
          <w:color w:val="auto"/>
        </w:rPr>
        <w:t xml:space="preserve">. </w:t>
      </w:r>
      <w:r w:rsidR="0050510D" w:rsidRPr="00515AD2">
        <w:rPr>
          <w:rFonts w:cs="Arial"/>
          <w:color w:val="auto"/>
        </w:rPr>
        <w:t xml:space="preserve">Employees </w:t>
      </w:r>
      <w:r w:rsidR="0050510D">
        <w:rPr>
          <w:rFonts w:cs="Arial"/>
          <w:color w:val="auto"/>
        </w:rPr>
        <w:t>engaging in</w:t>
      </w:r>
      <w:r w:rsidR="0050510D" w:rsidRPr="00515AD2">
        <w:rPr>
          <w:rFonts w:cs="Arial"/>
          <w:color w:val="auto"/>
        </w:rPr>
        <w:t xml:space="preserve"> a ‘class A security activity’ or a ‘class B security activity’,</w:t>
      </w:r>
      <w:r w:rsidRPr="00515AD2">
        <w:rPr>
          <w:rFonts w:cs="Arial"/>
          <w:color w:val="auto"/>
        </w:rPr>
        <w:t xml:space="preserve"> as defined by the </w:t>
      </w:r>
      <w:r w:rsidRPr="00274787">
        <w:rPr>
          <w:rFonts w:cs="Arial"/>
          <w:i/>
          <w:color w:val="auto"/>
        </w:rPr>
        <w:t>Private Security Act</w:t>
      </w:r>
      <w:r w:rsidR="001775C2">
        <w:rPr>
          <w:rFonts w:cs="Arial"/>
          <w:i/>
          <w:color w:val="auto"/>
        </w:rPr>
        <w:t xml:space="preserve"> 2004</w:t>
      </w:r>
      <w:r w:rsidRPr="00515AD2">
        <w:rPr>
          <w:rFonts w:cs="Arial"/>
          <w:color w:val="auto"/>
        </w:rPr>
        <w:t>, would be defined as employees for the purposes of the Scheme</w:t>
      </w:r>
      <w:r w:rsidR="001E0D41">
        <w:rPr>
          <w:rFonts w:cs="Arial"/>
          <w:color w:val="auto"/>
        </w:rPr>
        <w:t>,</w:t>
      </w:r>
      <w:r w:rsidR="001B3E78">
        <w:rPr>
          <w:rFonts w:cs="Arial"/>
          <w:color w:val="auto"/>
        </w:rPr>
        <w:t xml:space="preserve"> regardless of whether this is their predominant activity</w:t>
      </w:r>
      <w:r w:rsidRPr="00515AD2">
        <w:rPr>
          <w:rFonts w:cs="Arial"/>
          <w:color w:val="auto"/>
        </w:rPr>
        <w:t>.</w:t>
      </w:r>
      <w:r w:rsidR="00CE3DED">
        <w:rPr>
          <w:rStyle w:val="FootnoteReference"/>
          <w:rFonts w:cs="Arial"/>
          <w:color w:val="auto"/>
        </w:rPr>
        <w:footnoteReference w:id="23"/>
      </w:r>
      <w:r w:rsidRPr="00515AD2">
        <w:rPr>
          <w:rFonts w:cs="Arial"/>
          <w:color w:val="auto"/>
        </w:rPr>
        <w:t xml:space="preserve"> Employers would be required to pay a levy to the Authority on these employees</w:t>
      </w:r>
      <w:r>
        <w:rPr>
          <w:rFonts w:cs="Arial"/>
          <w:color w:val="auto"/>
        </w:rPr>
        <w:t>’</w:t>
      </w:r>
      <w:r w:rsidRPr="00515AD2">
        <w:rPr>
          <w:rFonts w:cs="Arial"/>
          <w:color w:val="auto"/>
        </w:rPr>
        <w:t xml:space="preserve"> behalf. This option would </w:t>
      </w:r>
      <w:r w:rsidR="008342E4">
        <w:rPr>
          <w:rFonts w:cs="Arial"/>
          <w:color w:val="auto"/>
        </w:rPr>
        <w:t>clarify that administrative, sales, managerial</w:t>
      </w:r>
      <w:r w:rsidRPr="00515AD2">
        <w:rPr>
          <w:rFonts w:cs="Arial"/>
          <w:color w:val="auto"/>
        </w:rPr>
        <w:t xml:space="preserve"> </w:t>
      </w:r>
      <w:r w:rsidR="00CE3DED">
        <w:rPr>
          <w:rFonts w:cs="Arial"/>
          <w:color w:val="auto"/>
        </w:rPr>
        <w:t xml:space="preserve">and </w:t>
      </w:r>
      <w:r w:rsidRPr="00515AD2">
        <w:rPr>
          <w:rFonts w:cs="Arial"/>
          <w:color w:val="auto"/>
        </w:rPr>
        <w:t xml:space="preserve">risk-management staff employed by eligible employers </w:t>
      </w:r>
      <w:r w:rsidR="008342E4">
        <w:rPr>
          <w:rFonts w:cs="Arial"/>
          <w:color w:val="auto"/>
        </w:rPr>
        <w:t xml:space="preserve">are not covered by </w:t>
      </w:r>
      <w:r w:rsidRPr="00515AD2">
        <w:rPr>
          <w:rFonts w:cs="Arial"/>
          <w:color w:val="auto"/>
        </w:rPr>
        <w:t xml:space="preserve">the Scheme. </w:t>
      </w:r>
    </w:p>
    <w:p w14:paraId="1BF9606E" w14:textId="3B33E2C6" w:rsidR="00D430EE" w:rsidRPr="00515AD2" w:rsidRDefault="00D430EE" w:rsidP="00D430EE">
      <w:pPr>
        <w:pStyle w:val="BodyText"/>
        <w:rPr>
          <w:rFonts w:cs="Arial"/>
          <w:color w:val="auto"/>
        </w:rPr>
      </w:pPr>
      <w:r w:rsidRPr="00515AD2">
        <w:rPr>
          <w:rFonts w:cs="Arial"/>
          <w:color w:val="auto"/>
        </w:rPr>
        <w:t xml:space="preserve">This approach would be consistent with the definition of the security industry in Schedule 3 of the LSBP Act, which defines the industry in which security activities are undertaken by persons licensed to undertake them under the </w:t>
      </w:r>
      <w:r w:rsidRPr="00274787">
        <w:rPr>
          <w:rFonts w:cs="Arial"/>
          <w:i/>
          <w:color w:val="auto"/>
        </w:rPr>
        <w:t>Private Security Act</w:t>
      </w:r>
      <w:r w:rsidR="001775C2">
        <w:rPr>
          <w:rFonts w:cs="Arial"/>
          <w:i/>
          <w:color w:val="auto"/>
        </w:rPr>
        <w:t xml:space="preserve"> 2004</w:t>
      </w:r>
      <w:r w:rsidRPr="00515AD2">
        <w:rPr>
          <w:rFonts w:cs="Arial"/>
          <w:color w:val="auto"/>
        </w:rPr>
        <w:t>.</w:t>
      </w:r>
    </w:p>
    <w:p w14:paraId="5DFA18BE" w14:textId="7B1D90DA" w:rsidR="00D430EE" w:rsidRPr="00CF0C6E" w:rsidRDefault="00F211F6" w:rsidP="001E0D41">
      <w:pPr>
        <w:pStyle w:val="Heading6"/>
      </w:pPr>
      <w:r w:rsidRPr="00DB3ADD">
        <w:lastRenderedPageBreak/>
        <w:t xml:space="preserve">Option 3 – </w:t>
      </w:r>
      <w:r w:rsidR="00D430EE" w:rsidRPr="00DB3ADD">
        <w:t>Define employees in reference to the</w:t>
      </w:r>
      <w:r w:rsidR="00755B20">
        <w:t xml:space="preserve"> coverage of the</w:t>
      </w:r>
      <w:r w:rsidR="00D430EE" w:rsidRPr="00DB3ADD">
        <w:t xml:space="preserve"> </w:t>
      </w:r>
      <w:r w:rsidR="00D430EE" w:rsidRPr="00DB3ADD">
        <w:rPr>
          <w:i/>
        </w:rPr>
        <w:t>Security Services Industry Award 2010</w:t>
      </w:r>
    </w:p>
    <w:p w14:paraId="2DA7C029" w14:textId="54530305" w:rsidR="00670696" w:rsidRDefault="00D430EE" w:rsidP="00D430EE">
      <w:pPr>
        <w:pStyle w:val="BodyText"/>
        <w:rPr>
          <w:rFonts w:cs="Arial"/>
          <w:color w:val="auto"/>
        </w:rPr>
      </w:pPr>
      <w:r w:rsidRPr="000442F3">
        <w:rPr>
          <w:rFonts w:cs="Arial"/>
          <w:color w:val="auto"/>
        </w:rPr>
        <w:t>This option would use a</w:t>
      </w:r>
      <w:r>
        <w:rPr>
          <w:rFonts w:cs="Arial"/>
          <w:color w:val="auto"/>
        </w:rPr>
        <w:t xml:space="preserve"> modern awards </w:t>
      </w:r>
      <w:r w:rsidRPr="000442F3">
        <w:rPr>
          <w:rFonts w:cs="Arial"/>
          <w:color w:val="auto"/>
        </w:rPr>
        <w:t xml:space="preserve">test to define who is </w:t>
      </w:r>
      <w:r w:rsidR="0071726F">
        <w:rPr>
          <w:rFonts w:cs="Arial"/>
          <w:color w:val="auto"/>
        </w:rPr>
        <w:t xml:space="preserve">regarded as </w:t>
      </w:r>
      <w:r w:rsidRPr="000442F3">
        <w:rPr>
          <w:rFonts w:cs="Arial"/>
          <w:color w:val="auto"/>
        </w:rPr>
        <w:t>an empl</w:t>
      </w:r>
      <w:r>
        <w:rPr>
          <w:rFonts w:cs="Arial"/>
          <w:color w:val="auto"/>
        </w:rPr>
        <w:t>oyee in the security industry. All e</w:t>
      </w:r>
      <w:r w:rsidRPr="000442F3">
        <w:rPr>
          <w:rFonts w:cs="Arial"/>
          <w:color w:val="auto"/>
        </w:rPr>
        <w:t xml:space="preserve">mployees </w:t>
      </w:r>
      <w:r w:rsidR="00755B20">
        <w:rPr>
          <w:rFonts w:cs="Arial"/>
          <w:color w:val="auto"/>
        </w:rPr>
        <w:t xml:space="preserve">whose employment is </w:t>
      </w:r>
      <w:r>
        <w:rPr>
          <w:rFonts w:cs="Arial"/>
          <w:color w:val="auto"/>
        </w:rPr>
        <w:t>covered by</w:t>
      </w:r>
      <w:r w:rsidRPr="000442F3">
        <w:rPr>
          <w:rFonts w:cs="Arial"/>
          <w:color w:val="auto"/>
        </w:rPr>
        <w:t xml:space="preserve"> the </w:t>
      </w:r>
      <w:r w:rsidRPr="004D5E10">
        <w:rPr>
          <w:rFonts w:cs="Arial"/>
          <w:i/>
          <w:color w:val="auto"/>
        </w:rPr>
        <w:t xml:space="preserve">Security Services Industry Award 2010 </w:t>
      </w:r>
      <w:r w:rsidRPr="000442F3">
        <w:rPr>
          <w:rFonts w:cs="Arial"/>
          <w:color w:val="auto"/>
        </w:rPr>
        <w:t>would be covered by the Scheme. Employers would be required to pay a levy to the Authority on these employees</w:t>
      </w:r>
      <w:r>
        <w:rPr>
          <w:rFonts w:cs="Arial"/>
          <w:color w:val="auto"/>
        </w:rPr>
        <w:t>’</w:t>
      </w:r>
      <w:r w:rsidRPr="000442F3">
        <w:rPr>
          <w:rFonts w:cs="Arial"/>
          <w:color w:val="auto"/>
        </w:rPr>
        <w:t xml:space="preserve"> behalf. </w:t>
      </w:r>
    </w:p>
    <w:p w14:paraId="32789825" w14:textId="3E360264" w:rsidR="00670696" w:rsidRDefault="00D430EE" w:rsidP="00D430EE">
      <w:pPr>
        <w:pStyle w:val="BodyText"/>
        <w:rPr>
          <w:rFonts w:cs="Arial"/>
          <w:color w:val="auto"/>
        </w:rPr>
      </w:pPr>
      <w:r w:rsidRPr="000442F3">
        <w:rPr>
          <w:rFonts w:cs="Arial"/>
          <w:color w:val="auto"/>
        </w:rPr>
        <w:t xml:space="preserve">As the </w:t>
      </w:r>
      <w:r w:rsidRPr="00AD518C">
        <w:rPr>
          <w:rFonts w:cs="Arial"/>
          <w:i/>
          <w:color w:val="auto"/>
        </w:rPr>
        <w:t>Security Services Industry Award</w:t>
      </w:r>
      <w:r w:rsidR="00755B20" w:rsidRPr="00AD518C">
        <w:rPr>
          <w:rFonts w:cs="Arial"/>
          <w:i/>
          <w:color w:val="auto"/>
        </w:rPr>
        <w:t xml:space="preserve"> 2010</w:t>
      </w:r>
      <w:r w:rsidRPr="000442F3">
        <w:rPr>
          <w:rFonts w:cs="Arial"/>
          <w:color w:val="auto"/>
        </w:rPr>
        <w:t xml:space="preserve"> excludes</w:t>
      </w:r>
      <w:r w:rsidR="008342E4">
        <w:rPr>
          <w:rFonts w:cs="Arial"/>
          <w:color w:val="auto"/>
        </w:rPr>
        <w:t xml:space="preserve"> employees who transport</w:t>
      </w:r>
      <w:r w:rsidR="00670696">
        <w:rPr>
          <w:rFonts w:cs="Arial"/>
          <w:color w:val="auto"/>
        </w:rPr>
        <w:t xml:space="preserve"> and/or deliver</w:t>
      </w:r>
      <w:r w:rsidR="008342E4">
        <w:rPr>
          <w:rFonts w:cs="Arial"/>
          <w:color w:val="auto"/>
        </w:rPr>
        <w:t xml:space="preserve"> cash or valuables as their primary activity, </w:t>
      </w:r>
      <w:r w:rsidR="00CE3DED">
        <w:rPr>
          <w:rFonts w:cs="Arial"/>
          <w:color w:val="auto"/>
        </w:rPr>
        <w:t>this option would alter the scope of the Scheme. E</w:t>
      </w:r>
      <w:r w:rsidR="008342E4">
        <w:rPr>
          <w:rFonts w:cs="Arial"/>
          <w:color w:val="auto"/>
        </w:rPr>
        <w:t xml:space="preserve">mployees engaging in this activity would no longer be eligible for the Scheme. </w:t>
      </w:r>
      <w:r w:rsidR="00670696">
        <w:rPr>
          <w:rFonts w:cs="Arial"/>
          <w:color w:val="auto"/>
        </w:rPr>
        <w:t xml:space="preserve">The Award also excludes employees who install, maintain or repair electronic alarm and/or monitoring systems. </w:t>
      </w:r>
      <w:r w:rsidR="00F5772B">
        <w:rPr>
          <w:rFonts w:cs="Arial"/>
          <w:color w:val="auto"/>
        </w:rPr>
        <w:t xml:space="preserve">Employees undertaking both </w:t>
      </w:r>
      <w:r w:rsidR="00320541">
        <w:rPr>
          <w:rFonts w:cs="Arial"/>
          <w:color w:val="auto"/>
        </w:rPr>
        <w:t xml:space="preserve">of </w:t>
      </w:r>
      <w:r w:rsidR="00F5772B">
        <w:rPr>
          <w:rFonts w:cs="Arial"/>
          <w:color w:val="auto"/>
        </w:rPr>
        <w:t xml:space="preserve">these activities are currently covered by the Scheme under the Interim Regulations </w:t>
      </w:r>
      <w:r w:rsidR="001B3E78">
        <w:rPr>
          <w:rFonts w:cs="Arial"/>
          <w:color w:val="auto"/>
        </w:rPr>
        <w:t>but would be excluded from the Scheme under this option</w:t>
      </w:r>
      <w:r w:rsidR="00670696">
        <w:rPr>
          <w:rFonts w:cs="Arial"/>
          <w:color w:val="auto"/>
        </w:rPr>
        <w:t>.</w:t>
      </w:r>
      <w:r w:rsidR="003B2762">
        <w:rPr>
          <w:rFonts w:cs="Arial"/>
          <w:color w:val="auto"/>
        </w:rPr>
        <w:t xml:space="preserve"> As there is no current test to determine who is </w:t>
      </w:r>
      <w:r w:rsidR="0071726F">
        <w:rPr>
          <w:rFonts w:cs="Arial"/>
          <w:color w:val="auto"/>
        </w:rPr>
        <w:t xml:space="preserve">regarded as </w:t>
      </w:r>
      <w:r w:rsidR="003B2762">
        <w:rPr>
          <w:rFonts w:cs="Arial"/>
          <w:color w:val="auto"/>
        </w:rPr>
        <w:t xml:space="preserve">an employee in the security industry, </w:t>
      </w:r>
      <w:r w:rsidR="001775C2">
        <w:rPr>
          <w:rFonts w:cs="Arial"/>
          <w:color w:val="auto"/>
        </w:rPr>
        <w:t xml:space="preserve">it </w:t>
      </w:r>
      <w:r w:rsidR="003B2762">
        <w:rPr>
          <w:rFonts w:cs="Arial"/>
          <w:color w:val="auto"/>
        </w:rPr>
        <w:t>is not expected that defining employees in relation to this Award would bring any employees not currently covered by the Scheme within the scope of the Scheme.</w:t>
      </w:r>
    </w:p>
    <w:p w14:paraId="73EEBC58" w14:textId="06EAEEA6" w:rsidR="00D85311" w:rsidRPr="00F5772B" w:rsidRDefault="00670696" w:rsidP="00D430EE">
      <w:pPr>
        <w:pStyle w:val="BodyText"/>
        <w:rPr>
          <w:rFonts w:cs="Arial"/>
          <w:color w:val="auto"/>
        </w:rPr>
      </w:pPr>
      <w:r>
        <w:rPr>
          <w:rFonts w:cs="Arial"/>
          <w:color w:val="auto"/>
        </w:rPr>
        <w:t xml:space="preserve">Administrative and other clerical staff would not be covered by the Scheme under this option. The </w:t>
      </w:r>
      <w:r>
        <w:rPr>
          <w:rFonts w:cs="Arial"/>
          <w:i/>
          <w:color w:val="auto"/>
        </w:rPr>
        <w:t xml:space="preserve">Clerks–Private Sector Award 2010 </w:t>
      </w:r>
      <w:r>
        <w:rPr>
          <w:rFonts w:cs="Arial"/>
          <w:color w:val="auto"/>
        </w:rPr>
        <w:t>will usually cover</w:t>
      </w:r>
      <w:r w:rsidR="00330A91">
        <w:rPr>
          <w:rFonts w:cs="Arial"/>
          <w:color w:val="auto"/>
        </w:rPr>
        <w:t xml:space="preserve"> the employment of</w:t>
      </w:r>
      <w:r>
        <w:rPr>
          <w:rFonts w:cs="Arial"/>
          <w:color w:val="auto"/>
        </w:rPr>
        <w:t xml:space="preserve"> clerical employees of employers covered by the </w:t>
      </w:r>
      <w:r w:rsidRPr="004D5E10">
        <w:rPr>
          <w:rFonts w:cs="Arial"/>
          <w:i/>
          <w:color w:val="auto"/>
        </w:rPr>
        <w:t>Security Services Industry Award 2010</w:t>
      </w:r>
      <w:r>
        <w:rPr>
          <w:rFonts w:cs="Arial"/>
          <w:i/>
          <w:color w:val="auto"/>
        </w:rPr>
        <w:t>.</w:t>
      </w:r>
      <w:r w:rsidR="002E3F81">
        <w:rPr>
          <w:rFonts w:cs="Arial"/>
          <w:i/>
          <w:color w:val="auto"/>
        </w:rPr>
        <w:t xml:space="preserve"> </w:t>
      </w:r>
      <w:r w:rsidR="002E3F81">
        <w:rPr>
          <w:rFonts w:cs="Arial"/>
          <w:color w:val="auto"/>
        </w:rPr>
        <w:t>Under this option, this would mean these employees would be excluded from the Scheme.</w:t>
      </w:r>
    </w:p>
    <w:tbl>
      <w:tblPr>
        <w:tblStyle w:val="TableGrid"/>
        <w:tblW w:w="9026" w:type="dxa"/>
        <w:tblLook w:val="04A0" w:firstRow="1" w:lastRow="0" w:firstColumn="1" w:lastColumn="0" w:noHBand="0" w:noVBand="1"/>
      </w:tblPr>
      <w:tblGrid>
        <w:gridCol w:w="9026"/>
      </w:tblGrid>
      <w:tr w:rsidR="00B9690B" w:rsidRPr="00F738AD" w14:paraId="0F999F00" w14:textId="77777777" w:rsidTr="00905A24">
        <w:trPr>
          <w:tblHeader/>
        </w:trPr>
        <w:tc>
          <w:tcPr>
            <w:tcW w:w="9026" w:type="dxa"/>
            <w:tcBorders>
              <w:left w:val="nil"/>
            </w:tcBorders>
            <w:shd w:val="clear" w:color="auto" w:fill="002060"/>
          </w:tcPr>
          <w:p w14:paraId="08F08E8E" w14:textId="77777777" w:rsidR="00B9690B" w:rsidRPr="00F738AD" w:rsidRDefault="00B9690B" w:rsidP="00905A24">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B9690B" w:rsidRPr="00EC5379" w14:paraId="5323D6A0" w14:textId="77777777" w:rsidTr="00905A24">
        <w:trPr>
          <w:trHeight w:val="523"/>
        </w:trPr>
        <w:tc>
          <w:tcPr>
            <w:tcW w:w="9026" w:type="dxa"/>
            <w:tcBorders>
              <w:left w:val="nil"/>
            </w:tcBorders>
            <w:shd w:val="clear" w:color="auto" w:fill="DEEAF6" w:themeFill="accent1" w:themeFillTint="33"/>
          </w:tcPr>
          <w:p w14:paraId="1F99321A" w14:textId="39067C89" w:rsidR="00B9690B" w:rsidRPr="00B9690B" w:rsidRDefault="00DF2E27" w:rsidP="00DF2E27">
            <w:pPr>
              <w:pStyle w:val="BodyText"/>
              <w:ind w:left="601" w:hanging="601"/>
              <w:rPr>
                <w:rFonts w:cs="Arial"/>
              </w:rPr>
            </w:pPr>
            <w:r>
              <w:rPr>
                <w:rFonts w:cs="Arial"/>
                <w:b/>
              </w:rPr>
              <w:t>S.</w:t>
            </w:r>
            <w:r w:rsidR="00D50857">
              <w:rPr>
                <w:rFonts w:cs="Arial"/>
                <w:b/>
              </w:rPr>
              <w:t>8</w:t>
            </w:r>
            <w:r w:rsidR="0055008B">
              <w:rPr>
                <w:rFonts w:cs="Arial"/>
                <w:b/>
              </w:rPr>
              <w:t xml:space="preserve"> </w:t>
            </w:r>
            <w:r w:rsidR="00320541">
              <w:rPr>
                <w:rFonts w:cs="Arial"/>
                <w:b/>
              </w:rPr>
              <w:tab/>
            </w:r>
            <w:r w:rsidR="00B9690B">
              <w:rPr>
                <w:rFonts w:cs="Arial"/>
              </w:rPr>
              <w:t xml:space="preserve">Are there any other viable options to improve clarity as to who is </w:t>
            </w:r>
            <w:r w:rsidR="0071726F">
              <w:rPr>
                <w:rFonts w:cs="Arial"/>
                <w:color w:val="auto"/>
              </w:rPr>
              <w:t xml:space="preserve">regarded as </w:t>
            </w:r>
            <w:r w:rsidR="00B9690B">
              <w:rPr>
                <w:rFonts w:cs="Arial"/>
              </w:rPr>
              <w:t>an employee in the security sector?</w:t>
            </w:r>
          </w:p>
        </w:tc>
      </w:tr>
    </w:tbl>
    <w:p w14:paraId="1BD39054" w14:textId="7231F96F" w:rsidR="006B7566" w:rsidRPr="00EC5379" w:rsidRDefault="00CF5417" w:rsidP="006B7566">
      <w:pPr>
        <w:pStyle w:val="Heading2"/>
        <w:rPr>
          <w:rFonts w:ascii="Arial" w:hAnsi="Arial" w:cs="Arial"/>
        </w:rPr>
      </w:pPr>
      <w:bookmarkStart w:id="97" w:name="_Toc36806264"/>
      <w:bookmarkStart w:id="98" w:name="_Toc37921493"/>
      <w:bookmarkEnd w:id="97"/>
      <w:r>
        <w:rPr>
          <w:rFonts w:ascii="Arial" w:hAnsi="Arial" w:cs="Arial"/>
        </w:rPr>
        <w:t xml:space="preserve">Reimbursing employers for </w:t>
      </w:r>
      <w:r w:rsidR="00DB3ADD">
        <w:rPr>
          <w:rFonts w:ascii="Arial" w:hAnsi="Arial" w:cs="Arial"/>
        </w:rPr>
        <w:t>double-dipping</w:t>
      </w:r>
      <w:r w:rsidR="006B7566" w:rsidRPr="00EC5379">
        <w:rPr>
          <w:rFonts w:ascii="Arial" w:hAnsi="Arial" w:cs="Arial"/>
        </w:rPr>
        <w:t xml:space="preserve"> </w:t>
      </w:r>
      <w:r w:rsidR="000500F9">
        <w:rPr>
          <w:rFonts w:ascii="Arial" w:hAnsi="Arial" w:cs="Arial"/>
        </w:rPr>
        <w:t xml:space="preserve">claims </w:t>
      </w:r>
      <w:r w:rsidR="006B7566" w:rsidRPr="00EC5379">
        <w:rPr>
          <w:rFonts w:ascii="Arial" w:hAnsi="Arial" w:cs="Arial"/>
        </w:rPr>
        <w:t>in the community services sector</w:t>
      </w:r>
      <w:r w:rsidR="00AD7B94">
        <w:rPr>
          <w:rFonts w:ascii="Arial" w:hAnsi="Arial" w:cs="Arial"/>
        </w:rPr>
        <w:t xml:space="preserve"> under the Long Service Leave Act</w:t>
      </w:r>
      <w:r w:rsidR="003C5812">
        <w:rPr>
          <w:rFonts w:ascii="Arial" w:hAnsi="Arial" w:cs="Arial"/>
        </w:rPr>
        <w:t xml:space="preserve"> 2018</w:t>
      </w:r>
      <w:bookmarkEnd w:id="98"/>
    </w:p>
    <w:bookmarkEnd w:id="91"/>
    <w:p w14:paraId="3F68132B" w14:textId="6ECFE8F4" w:rsidR="008D7140" w:rsidRPr="000A44A4" w:rsidRDefault="008D7140" w:rsidP="000A44A4">
      <w:pPr>
        <w:rPr>
          <w:rFonts w:ascii="Arial" w:hAnsi="Arial" w:cs="Arial"/>
          <w:color w:val="auto"/>
        </w:rPr>
      </w:pPr>
      <w:r w:rsidRPr="00F211F6">
        <w:rPr>
          <w:rFonts w:ascii="Arial" w:hAnsi="Arial" w:cs="Arial"/>
          <w:color w:val="auto"/>
        </w:rPr>
        <w:t>Due to the specific nature of the residual problem</w:t>
      </w:r>
      <w:r w:rsidR="00851C6C">
        <w:rPr>
          <w:rFonts w:ascii="Arial" w:hAnsi="Arial" w:cs="Arial"/>
          <w:color w:val="auto"/>
        </w:rPr>
        <w:t xml:space="preserve"> (discussed in section </w:t>
      </w:r>
      <w:r w:rsidR="00791100">
        <w:rPr>
          <w:rFonts w:ascii="Arial" w:hAnsi="Arial" w:cs="Arial"/>
          <w:color w:val="auto"/>
        </w:rPr>
        <w:fldChar w:fldCharType="begin"/>
      </w:r>
      <w:r w:rsidR="00791100">
        <w:rPr>
          <w:rFonts w:ascii="Arial" w:hAnsi="Arial" w:cs="Arial"/>
          <w:color w:val="auto"/>
        </w:rPr>
        <w:instrText xml:space="preserve"> REF _Ref36730497 \r \h </w:instrText>
      </w:r>
      <w:r w:rsidR="00791100">
        <w:rPr>
          <w:rFonts w:ascii="Arial" w:hAnsi="Arial" w:cs="Arial"/>
          <w:color w:val="auto"/>
        </w:rPr>
      </w:r>
      <w:r w:rsidR="00791100">
        <w:rPr>
          <w:rFonts w:ascii="Arial" w:hAnsi="Arial" w:cs="Arial"/>
          <w:color w:val="auto"/>
        </w:rPr>
        <w:fldChar w:fldCharType="separate"/>
      </w:r>
      <w:r w:rsidR="00791100">
        <w:rPr>
          <w:rFonts w:ascii="Arial" w:hAnsi="Arial" w:cs="Arial"/>
          <w:color w:val="auto"/>
        </w:rPr>
        <w:t>2.3.5</w:t>
      </w:r>
      <w:r w:rsidR="00791100">
        <w:rPr>
          <w:rFonts w:ascii="Arial" w:hAnsi="Arial" w:cs="Arial"/>
          <w:color w:val="auto"/>
        </w:rPr>
        <w:fldChar w:fldCharType="end"/>
      </w:r>
      <w:r w:rsidR="00851C6C">
        <w:rPr>
          <w:rFonts w:ascii="Arial" w:hAnsi="Arial" w:cs="Arial"/>
          <w:color w:val="auto"/>
        </w:rPr>
        <w:t>)</w:t>
      </w:r>
      <w:r w:rsidRPr="00F211F6">
        <w:rPr>
          <w:rFonts w:ascii="Arial" w:hAnsi="Arial" w:cs="Arial"/>
          <w:color w:val="auto"/>
        </w:rPr>
        <w:t>, there is only one option</w:t>
      </w:r>
      <w:r w:rsidR="002A50A9">
        <w:rPr>
          <w:rFonts w:ascii="Arial" w:hAnsi="Arial" w:cs="Arial"/>
          <w:color w:val="auto"/>
        </w:rPr>
        <w:t>,</w:t>
      </w:r>
      <w:r w:rsidRPr="00F211F6">
        <w:rPr>
          <w:rFonts w:ascii="Arial" w:hAnsi="Arial" w:cs="Arial"/>
          <w:color w:val="auto"/>
        </w:rPr>
        <w:t xml:space="preserve"> aside from the </w:t>
      </w:r>
      <w:r w:rsidR="0013418B">
        <w:rPr>
          <w:rFonts w:ascii="Arial" w:hAnsi="Arial" w:cs="Arial"/>
          <w:color w:val="auto"/>
        </w:rPr>
        <w:t>status quo</w:t>
      </w:r>
      <w:r w:rsidR="002A50A9">
        <w:rPr>
          <w:rFonts w:ascii="Arial" w:hAnsi="Arial" w:cs="Arial"/>
          <w:color w:val="auto"/>
        </w:rPr>
        <w:t>,</w:t>
      </w:r>
      <w:r w:rsidRPr="00F211F6">
        <w:rPr>
          <w:rFonts w:ascii="Arial" w:hAnsi="Arial" w:cs="Arial"/>
          <w:color w:val="auto"/>
        </w:rPr>
        <w:t xml:space="preserve"> that would address the problem</w:t>
      </w:r>
      <w:r w:rsidR="003B2762">
        <w:rPr>
          <w:rFonts w:ascii="Arial" w:hAnsi="Arial" w:cs="Arial"/>
          <w:color w:val="auto"/>
        </w:rPr>
        <w:t xml:space="preserve"> of </w:t>
      </w:r>
      <w:r w:rsidR="00CF5417">
        <w:rPr>
          <w:rFonts w:ascii="Arial" w:hAnsi="Arial" w:cs="Arial"/>
        </w:rPr>
        <w:t xml:space="preserve">reimbursing employers for </w:t>
      </w:r>
      <w:r w:rsidR="00DB3ADD">
        <w:rPr>
          <w:rFonts w:ascii="Arial" w:hAnsi="Arial" w:cs="Arial"/>
          <w:color w:val="auto"/>
        </w:rPr>
        <w:t>double-dipping</w:t>
      </w:r>
      <w:r w:rsidR="0072722B">
        <w:rPr>
          <w:rFonts w:ascii="Arial" w:hAnsi="Arial" w:cs="Arial"/>
          <w:color w:val="auto"/>
        </w:rPr>
        <w:t xml:space="preserve"> claims</w:t>
      </w:r>
      <w:r w:rsidR="003B2762">
        <w:rPr>
          <w:rFonts w:ascii="Arial" w:hAnsi="Arial" w:cs="Arial"/>
          <w:color w:val="auto"/>
        </w:rPr>
        <w:t xml:space="preserve"> in the community services sector under the </w:t>
      </w:r>
      <w:r w:rsidR="003B2762" w:rsidRPr="00274787">
        <w:rPr>
          <w:rFonts w:ascii="Arial" w:hAnsi="Arial" w:cs="Arial"/>
          <w:i/>
          <w:color w:val="auto"/>
        </w:rPr>
        <w:t>Long Service</w:t>
      </w:r>
      <w:r w:rsidR="001775C2" w:rsidRPr="00274787">
        <w:rPr>
          <w:rFonts w:ascii="Arial" w:hAnsi="Arial" w:cs="Arial"/>
          <w:i/>
          <w:color w:val="auto"/>
        </w:rPr>
        <w:t xml:space="preserve"> Leave</w:t>
      </w:r>
      <w:r w:rsidR="003B2762" w:rsidRPr="00274787">
        <w:rPr>
          <w:rFonts w:ascii="Arial" w:hAnsi="Arial" w:cs="Arial"/>
          <w:i/>
          <w:color w:val="auto"/>
        </w:rPr>
        <w:t xml:space="preserve"> Act</w:t>
      </w:r>
      <w:r w:rsidR="001775C2" w:rsidRPr="00274787">
        <w:rPr>
          <w:rFonts w:ascii="Arial" w:hAnsi="Arial" w:cs="Arial"/>
          <w:i/>
          <w:color w:val="auto"/>
        </w:rPr>
        <w:t xml:space="preserve"> 2018</w:t>
      </w:r>
      <w:r w:rsidR="000A44A4" w:rsidRPr="000A44A4">
        <w:rPr>
          <w:rFonts w:ascii="Arial" w:hAnsi="Arial" w:cs="Arial"/>
          <w:color w:val="auto"/>
        </w:rPr>
        <w:t>:</w:t>
      </w:r>
    </w:p>
    <w:p w14:paraId="7608181A" w14:textId="3087C5EA" w:rsidR="008639FE" w:rsidRPr="00320541" w:rsidRDefault="00F211F6" w:rsidP="00320541">
      <w:pPr>
        <w:pStyle w:val="ListBullet"/>
        <w:rPr>
          <w:b/>
        </w:rPr>
      </w:pPr>
      <w:r w:rsidRPr="00320541">
        <w:rPr>
          <w:b/>
        </w:rPr>
        <w:t>Allow</w:t>
      </w:r>
      <w:r w:rsidR="000A44A4" w:rsidRPr="00320541">
        <w:rPr>
          <w:b/>
        </w:rPr>
        <w:t>ing</w:t>
      </w:r>
      <w:r w:rsidRPr="00320541">
        <w:rPr>
          <w:b/>
        </w:rPr>
        <w:t xml:space="preserve"> employers </w:t>
      </w:r>
      <w:r w:rsidR="00527564" w:rsidRPr="00320541">
        <w:rPr>
          <w:b/>
        </w:rPr>
        <w:t xml:space="preserve">who pay entitlements under the </w:t>
      </w:r>
      <w:r w:rsidR="00527564" w:rsidRPr="00320541">
        <w:rPr>
          <w:b/>
          <w:i/>
        </w:rPr>
        <w:t>Long Service Leave Act 2018</w:t>
      </w:r>
      <w:r w:rsidR="00527564" w:rsidRPr="00320541">
        <w:rPr>
          <w:b/>
        </w:rPr>
        <w:t xml:space="preserve"> to be entitled to reimbursement</w:t>
      </w:r>
      <w:r w:rsidR="000A44A4" w:rsidRPr="00320541">
        <w:rPr>
          <w:b/>
        </w:rPr>
        <w:t>.</w:t>
      </w:r>
    </w:p>
    <w:p w14:paraId="18AC9189" w14:textId="3EA4F6DF" w:rsidR="003B2762" w:rsidRDefault="000A44A4" w:rsidP="003B2762">
      <w:pPr>
        <w:rPr>
          <w:rFonts w:ascii="Arial" w:hAnsi="Arial" w:cs="Arial"/>
          <w:color w:val="auto"/>
        </w:rPr>
      </w:pPr>
      <w:r w:rsidRPr="000A44A4">
        <w:rPr>
          <w:rFonts w:ascii="Arial" w:hAnsi="Arial" w:cs="Arial"/>
          <w:color w:val="auto"/>
        </w:rPr>
        <w:t xml:space="preserve">This option </w:t>
      </w:r>
      <w:r w:rsidRPr="00515AD2">
        <w:rPr>
          <w:rFonts w:ascii="Arial" w:hAnsi="Arial" w:cs="Arial"/>
          <w:color w:val="auto"/>
        </w:rPr>
        <w:t>would ensure employers are not required to pay</w:t>
      </w:r>
      <w:r w:rsidR="00D616CA">
        <w:rPr>
          <w:rFonts w:ascii="Arial" w:hAnsi="Arial" w:cs="Arial"/>
          <w:color w:val="auto"/>
        </w:rPr>
        <w:t xml:space="preserve"> both</w:t>
      </w:r>
      <w:r w:rsidRPr="00515AD2">
        <w:rPr>
          <w:rFonts w:ascii="Arial" w:hAnsi="Arial" w:cs="Arial"/>
          <w:color w:val="auto"/>
        </w:rPr>
        <w:t xml:space="preserve"> a levy to the Authority</w:t>
      </w:r>
      <w:r w:rsidR="002E3F81">
        <w:rPr>
          <w:rFonts w:ascii="Arial" w:hAnsi="Arial" w:cs="Arial"/>
          <w:color w:val="auto"/>
        </w:rPr>
        <w:t xml:space="preserve"> on behalf of an employee</w:t>
      </w:r>
      <w:r w:rsidRPr="00515AD2">
        <w:rPr>
          <w:rFonts w:ascii="Arial" w:hAnsi="Arial" w:cs="Arial"/>
          <w:color w:val="auto"/>
        </w:rPr>
        <w:t xml:space="preserve"> and pay</w:t>
      </w:r>
      <w:r w:rsidR="002E3F81">
        <w:rPr>
          <w:rFonts w:ascii="Arial" w:hAnsi="Arial" w:cs="Arial"/>
          <w:color w:val="auto"/>
        </w:rPr>
        <w:t xml:space="preserve"> the same</w:t>
      </w:r>
      <w:r w:rsidRPr="00515AD2">
        <w:rPr>
          <w:rFonts w:ascii="Arial" w:hAnsi="Arial" w:cs="Arial"/>
          <w:color w:val="auto"/>
        </w:rPr>
        <w:t xml:space="preserve"> employee for a long service entitlement under the </w:t>
      </w:r>
      <w:r w:rsidRPr="00274787">
        <w:rPr>
          <w:rFonts w:ascii="Arial" w:hAnsi="Arial" w:cs="Arial"/>
          <w:i/>
          <w:color w:val="auto"/>
        </w:rPr>
        <w:t>Long Service Leave A</w:t>
      </w:r>
      <w:r w:rsidR="00515AD2" w:rsidRPr="00274787">
        <w:rPr>
          <w:rFonts w:ascii="Arial" w:hAnsi="Arial" w:cs="Arial"/>
          <w:i/>
          <w:color w:val="auto"/>
        </w:rPr>
        <w:t>ct</w:t>
      </w:r>
      <w:r w:rsidR="001775C2">
        <w:rPr>
          <w:rFonts w:ascii="Arial" w:hAnsi="Arial" w:cs="Arial"/>
          <w:i/>
          <w:color w:val="auto"/>
        </w:rPr>
        <w:t xml:space="preserve"> 2018</w:t>
      </w:r>
      <w:r w:rsidRPr="00515AD2">
        <w:rPr>
          <w:rFonts w:ascii="Arial" w:hAnsi="Arial" w:cs="Arial"/>
          <w:color w:val="auto"/>
        </w:rPr>
        <w:t xml:space="preserve"> for the same period of service</w:t>
      </w:r>
      <w:r w:rsidR="002E3F81">
        <w:rPr>
          <w:rFonts w:ascii="Arial" w:hAnsi="Arial" w:cs="Arial"/>
          <w:color w:val="auto"/>
        </w:rPr>
        <w:t xml:space="preserve"> without reimbursement from the Authority</w:t>
      </w:r>
      <w:r w:rsidRPr="00515AD2">
        <w:rPr>
          <w:rFonts w:ascii="Arial" w:hAnsi="Arial" w:cs="Arial"/>
          <w:color w:val="auto"/>
        </w:rPr>
        <w:t xml:space="preserve">. Employers would be entitled to reimbursement from the Authority for any levy paid once an employee accesses an entitlement under the </w:t>
      </w:r>
      <w:r w:rsidRPr="00274787">
        <w:rPr>
          <w:rFonts w:ascii="Arial" w:hAnsi="Arial" w:cs="Arial"/>
          <w:i/>
          <w:color w:val="auto"/>
        </w:rPr>
        <w:t>Long Service Leave Act</w:t>
      </w:r>
      <w:r w:rsidR="001775C2">
        <w:rPr>
          <w:rFonts w:ascii="Arial" w:hAnsi="Arial" w:cs="Arial"/>
          <w:i/>
          <w:color w:val="auto"/>
        </w:rPr>
        <w:t xml:space="preserve"> 2018</w:t>
      </w:r>
      <w:r w:rsidRPr="00515AD2">
        <w:rPr>
          <w:rFonts w:ascii="Arial" w:hAnsi="Arial" w:cs="Arial"/>
          <w:color w:val="auto"/>
        </w:rPr>
        <w:t xml:space="preserve">. </w:t>
      </w:r>
      <w:r w:rsidR="003B2762">
        <w:rPr>
          <w:rFonts w:ascii="Arial" w:hAnsi="Arial" w:cs="Arial"/>
          <w:color w:val="auto"/>
        </w:rPr>
        <w:t xml:space="preserve">The existing provisions in the Regulations </w:t>
      </w:r>
      <w:r w:rsidR="001775C2">
        <w:rPr>
          <w:rFonts w:ascii="Arial" w:hAnsi="Arial" w:cs="Arial"/>
          <w:color w:val="auto"/>
        </w:rPr>
        <w:t>which deal with the ability of</w:t>
      </w:r>
      <w:r w:rsidR="001775C2" w:rsidRPr="00C22E90">
        <w:rPr>
          <w:rFonts w:ascii="Arial" w:hAnsi="Arial" w:cs="Arial"/>
          <w:color w:val="auto"/>
        </w:rPr>
        <w:t xml:space="preserve"> </w:t>
      </w:r>
      <w:r w:rsidR="003B2762" w:rsidRPr="00C22E90">
        <w:rPr>
          <w:rFonts w:ascii="Arial" w:hAnsi="Arial" w:cs="Arial"/>
          <w:color w:val="auto"/>
        </w:rPr>
        <w:t xml:space="preserve">employers </w:t>
      </w:r>
      <w:r w:rsidR="001775C2">
        <w:rPr>
          <w:rFonts w:ascii="Arial" w:hAnsi="Arial" w:cs="Arial"/>
          <w:color w:val="auto"/>
        </w:rPr>
        <w:t>claiming</w:t>
      </w:r>
      <w:r w:rsidR="003B2762" w:rsidRPr="00C22E90">
        <w:rPr>
          <w:rFonts w:ascii="Arial" w:hAnsi="Arial" w:cs="Arial"/>
          <w:color w:val="auto"/>
        </w:rPr>
        <w:t xml:space="preserve"> a reimbursement for long service entitlements where </w:t>
      </w:r>
      <w:r w:rsidR="003B2762">
        <w:rPr>
          <w:rFonts w:ascii="Arial" w:hAnsi="Arial" w:cs="Arial"/>
          <w:color w:val="auto"/>
        </w:rPr>
        <w:t xml:space="preserve">an employee has an entitlement to long service leave under a </w:t>
      </w:r>
      <w:r w:rsidR="001775C2">
        <w:rPr>
          <w:rFonts w:ascii="Arial" w:hAnsi="Arial" w:cs="Arial"/>
          <w:color w:val="auto"/>
        </w:rPr>
        <w:t>f</w:t>
      </w:r>
      <w:r w:rsidR="003B2762">
        <w:rPr>
          <w:rFonts w:ascii="Arial" w:hAnsi="Arial" w:cs="Arial"/>
          <w:color w:val="auto"/>
        </w:rPr>
        <w:t xml:space="preserve">air </w:t>
      </w:r>
      <w:r w:rsidR="001775C2">
        <w:rPr>
          <w:rFonts w:ascii="Arial" w:hAnsi="Arial" w:cs="Arial"/>
          <w:color w:val="auto"/>
        </w:rPr>
        <w:t>w</w:t>
      </w:r>
      <w:r w:rsidR="003B2762">
        <w:rPr>
          <w:rFonts w:ascii="Arial" w:hAnsi="Arial" w:cs="Arial"/>
          <w:color w:val="auto"/>
        </w:rPr>
        <w:t xml:space="preserve">ork instrument for the same service period (for example, under a National Employment Standard, a modern award, an enterprise agreement or a transitional instrument under the </w:t>
      </w:r>
      <w:r w:rsidR="003B2762">
        <w:rPr>
          <w:rFonts w:ascii="Arial" w:hAnsi="Arial" w:cs="Arial"/>
          <w:i/>
          <w:color w:val="auto"/>
        </w:rPr>
        <w:t xml:space="preserve">Fair Work Act </w:t>
      </w:r>
      <w:r w:rsidR="003B2762" w:rsidRPr="006B2F01">
        <w:rPr>
          <w:rFonts w:ascii="Arial" w:hAnsi="Arial" w:cs="Arial"/>
          <w:i/>
          <w:color w:val="auto"/>
        </w:rPr>
        <w:t>2009</w:t>
      </w:r>
      <w:r w:rsidR="003B2762">
        <w:rPr>
          <w:rFonts w:ascii="Arial" w:hAnsi="Arial" w:cs="Arial"/>
          <w:color w:val="auto"/>
        </w:rPr>
        <w:t>) would remain in place.</w:t>
      </w:r>
    </w:p>
    <w:p w14:paraId="2F9E0B2B" w14:textId="7DD20A14" w:rsidR="002E3F81" w:rsidRPr="00337958" w:rsidRDefault="002E3F81" w:rsidP="000A44A4">
      <w:pPr>
        <w:rPr>
          <w:rFonts w:ascii="Arial" w:hAnsi="Arial" w:cs="Arial"/>
          <w:b/>
          <w:color w:val="auto"/>
        </w:rPr>
      </w:pPr>
      <w:r>
        <w:rPr>
          <w:rFonts w:ascii="Arial" w:hAnsi="Arial" w:cs="Arial"/>
          <w:b/>
          <w:color w:val="auto"/>
        </w:rPr>
        <w:t>A</w:t>
      </w:r>
      <w:r w:rsidRPr="0066429D">
        <w:rPr>
          <w:rFonts w:ascii="Arial" w:hAnsi="Arial" w:cs="Arial"/>
          <w:b/>
          <w:color w:val="auto"/>
        </w:rPr>
        <w:t xml:space="preserve">ny regulatory amendments to reimburse employers for </w:t>
      </w:r>
      <w:r w:rsidR="00DB3ADD">
        <w:rPr>
          <w:rFonts w:ascii="Arial" w:hAnsi="Arial" w:cs="Arial"/>
          <w:b/>
          <w:color w:val="auto"/>
        </w:rPr>
        <w:t>double-dipping</w:t>
      </w:r>
      <w:r w:rsidRPr="0066429D">
        <w:rPr>
          <w:rFonts w:ascii="Arial" w:hAnsi="Arial" w:cs="Arial"/>
          <w:b/>
          <w:color w:val="auto"/>
        </w:rPr>
        <w:t xml:space="preserve"> under the </w:t>
      </w:r>
      <w:r w:rsidRPr="0066429D">
        <w:rPr>
          <w:rFonts w:ascii="Arial" w:hAnsi="Arial" w:cs="Arial"/>
          <w:b/>
          <w:i/>
          <w:color w:val="auto"/>
        </w:rPr>
        <w:t>Long Service Leave Act 2018</w:t>
      </w:r>
      <w:r w:rsidRPr="0066429D">
        <w:rPr>
          <w:rFonts w:ascii="Arial" w:hAnsi="Arial" w:cs="Arial"/>
          <w:b/>
          <w:color w:val="auto"/>
        </w:rPr>
        <w:t xml:space="preserve"> will not be included in the Proposed Regulations at this time.</w:t>
      </w:r>
      <w:r w:rsidRPr="00C22E90">
        <w:rPr>
          <w:rFonts w:ascii="Arial" w:hAnsi="Arial" w:cs="Arial"/>
          <w:color w:val="auto"/>
        </w:rPr>
        <w:t xml:space="preserve"> </w:t>
      </w:r>
      <w:r w:rsidR="0050510D">
        <w:rPr>
          <w:rFonts w:ascii="Arial" w:hAnsi="Arial" w:cs="Arial"/>
          <w:color w:val="auto"/>
        </w:rPr>
        <w:t>This is because this option requires</w:t>
      </w:r>
      <w:r w:rsidR="000A44A4" w:rsidRPr="00F5772B">
        <w:rPr>
          <w:rFonts w:ascii="Arial" w:hAnsi="Arial" w:cs="Arial"/>
          <w:color w:val="auto"/>
        </w:rPr>
        <w:t xml:space="preserve"> both legislative amendments to the LSBP Act and changes to the Regulations.</w:t>
      </w:r>
      <w:r w:rsidR="000A44A4" w:rsidRPr="00337958">
        <w:rPr>
          <w:rFonts w:ascii="Arial" w:hAnsi="Arial" w:cs="Arial"/>
          <w:b/>
          <w:color w:val="auto"/>
        </w:rPr>
        <w:t xml:space="preserve"> </w:t>
      </w:r>
      <w:r>
        <w:rPr>
          <w:rFonts w:ascii="Arial" w:hAnsi="Arial" w:cs="Arial"/>
          <w:color w:val="auto"/>
        </w:rPr>
        <w:t xml:space="preserve">Subject to </w:t>
      </w:r>
      <w:r w:rsidR="0050510D">
        <w:rPr>
          <w:rFonts w:ascii="Arial" w:hAnsi="Arial" w:cs="Arial"/>
          <w:color w:val="auto"/>
        </w:rPr>
        <w:t xml:space="preserve">future </w:t>
      </w:r>
      <w:r>
        <w:rPr>
          <w:rFonts w:ascii="Arial" w:hAnsi="Arial" w:cs="Arial"/>
          <w:color w:val="auto"/>
        </w:rPr>
        <w:t xml:space="preserve">Parliamentary consideration of amendments to the LSBP Act, this option would not be implemented until </w:t>
      </w:r>
      <w:r w:rsidRPr="00C22E90">
        <w:rPr>
          <w:rFonts w:ascii="Arial" w:hAnsi="Arial" w:cs="Arial"/>
          <w:color w:val="auto"/>
        </w:rPr>
        <w:t xml:space="preserve">2021 at the earliest. </w:t>
      </w:r>
      <w:r w:rsidR="00857605">
        <w:rPr>
          <w:rFonts w:ascii="Arial" w:hAnsi="Arial" w:cs="Arial"/>
          <w:color w:val="auto"/>
        </w:rPr>
        <w:lastRenderedPageBreak/>
        <w:t xml:space="preserve">Notwithstanding this limitation, the option to reimburse employers for </w:t>
      </w:r>
      <w:r w:rsidR="00DB3ADD">
        <w:rPr>
          <w:rFonts w:ascii="Arial" w:hAnsi="Arial" w:cs="Arial"/>
          <w:color w:val="auto"/>
        </w:rPr>
        <w:t>double-dipping</w:t>
      </w:r>
      <w:r w:rsidR="001D348D">
        <w:rPr>
          <w:rFonts w:ascii="Arial" w:hAnsi="Arial" w:cs="Arial"/>
          <w:color w:val="auto"/>
        </w:rPr>
        <w:t xml:space="preserve"> is considered in this RIS for transparency, </w:t>
      </w:r>
      <w:r w:rsidR="00330A91">
        <w:rPr>
          <w:rFonts w:ascii="Arial" w:hAnsi="Arial" w:cs="Arial"/>
          <w:color w:val="auto"/>
        </w:rPr>
        <w:t xml:space="preserve">to </w:t>
      </w:r>
      <w:r w:rsidR="00857605">
        <w:rPr>
          <w:rFonts w:ascii="Arial" w:hAnsi="Arial" w:cs="Arial"/>
          <w:color w:val="auto"/>
        </w:rPr>
        <w:t>outline the likely legislative and regulatory changes (subject to Parliamentary consideration)</w:t>
      </w:r>
      <w:r w:rsidR="001D348D">
        <w:rPr>
          <w:rFonts w:ascii="Arial" w:hAnsi="Arial" w:cs="Arial"/>
          <w:color w:val="auto"/>
        </w:rPr>
        <w:t>,</w:t>
      </w:r>
      <w:r w:rsidR="00857605">
        <w:rPr>
          <w:rFonts w:ascii="Arial" w:hAnsi="Arial" w:cs="Arial"/>
          <w:color w:val="auto"/>
        </w:rPr>
        <w:t xml:space="preserve"> and to streamline subsequent </w:t>
      </w:r>
      <w:r w:rsidR="004B3A33">
        <w:rPr>
          <w:rFonts w:ascii="Arial" w:hAnsi="Arial" w:cs="Arial"/>
          <w:color w:val="auto"/>
        </w:rPr>
        <w:t>amendments</w:t>
      </w:r>
      <w:r w:rsidR="00857605">
        <w:rPr>
          <w:rFonts w:ascii="Arial" w:hAnsi="Arial" w:cs="Arial"/>
          <w:color w:val="auto"/>
        </w:rPr>
        <w:t xml:space="preserve"> to the </w:t>
      </w:r>
      <w:r w:rsidR="001D348D">
        <w:rPr>
          <w:rFonts w:ascii="Arial" w:hAnsi="Arial" w:cs="Arial"/>
          <w:color w:val="auto"/>
        </w:rPr>
        <w:t xml:space="preserve">Regulations. </w:t>
      </w:r>
    </w:p>
    <w:p w14:paraId="217FFCAF" w14:textId="5A26DA23" w:rsidR="00E13F2A" w:rsidRPr="00EC5379" w:rsidRDefault="00E13F2A" w:rsidP="00E80E98">
      <w:pPr>
        <w:pStyle w:val="Heading2"/>
        <w:rPr>
          <w:rFonts w:ascii="Arial" w:hAnsi="Arial" w:cs="Arial"/>
        </w:rPr>
      </w:pPr>
      <w:bookmarkStart w:id="99" w:name="_Ref37323718"/>
      <w:bookmarkStart w:id="100" w:name="_Toc37921494"/>
      <w:r w:rsidRPr="00EC5379">
        <w:rPr>
          <w:rFonts w:ascii="Arial" w:hAnsi="Arial" w:cs="Arial"/>
        </w:rPr>
        <w:t>Options Not Progressed to Impact Analysis</w:t>
      </w:r>
      <w:bookmarkEnd w:id="99"/>
      <w:bookmarkEnd w:id="100"/>
    </w:p>
    <w:p w14:paraId="460D82A4" w14:textId="599F94D7" w:rsidR="00E13F2A" w:rsidRPr="00EC5379" w:rsidRDefault="00E13F2A">
      <w:pPr>
        <w:rPr>
          <w:rFonts w:ascii="Arial" w:hAnsi="Arial" w:cs="Arial"/>
        </w:rPr>
      </w:pPr>
      <w:r w:rsidRPr="00EC5379">
        <w:rPr>
          <w:rFonts w:ascii="Arial" w:hAnsi="Arial" w:cs="Arial"/>
        </w:rPr>
        <w:t xml:space="preserve">As well as </w:t>
      </w:r>
      <w:r w:rsidR="00320541">
        <w:rPr>
          <w:rFonts w:ascii="Arial" w:hAnsi="Arial" w:cs="Arial"/>
        </w:rPr>
        <w:t>the</w:t>
      </w:r>
      <w:r w:rsidR="00320541" w:rsidRPr="00EC5379">
        <w:rPr>
          <w:rFonts w:ascii="Arial" w:hAnsi="Arial" w:cs="Arial"/>
        </w:rPr>
        <w:t xml:space="preserve"> </w:t>
      </w:r>
      <w:r w:rsidRPr="00EC5379">
        <w:rPr>
          <w:rFonts w:ascii="Arial" w:hAnsi="Arial" w:cs="Arial"/>
        </w:rPr>
        <w:t xml:space="preserve">options detailed above, there are options that were considered but not progressed to impact analysis, due to unworkable technical difficulties in their implementation. </w:t>
      </w:r>
    </w:p>
    <w:p w14:paraId="5AADB58E" w14:textId="0821D094" w:rsidR="00EC3675" w:rsidRPr="00EC3675" w:rsidRDefault="00EC3675" w:rsidP="00203494">
      <w:pPr>
        <w:pStyle w:val="Heading3"/>
        <w:tabs>
          <w:tab w:val="clear" w:pos="5115"/>
        </w:tabs>
        <w:ind w:left="709"/>
        <w:rPr>
          <w:rFonts w:ascii="Arial" w:hAnsi="Arial" w:cs="Arial"/>
        </w:rPr>
      </w:pPr>
      <w:r>
        <w:rPr>
          <w:rFonts w:ascii="Arial" w:hAnsi="Arial" w:cs="Arial"/>
        </w:rPr>
        <w:t>Legislative amendments to the LSBP Act</w:t>
      </w:r>
    </w:p>
    <w:p w14:paraId="51E1C559" w14:textId="68EE49DC" w:rsidR="00EC3675" w:rsidRDefault="00EC3675">
      <w:pPr>
        <w:rPr>
          <w:rFonts w:ascii="Arial" w:hAnsi="Arial" w:cs="Arial"/>
          <w:color w:val="auto"/>
        </w:rPr>
      </w:pPr>
      <w:r>
        <w:rPr>
          <w:rFonts w:ascii="Arial" w:hAnsi="Arial" w:cs="Arial"/>
          <w:color w:val="auto"/>
        </w:rPr>
        <w:t>With the exception of</w:t>
      </w:r>
      <w:r w:rsidR="00AD7B94">
        <w:rPr>
          <w:rFonts w:ascii="Arial" w:hAnsi="Arial" w:cs="Arial"/>
          <w:color w:val="auto"/>
        </w:rPr>
        <w:t xml:space="preserve"> the problem of</w:t>
      </w:r>
      <w:r>
        <w:rPr>
          <w:rFonts w:ascii="Arial" w:hAnsi="Arial" w:cs="Arial"/>
          <w:color w:val="auto"/>
        </w:rPr>
        <w:t xml:space="preserve"> </w:t>
      </w:r>
      <w:r w:rsidR="00CF5417">
        <w:rPr>
          <w:rFonts w:ascii="Arial" w:hAnsi="Arial" w:cs="Arial"/>
        </w:rPr>
        <w:t xml:space="preserve">reimbursing employers for </w:t>
      </w:r>
      <w:r w:rsidR="00DB3ADD">
        <w:rPr>
          <w:rFonts w:ascii="Arial" w:hAnsi="Arial" w:cs="Arial"/>
          <w:color w:val="auto"/>
        </w:rPr>
        <w:t>double-dipping</w:t>
      </w:r>
      <w:r w:rsidR="0072722B">
        <w:rPr>
          <w:rFonts w:ascii="Arial" w:hAnsi="Arial" w:cs="Arial"/>
          <w:color w:val="auto"/>
        </w:rPr>
        <w:t xml:space="preserve"> claims</w:t>
      </w:r>
      <w:r w:rsidRPr="00EC3675">
        <w:rPr>
          <w:rFonts w:ascii="Arial" w:hAnsi="Arial" w:cs="Arial"/>
          <w:color w:val="auto"/>
        </w:rPr>
        <w:t xml:space="preserve"> in the community services sector</w:t>
      </w:r>
      <w:r w:rsidR="00AD7B94">
        <w:rPr>
          <w:rFonts w:ascii="Arial" w:hAnsi="Arial" w:cs="Arial"/>
          <w:color w:val="auto"/>
        </w:rPr>
        <w:t xml:space="preserve"> under the </w:t>
      </w:r>
      <w:r w:rsidR="00AD7B94" w:rsidRPr="00274787">
        <w:rPr>
          <w:rFonts w:ascii="Arial" w:hAnsi="Arial" w:cs="Arial"/>
          <w:i/>
          <w:color w:val="auto"/>
        </w:rPr>
        <w:t>Long Service Leave Act</w:t>
      </w:r>
      <w:r w:rsidR="001775C2">
        <w:rPr>
          <w:rFonts w:ascii="Arial" w:hAnsi="Arial" w:cs="Arial"/>
          <w:i/>
          <w:color w:val="auto"/>
        </w:rPr>
        <w:t xml:space="preserve"> 2018</w:t>
      </w:r>
      <w:r w:rsidRPr="00EC3675">
        <w:rPr>
          <w:rFonts w:ascii="Arial" w:hAnsi="Arial" w:cs="Arial"/>
          <w:color w:val="auto"/>
        </w:rPr>
        <w:t>,</w:t>
      </w:r>
      <w:r>
        <w:rPr>
          <w:rFonts w:ascii="Arial" w:hAnsi="Arial" w:cs="Arial"/>
          <w:color w:val="auto"/>
        </w:rPr>
        <w:t xml:space="preserve"> </w:t>
      </w:r>
      <w:r w:rsidRPr="00EC3675">
        <w:rPr>
          <w:rFonts w:ascii="Arial" w:hAnsi="Arial" w:cs="Arial"/>
          <w:color w:val="auto"/>
        </w:rPr>
        <w:t>addressing t</w:t>
      </w:r>
      <w:r w:rsidR="00527564">
        <w:rPr>
          <w:rFonts w:ascii="Arial" w:hAnsi="Arial" w:cs="Arial"/>
          <w:color w:val="auto"/>
        </w:rPr>
        <w:t xml:space="preserve">he residual problems </w:t>
      </w:r>
      <w:r>
        <w:rPr>
          <w:rFonts w:ascii="Arial" w:hAnsi="Arial" w:cs="Arial"/>
          <w:color w:val="auto"/>
        </w:rPr>
        <w:t>through legislative amendments to the LSBP Act is not viable</w:t>
      </w:r>
      <w:r w:rsidRPr="00EC3675">
        <w:rPr>
          <w:rFonts w:ascii="Arial" w:hAnsi="Arial" w:cs="Arial"/>
          <w:color w:val="auto"/>
        </w:rPr>
        <w:t>.</w:t>
      </w:r>
      <w:r w:rsidR="00DB5824">
        <w:rPr>
          <w:rFonts w:ascii="Arial" w:hAnsi="Arial" w:cs="Arial"/>
          <w:color w:val="auto"/>
        </w:rPr>
        <w:t xml:space="preserve"> While stakeholders recommended amending the LSBP Act to improve clarity,</w:t>
      </w:r>
      <w:r w:rsidR="0050510D">
        <w:rPr>
          <w:rFonts w:ascii="Arial" w:hAnsi="Arial" w:cs="Arial"/>
          <w:color w:val="auto"/>
        </w:rPr>
        <w:t xml:space="preserve"> it is appropriate to deal with the residual problems detailed in section </w:t>
      </w:r>
      <w:r w:rsidR="0050510D">
        <w:rPr>
          <w:rFonts w:ascii="Arial" w:hAnsi="Arial" w:cs="Arial"/>
          <w:color w:val="auto"/>
        </w:rPr>
        <w:fldChar w:fldCharType="begin"/>
      </w:r>
      <w:r w:rsidR="0050510D">
        <w:rPr>
          <w:rFonts w:ascii="Arial" w:hAnsi="Arial" w:cs="Arial"/>
          <w:color w:val="auto"/>
        </w:rPr>
        <w:instrText xml:space="preserve"> REF _Ref36622534 \r \h </w:instrText>
      </w:r>
      <w:r w:rsidR="0050510D">
        <w:rPr>
          <w:rFonts w:ascii="Arial" w:hAnsi="Arial" w:cs="Arial"/>
          <w:color w:val="auto"/>
        </w:rPr>
      </w:r>
      <w:r w:rsidR="0050510D">
        <w:rPr>
          <w:rFonts w:ascii="Arial" w:hAnsi="Arial" w:cs="Arial"/>
          <w:color w:val="auto"/>
        </w:rPr>
        <w:fldChar w:fldCharType="separate"/>
      </w:r>
      <w:r w:rsidR="0050510D">
        <w:rPr>
          <w:rFonts w:ascii="Arial" w:hAnsi="Arial" w:cs="Arial"/>
          <w:color w:val="auto"/>
        </w:rPr>
        <w:t>2</w:t>
      </w:r>
      <w:r w:rsidR="0050510D">
        <w:rPr>
          <w:rFonts w:ascii="Arial" w:hAnsi="Arial" w:cs="Arial"/>
          <w:color w:val="auto"/>
        </w:rPr>
        <w:fldChar w:fldCharType="end"/>
      </w:r>
      <w:r w:rsidR="000742E1">
        <w:rPr>
          <w:rFonts w:ascii="Arial" w:hAnsi="Arial" w:cs="Arial"/>
          <w:color w:val="auto"/>
        </w:rPr>
        <w:t xml:space="preserve"> of this RIS</w:t>
      </w:r>
      <w:r w:rsidR="0050510D">
        <w:rPr>
          <w:rFonts w:ascii="Arial" w:hAnsi="Arial" w:cs="Arial"/>
          <w:color w:val="auto"/>
        </w:rPr>
        <w:t xml:space="preserve"> through Regulations as</w:t>
      </w:r>
      <w:r>
        <w:rPr>
          <w:rFonts w:ascii="Arial" w:hAnsi="Arial" w:cs="Arial"/>
          <w:color w:val="auto"/>
        </w:rPr>
        <w:t xml:space="preserve"> the LSBP Act specifically delegates the issue to</w:t>
      </w:r>
      <w:r w:rsidR="000742E1">
        <w:rPr>
          <w:rFonts w:ascii="Arial" w:hAnsi="Arial" w:cs="Arial"/>
          <w:color w:val="auto"/>
        </w:rPr>
        <w:t xml:space="preserve"> be prescribed by</w:t>
      </w:r>
      <w:r>
        <w:rPr>
          <w:rFonts w:ascii="Arial" w:hAnsi="Arial" w:cs="Arial"/>
          <w:color w:val="auto"/>
        </w:rPr>
        <w:t xml:space="preserve"> Regulations</w:t>
      </w:r>
      <w:r w:rsidR="0050510D">
        <w:rPr>
          <w:rFonts w:ascii="Arial" w:hAnsi="Arial" w:cs="Arial"/>
          <w:color w:val="auto"/>
        </w:rPr>
        <w:t>. Changes contrary to the intent and drafting of the LSBP Act were not considered in scope.</w:t>
      </w:r>
    </w:p>
    <w:p w14:paraId="2E7C0B2A" w14:textId="6EBF22A8" w:rsidR="00EC3675" w:rsidRPr="00EC3675" w:rsidRDefault="00DA4EE9" w:rsidP="00203494">
      <w:pPr>
        <w:pStyle w:val="Heading3"/>
        <w:tabs>
          <w:tab w:val="clear" w:pos="5115"/>
        </w:tabs>
        <w:ind w:left="709"/>
        <w:rPr>
          <w:rFonts w:ascii="Arial" w:hAnsi="Arial" w:cs="Arial"/>
        </w:rPr>
      </w:pPr>
      <w:r>
        <w:rPr>
          <w:rFonts w:ascii="Arial" w:hAnsi="Arial" w:cs="Arial"/>
        </w:rPr>
        <w:t>Additional guidance issued by the Authority</w:t>
      </w:r>
    </w:p>
    <w:p w14:paraId="2B819FB6" w14:textId="567523F1" w:rsidR="00EC3675" w:rsidRDefault="00EC3675">
      <w:pPr>
        <w:rPr>
          <w:rFonts w:ascii="Arial" w:hAnsi="Arial" w:cs="Arial"/>
          <w:color w:val="auto"/>
        </w:rPr>
      </w:pPr>
      <w:r>
        <w:rPr>
          <w:rFonts w:ascii="Arial" w:hAnsi="Arial" w:cs="Arial"/>
          <w:color w:val="auto"/>
        </w:rPr>
        <w:t xml:space="preserve">Addressing confusion within the community services and security sectors through issuing additional guidance from the Authority </w:t>
      </w:r>
      <w:r w:rsidR="00527564">
        <w:rPr>
          <w:rFonts w:ascii="Arial" w:hAnsi="Arial" w:cs="Arial"/>
          <w:color w:val="auto"/>
        </w:rPr>
        <w:t>is not viable</w:t>
      </w:r>
      <w:r>
        <w:rPr>
          <w:rFonts w:ascii="Arial" w:hAnsi="Arial" w:cs="Arial"/>
          <w:color w:val="auto"/>
        </w:rPr>
        <w:t xml:space="preserve">. Stakeholders do not believe this option would address their </w:t>
      </w:r>
      <w:r w:rsidR="005A3ACE">
        <w:rPr>
          <w:rFonts w:ascii="Arial" w:hAnsi="Arial" w:cs="Arial"/>
          <w:color w:val="auto"/>
        </w:rPr>
        <w:t xml:space="preserve">requests </w:t>
      </w:r>
      <w:r>
        <w:rPr>
          <w:rFonts w:ascii="Arial" w:hAnsi="Arial" w:cs="Arial"/>
          <w:color w:val="auto"/>
        </w:rPr>
        <w:t>for greater clarity.</w:t>
      </w:r>
      <w:r w:rsidR="00F062B4">
        <w:rPr>
          <w:rFonts w:ascii="Arial" w:hAnsi="Arial" w:cs="Arial"/>
          <w:color w:val="auto"/>
        </w:rPr>
        <w:t xml:space="preserve"> The Authority has also reported that they are not in a position to provide greater clarity through additional guidance without the Regulations or LSBP</w:t>
      </w:r>
      <w:r>
        <w:rPr>
          <w:rFonts w:ascii="Arial" w:hAnsi="Arial" w:cs="Arial"/>
          <w:color w:val="auto"/>
        </w:rPr>
        <w:t xml:space="preserve"> </w:t>
      </w:r>
      <w:r w:rsidR="00D616CA">
        <w:rPr>
          <w:rFonts w:ascii="Arial" w:hAnsi="Arial" w:cs="Arial"/>
          <w:color w:val="auto"/>
        </w:rPr>
        <w:t>A</w:t>
      </w:r>
      <w:r w:rsidR="00F062B4">
        <w:rPr>
          <w:rFonts w:ascii="Arial" w:hAnsi="Arial" w:cs="Arial"/>
          <w:color w:val="auto"/>
        </w:rPr>
        <w:t>ct providing greater clarity.</w:t>
      </w:r>
    </w:p>
    <w:p w14:paraId="1010DFD1" w14:textId="7AFE49D1" w:rsidR="00EC3675" w:rsidRPr="00EC3675" w:rsidRDefault="00EC3675" w:rsidP="00203494">
      <w:pPr>
        <w:pStyle w:val="Heading3"/>
        <w:tabs>
          <w:tab w:val="clear" w:pos="5115"/>
        </w:tabs>
        <w:ind w:left="709"/>
        <w:rPr>
          <w:rFonts w:ascii="Arial" w:hAnsi="Arial" w:cs="Arial"/>
        </w:rPr>
      </w:pPr>
      <w:r>
        <w:rPr>
          <w:rFonts w:ascii="Arial" w:hAnsi="Arial" w:cs="Arial"/>
        </w:rPr>
        <w:t>Opt-in clause for employees to be brought within the scope of the Scheme</w:t>
      </w:r>
    </w:p>
    <w:p w14:paraId="78630255" w14:textId="0BA0001B" w:rsidR="00AD17D1" w:rsidRDefault="00EC3675" w:rsidP="00AD17D1">
      <w:pPr>
        <w:rPr>
          <w:rFonts w:ascii="Arial" w:hAnsi="Arial" w:cs="Arial"/>
          <w:color w:val="auto"/>
        </w:rPr>
      </w:pPr>
      <w:r>
        <w:rPr>
          <w:rFonts w:ascii="Arial" w:hAnsi="Arial" w:cs="Arial"/>
          <w:color w:val="auto"/>
        </w:rPr>
        <w:t>T</w:t>
      </w:r>
      <w:r w:rsidRPr="00EC3675">
        <w:rPr>
          <w:rFonts w:ascii="Arial" w:hAnsi="Arial" w:cs="Arial"/>
          <w:color w:val="auto"/>
        </w:rPr>
        <w:t xml:space="preserve">he inclusion of </w:t>
      </w:r>
      <w:r>
        <w:rPr>
          <w:rFonts w:ascii="Arial" w:hAnsi="Arial" w:cs="Arial"/>
          <w:color w:val="auto"/>
        </w:rPr>
        <w:t>an ‘opt-in’ clause</w:t>
      </w:r>
      <w:r w:rsidRPr="00EC3675">
        <w:rPr>
          <w:rFonts w:ascii="Arial" w:hAnsi="Arial" w:cs="Arial"/>
          <w:color w:val="auto"/>
        </w:rPr>
        <w:t xml:space="preserve"> to allow excluded </w:t>
      </w:r>
      <w:r w:rsidR="00BA4E89">
        <w:rPr>
          <w:rFonts w:ascii="Arial" w:hAnsi="Arial" w:cs="Arial"/>
          <w:color w:val="auto"/>
        </w:rPr>
        <w:t>employee</w:t>
      </w:r>
      <w:r w:rsidRPr="00EC3675">
        <w:rPr>
          <w:rFonts w:ascii="Arial" w:hAnsi="Arial" w:cs="Arial"/>
          <w:color w:val="auto"/>
        </w:rPr>
        <w:t>s to enter into an agreement with their employer so that they are brought</w:t>
      </w:r>
      <w:r>
        <w:rPr>
          <w:rFonts w:ascii="Arial" w:hAnsi="Arial" w:cs="Arial"/>
          <w:color w:val="auto"/>
        </w:rPr>
        <w:t xml:space="preserve"> within the scope of the Scheme is not</w:t>
      </w:r>
      <w:r w:rsidRPr="00EC3675">
        <w:rPr>
          <w:rFonts w:ascii="Arial" w:hAnsi="Arial" w:cs="Arial"/>
          <w:color w:val="auto"/>
        </w:rPr>
        <w:t xml:space="preserve"> viable</w:t>
      </w:r>
      <w:r w:rsidR="000742E1">
        <w:rPr>
          <w:rFonts w:ascii="Arial" w:hAnsi="Arial" w:cs="Arial"/>
          <w:color w:val="auto"/>
        </w:rPr>
        <w:t xml:space="preserve"> and is not legally viable under the LSBP Act</w:t>
      </w:r>
      <w:r w:rsidRPr="00EC3675">
        <w:rPr>
          <w:rFonts w:ascii="Arial" w:hAnsi="Arial" w:cs="Arial"/>
          <w:color w:val="auto"/>
        </w:rPr>
        <w:t xml:space="preserve">. </w:t>
      </w:r>
      <w:r w:rsidR="00527564">
        <w:rPr>
          <w:rFonts w:ascii="Arial" w:hAnsi="Arial" w:cs="Arial"/>
          <w:color w:val="auto"/>
        </w:rPr>
        <w:t>Stakeholders raised this proposal as an option to reduce the administrative burden associated with determining which employees are covered</w:t>
      </w:r>
      <w:r w:rsidR="00AE092A">
        <w:rPr>
          <w:rFonts w:ascii="Arial" w:hAnsi="Arial" w:cs="Arial"/>
          <w:color w:val="auto"/>
        </w:rPr>
        <w:t xml:space="preserve"> by the Scheme</w:t>
      </w:r>
      <w:r w:rsidR="0042162D">
        <w:rPr>
          <w:rFonts w:ascii="Arial" w:hAnsi="Arial" w:cs="Arial"/>
          <w:color w:val="auto"/>
        </w:rPr>
        <w:t xml:space="preserve"> and increase equity between staff within the workplace</w:t>
      </w:r>
      <w:r w:rsidR="00527564">
        <w:rPr>
          <w:rFonts w:ascii="Arial" w:hAnsi="Arial" w:cs="Arial"/>
          <w:color w:val="auto"/>
        </w:rPr>
        <w:t xml:space="preserve">. </w:t>
      </w:r>
      <w:r w:rsidRPr="00EC3675">
        <w:rPr>
          <w:rFonts w:ascii="Arial" w:hAnsi="Arial" w:cs="Arial"/>
          <w:color w:val="auto"/>
        </w:rPr>
        <w:t xml:space="preserve">While it may be possible to include a mechanism whereby an employee and employer can agree in writing that an otherwise excluded employee is covered by the Scheme, </w:t>
      </w:r>
      <w:r w:rsidR="000742E1">
        <w:rPr>
          <w:rFonts w:ascii="Arial" w:hAnsi="Arial" w:cs="Arial"/>
          <w:color w:val="auto"/>
        </w:rPr>
        <w:t xml:space="preserve">the Authority is not legally able to accept a levy on behalf of that employee unless the Act was amended to provide for this. </w:t>
      </w:r>
    </w:p>
    <w:p w14:paraId="6100D61D" w14:textId="1430C488" w:rsidR="00F5772B" w:rsidRPr="00EC3675" w:rsidRDefault="00F5772B" w:rsidP="00F5772B">
      <w:pPr>
        <w:pStyle w:val="Heading3"/>
        <w:tabs>
          <w:tab w:val="clear" w:pos="5115"/>
          <w:tab w:val="num" w:pos="720"/>
        </w:tabs>
        <w:ind w:left="720"/>
        <w:rPr>
          <w:rFonts w:ascii="Arial" w:hAnsi="Arial" w:cs="Arial"/>
        </w:rPr>
      </w:pPr>
      <w:r>
        <w:rPr>
          <w:rFonts w:ascii="Arial" w:hAnsi="Arial" w:cs="Arial"/>
        </w:rPr>
        <w:t xml:space="preserve">Only require </w:t>
      </w:r>
      <w:r w:rsidR="0072722B">
        <w:rPr>
          <w:rFonts w:ascii="Arial" w:hAnsi="Arial" w:cs="Arial"/>
        </w:rPr>
        <w:t>Community Health</w:t>
      </w:r>
      <w:r>
        <w:rPr>
          <w:rFonts w:ascii="Arial" w:hAnsi="Arial" w:cs="Arial"/>
        </w:rPr>
        <w:t xml:space="preserve"> employers to make levy payments to the Authority w</w:t>
      </w:r>
      <w:r w:rsidRPr="00A26E4D">
        <w:rPr>
          <w:rFonts w:ascii="Arial" w:hAnsi="Arial" w:cs="Arial"/>
        </w:rPr>
        <w:t xml:space="preserve">hen continuous service under an award- or enterprise agreement-derived </w:t>
      </w:r>
      <w:r>
        <w:rPr>
          <w:rFonts w:ascii="Arial" w:hAnsi="Arial" w:cs="Arial"/>
        </w:rPr>
        <w:t>long service leave entitlement</w:t>
      </w:r>
      <w:r w:rsidRPr="00932A9D">
        <w:rPr>
          <w:rFonts w:ascii="Arial" w:hAnsi="Arial" w:cs="Arial"/>
        </w:rPr>
        <w:t xml:space="preserve"> is broken</w:t>
      </w:r>
    </w:p>
    <w:p w14:paraId="09D42245" w14:textId="6EB1BC46" w:rsidR="00817D66" w:rsidRDefault="00932A9D" w:rsidP="00551DAB">
      <w:pPr>
        <w:spacing w:before="240"/>
        <w:rPr>
          <w:rFonts w:ascii="Arial" w:hAnsi="Arial" w:cs="Arial"/>
          <w:color w:val="auto"/>
        </w:rPr>
      </w:pPr>
      <w:r>
        <w:rPr>
          <w:rFonts w:ascii="Arial" w:hAnsi="Arial" w:cs="Arial"/>
          <w:color w:val="auto"/>
        </w:rPr>
        <w:t xml:space="preserve">In recognition of the existing multi-employer leave portability scheme within the </w:t>
      </w:r>
      <w:r w:rsidR="0072722B">
        <w:rPr>
          <w:rFonts w:ascii="Arial" w:hAnsi="Arial" w:cs="Arial"/>
          <w:color w:val="auto"/>
        </w:rPr>
        <w:t>Community Health</w:t>
      </w:r>
      <w:r w:rsidR="00BB41A4">
        <w:rPr>
          <w:rFonts w:ascii="Arial" w:hAnsi="Arial" w:cs="Arial"/>
          <w:color w:val="auto"/>
        </w:rPr>
        <w:t xml:space="preserve"> </w:t>
      </w:r>
      <w:r w:rsidR="002106A3">
        <w:rPr>
          <w:rFonts w:ascii="Arial" w:hAnsi="Arial" w:cs="Arial"/>
          <w:color w:val="auto"/>
        </w:rPr>
        <w:t>sub</w:t>
      </w:r>
      <w:r w:rsidR="002106A3">
        <w:rPr>
          <w:rFonts w:ascii="Arial" w:hAnsi="Arial" w:cs="Arial"/>
          <w:color w:val="auto"/>
        </w:rPr>
        <w:noBreakHyphen/>
        <w:t>sector</w:t>
      </w:r>
      <w:r w:rsidR="000742E1">
        <w:rPr>
          <w:rFonts w:ascii="Arial" w:hAnsi="Arial" w:cs="Arial"/>
          <w:color w:val="auto"/>
        </w:rPr>
        <w:t xml:space="preserve"> established under some enterprise agreements</w:t>
      </w:r>
      <w:r>
        <w:rPr>
          <w:rFonts w:ascii="Arial" w:hAnsi="Arial" w:cs="Arial"/>
          <w:color w:val="auto"/>
        </w:rPr>
        <w:t>, t</w:t>
      </w:r>
      <w:r w:rsidR="00AD17D1">
        <w:rPr>
          <w:rFonts w:ascii="Arial" w:hAnsi="Arial" w:cs="Arial"/>
          <w:color w:val="auto"/>
        </w:rPr>
        <w:t>he Victorian Healthcare Association proposed</w:t>
      </w:r>
      <w:r>
        <w:rPr>
          <w:rFonts w:ascii="Arial" w:hAnsi="Arial" w:cs="Arial"/>
          <w:color w:val="auto"/>
        </w:rPr>
        <w:t xml:space="preserve"> an alternative option to only pay the relevant payments to the Authority when an employee leaves the </w:t>
      </w:r>
      <w:r w:rsidR="0072722B">
        <w:rPr>
          <w:rFonts w:ascii="Arial" w:hAnsi="Arial" w:cs="Arial"/>
          <w:color w:val="auto"/>
        </w:rPr>
        <w:t>Community Health</w:t>
      </w:r>
      <w:r w:rsidR="00BB41A4">
        <w:rPr>
          <w:rFonts w:ascii="Arial" w:hAnsi="Arial" w:cs="Arial"/>
          <w:color w:val="auto"/>
        </w:rPr>
        <w:t xml:space="preserve"> </w:t>
      </w:r>
      <w:r w:rsidR="002106A3">
        <w:rPr>
          <w:rFonts w:ascii="Arial" w:hAnsi="Arial" w:cs="Arial"/>
          <w:color w:val="auto"/>
        </w:rPr>
        <w:t>sub</w:t>
      </w:r>
      <w:r w:rsidR="002106A3">
        <w:rPr>
          <w:rFonts w:ascii="Arial" w:hAnsi="Arial" w:cs="Arial"/>
          <w:color w:val="auto"/>
        </w:rPr>
        <w:noBreakHyphen/>
        <w:t>sector</w:t>
      </w:r>
      <w:r>
        <w:rPr>
          <w:rFonts w:ascii="Arial" w:hAnsi="Arial" w:cs="Arial"/>
          <w:color w:val="auto"/>
        </w:rPr>
        <w:t>.</w:t>
      </w:r>
      <w:r w:rsidR="00AD17D1">
        <w:rPr>
          <w:rStyle w:val="FootnoteReference"/>
          <w:rFonts w:ascii="Arial" w:hAnsi="Arial" w:cs="Arial"/>
          <w:color w:val="auto"/>
        </w:rPr>
        <w:footnoteReference w:id="24"/>
      </w:r>
      <w:r>
        <w:rPr>
          <w:rFonts w:ascii="Arial" w:hAnsi="Arial" w:cs="Arial"/>
          <w:color w:val="auto"/>
        </w:rPr>
        <w:t xml:space="preserve"> </w:t>
      </w:r>
      <w:r w:rsidR="0050510D">
        <w:rPr>
          <w:rFonts w:ascii="Arial" w:hAnsi="Arial" w:cs="Arial"/>
          <w:color w:val="auto"/>
        </w:rPr>
        <w:t xml:space="preserve">This option </w:t>
      </w:r>
      <w:r w:rsidR="00015F56">
        <w:rPr>
          <w:rFonts w:ascii="Arial" w:hAnsi="Arial" w:cs="Arial"/>
          <w:color w:val="auto"/>
        </w:rPr>
        <w:t xml:space="preserve">aims to </w:t>
      </w:r>
      <w:r w:rsidR="0050510D">
        <w:rPr>
          <w:rFonts w:ascii="Arial" w:hAnsi="Arial" w:cs="Arial"/>
          <w:color w:val="auto"/>
        </w:rPr>
        <w:lastRenderedPageBreak/>
        <w:t xml:space="preserve">ensure employees who move in and out of the </w:t>
      </w:r>
      <w:r w:rsidR="0072722B">
        <w:rPr>
          <w:rFonts w:ascii="Arial" w:hAnsi="Arial" w:cs="Arial"/>
          <w:color w:val="auto"/>
        </w:rPr>
        <w:t>Community Health</w:t>
      </w:r>
      <w:r w:rsidR="0050510D">
        <w:rPr>
          <w:rFonts w:ascii="Arial" w:hAnsi="Arial" w:cs="Arial"/>
          <w:color w:val="auto"/>
        </w:rPr>
        <w:t xml:space="preserve"> </w:t>
      </w:r>
      <w:r w:rsidR="002106A3">
        <w:rPr>
          <w:rFonts w:ascii="Arial" w:hAnsi="Arial" w:cs="Arial"/>
          <w:color w:val="auto"/>
        </w:rPr>
        <w:t>sub</w:t>
      </w:r>
      <w:r w:rsidR="002106A3">
        <w:rPr>
          <w:rFonts w:ascii="Arial" w:hAnsi="Arial" w:cs="Arial"/>
          <w:color w:val="auto"/>
        </w:rPr>
        <w:noBreakHyphen/>
        <w:t>sector</w:t>
      </w:r>
      <w:r w:rsidR="0050510D">
        <w:rPr>
          <w:rFonts w:ascii="Arial" w:hAnsi="Arial" w:cs="Arial"/>
          <w:color w:val="auto"/>
        </w:rPr>
        <w:t xml:space="preserve"> into the broader community services sector, and are therefore not covered by the existing multi-employer leave portability scheme, would be able to access portable long service benefits under the Scheme.</w:t>
      </w:r>
    </w:p>
    <w:p w14:paraId="0AEE05E9" w14:textId="2A33690A" w:rsidR="00932A9D" w:rsidRDefault="00932A9D" w:rsidP="00320541">
      <w:pPr>
        <w:pStyle w:val="Bodytextkeepwithnext"/>
      </w:pPr>
      <w:r>
        <w:t>The proposed approach would involve:</w:t>
      </w:r>
    </w:p>
    <w:p w14:paraId="640A5C02" w14:textId="3390B2C8" w:rsidR="00932A9D" w:rsidRDefault="0072722B" w:rsidP="00932A9D">
      <w:pPr>
        <w:pStyle w:val="ListParagraph"/>
        <w:numPr>
          <w:ilvl w:val="0"/>
          <w:numId w:val="42"/>
        </w:numPr>
        <w:ind w:left="425" w:hanging="357"/>
        <w:contextualSpacing w:val="0"/>
        <w:rPr>
          <w:rFonts w:ascii="Arial" w:hAnsi="Arial" w:cs="Arial"/>
          <w:color w:val="auto"/>
        </w:rPr>
      </w:pPr>
      <w:r>
        <w:rPr>
          <w:rFonts w:ascii="Arial" w:hAnsi="Arial" w:cs="Arial"/>
          <w:color w:val="auto"/>
        </w:rPr>
        <w:t>Community Health Centre</w:t>
      </w:r>
      <w:r w:rsidR="00932A9D" w:rsidRPr="00932A9D">
        <w:rPr>
          <w:rFonts w:ascii="Arial" w:hAnsi="Arial" w:cs="Arial"/>
          <w:color w:val="auto"/>
        </w:rPr>
        <w:t>s registering all in-scope employees with the Authority;</w:t>
      </w:r>
      <w:r w:rsidR="0055008B">
        <w:rPr>
          <w:rFonts w:ascii="Arial" w:hAnsi="Arial" w:cs="Arial"/>
          <w:color w:val="auto"/>
        </w:rPr>
        <w:t xml:space="preserve"> </w:t>
      </w:r>
    </w:p>
    <w:p w14:paraId="0A40667B" w14:textId="5127651E" w:rsidR="00932A9D" w:rsidRDefault="0072722B" w:rsidP="00932A9D">
      <w:pPr>
        <w:pStyle w:val="ListParagraph"/>
        <w:numPr>
          <w:ilvl w:val="0"/>
          <w:numId w:val="42"/>
        </w:numPr>
        <w:ind w:left="425" w:hanging="357"/>
        <w:contextualSpacing w:val="0"/>
        <w:rPr>
          <w:rFonts w:ascii="Arial" w:hAnsi="Arial" w:cs="Arial"/>
          <w:color w:val="auto"/>
        </w:rPr>
      </w:pPr>
      <w:r>
        <w:rPr>
          <w:rFonts w:ascii="Arial" w:hAnsi="Arial" w:cs="Arial"/>
          <w:color w:val="auto"/>
        </w:rPr>
        <w:t>Community Health Centre</w:t>
      </w:r>
      <w:r w:rsidR="00932A9D" w:rsidRPr="00932A9D">
        <w:rPr>
          <w:rFonts w:ascii="Arial" w:hAnsi="Arial" w:cs="Arial"/>
          <w:color w:val="auto"/>
        </w:rPr>
        <w:t xml:space="preserve">s providing the Authority with evidence that the </w:t>
      </w:r>
      <w:r w:rsidR="00A26E4D">
        <w:rPr>
          <w:rFonts w:ascii="Arial" w:hAnsi="Arial" w:cs="Arial"/>
          <w:color w:val="auto"/>
        </w:rPr>
        <w:t xml:space="preserve">covered </w:t>
      </w:r>
      <w:r w:rsidR="00932A9D" w:rsidRPr="00932A9D">
        <w:rPr>
          <w:rFonts w:ascii="Arial" w:hAnsi="Arial" w:cs="Arial"/>
          <w:color w:val="auto"/>
        </w:rPr>
        <w:t>employees have an applicable award- or enterprise</w:t>
      </w:r>
      <w:r w:rsidR="002F29F9">
        <w:rPr>
          <w:rFonts w:ascii="Arial" w:hAnsi="Arial" w:cs="Arial"/>
          <w:color w:val="auto"/>
        </w:rPr>
        <w:t xml:space="preserve"> agreement</w:t>
      </w:r>
      <w:r w:rsidR="00932A9D" w:rsidRPr="00932A9D">
        <w:rPr>
          <w:rFonts w:ascii="Arial" w:hAnsi="Arial" w:cs="Arial"/>
          <w:color w:val="auto"/>
        </w:rPr>
        <w:t>-derived long service leave entitlement, and that long service leave has been ac</w:t>
      </w:r>
      <w:r w:rsidR="00932A9D">
        <w:rPr>
          <w:rFonts w:ascii="Arial" w:hAnsi="Arial" w:cs="Arial"/>
          <w:color w:val="auto"/>
        </w:rPr>
        <w:t>crued for that employee; and</w:t>
      </w:r>
    </w:p>
    <w:p w14:paraId="72603F5F" w14:textId="3927D390" w:rsidR="00932A9D" w:rsidRPr="00932A9D" w:rsidRDefault="00932A9D" w:rsidP="00932A9D">
      <w:pPr>
        <w:pStyle w:val="ListParagraph"/>
        <w:numPr>
          <w:ilvl w:val="0"/>
          <w:numId w:val="42"/>
        </w:numPr>
        <w:ind w:left="425" w:hanging="357"/>
        <w:contextualSpacing w:val="0"/>
        <w:rPr>
          <w:rFonts w:ascii="Arial" w:hAnsi="Arial" w:cs="Arial"/>
          <w:color w:val="auto"/>
        </w:rPr>
      </w:pPr>
      <w:r w:rsidRPr="00932A9D">
        <w:rPr>
          <w:rFonts w:ascii="Arial" w:hAnsi="Arial" w:cs="Arial"/>
          <w:color w:val="auto"/>
        </w:rPr>
        <w:t>Where termination of employment occurs and the</w:t>
      </w:r>
      <w:r w:rsidR="00A26E4D">
        <w:rPr>
          <w:rFonts w:ascii="Arial" w:hAnsi="Arial" w:cs="Arial"/>
          <w:color w:val="auto"/>
        </w:rPr>
        <w:t>refore continuous service is broken,</w:t>
      </w:r>
      <w:r w:rsidRPr="00932A9D">
        <w:rPr>
          <w:rFonts w:ascii="Arial" w:hAnsi="Arial" w:cs="Arial"/>
          <w:color w:val="auto"/>
        </w:rPr>
        <w:t xml:space="preserve"> the employer will then make the relevant payments to the Authority for the service period reported but not paid by the employer.</w:t>
      </w:r>
    </w:p>
    <w:p w14:paraId="5FF91544" w14:textId="78F73AE5" w:rsidR="00492047" w:rsidRDefault="00932A9D">
      <w:pPr>
        <w:rPr>
          <w:rFonts w:ascii="Arial" w:hAnsi="Arial" w:cs="Arial"/>
          <w:color w:val="auto"/>
        </w:rPr>
      </w:pPr>
      <w:r>
        <w:rPr>
          <w:rFonts w:ascii="Arial" w:hAnsi="Arial" w:cs="Arial"/>
          <w:color w:val="auto"/>
        </w:rPr>
        <w:t xml:space="preserve">This option is not viable as it would treat one </w:t>
      </w:r>
      <w:r w:rsidR="002106A3">
        <w:rPr>
          <w:rFonts w:ascii="Arial" w:hAnsi="Arial" w:cs="Arial"/>
          <w:color w:val="auto"/>
        </w:rPr>
        <w:t>sub</w:t>
      </w:r>
      <w:r w:rsidR="002106A3">
        <w:rPr>
          <w:rFonts w:ascii="Arial" w:hAnsi="Arial" w:cs="Arial"/>
          <w:color w:val="auto"/>
        </w:rPr>
        <w:noBreakHyphen/>
        <w:t>sector</w:t>
      </w:r>
      <w:r>
        <w:rPr>
          <w:rFonts w:ascii="Arial" w:hAnsi="Arial" w:cs="Arial"/>
          <w:color w:val="auto"/>
        </w:rPr>
        <w:t xml:space="preserve"> of the community services sector differently to the broader </w:t>
      </w:r>
      <w:r w:rsidRPr="00A26E4D">
        <w:rPr>
          <w:rFonts w:ascii="Arial" w:hAnsi="Arial" w:cs="Arial"/>
          <w:color w:val="auto"/>
        </w:rPr>
        <w:t xml:space="preserve">sector. As </w:t>
      </w:r>
      <w:r w:rsidR="00AE092A">
        <w:rPr>
          <w:rFonts w:ascii="Arial" w:hAnsi="Arial" w:cs="Arial"/>
          <w:color w:val="auto"/>
        </w:rPr>
        <w:t xml:space="preserve">all </w:t>
      </w:r>
      <w:r w:rsidRPr="00A26E4D">
        <w:rPr>
          <w:rFonts w:ascii="Arial" w:hAnsi="Arial" w:cs="Arial"/>
          <w:color w:val="auto"/>
        </w:rPr>
        <w:t>employers</w:t>
      </w:r>
      <w:r w:rsidR="00A26E4D" w:rsidRPr="00A26E4D">
        <w:rPr>
          <w:rFonts w:ascii="Arial" w:hAnsi="Arial" w:cs="Arial"/>
          <w:color w:val="auto"/>
        </w:rPr>
        <w:t xml:space="preserve"> in the </w:t>
      </w:r>
      <w:r w:rsidR="00AE092A">
        <w:rPr>
          <w:rFonts w:ascii="Arial" w:hAnsi="Arial" w:cs="Arial"/>
          <w:color w:val="auto"/>
        </w:rPr>
        <w:t>community services</w:t>
      </w:r>
      <w:r w:rsidR="00A26E4D" w:rsidRPr="00A26E4D">
        <w:rPr>
          <w:rFonts w:ascii="Arial" w:hAnsi="Arial" w:cs="Arial"/>
          <w:color w:val="auto"/>
        </w:rPr>
        <w:t xml:space="preserve"> sector</w:t>
      </w:r>
      <w:r w:rsidRPr="00A26E4D">
        <w:rPr>
          <w:rFonts w:ascii="Arial" w:hAnsi="Arial" w:cs="Arial"/>
          <w:color w:val="auto"/>
        </w:rPr>
        <w:t xml:space="preserve"> have long service leave obligations under an applicable award- or enterprise</w:t>
      </w:r>
      <w:r w:rsidR="002F29F9" w:rsidRPr="00A26E4D">
        <w:rPr>
          <w:rFonts w:ascii="Arial" w:hAnsi="Arial" w:cs="Arial"/>
          <w:color w:val="auto"/>
        </w:rPr>
        <w:t xml:space="preserve"> agreement</w:t>
      </w:r>
      <w:r w:rsidRPr="00A26E4D">
        <w:rPr>
          <w:rFonts w:ascii="Arial" w:hAnsi="Arial" w:cs="Arial"/>
          <w:color w:val="auto"/>
        </w:rPr>
        <w:t xml:space="preserve">-derived long service leave entitlement, other </w:t>
      </w:r>
      <w:r w:rsidR="002106A3">
        <w:rPr>
          <w:rFonts w:ascii="Arial" w:hAnsi="Arial" w:cs="Arial"/>
          <w:color w:val="auto"/>
        </w:rPr>
        <w:t>sub</w:t>
      </w:r>
      <w:r w:rsidR="002106A3">
        <w:rPr>
          <w:rFonts w:ascii="Arial" w:hAnsi="Arial" w:cs="Arial"/>
          <w:color w:val="auto"/>
        </w:rPr>
        <w:noBreakHyphen/>
        <w:t>sector</w:t>
      </w:r>
      <w:r w:rsidRPr="00A26E4D">
        <w:rPr>
          <w:rFonts w:ascii="Arial" w:hAnsi="Arial" w:cs="Arial"/>
          <w:color w:val="auto"/>
        </w:rPr>
        <w:t>s</w:t>
      </w:r>
      <w:r w:rsidR="00A26E4D">
        <w:rPr>
          <w:rFonts w:ascii="Arial" w:hAnsi="Arial" w:cs="Arial"/>
          <w:color w:val="auto"/>
        </w:rPr>
        <w:t xml:space="preserve"> within the broader community services sector</w:t>
      </w:r>
      <w:r w:rsidRPr="00A26E4D">
        <w:rPr>
          <w:rFonts w:ascii="Arial" w:hAnsi="Arial" w:cs="Arial"/>
          <w:color w:val="auto"/>
        </w:rPr>
        <w:t xml:space="preserve"> could also argue that they should not have to pay the levy to the Authority until an employee leaves the employer. This has the potential to undermine the sustainability</w:t>
      </w:r>
      <w:r w:rsidR="00A26E4D">
        <w:rPr>
          <w:rFonts w:ascii="Arial" w:hAnsi="Arial" w:cs="Arial"/>
          <w:color w:val="auto"/>
        </w:rPr>
        <w:t xml:space="preserve"> of the Scheme</w:t>
      </w:r>
      <w:r w:rsidRPr="00A26E4D">
        <w:rPr>
          <w:rFonts w:ascii="Arial" w:hAnsi="Arial" w:cs="Arial"/>
          <w:color w:val="auto"/>
        </w:rPr>
        <w:t>.</w:t>
      </w:r>
      <w:r>
        <w:rPr>
          <w:rFonts w:ascii="Arial" w:hAnsi="Arial" w:cs="Arial"/>
          <w:color w:val="auto"/>
        </w:rPr>
        <w:t xml:space="preserve"> </w:t>
      </w:r>
    </w:p>
    <w:p w14:paraId="67A27F43" w14:textId="22009DF3" w:rsidR="00492047" w:rsidRDefault="00932A9D">
      <w:pPr>
        <w:rPr>
          <w:rFonts w:ascii="Arial" w:hAnsi="Arial" w:cs="Arial"/>
          <w:color w:val="auto"/>
        </w:rPr>
      </w:pPr>
      <w:r>
        <w:rPr>
          <w:rFonts w:ascii="Arial" w:hAnsi="Arial" w:cs="Arial"/>
          <w:color w:val="auto"/>
        </w:rPr>
        <w:t xml:space="preserve">The existing </w:t>
      </w:r>
      <w:r w:rsidR="00DB3ADD">
        <w:rPr>
          <w:rFonts w:ascii="Arial" w:hAnsi="Arial" w:cs="Arial"/>
          <w:color w:val="auto"/>
        </w:rPr>
        <w:t>double-dipping</w:t>
      </w:r>
      <w:r>
        <w:rPr>
          <w:rFonts w:ascii="Arial" w:hAnsi="Arial" w:cs="Arial"/>
          <w:color w:val="auto"/>
        </w:rPr>
        <w:t xml:space="preserve"> provisions ensure an employer is not required to</w:t>
      </w:r>
      <w:r w:rsidRPr="00515AD2">
        <w:rPr>
          <w:rFonts w:ascii="Arial" w:hAnsi="Arial" w:cs="Arial"/>
          <w:color w:val="auto"/>
        </w:rPr>
        <w:t xml:space="preserve"> pay</w:t>
      </w:r>
      <w:r>
        <w:rPr>
          <w:rFonts w:ascii="Arial" w:hAnsi="Arial" w:cs="Arial"/>
          <w:color w:val="auto"/>
        </w:rPr>
        <w:t xml:space="preserve"> both</w:t>
      </w:r>
      <w:r w:rsidRPr="00515AD2">
        <w:rPr>
          <w:rFonts w:ascii="Arial" w:hAnsi="Arial" w:cs="Arial"/>
          <w:color w:val="auto"/>
        </w:rPr>
        <w:t xml:space="preserve"> a levy to the Authority and pay an employee for a long</w:t>
      </w:r>
      <w:r>
        <w:rPr>
          <w:rFonts w:ascii="Arial" w:hAnsi="Arial" w:cs="Arial"/>
          <w:color w:val="auto"/>
        </w:rPr>
        <w:t xml:space="preserve"> service entitlement under a fair w</w:t>
      </w:r>
      <w:r w:rsidRPr="00C22E90">
        <w:rPr>
          <w:rFonts w:ascii="Arial" w:hAnsi="Arial" w:cs="Arial"/>
          <w:color w:val="auto"/>
        </w:rPr>
        <w:t>ork instrument by the LSBP Act</w:t>
      </w:r>
      <w:r>
        <w:rPr>
          <w:rFonts w:ascii="Arial" w:hAnsi="Arial" w:cs="Arial"/>
          <w:color w:val="auto"/>
        </w:rPr>
        <w:t xml:space="preserve"> (or the Interim Regulations)</w:t>
      </w:r>
      <w:r w:rsidRPr="00C22E90">
        <w:rPr>
          <w:rFonts w:ascii="Arial" w:hAnsi="Arial" w:cs="Arial"/>
          <w:color w:val="auto"/>
        </w:rPr>
        <w:t xml:space="preserve"> </w:t>
      </w:r>
      <w:r w:rsidRPr="00515AD2">
        <w:rPr>
          <w:rFonts w:ascii="Arial" w:hAnsi="Arial" w:cs="Arial"/>
          <w:color w:val="auto"/>
        </w:rPr>
        <w:t>for the same period of service.</w:t>
      </w:r>
      <w:r w:rsidR="00274787">
        <w:rPr>
          <w:rFonts w:ascii="Arial" w:hAnsi="Arial" w:cs="Arial"/>
          <w:color w:val="auto"/>
        </w:rPr>
        <w:t xml:space="preserve"> </w:t>
      </w:r>
      <w:r w:rsidR="00CA39EB">
        <w:rPr>
          <w:rFonts w:ascii="Arial" w:hAnsi="Arial" w:cs="Arial"/>
          <w:color w:val="auto"/>
        </w:rPr>
        <w:t xml:space="preserve">Under the definition in the </w:t>
      </w:r>
      <w:r w:rsidR="00CA39EB" w:rsidRPr="00274787">
        <w:rPr>
          <w:rFonts w:ascii="Arial" w:hAnsi="Arial" w:cs="Arial"/>
          <w:i/>
          <w:color w:val="auto"/>
        </w:rPr>
        <w:t>F</w:t>
      </w:r>
      <w:r w:rsidR="00274787" w:rsidRPr="00274787">
        <w:rPr>
          <w:rFonts w:ascii="Arial" w:hAnsi="Arial" w:cs="Arial"/>
          <w:i/>
          <w:color w:val="auto"/>
        </w:rPr>
        <w:t xml:space="preserve">air </w:t>
      </w:r>
      <w:r w:rsidR="00CA39EB" w:rsidRPr="00274787">
        <w:rPr>
          <w:rFonts w:ascii="Arial" w:hAnsi="Arial" w:cs="Arial"/>
          <w:i/>
          <w:color w:val="auto"/>
        </w:rPr>
        <w:t>W</w:t>
      </w:r>
      <w:r w:rsidR="00274787" w:rsidRPr="00274787">
        <w:rPr>
          <w:rFonts w:ascii="Arial" w:hAnsi="Arial" w:cs="Arial"/>
          <w:i/>
          <w:color w:val="auto"/>
        </w:rPr>
        <w:t>ork</w:t>
      </w:r>
      <w:r w:rsidR="00CA39EB" w:rsidRPr="00274787">
        <w:rPr>
          <w:rFonts w:ascii="Arial" w:hAnsi="Arial" w:cs="Arial"/>
          <w:i/>
          <w:color w:val="auto"/>
        </w:rPr>
        <w:t xml:space="preserve"> Act</w:t>
      </w:r>
      <w:r w:rsidR="00274787" w:rsidRPr="00274787">
        <w:rPr>
          <w:rFonts w:ascii="Arial" w:hAnsi="Arial" w:cs="Arial"/>
          <w:i/>
          <w:color w:val="auto"/>
        </w:rPr>
        <w:t xml:space="preserve"> 2009</w:t>
      </w:r>
      <w:r w:rsidR="00CA39EB">
        <w:rPr>
          <w:rFonts w:ascii="Arial" w:hAnsi="Arial" w:cs="Arial"/>
          <w:color w:val="auto"/>
        </w:rPr>
        <w:t xml:space="preserve">, </w:t>
      </w:r>
      <w:r w:rsidR="00A26E4D">
        <w:rPr>
          <w:rFonts w:ascii="Arial" w:hAnsi="Arial" w:cs="Arial"/>
          <w:color w:val="auto"/>
        </w:rPr>
        <w:t>a ‘fair wo</w:t>
      </w:r>
      <w:r w:rsidR="00320541">
        <w:rPr>
          <w:rFonts w:ascii="Arial" w:hAnsi="Arial" w:cs="Arial"/>
          <w:color w:val="auto"/>
        </w:rPr>
        <w:t>rk instrument’ includes a multi</w:t>
      </w:r>
      <w:r w:rsidR="00320541">
        <w:rPr>
          <w:rFonts w:ascii="Arial" w:hAnsi="Arial" w:cs="Arial"/>
          <w:color w:val="auto"/>
        </w:rPr>
        <w:noBreakHyphen/>
      </w:r>
      <w:r w:rsidR="00A26E4D">
        <w:rPr>
          <w:rFonts w:ascii="Arial" w:hAnsi="Arial" w:cs="Arial"/>
          <w:color w:val="auto"/>
        </w:rPr>
        <w:t>enterprise agreement.</w:t>
      </w:r>
      <w:r w:rsidR="00330A91">
        <w:rPr>
          <w:rStyle w:val="FootnoteReference"/>
          <w:rFonts w:ascii="Arial" w:hAnsi="Arial" w:cs="Arial"/>
          <w:color w:val="auto"/>
        </w:rPr>
        <w:footnoteReference w:id="25"/>
      </w:r>
      <w:r w:rsidR="00A26E4D">
        <w:rPr>
          <w:rFonts w:ascii="Arial" w:hAnsi="Arial" w:cs="Arial"/>
          <w:color w:val="auto"/>
        </w:rPr>
        <w:t xml:space="preserve"> </w:t>
      </w:r>
    </w:p>
    <w:p w14:paraId="57001800" w14:textId="77777777" w:rsidR="00320541" w:rsidRPr="00903EBF" w:rsidRDefault="00320541">
      <w:pPr>
        <w:rPr>
          <w:rFonts w:ascii="Arial" w:hAnsi="Arial" w:cs="Arial"/>
          <w:color w:val="auto"/>
        </w:rPr>
      </w:pPr>
    </w:p>
    <w:p w14:paraId="64C2545E" w14:textId="597F34E1" w:rsidR="00E13F2A" w:rsidRPr="00EC5379" w:rsidRDefault="00E13F2A" w:rsidP="00FD70AC">
      <w:pPr>
        <w:pStyle w:val="Heading1"/>
        <w:rPr>
          <w:rFonts w:ascii="Arial" w:hAnsi="Arial" w:cs="Arial"/>
        </w:rPr>
      </w:pPr>
      <w:bookmarkStart w:id="101" w:name="_Toc955751"/>
      <w:bookmarkStart w:id="102" w:name="_Toc4768887"/>
      <w:bookmarkStart w:id="103" w:name="_Ref5829042"/>
      <w:bookmarkStart w:id="104" w:name="_Ref5829217"/>
      <w:bookmarkStart w:id="105" w:name="_Ref32928016"/>
      <w:bookmarkStart w:id="106" w:name="_Toc37921495"/>
      <w:r w:rsidRPr="00EC5379">
        <w:rPr>
          <w:rFonts w:ascii="Arial" w:hAnsi="Arial" w:cs="Arial"/>
        </w:rPr>
        <w:lastRenderedPageBreak/>
        <w:t>IMPACT ANALYSIS</w:t>
      </w:r>
      <w:bookmarkEnd w:id="101"/>
      <w:bookmarkEnd w:id="102"/>
      <w:bookmarkEnd w:id="103"/>
      <w:bookmarkEnd w:id="104"/>
      <w:bookmarkEnd w:id="105"/>
      <w:bookmarkEnd w:id="106"/>
    </w:p>
    <w:p w14:paraId="0E2B9782" w14:textId="177039D3" w:rsidR="00E13F2A" w:rsidRPr="00EC5379" w:rsidRDefault="00E13F2A" w:rsidP="00FD70AC">
      <w:pPr>
        <w:pStyle w:val="Heading2"/>
        <w:rPr>
          <w:rFonts w:ascii="Arial" w:hAnsi="Arial" w:cs="Arial"/>
        </w:rPr>
      </w:pPr>
      <w:bookmarkStart w:id="107" w:name="_Toc4768888"/>
      <w:bookmarkStart w:id="108" w:name="_Toc37921496"/>
      <w:r w:rsidRPr="00EC5379">
        <w:rPr>
          <w:rFonts w:ascii="Arial" w:hAnsi="Arial" w:cs="Arial"/>
        </w:rPr>
        <w:t>Introduction and Analysis Framework</w:t>
      </w:r>
      <w:bookmarkEnd w:id="107"/>
      <w:bookmarkEnd w:id="108"/>
    </w:p>
    <w:p w14:paraId="52429285" w14:textId="2CBB906D" w:rsidR="00E91F90" w:rsidRPr="0089060C" w:rsidRDefault="00E13F2A" w:rsidP="0089060C">
      <w:pPr>
        <w:spacing w:before="240"/>
        <w:rPr>
          <w:rFonts w:ascii="Arial" w:hAnsi="Arial" w:cs="Arial"/>
        </w:rPr>
      </w:pPr>
      <w:r w:rsidRPr="00EC5379">
        <w:rPr>
          <w:rFonts w:ascii="Arial" w:hAnsi="Arial" w:cs="Arial"/>
        </w:rPr>
        <w:t xml:space="preserve">The purpose of this section is to identify and analyse the impacts of the options identified in section </w:t>
      </w:r>
      <w:r w:rsidR="000A23B1" w:rsidRPr="00EC5379">
        <w:rPr>
          <w:rFonts w:ascii="Arial" w:hAnsi="Arial" w:cs="Arial"/>
        </w:rPr>
        <w:fldChar w:fldCharType="begin"/>
      </w:r>
      <w:r w:rsidR="000A23B1" w:rsidRPr="00EC5379">
        <w:rPr>
          <w:rFonts w:ascii="Arial" w:hAnsi="Arial" w:cs="Arial"/>
        </w:rPr>
        <w:instrText xml:space="preserve"> REF _Ref5825247 \w \h </w:instrText>
      </w:r>
      <w:r w:rsidR="00EC5379">
        <w:rPr>
          <w:rFonts w:ascii="Arial" w:hAnsi="Arial" w:cs="Arial"/>
        </w:rPr>
        <w:instrText xml:space="preserve"> \* MERGEFORMAT </w:instrText>
      </w:r>
      <w:r w:rsidR="000A23B1" w:rsidRPr="00EC5379">
        <w:rPr>
          <w:rFonts w:ascii="Arial" w:hAnsi="Arial" w:cs="Arial"/>
        </w:rPr>
      </w:r>
      <w:r w:rsidR="000A23B1" w:rsidRPr="00EC5379">
        <w:rPr>
          <w:rFonts w:ascii="Arial" w:hAnsi="Arial" w:cs="Arial"/>
        </w:rPr>
        <w:fldChar w:fldCharType="separate"/>
      </w:r>
      <w:r w:rsidR="009F48BA">
        <w:rPr>
          <w:rFonts w:ascii="Arial" w:hAnsi="Arial" w:cs="Arial"/>
        </w:rPr>
        <w:t>4</w:t>
      </w:r>
      <w:r w:rsidR="000A23B1" w:rsidRPr="00EC5379">
        <w:rPr>
          <w:rFonts w:ascii="Arial" w:hAnsi="Arial" w:cs="Arial"/>
        </w:rPr>
        <w:fldChar w:fldCharType="end"/>
      </w:r>
      <w:r w:rsidRPr="00EC5379">
        <w:rPr>
          <w:rFonts w:ascii="Arial" w:hAnsi="Arial" w:cs="Arial"/>
        </w:rPr>
        <w:t>. For each option, the outcomes for employees, employers,</w:t>
      </w:r>
      <w:r w:rsidR="002C6E96">
        <w:rPr>
          <w:rFonts w:ascii="Arial" w:hAnsi="Arial" w:cs="Arial"/>
        </w:rPr>
        <w:t xml:space="preserve"> and</w:t>
      </w:r>
      <w:r w:rsidRPr="00EC5379">
        <w:rPr>
          <w:rFonts w:ascii="Arial" w:hAnsi="Arial" w:cs="Arial"/>
        </w:rPr>
        <w:t xml:space="preserve"> the Authority have been considered. For consistency of analysis</w:t>
      </w:r>
      <w:r w:rsidR="000A23B1" w:rsidRPr="00EC5379">
        <w:rPr>
          <w:rFonts w:ascii="Arial" w:hAnsi="Arial" w:cs="Arial"/>
        </w:rPr>
        <w:t>,</w:t>
      </w:r>
      <w:r w:rsidRPr="00EC5379">
        <w:rPr>
          <w:rFonts w:ascii="Arial" w:hAnsi="Arial" w:cs="Arial"/>
        </w:rPr>
        <w:t xml:space="preserve"> these impacts have been appraised according to the analysis framework outlined below which classifies and rates impacts based on their impact on equity f</w:t>
      </w:r>
      <w:r w:rsidR="002C6E96">
        <w:rPr>
          <w:rFonts w:ascii="Arial" w:hAnsi="Arial" w:cs="Arial"/>
        </w:rPr>
        <w:t xml:space="preserve">or </w:t>
      </w:r>
      <w:r w:rsidR="009A6C38">
        <w:rPr>
          <w:rFonts w:ascii="Arial" w:hAnsi="Arial" w:cs="Arial"/>
        </w:rPr>
        <w:t xml:space="preserve">covered </w:t>
      </w:r>
      <w:r w:rsidR="002C6E96">
        <w:rPr>
          <w:rFonts w:ascii="Arial" w:hAnsi="Arial" w:cs="Arial"/>
        </w:rPr>
        <w:t>employees</w:t>
      </w:r>
      <w:r w:rsidR="009A6C38">
        <w:rPr>
          <w:rFonts w:ascii="Arial" w:hAnsi="Arial" w:cs="Arial"/>
        </w:rPr>
        <w:t xml:space="preserve"> under the Scheme</w:t>
      </w:r>
      <w:r w:rsidR="002C6E96">
        <w:rPr>
          <w:rFonts w:ascii="Arial" w:hAnsi="Arial" w:cs="Arial"/>
        </w:rPr>
        <w:t xml:space="preserve">, costs to </w:t>
      </w:r>
      <w:r w:rsidR="00B82CEE">
        <w:rPr>
          <w:rFonts w:ascii="Arial" w:hAnsi="Arial" w:cs="Arial"/>
        </w:rPr>
        <w:t>employers</w:t>
      </w:r>
      <w:r w:rsidR="002C6E96">
        <w:rPr>
          <w:rFonts w:ascii="Arial" w:hAnsi="Arial" w:cs="Arial"/>
        </w:rPr>
        <w:t xml:space="preserve">, </w:t>
      </w:r>
      <w:r w:rsidRPr="00EC5379">
        <w:rPr>
          <w:rFonts w:ascii="Arial" w:hAnsi="Arial" w:cs="Arial"/>
        </w:rPr>
        <w:t xml:space="preserve">and </w:t>
      </w:r>
      <w:r w:rsidR="002C6E96">
        <w:rPr>
          <w:rFonts w:ascii="Arial" w:hAnsi="Arial" w:cs="Arial"/>
        </w:rPr>
        <w:t>the impact on</w:t>
      </w:r>
      <w:r w:rsidRPr="00EC5379">
        <w:rPr>
          <w:rFonts w:ascii="Arial" w:hAnsi="Arial" w:cs="Arial"/>
        </w:rPr>
        <w:t xml:space="preserve"> the Authority.</w:t>
      </w:r>
      <w:r w:rsidR="00E91F90" w:rsidRPr="00EC5379">
        <w:rPr>
          <w:rFonts w:ascii="Arial" w:hAnsi="Arial" w:cs="Arial"/>
        </w:rPr>
        <w:t xml:space="preserve"> </w:t>
      </w:r>
    </w:p>
    <w:p w14:paraId="30EB024F" w14:textId="3EF23D2A" w:rsidR="005C010A" w:rsidRPr="00A40F39" w:rsidRDefault="00F87691" w:rsidP="005C010A">
      <w:pPr>
        <w:rPr>
          <w:rFonts w:ascii="Arial" w:hAnsi="Arial" w:cs="Arial"/>
          <w:color w:val="auto"/>
        </w:rPr>
      </w:pPr>
      <w:r w:rsidRPr="00EC5379">
        <w:rPr>
          <w:rFonts w:ascii="Arial" w:hAnsi="Arial" w:cs="Arial"/>
        </w:rPr>
        <w:t>Impacts have been assessed relative to the status quo under the Interim Regulations</w:t>
      </w:r>
      <w:r>
        <w:rPr>
          <w:rFonts w:ascii="Arial" w:hAnsi="Arial" w:cs="Arial"/>
        </w:rPr>
        <w:t xml:space="preserve"> as t</w:t>
      </w:r>
      <w:r w:rsidRPr="00EC5379">
        <w:rPr>
          <w:rFonts w:ascii="Arial" w:hAnsi="Arial" w:cs="Arial"/>
        </w:rPr>
        <w:t xml:space="preserve">he case for Regulations </w:t>
      </w:r>
      <w:r>
        <w:rPr>
          <w:rFonts w:ascii="Arial" w:hAnsi="Arial" w:cs="Arial"/>
        </w:rPr>
        <w:t xml:space="preserve">to support the Act </w:t>
      </w:r>
      <w:r w:rsidRPr="00EC5379">
        <w:rPr>
          <w:rFonts w:ascii="Arial" w:hAnsi="Arial" w:cs="Arial"/>
        </w:rPr>
        <w:t>was made in the 2019 RIS</w:t>
      </w:r>
      <w:r>
        <w:rPr>
          <w:rFonts w:ascii="Arial" w:hAnsi="Arial" w:cs="Arial"/>
        </w:rPr>
        <w:t xml:space="preserve">. </w:t>
      </w:r>
      <w:r w:rsidR="005C010A">
        <w:rPr>
          <w:rFonts w:ascii="Arial" w:hAnsi="Arial" w:cs="Arial"/>
        </w:rPr>
        <w:t xml:space="preserve">A summary of the 2019 RIS is provided in section </w:t>
      </w:r>
      <w:r w:rsidR="005C010A">
        <w:rPr>
          <w:rFonts w:ascii="Arial" w:hAnsi="Arial" w:cs="Arial"/>
        </w:rPr>
        <w:fldChar w:fldCharType="begin"/>
      </w:r>
      <w:r w:rsidR="005C010A">
        <w:rPr>
          <w:rFonts w:ascii="Arial" w:hAnsi="Arial" w:cs="Arial"/>
        </w:rPr>
        <w:instrText xml:space="preserve"> REF _Ref34831823 \r \h  \* MERGEFORMAT </w:instrText>
      </w:r>
      <w:r w:rsidR="005C010A">
        <w:rPr>
          <w:rFonts w:ascii="Arial" w:hAnsi="Arial" w:cs="Arial"/>
        </w:rPr>
      </w:r>
      <w:r w:rsidR="005C010A">
        <w:rPr>
          <w:rFonts w:ascii="Arial" w:hAnsi="Arial" w:cs="Arial"/>
        </w:rPr>
        <w:fldChar w:fldCharType="separate"/>
      </w:r>
      <w:r w:rsidR="005C010A">
        <w:rPr>
          <w:rFonts w:ascii="Arial" w:hAnsi="Arial" w:cs="Arial"/>
        </w:rPr>
        <w:t>1.4.1</w:t>
      </w:r>
      <w:r w:rsidR="005C010A">
        <w:rPr>
          <w:rFonts w:ascii="Arial" w:hAnsi="Arial" w:cs="Arial"/>
        </w:rPr>
        <w:fldChar w:fldCharType="end"/>
      </w:r>
      <w:r w:rsidR="005C010A">
        <w:rPr>
          <w:rFonts w:ascii="Arial" w:hAnsi="Arial" w:cs="Arial"/>
        </w:rPr>
        <w:t>.</w:t>
      </w:r>
      <w:r w:rsidR="005C010A">
        <w:rPr>
          <w:rStyle w:val="FootnoteReference"/>
          <w:rFonts w:ascii="Arial" w:hAnsi="Arial" w:cs="Arial"/>
        </w:rPr>
        <w:footnoteReference w:id="26"/>
      </w:r>
      <w:r w:rsidR="005C010A">
        <w:rPr>
          <w:rFonts w:ascii="Arial" w:hAnsi="Arial" w:cs="Arial"/>
        </w:rPr>
        <w:t xml:space="preserve"> </w:t>
      </w:r>
      <w:r>
        <w:rPr>
          <w:rFonts w:ascii="Arial" w:hAnsi="Arial" w:cs="Arial"/>
        </w:rPr>
        <w:t xml:space="preserve">The status quo provides a </w:t>
      </w:r>
      <w:r w:rsidR="00C85C8C">
        <w:rPr>
          <w:rFonts w:ascii="Arial" w:hAnsi="Arial" w:cs="Arial"/>
        </w:rPr>
        <w:t>clearer</w:t>
      </w:r>
      <w:r>
        <w:rPr>
          <w:rFonts w:ascii="Arial" w:hAnsi="Arial" w:cs="Arial"/>
        </w:rPr>
        <w:t xml:space="preserve"> point of comparison for stakeholders and avoids repeating recently completed work. </w:t>
      </w:r>
      <w:r w:rsidR="005C010A">
        <w:rPr>
          <w:rFonts w:ascii="Arial" w:hAnsi="Arial" w:cs="Arial"/>
          <w:color w:val="auto"/>
        </w:rPr>
        <w:t xml:space="preserve">It allows stakeholders to understand the impact of the options against their </w:t>
      </w:r>
      <w:r w:rsidR="00330061">
        <w:rPr>
          <w:rFonts w:ascii="Arial" w:hAnsi="Arial" w:cs="Arial"/>
          <w:color w:val="auto"/>
        </w:rPr>
        <w:t xml:space="preserve">current </w:t>
      </w:r>
      <w:r w:rsidR="005C010A">
        <w:rPr>
          <w:rFonts w:ascii="Arial" w:hAnsi="Arial" w:cs="Arial"/>
          <w:color w:val="auto"/>
        </w:rPr>
        <w:t>experience of the Scheme.</w:t>
      </w:r>
      <w:r w:rsidR="005C010A" w:rsidRPr="00810970">
        <w:rPr>
          <w:rFonts w:ascii="Arial" w:hAnsi="Arial" w:cs="Arial"/>
          <w:color w:val="auto"/>
        </w:rPr>
        <w:t xml:space="preserve"> </w:t>
      </w:r>
    </w:p>
    <w:p w14:paraId="13F2F7AA" w14:textId="6F5F0E28" w:rsidR="008217FE" w:rsidRDefault="002C6E96" w:rsidP="0089060C">
      <w:pPr>
        <w:spacing w:before="240"/>
        <w:rPr>
          <w:rFonts w:ascii="Arial" w:hAnsi="Arial" w:cs="Arial"/>
        </w:rPr>
      </w:pPr>
      <w:r>
        <w:rPr>
          <w:rFonts w:ascii="Arial" w:hAnsi="Arial" w:cs="Arial"/>
        </w:rPr>
        <w:t>Drawing on the framework in the</w:t>
      </w:r>
      <w:r w:rsidRPr="00EC5379">
        <w:rPr>
          <w:rFonts w:ascii="Arial" w:hAnsi="Arial" w:cs="Arial"/>
        </w:rPr>
        <w:t xml:space="preserve"> 2019 RIS</w:t>
      </w:r>
      <w:r>
        <w:rPr>
          <w:rFonts w:ascii="Arial" w:hAnsi="Arial" w:cs="Arial"/>
        </w:rPr>
        <w:t xml:space="preserve">, </w:t>
      </w:r>
      <w:r>
        <w:rPr>
          <w:rFonts w:ascii="Arial" w:hAnsi="Arial" w:cs="Arial"/>
        </w:rPr>
        <w:fldChar w:fldCharType="begin"/>
      </w:r>
      <w:r>
        <w:rPr>
          <w:rFonts w:ascii="Arial" w:hAnsi="Arial" w:cs="Arial"/>
        </w:rPr>
        <w:instrText xml:space="preserve"> REF _Ref35516546 \h </w:instrText>
      </w:r>
      <w:r w:rsidR="00810970">
        <w:rPr>
          <w:rFonts w:ascii="Arial" w:hAnsi="Arial" w:cs="Arial"/>
        </w:rPr>
        <w:instrText xml:space="preserve"> \* MERGEFORMAT </w:instrText>
      </w:r>
      <w:r>
        <w:rPr>
          <w:rFonts w:ascii="Arial" w:hAnsi="Arial" w:cs="Arial"/>
        </w:rPr>
      </w:r>
      <w:r>
        <w:rPr>
          <w:rFonts w:ascii="Arial" w:hAnsi="Arial" w:cs="Arial"/>
        </w:rPr>
        <w:fldChar w:fldCharType="separate"/>
      </w:r>
      <w:r w:rsidR="009F48BA" w:rsidRPr="00EC5379">
        <w:rPr>
          <w:rFonts w:ascii="Arial" w:hAnsi="Arial" w:cs="Arial"/>
        </w:rPr>
        <w:t xml:space="preserve">Table </w:t>
      </w:r>
      <w:r w:rsidR="009F48BA">
        <w:rPr>
          <w:rFonts w:ascii="Arial" w:hAnsi="Arial" w:cs="Arial"/>
        </w:rPr>
        <w:t>4</w:t>
      </w:r>
      <w:r>
        <w:rPr>
          <w:rFonts w:ascii="Arial" w:hAnsi="Arial" w:cs="Arial"/>
        </w:rPr>
        <w:fldChar w:fldCharType="end"/>
      </w:r>
      <w:r w:rsidR="00BB41A4">
        <w:rPr>
          <w:rFonts w:ascii="Arial" w:hAnsi="Arial" w:cs="Arial"/>
        </w:rPr>
        <w:t xml:space="preserve"> </w:t>
      </w:r>
      <w:r w:rsidR="000B6C4D" w:rsidRPr="00EC5379">
        <w:rPr>
          <w:rFonts w:ascii="Arial" w:hAnsi="Arial" w:cs="Arial"/>
        </w:rPr>
        <w:t>outlines the criteria which have been used to assess the impacts of each feasible option. Each criteri</w:t>
      </w:r>
      <w:r w:rsidR="002719A8">
        <w:rPr>
          <w:rFonts w:ascii="Arial" w:hAnsi="Arial" w:cs="Arial"/>
        </w:rPr>
        <w:t>on</w:t>
      </w:r>
      <w:r w:rsidR="000B6C4D" w:rsidRPr="00EC5379">
        <w:rPr>
          <w:rFonts w:ascii="Arial" w:hAnsi="Arial" w:cs="Arial"/>
        </w:rPr>
        <w:t xml:space="preserve"> has been assigned a weighting based on its importan</w:t>
      </w:r>
      <w:r w:rsidR="000B6C4D">
        <w:rPr>
          <w:rFonts w:ascii="Arial" w:hAnsi="Arial" w:cs="Arial"/>
        </w:rPr>
        <w:t>ce, with costs and benefits weighted equally</w:t>
      </w:r>
      <w:r w:rsidR="003A0F3F">
        <w:rPr>
          <w:rFonts w:ascii="Arial" w:hAnsi="Arial" w:cs="Arial"/>
        </w:rPr>
        <w:t xml:space="preserve"> overall</w:t>
      </w:r>
      <w:r w:rsidR="000B6C4D">
        <w:rPr>
          <w:rFonts w:ascii="Arial" w:hAnsi="Arial" w:cs="Arial"/>
        </w:rPr>
        <w:t>.</w:t>
      </w:r>
      <w:r w:rsidR="00180E44">
        <w:rPr>
          <w:rFonts w:ascii="Arial" w:hAnsi="Arial" w:cs="Arial"/>
        </w:rPr>
        <w:t xml:space="preserve"> </w:t>
      </w:r>
    </w:p>
    <w:p w14:paraId="23446D56" w14:textId="19E9AD31" w:rsidR="004E2996" w:rsidRPr="00AD518C" w:rsidRDefault="004E2996" w:rsidP="00AD518C">
      <w:pPr>
        <w:pStyle w:val="HeadingLevel3NoNumber"/>
        <w:outlineLvl w:val="9"/>
        <w:rPr>
          <w:i w:val="0"/>
          <w:color w:val="auto"/>
          <w:sz w:val="22"/>
          <w:szCs w:val="22"/>
          <w:u w:val="single"/>
        </w:rPr>
      </w:pPr>
      <w:r w:rsidRPr="00AD518C">
        <w:rPr>
          <w:i w:val="0"/>
          <w:color w:val="auto"/>
          <w:sz w:val="22"/>
          <w:szCs w:val="22"/>
          <w:u w:val="single"/>
        </w:rPr>
        <w:t>Assessment of benefits</w:t>
      </w:r>
    </w:p>
    <w:p w14:paraId="20F33B3C" w14:textId="4EADE6BE" w:rsidR="008217FE" w:rsidRDefault="000B6C4D" w:rsidP="00337958">
      <w:pPr>
        <w:pStyle w:val="ListParagraph"/>
        <w:numPr>
          <w:ilvl w:val="0"/>
          <w:numId w:val="71"/>
        </w:numPr>
        <w:spacing w:before="240"/>
        <w:contextualSpacing w:val="0"/>
        <w:rPr>
          <w:rFonts w:ascii="Arial" w:hAnsi="Arial" w:cs="Arial"/>
        </w:rPr>
      </w:pPr>
      <w:r w:rsidRPr="00337958">
        <w:rPr>
          <w:rFonts w:ascii="Arial" w:hAnsi="Arial" w:cs="Arial"/>
        </w:rPr>
        <w:t xml:space="preserve">The primary benefit of the </w:t>
      </w:r>
      <w:r w:rsidR="008217FE">
        <w:rPr>
          <w:rFonts w:ascii="Arial" w:hAnsi="Arial" w:cs="Arial"/>
        </w:rPr>
        <w:t xml:space="preserve">Scheme and the </w:t>
      </w:r>
      <w:r w:rsidRPr="00337958">
        <w:rPr>
          <w:rFonts w:ascii="Arial" w:hAnsi="Arial" w:cs="Arial"/>
        </w:rPr>
        <w:t>Proposed Regulations, equity</w:t>
      </w:r>
      <w:r w:rsidR="00180E44" w:rsidRPr="00337958">
        <w:rPr>
          <w:rFonts w:ascii="Arial" w:hAnsi="Arial" w:cs="Arial"/>
        </w:rPr>
        <w:t xml:space="preserve"> for employees in the covered sectors</w:t>
      </w:r>
      <w:r w:rsidRPr="00337958">
        <w:rPr>
          <w:rFonts w:ascii="Arial" w:hAnsi="Arial" w:cs="Arial"/>
        </w:rPr>
        <w:t>, has a weighting of 50</w:t>
      </w:r>
      <w:r w:rsidR="003A0F3F">
        <w:rPr>
          <w:rFonts w:ascii="Arial" w:hAnsi="Arial" w:cs="Arial"/>
        </w:rPr>
        <w:t> percent</w:t>
      </w:r>
      <w:r w:rsidRPr="00337958">
        <w:rPr>
          <w:rFonts w:ascii="Arial" w:hAnsi="Arial" w:cs="Arial"/>
        </w:rPr>
        <w:t xml:space="preserve">. </w:t>
      </w:r>
      <w:r w:rsidR="00F87691">
        <w:rPr>
          <w:rFonts w:ascii="Arial" w:hAnsi="Arial" w:cs="Arial"/>
        </w:rPr>
        <w:t xml:space="preserve">Options should look to maximise the number of </w:t>
      </w:r>
      <w:r w:rsidR="00BA4E89">
        <w:rPr>
          <w:rFonts w:ascii="Arial" w:hAnsi="Arial" w:cs="Arial"/>
        </w:rPr>
        <w:t>employee</w:t>
      </w:r>
      <w:r w:rsidR="00F87691">
        <w:rPr>
          <w:rFonts w:ascii="Arial" w:hAnsi="Arial" w:cs="Arial"/>
        </w:rPr>
        <w:t xml:space="preserve">s covered by the Scheme that are intended to be covered by the Scheme. Options rate higher if </w:t>
      </w:r>
      <w:r w:rsidR="00BA4E89">
        <w:rPr>
          <w:rFonts w:ascii="Arial" w:hAnsi="Arial" w:cs="Arial"/>
        </w:rPr>
        <w:t>employee</w:t>
      </w:r>
      <w:r w:rsidR="00F87691">
        <w:rPr>
          <w:rFonts w:ascii="Arial" w:hAnsi="Arial" w:cs="Arial"/>
        </w:rPr>
        <w:t>s performing the same or similar work are covered, regardless of employer.</w:t>
      </w:r>
    </w:p>
    <w:p w14:paraId="73F1E570" w14:textId="229C25E1" w:rsidR="004E2996" w:rsidRPr="00AD518C" w:rsidRDefault="004E2996" w:rsidP="00AD518C">
      <w:pPr>
        <w:pStyle w:val="HeadingLevel3NoNumber"/>
        <w:outlineLvl w:val="9"/>
        <w:rPr>
          <w:i w:val="0"/>
          <w:color w:val="auto"/>
          <w:sz w:val="22"/>
          <w:szCs w:val="22"/>
          <w:u w:val="single"/>
        </w:rPr>
      </w:pPr>
      <w:r w:rsidRPr="00AD518C">
        <w:rPr>
          <w:i w:val="0"/>
          <w:color w:val="auto"/>
          <w:sz w:val="22"/>
          <w:szCs w:val="22"/>
          <w:u w:val="single"/>
        </w:rPr>
        <w:t>Assessment of costs</w:t>
      </w:r>
    </w:p>
    <w:p w14:paraId="7A609546" w14:textId="0079EECE" w:rsidR="003A0F3F" w:rsidRDefault="003A0F3F" w:rsidP="00337958">
      <w:pPr>
        <w:pStyle w:val="ListParagraph"/>
        <w:numPr>
          <w:ilvl w:val="0"/>
          <w:numId w:val="71"/>
        </w:numPr>
        <w:spacing w:before="240"/>
        <w:contextualSpacing w:val="0"/>
        <w:rPr>
          <w:rFonts w:ascii="Arial" w:hAnsi="Arial" w:cs="Arial"/>
        </w:rPr>
      </w:pPr>
      <w:r>
        <w:rPr>
          <w:rFonts w:ascii="Arial" w:hAnsi="Arial" w:cs="Arial"/>
        </w:rPr>
        <w:t xml:space="preserve">The cost to </w:t>
      </w:r>
      <w:r w:rsidR="00B82CEE">
        <w:rPr>
          <w:rFonts w:ascii="Arial" w:hAnsi="Arial" w:cs="Arial"/>
        </w:rPr>
        <w:t xml:space="preserve">employers </w:t>
      </w:r>
      <w:r>
        <w:rPr>
          <w:rFonts w:ascii="Arial" w:hAnsi="Arial" w:cs="Arial"/>
        </w:rPr>
        <w:t>has a</w:t>
      </w:r>
      <w:r w:rsidR="009A6C38">
        <w:rPr>
          <w:rFonts w:ascii="Arial" w:hAnsi="Arial" w:cs="Arial"/>
        </w:rPr>
        <w:t xml:space="preserve">n overall weighting of </w:t>
      </w:r>
      <w:r w:rsidR="004E2996">
        <w:rPr>
          <w:rFonts w:ascii="Arial" w:hAnsi="Arial" w:cs="Arial"/>
        </w:rPr>
        <w:t>40</w:t>
      </w:r>
      <w:r>
        <w:rPr>
          <w:rFonts w:ascii="Arial" w:hAnsi="Arial" w:cs="Arial"/>
        </w:rPr>
        <w:t> percent, and is broken down into:</w:t>
      </w:r>
    </w:p>
    <w:p w14:paraId="3543232F" w14:textId="2CAF01B4" w:rsidR="008217FE" w:rsidRDefault="000B6C4D" w:rsidP="006C3958">
      <w:pPr>
        <w:pStyle w:val="ListBullet2"/>
        <w:contextualSpacing w:val="0"/>
      </w:pPr>
      <w:r w:rsidRPr="00337958">
        <w:t xml:space="preserve">The </w:t>
      </w:r>
      <w:r w:rsidR="008217FE">
        <w:t xml:space="preserve">financial cost to </w:t>
      </w:r>
      <w:r w:rsidR="00B82CEE">
        <w:t xml:space="preserve">employers </w:t>
      </w:r>
      <w:r w:rsidR="008217FE">
        <w:t>of paying the levy to the Authority</w:t>
      </w:r>
      <w:r w:rsidR="003A0F3F">
        <w:t>, which</w:t>
      </w:r>
      <w:r w:rsidR="008217FE">
        <w:t xml:space="preserve"> </w:t>
      </w:r>
      <w:r w:rsidR="003A0F3F">
        <w:t xml:space="preserve">has a weighting of </w:t>
      </w:r>
      <w:r w:rsidR="004E2996">
        <w:t>20</w:t>
      </w:r>
      <w:r w:rsidR="003A0F3F">
        <w:t> percent</w:t>
      </w:r>
      <w:r w:rsidR="00330A91">
        <w:t>; and</w:t>
      </w:r>
    </w:p>
    <w:p w14:paraId="30C799A2" w14:textId="6595330E" w:rsidR="002B2394" w:rsidRDefault="008217FE" w:rsidP="006C3958">
      <w:pPr>
        <w:pStyle w:val="ListBullet2"/>
        <w:contextualSpacing w:val="0"/>
      </w:pPr>
      <w:r>
        <w:t xml:space="preserve">The administrative cost of uncertainty </w:t>
      </w:r>
      <w:r w:rsidR="009A6C38">
        <w:t>on</w:t>
      </w:r>
      <w:r>
        <w:t xml:space="preserve"> </w:t>
      </w:r>
      <w:r w:rsidR="00DB01D9">
        <w:t>employers</w:t>
      </w:r>
      <w:r w:rsidR="003A0F3F">
        <w:t>, which has a weighting of 20 percent</w:t>
      </w:r>
      <w:r>
        <w:t xml:space="preserve">. </w:t>
      </w:r>
    </w:p>
    <w:p w14:paraId="13557719" w14:textId="68047020" w:rsidR="008217FE" w:rsidRPr="00337958" w:rsidRDefault="008217FE" w:rsidP="006C3958">
      <w:pPr>
        <w:pStyle w:val="BodyTextIndent"/>
      </w:pPr>
      <w:r w:rsidRPr="00337958">
        <w:t>Th</w:t>
      </w:r>
      <w:r w:rsidR="003A0F3F" w:rsidRPr="00337958">
        <w:t>e</w:t>
      </w:r>
      <w:r w:rsidRPr="00337958">
        <w:t xml:space="preserve"> cost of uncertainty has been given </w:t>
      </w:r>
      <w:r w:rsidR="004E2996" w:rsidRPr="00337958">
        <w:t>the same</w:t>
      </w:r>
      <w:r w:rsidR="009A6C38" w:rsidRPr="00337958">
        <w:t xml:space="preserve"> weighting </w:t>
      </w:r>
      <w:r w:rsidR="004E2996" w:rsidRPr="00337958">
        <w:t xml:space="preserve">as </w:t>
      </w:r>
      <w:r w:rsidRPr="00337958">
        <w:t>the financial cost of the levy</w:t>
      </w:r>
      <w:r w:rsidR="009A6C38" w:rsidRPr="00337958">
        <w:t xml:space="preserve"> on </w:t>
      </w:r>
      <w:r w:rsidR="00B82CEE">
        <w:t>employers</w:t>
      </w:r>
      <w:r w:rsidR="00B82CEE" w:rsidRPr="00337958">
        <w:t xml:space="preserve"> </w:t>
      </w:r>
      <w:r w:rsidRPr="00337958">
        <w:t>in response to feedback from stakeholders</w:t>
      </w:r>
      <w:r w:rsidR="003A0F3F" w:rsidRPr="00337958">
        <w:t xml:space="preserve">. </w:t>
      </w:r>
      <w:r w:rsidR="002B2394" w:rsidRPr="00337958">
        <w:t>D</w:t>
      </w:r>
      <w:r w:rsidR="004E2996" w:rsidRPr="00337958">
        <w:t>ifferent stakeholders weighted the cost of uncertainty differently compared to the financial cost of paying the levy</w:t>
      </w:r>
      <w:r w:rsidR="002B2394" w:rsidRPr="00337958">
        <w:t>. However, on balance, s</w:t>
      </w:r>
      <w:r w:rsidR="003A0F3F" w:rsidRPr="00337958">
        <w:t>takeholders</w:t>
      </w:r>
      <w:r w:rsidRPr="00337958">
        <w:t xml:space="preserve"> </w:t>
      </w:r>
      <w:r w:rsidR="009A6C38" w:rsidRPr="00337958">
        <w:t xml:space="preserve">made clear that they </w:t>
      </w:r>
      <w:r w:rsidR="002B2394" w:rsidRPr="00337958">
        <w:t>were as concerned with ensuring greater clarity</w:t>
      </w:r>
      <w:r w:rsidR="002B2394">
        <w:t xml:space="preserve"> (which is one of the biggest problems faced by employers across the covered sectors)</w:t>
      </w:r>
      <w:r w:rsidR="002B2394" w:rsidRPr="00337958">
        <w:t xml:space="preserve"> as they are about minimising cost (which, in most cases, would be marginal relative to the current costs of participating in the Scheme).</w:t>
      </w:r>
      <w:r w:rsidRPr="00337958">
        <w:t xml:space="preserve"> </w:t>
      </w:r>
      <w:r w:rsidR="00F87691">
        <w:t>Uncertainty can have a range of difficult</w:t>
      </w:r>
      <w:r w:rsidR="003431E8">
        <w:t>-</w:t>
      </w:r>
      <w:r w:rsidR="00F87691">
        <w:t>to</w:t>
      </w:r>
      <w:r w:rsidR="003431E8">
        <w:t>-</w:t>
      </w:r>
      <w:r w:rsidR="00F87691">
        <w:t>quantify impacts</w:t>
      </w:r>
      <w:r w:rsidR="003431E8">
        <w:t>,</w:t>
      </w:r>
      <w:r w:rsidR="00F87691">
        <w:t xml:space="preserve"> including delay, administrative, psychological and legal costs.</w:t>
      </w:r>
    </w:p>
    <w:p w14:paraId="40267508" w14:textId="0D4E59AA" w:rsidR="000B6C4D" w:rsidRDefault="003A0F3F" w:rsidP="006C3958">
      <w:pPr>
        <w:pStyle w:val="ListParagraph"/>
        <w:keepLines/>
        <w:numPr>
          <w:ilvl w:val="0"/>
          <w:numId w:val="71"/>
        </w:numPr>
        <w:spacing w:before="240"/>
        <w:contextualSpacing w:val="0"/>
        <w:rPr>
          <w:rFonts w:ascii="Arial" w:hAnsi="Arial" w:cs="Arial"/>
        </w:rPr>
      </w:pPr>
      <w:r>
        <w:rPr>
          <w:rFonts w:ascii="Arial" w:hAnsi="Arial" w:cs="Arial"/>
        </w:rPr>
        <w:lastRenderedPageBreak/>
        <w:t>The cost impact on the Authority has a weighting of 1</w:t>
      </w:r>
      <w:r w:rsidR="004E2996">
        <w:rPr>
          <w:rFonts w:ascii="Arial" w:hAnsi="Arial" w:cs="Arial"/>
        </w:rPr>
        <w:t>0</w:t>
      </w:r>
      <w:r>
        <w:rPr>
          <w:rFonts w:ascii="Arial" w:hAnsi="Arial" w:cs="Arial"/>
        </w:rPr>
        <w:t xml:space="preserve"> percent.</w:t>
      </w:r>
      <w:r w:rsidR="009A6C38">
        <w:rPr>
          <w:rFonts w:ascii="Arial" w:hAnsi="Arial" w:cs="Arial"/>
        </w:rPr>
        <w:t xml:space="preserve"> </w:t>
      </w:r>
      <w:r w:rsidR="009A6C38" w:rsidRPr="00EC5379">
        <w:rPr>
          <w:rFonts w:ascii="Arial" w:hAnsi="Arial" w:cs="Arial"/>
        </w:rPr>
        <w:t>Options should reduce the administr</w:t>
      </w:r>
      <w:r w:rsidR="009A6C38">
        <w:rPr>
          <w:rFonts w:ascii="Arial" w:hAnsi="Arial" w:cs="Arial"/>
        </w:rPr>
        <w:t>ative burden on the Authority</w:t>
      </w:r>
      <w:r w:rsidR="00C85C8C">
        <w:rPr>
          <w:rFonts w:ascii="Arial" w:hAnsi="Arial" w:cs="Arial"/>
        </w:rPr>
        <w:t xml:space="preserve"> </w:t>
      </w:r>
      <w:r w:rsidR="009A6C38">
        <w:rPr>
          <w:rFonts w:ascii="Arial" w:hAnsi="Arial" w:cs="Arial"/>
        </w:rPr>
        <w:t>associated with administering the Scheme.</w:t>
      </w:r>
      <w:r w:rsidR="005C010A">
        <w:rPr>
          <w:rFonts w:ascii="Arial" w:hAnsi="Arial" w:cs="Arial"/>
        </w:rPr>
        <w:t xml:space="preserve"> </w:t>
      </w:r>
      <w:r w:rsidR="00927EE1">
        <w:rPr>
          <w:rFonts w:ascii="Arial" w:hAnsi="Arial" w:cs="Arial"/>
        </w:rPr>
        <w:t>The lower weighting for this criteri</w:t>
      </w:r>
      <w:r w:rsidR="000B4581">
        <w:rPr>
          <w:rFonts w:ascii="Arial" w:hAnsi="Arial" w:cs="Arial"/>
        </w:rPr>
        <w:t>on</w:t>
      </w:r>
      <w:r w:rsidR="00927EE1">
        <w:rPr>
          <w:rFonts w:ascii="Arial" w:hAnsi="Arial" w:cs="Arial"/>
        </w:rPr>
        <w:t xml:space="preserve"> reflects that the costs to the Authority relating to the Scheme are less than the </w:t>
      </w:r>
      <w:r w:rsidR="00C85C8C">
        <w:rPr>
          <w:rFonts w:ascii="Arial" w:hAnsi="Arial" w:cs="Arial"/>
        </w:rPr>
        <w:t xml:space="preserve">total </w:t>
      </w:r>
      <w:r w:rsidR="00927EE1">
        <w:rPr>
          <w:rFonts w:ascii="Arial" w:hAnsi="Arial" w:cs="Arial"/>
        </w:rPr>
        <w:t xml:space="preserve">financial and administrative costs on </w:t>
      </w:r>
      <w:r w:rsidR="00B82CEE">
        <w:rPr>
          <w:rFonts w:ascii="Arial" w:hAnsi="Arial" w:cs="Arial"/>
        </w:rPr>
        <w:t>employers</w:t>
      </w:r>
      <w:r w:rsidR="0055008B">
        <w:rPr>
          <w:rFonts w:ascii="Arial" w:hAnsi="Arial" w:cs="Arial"/>
        </w:rPr>
        <w:t xml:space="preserve">. </w:t>
      </w:r>
    </w:p>
    <w:p w14:paraId="2077A7A8" w14:textId="77777777" w:rsidR="00E13F2A" w:rsidRPr="00EC5379" w:rsidRDefault="009B6294">
      <w:pPr>
        <w:pStyle w:val="Caption"/>
        <w:rPr>
          <w:rFonts w:ascii="Arial" w:hAnsi="Arial" w:cs="Arial"/>
        </w:rPr>
      </w:pPr>
      <w:bookmarkStart w:id="109" w:name="_Ref35516546"/>
      <w:r w:rsidRPr="00EC5379">
        <w:rPr>
          <w:rFonts w:ascii="Arial" w:hAnsi="Arial" w:cs="Arial"/>
        </w:rPr>
        <w:t xml:space="preserve">Table </w:t>
      </w:r>
      <w:r w:rsidR="00855F65" w:rsidRPr="00EC5379">
        <w:rPr>
          <w:rFonts w:ascii="Arial" w:hAnsi="Arial" w:cs="Arial"/>
          <w:noProof/>
        </w:rPr>
        <w:fldChar w:fldCharType="begin"/>
      </w:r>
      <w:r w:rsidR="00855F65" w:rsidRPr="00EC5379">
        <w:rPr>
          <w:rFonts w:ascii="Arial" w:hAnsi="Arial" w:cs="Arial"/>
          <w:noProof/>
        </w:rPr>
        <w:instrText xml:space="preserve"> SEQ Table \* ARABIC </w:instrText>
      </w:r>
      <w:r w:rsidR="00855F65" w:rsidRPr="00EC5379">
        <w:rPr>
          <w:rFonts w:ascii="Arial" w:hAnsi="Arial" w:cs="Arial"/>
          <w:noProof/>
        </w:rPr>
        <w:fldChar w:fldCharType="separate"/>
      </w:r>
      <w:r w:rsidR="00EB4037">
        <w:rPr>
          <w:rFonts w:ascii="Arial" w:hAnsi="Arial" w:cs="Arial"/>
          <w:noProof/>
        </w:rPr>
        <w:t>4</w:t>
      </w:r>
      <w:r w:rsidR="00855F65" w:rsidRPr="00EC5379">
        <w:rPr>
          <w:rFonts w:ascii="Arial" w:hAnsi="Arial" w:cs="Arial"/>
          <w:noProof/>
        </w:rPr>
        <w:fldChar w:fldCharType="end"/>
      </w:r>
      <w:bookmarkEnd w:id="109"/>
      <w:r w:rsidRPr="00EC5379">
        <w:rPr>
          <w:rFonts w:ascii="Arial" w:hAnsi="Arial" w:cs="Arial"/>
        </w:rPr>
        <w:t xml:space="preserve">: </w:t>
      </w:r>
      <w:r w:rsidR="00E13F2A" w:rsidRPr="00EC5379">
        <w:rPr>
          <w:rFonts w:ascii="Arial" w:hAnsi="Arial" w:cs="Arial"/>
        </w:rPr>
        <w:t>Analysis framework and criteria</w:t>
      </w:r>
    </w:p>
    <w:tbl>
      <w:tblPr>
        <w:tblStyle w:val="TableGrid"/>
        <w:tblW w:w="9044" w:type="dxa"/>
        <w:tblLook w:val="04A0" w:firstRow="1" w:lastRow="0" w:firstColumn="1" w:lastColumn="0" w:noHBand="0" w:noVBand="1"/>
      </w:tblPr>
      <w:tblGrid>
        <w:gridCol w:w="1701"/>
        <w:gridCol w:w="5978"/>
        <w:gridCol w:w="1365"/>
      </w:tblGrid>
      <w:tr w:rsidR="00F11F33" w:rsidRPr="00F738AD" w14:paraId="1332AAB6" w14:textId="77777777" w:rsidTr="00337958">
        <w:trPr>
          <w:trHeight w:val="402"/>
          <w:tblHeader/>
        </w:trPr>
        <w:tc>
          <w:tcPr>
            <w:tcW w:w="1701" w:type="dxa"/>
            <w:tcBorders>
              <w:left w:val="nil"/>
            </w:tcBorders>
            <w:shd w:val="clear" w:color="auto" w:fill="002060"/>
            <w:vAlign w:val="center"/>
          </w:tcPr>
          <w:p w14:paraId="29679027" w14:textId="77777777" w:rsidR="00F11F33" w:rsidRPr="00F738AD" w:rsidRDefault="00F11F33" w:rsidP="00337958">
            <w:pPr>
              <w:keepNext/>
              <w:rPr>
                <w:rFonts w:ascii="Arial" w:hAnsi="Arial" w:cs="Arial"/>
                <w:color w:val="FFFFFF" w:themeColor="background1"/>
              </w:rPr>
            </w:pPr>
            <w:r w:rsidRPr="00F738AD">
              <w:rPr>
                <w:rFonts w:ascii="Arial" w:hAnsi="Arial" w:cs="Arial"/>
                <w:color w:val="FFFFFF" w:themeColor="background1"/>
              </w:rPr>
              <w:t>Criteria</w:t>
            </w:r>
          </w:p>
        </w:tc>
        <w:tc>
          <w:tcPr>
            <w:tcW w:w="5978" w:type="dxa"/>
            <w:tcBorders>
              <w:right w:val="nil"/>
            </w:tcBorders>
            <w:shd w:val="clear" w:color="auto" w:fill="002060"/>
            <w:vAlign w:val="center"/>
          </w:tcPr>
          <w:p w14:paraId="051203E2" w14:textId="476C3D64" w:rsidR="00F11F33" w:rsidRPr="00F738AD" w:rsidRDefault="00F11F33" w:rsidP="00337958">
            <w:pPr>
              <w:keepNext/>
              <w:rPr>
                <w:rFonts w:ascii="Arial" w:hAnsi="Arial" w:cs="Arial"/>
                <w:color w:val="FFFFFF" w:themeColor="background1"/>
              </w:rPr>
            </w:pPr>
            <w:r w:rsidRPr="00F738AD">
              <w:rPr>
                <w:rFonts w:ascii="Arial" w:hAnsi="Arial" w:cs="Arial"/>
                <w:color w:val="FFFFFF" w:themeColor="background1"/>
              </w:rPr>
              <w:t xml:space="preserve">Assessment against the </w:t>
            </w:r>
            <w:r w:rsidR="0013418B">
              <w:rPr>
                <w:rFonts w:ascii="Arial" w:hAnsi="Arial" w:cs="Arial"/>
                <w:color w:val="FFFFFF" w:themeColor="background1"/>
              </w:rPr>
              <w:t>status quo</w:t>
            </w:r>
          </w:p>
        </w:tc>
        <w:tc>
          <w:tcPr>
            <w:tcW w:w="1365" w:type="dxa"/>
            <w:tcBorders>
              <w:right w:val="nil"/>
            </w:tcBorders>
            <w:shd w:val="clear" w:color="auto" w:fill="002060"/>
            <w:vAlign w:val="center"/>
          </w:tcPr>
          <w:p w14:paraId="1F2BB52B" w14:textId="77777777" w:rsidR="00F11F33" w:rsidRPr="00F738AD" w:rsidRDefault="00F11F33" w:rsidP="00337958">
            <w:pPr>
              <w:keepNext/>
              <w:rPr>
                <w:rFonts w:ascii="Arial" w:hAnsi="Arial" w:cs="Arial"/>
                <w:color w:val="FFFFFF" w:themeColor="background1"/>
              </w:rPr>
            </w:pPr>
            <w:r w:rsidRPr="00F738AD">
              <w:rPr>
                <w:rFonts w:ascii="Arial" w:hAnsi="Arial" w:cs="Arial"/>
                <w:color w:val="FFFFFF" w:themeColor="background1"/>
              </w:rPr>
              <w:t>Weight</w:t>
            </w:r>
          </w:p>
        </w:tc>
      </w:tr>
      <w:tr w:rsidR="00F11F33" w:rsidRPr="00EC5379" w14:paraId="07A132C3" w14:textId="77777777" w:rsidTr="00337958">
        <w:trPr>
          <w:trHeight w:val="988"/>
        </w:trPr>
        <w:tc>
          <w:tcPr>
            <w:tcW w:w="1701" w:type="dxa"/>
            <w:tcBorders>
              <w:left w:val="nil"/>
            </w:tcBorders>
            <w:shd w:val="clear" w:color="auto" w:fill="DEEAF6" w:themeFill="accent1" w:themeFillTint="33"/>
            <w:vAlign w:val="center"/>
          </w:tcPr>
          <w:p w14:paraId="19CBC8A2" w14:textId="1C611A50" w:rsidR="00F11F33" w:rsidRPr="00EC5379" w:rsidRDefault="00F11F33" w:rsidP="00337958">
            <w:pPr>
              <w:pStyle w:val="Tabletext"/>
              <w:keepNext/>
              <w:rPr>
                <w:rFonts w:cs="Arial"/>
              </w:rPr>
            </w:pPr>
            <w:r w:rsidRPr="00EC5379">
              <w:rPr>
                <w:rFonts w:cs="Arial"/>
              </w:rPr>
              <w:t>Equity</w:t>
            </w:r>
            <w:r>
              <w:rPr>
                <w:rFonts w:cs="Arial"/>
              </w:rPr>
              <w:t xml:space="preserve"> for </w:t>
            </w:r>
            <w:r w:rsidR="003A0F3F">
              <w:rPr>
                <w:rFonts w:cs="Arial"/>
              </w:rPr>
              <w:t xml:space="preserve">covered </w:t>
            </w:r>
            <w:r>
              <w:rPr>
                <w:rFonts w:cs="Arial"/>
              </w:rPr>
              <w:t>employees</w:t>
            </w:r>
          </w:p>
        </w:tc>
        <w:tc>
          <w:tcPr>
            <w:tcW w:w="5978" w:type="dxa"/>
            <w:tcBorders>
              <w:right w:val="nil"/>
            </w:tcBorders>
            <w:shd w:val="clear" w:color="auto" w:fill="DEEAF6" w:themeFill="accent1" w:themeFillTint="33"/>
            <w:vAlign w:val="center"/>
          </w:tcPr>
          <w:p w14:paraId="39DCB163" w14:textId="206F5B3D" w:rsidR="00F11F33" w:rsidRPr="00EC5379" w:rsidRDefault="00F11F33" w:rsidP="00337958">
            <w:pPr>
              <w:pStyle w:val="Tabletext"/>
              <w:keepNext/>
              <w:rPr>
                <w:rFonts w:cs="Arial"/>
              </w:rPr>
            </w:pPr>
            <w:r w:rsidRPr="00EC5379">
              <w:rPr>
                <w:rFonts w:cs="Arial"/>
              </w:rPr>
              <w:t xml:space="preserve">Options should ensure equity of long service </w:t>
            </w:r>
            <w:r>
              <w:rPr>
                <w:rFonts w:cs="Arial"/>
              </w:rPr>
              <w:t>entitlements within the</w:t>
            </w:r>
            <w:r w:rsidR="00180E44">
              <w:rPr>
                <w:rFonts w:cs="Arial"/>
              </w:rPr>
              <w:t xml:space="preserve"> covered</w:t>
            </w:r>
            <w:r>
              <w:rPr>
                <w:rFonts w:cs="Arial"/>
              </w:rPr>
              <w:t xml:space="preserve"> sector by ensuring </w:t>
            </w:r>
            <w:r w:rsidR="003431E8">
              <w:rPr>
                <w:rFonts w:cs="Arial"/>
              </w:rPr>
              <w:t xml:space="preserve">that </w:t>
            </w:r>
            <w:r w:rsidR="00BA4E89">
              <w:rPr>
                <w:rFonts w:cs="Arial"/>
              </w:rPr>
              <w:t>employee</w:t>
            </w:r>
            <w:r>
              <w:rPr>
                <w:rFonts w:cs="Arial"/>
              </w:rPr>
              <w:t>s who were intended to be covered by the Scheme are covered.</w:t>
            </w:r>
            <w:r w:rsidRPr="00EC5379">
              <w:rPr>
                <w:rFonts w:cs="Arial"/>
              </w:rPr>
              <w:t xml:space="preserve"> </w:t>
            </w:r>
          </w:p>
        </w:tc>
        <w:tc>
          <w:tcPr>
            <w:tcW w:w="1365" w:type="dxa"/>
            <w:tcBorders>
              <w:right w:val="nil"/>
            </w:tcBorders>
            <w:shd w:val="clear" w:color="auto" w:fill="DEEAF6" w:themeFill="accent1" w:themeFillTint="33"/>
            <w:vAlign w:val="center"/>
          </w:tcPr>
          <w:p w14:paraId="628E0831" w14:textId="77777777" w:rsidR="00F11F33" w:rsidRPr="00EC5379" w:rsidRDefault="00F11F33" w:rsidP="00337958">
            <w:pPr>
              <w:pStyle w:val="Tabletext"/>
              <w:keepNext/>
              <w:rPr>
                <w:rFonts w:cs="Arial"/>
              </w:rPr>
            </w:pPr>
            <w:r w:rsidRPr="00EC5379">
              <w:rPr>
                <w:rFonts w:cs="Arial"/>
              </w:rPr>
              <w:t>50%</w:t>
            </w:r>
          </w:p>
        </w:tc>
      </w:tr>
      <w:tr w:rsidR="008217FE" w:rsidRPr="00EC5379" w14:paraId="067E46C3" w14:textId="77777777" w:rsidTr="00337958">
        <w:trPr>
          <w:trHeight w:val="988"/>
        </w:trPr>
        <w:tc>
          <w:tcPr>
            <w:tcW w:w="1701" w:type="dxa"/>
            <w:tcBorders>
              <w:left w:val="nil"/>
            </w:tcBorders>
            <w:shd w:val="clear" w:color="auto" w:fill="DEEAF6" w:themeFill="accent1" w:themeFillTint="33"/>
            <w:vAlign w:val="center"/>
          </w:tcPr>
          <w:p w14:paraId="31C6781C" w14:textId="53582DB0" w:rsidR="008217FE" w:rsidRPr="00EC5379" w:rsidRDefault="003A0F3F" w:rsidP="00CB4236">
            <w:pPr>
              <w:pStyle w:val="Tabletext"/>
              <w:keepNext/>
              <w:rPr>
                <w:rFonts w:cs="Arial"/>
              </w:rPr>
            </w:pPr>
            <w:r>
              <w:rPr>
                <w:rFonts w:cs="Arial"/>
              </w:rPr>
              <w:t xml:space="preserve">Impact on </w:t>
            </w:r>
            <w:r w:rsidR="00B82CEE">
              <w:rPr>
                <w:rFonts w:cs="Arial"/>
              </w:rPr>
              <w:t xml:space="preserve">employers </w:t>
            </w:r>
            <w:r>
              <w:rPr>
                <w:rFonts w:cs="Arial"/>
              </w:rPr>
              <w:t xml:space="preserve">– </w:t>
            </w:r>
            <w:r w:rsidR="00927EE1">
              <w:rPr>
                <w:rFonts w:cs="Arial"/>
              </w:rPr>
              <w:t>financial</w:t>
            </w:r>
            <w:r>
              <w:rPr>
                <w:rFonts w:cs="Arial"/>
              </w:rPr>
              <w:t xml:space="preserve"> cost</w:t>
            </w:r>
          </w:p>
        </w:tc>
        <w:tc>
          <w:tcPr>
            <w:tcW w:w="5978" w:type="dxa"/>
            <w:tcBorders>
              <w:right w:val="nil"/>
            </w:tcBorders>
            <w:shd w:val="clear" w:color="auto" w:fill="DEEAF6" w:themeFill="accent1" w:themeFillTint="33"/>
            <w:vAlign w:val="center"/>
          </w:tcPr>
          <w:p w14:paraId="25FA9E2B" w14:textId="539EAC2F" w:rsidR="008217FE" w:rsidRPr="00EC5379" w:rsidRDefault="00F87691">
            <w:pPr>
              <w:pStyle w:val="Tabletext"/>
              <w:keepNext/>
              <w:rPr>
                <w:rFonts w:cs="Arial"/>
              </w:rPr>
            </w:pPr>
            <w:r w:rsidRPr="002573EB">
              <w:rPr>
                <w:rFonts w:cs="Arial"/>
              </w:rPr>
              <w:t xml:space="preserve">Options should minimise the financial cost </w:t>
            </w:r>
            <w:r>
              <w:rPr>
                <w:rFonts w:cs="Arial"/>
              </w:rPr>
              <w:t xml:space="preserve">of levies </w:t>
            </w:r>
            <w:r w:rsidRPr="002573EB">
              <w:rPr>
                <w:rFonts w:cs="Arial"/>
              </w:rPr>
              <w:t xml:space="preserve">on </w:t>
            </w:r>
            <w:r w:rsidR="00DB01D9">
              <w:rPr>
                <w:rFonts w:cs="Arial"/>
              </w:rPr>
              <w:t>employers</w:t>
            </w:r>
            <w:r w:rsidRPr="002573EB">
              <w:rPr>
                <w:rFonts w:cs="Arial"/>
              </w:rPr>
              <w:t xml:space="preserve"> covered by the Scheme.</w:t>
            </w:r>
          </w:p>
        </w:tc>
        <w:tc>
          <w:tcPr>
            <w:tcW w:w="1365" w:type="dxa"/>
            <w:tcBorders>
              <w:right w:val="nil"/>
            </w:tcBorders>
            <w:shd w:val="clear" w:color="auto" w:fill="DEEAF6" w:themeFill="accent1" w:themeFillTint="33"/>
            <w:vAlign w:val="center"/>
          </w:tcPr>
          <w:p w14:paraId="1A92A2DA" w14:textId="7B83EBA5" w:rsidR="008217FE" w:rsidRPr="00EC5379" w:rsidRDefault="002B2394" w:rsidP="00337958">
            <w:pPr>
              <w:pStyle w:val="Tabletext"/>
              <w:keepNext/>
              <w:rPr>
                <w:rFonts w:cs="Arial"/>
              </w:rPr>
            </w:pPr>
            <w:r>
              <w:rPr>
                <w:rFonts w:cs="Arial"/>
              </w:rPr>
              <w:t>20</w:t>
            </w:r>
            <w:r w:rsidR="003A0F3F">
              <w:rPr>
                <w:rFonts w:cs="Arial"/>
              </w:rPr>
              <w:t>%</w:t>
            </w:r>
          </w:p>
        </w:tc>
      </w:tr>
      <w:tr w:rsidR="00F11F33" w:rsidRPr="00EC5379" w14:paraId="016B97C1" w14:textId="77777777" w:rsidTr="00337958">
        <w:trPr>
          <w:trHeight w:val="880"/>
        </w:trPr>
        <w:tc>
          <w:tcPr>
            <w:tcW w:w="1701" w:type="dxa"/>
            <w:tcBorders>
              <w:left w:val="nil"/>
            </w:tcBorders>
            <w:shd w:val="clear" w:color="auto" w:fill="DEEAF6" w:themeFill="accent1" w:themeFillTint="33"/>
            <w:vAlign w:val="center"/>
          </w:tcPr>
          <w:p w14:paraId="4E250F6C" w14:textId="145769A6" w:rsidR="00F11F33" w:rsidRPr="00EC5379" w:rsidRDefault="003A0F3F" w:rsidP="00CB4236">
            <w:pPr>
              <w:pStyle w:val="Tabletext"/>
              <w:keepNext/>
              <w:rPr>
                <w:rFonts w:cs="Arial"/>
              </w:rPr>
            </w:pPr>
            <w:r>
              <w:rPr>
                <w:rFonts w:cs="Arial"/>
              </w:rPr>
              <w:t xml:space="preserve">Impact on </w:t>
            </w:r>
            <w:r w:rsidR="00B82CEE">
              <w:rPr>
                <w:rFonts w:cs="Arial"/>
              </w:rPr>
              <w:t xml:space="preserve">employers </w:t>
            </w:r>
            <w:r>
              <w:rPr>
                <w:rFonts w:cs="Arial"/>
              </w:rPr>
              <w:t>– cost of uncertainty</w:t>
            </w:r>
            <w:r w:rsidR="0055008B">
              <w:rPr>
                <w:rFonts w:cs="Arial"/>
              </w:rPr>
              <w:t xml:space="preserve"> </w:t>
            </w:r>
          </w:p>
        </w:tc>
        <w:tc>
          <w:tcPr>
            <w:tcW w:w="5978" w:type="dxa"/>
            <w:tcBorders>
              <w:right w:val="nil"/>
            </w:tcBorders>
            <w:shd w:val="clear" w:color="auto" w:fill="DEEAF6" w:themeFill="accent1" w:themeFillTint="33"/>
            <w:vAlign w:val="center"/>
          </w:tcPr>
          <w:p w14:paraId="7ECD7EFE" w14:textId="3A87C048" w:rsidR="00F11F33" w:rsidRPr="00EC5379" w:rsidRDefault="00F11F33" w:rsidP="00337958">
            <w:pPr>
              <w:pStyle w:val="Tabletext"/>
              <w:keepNext/>
              <w:rPr>
                <w:rFonts w:cs="Arial"/>
              </w:rPr>
            </w:pPr>
            <w:r w:rsidRPr="00EC5379">
              <w:rPr>
                <w:rFonts w:cs="Arial"/>
              </w:rPr>
              <w:t>Options should minimise</w:t>
            </w:r>
            <w:r w:rsidR="003A0F3F">
              <w:rPr>
                <w:rFonts w:cs="Arial"/>
              </w:rPr>
              <w:t xml:space="preserve"> the</w:t>
            </w:r>
            <w:r w:rsidRPr="00EC5379">
              <w:rPr>
                <w:rFonts w:cs="Arial"/>
              </w:rPr>
              <w:t xml:space="preserve"> </w:t>
            </w:r>
            <w:r w:rsidR="009A6C38">
              <w:rPr>
                <w:rFonts w:cs="Arial"/>
              </w:rPr>
              <w:t>administrative cost</w:t>
            </w:r>
            <w:r>
              <w:rPr>
                <w:rFonts w:cs="Arial"/>
              </w:rPr>
              <w:t xml:space="preserve"> of uncertainty</w:t>
            </w:r>
            <w:r w:rsidR="003A0F3F">
              <w:rPr>
                <w:rFonts w:cs="Arial"/>
              </w:rPr>
              <w:t xml:space="preserve"> on employers</w:t>
            </w:r>
            <w:r>
              <w:rPr>
                <w:rFonts w:cs="Arial"/>
              </w:rPr>
              <w:t xml:space="preserve"> relating </w:t>
            </w:r>
            <w:r w:rsidR="009A6C38">
              <w:rPr>
                <w:rFonts w:cs="Arial"/>
              </w:rPr>
              <w:t>to the operation of the Scheme.</w:t>
            </w:r>
          </w:p>
        </w:tc>
        <w:tc>
          <w:tcPr>
            <w:tcW w:w="1365" w:type="dxa"/>
            <w:tcBorders>
              <w:right w:val="nil"/>
            </w:tcBorders>
            <w:shd w:val="clear" w:color="auto" w:fill="DEEAF6" w:themeFill="accent1" w:themeFillTint="33"/>
            <w:vAlign w:val="center"/>
          </w:tcPr>
          <w:p w14:paraId="2C8DD188" w14:textId="04E85FBA" w:rsidR="00F11F33" w:rsidRPr="00EC5379" w:rsidRDefault="003A0F3F" w:rsidP="00337958">
            <w:pPr>
              <w:pStyle w:val="Tabletext"/>
              <w:keepNext/>
              <w:rPr>
                <w:rFonts w:cs="Arial"/>
              </w:rPr>
            </w:pPr>
            <w:r>
              <w:rPr>
                <w:rFonts w:cs="Arial"/>
              </w:rPr>
              <w:t>20%</w:t>
            </w:r>
          </w:p>
        </w:tc>
      </w:tr>
      <w:tr w:rsidR="00F11F33" w:rsidRPr="00EC5379" w14:paraId="4E0684CB" w14:textId="77777777" w:rsidTr="00337958">
        <w:trPr>
          <w:trHeight w:val="989"/>
        </w:trPr>
        <w:tc>
          <w:tcPr>
            <w:tcW w:w="1701" w:type="dxa"/>
            <w:tcBorders>
              <w:left w:val="nil"/>
            </w:tcBorders>
            <w:shd w:val="clear" w:color="auto" w:fill="DEEAF6" w:themeFill="accent1" w:themeFillTint="33"/>
            <w:vAlign w:val="center"/>
          </w:tcPr>
          <w:p w14:paraId="17A9787E" w14:textId="2F2384F2" w:rsidR="00F11F33" w:rsidRPr="00EC5379" w:rsidRDefault="00F11F33" w:rsidP="00337958">
            <w:pPr>
              <w:pStyle w:val="Tabletext"/>
              <w:keepNext/>
              <w:rPr>
                <w:rFonts w:cs="Arial"/>
              </w:rPr>
            </w:pPr>
            <w:r>
              <w:rPr>
                <w:rFonts w:cs="Arial"/>
              </w:rPr>
              <w:t>Impact on</w:t>
            </w:r>
            <w:r w:rsidRPr="00EC5379">
              <w:rPr>
                <w:rFonts w:cs="Arial"/>
              </w:rPr>
              <w:t xml:space="preserve"> the Authority </w:t>
            </w:r>
          </w:p>
        </w:tc>
        <w:tc>
          <w:tcPr>
            <w:tcW w:w="5978" w:type="dxa"/>
            <w:tcBorders>
              <w:right w:val="nil"/>
            </w:tcBorders>
            <w:shd w:val="clear" w:color="auto" w:fill="DEEAF6" w:themeFill="accent1" w:themeFillTint="33"/>
            <w:vAlign w:val="center"/>
          </w:tcPr>
          <w:p w14:paraId="5B804826" w14:textId="0FD996DA" w:rsidR="00F11F33" w:rsidRPr="00EC5379" w:rsidRDefault="00F11F33" w:rsidP="00337958">
            <w:pPr>
              <w:pStyle w:val="Tabletext"/>
              <w:keepNext/>
              <w:rPr>
                <w:rFonts w:cs="Arial"/>
              </w:rPr>
            </w:pPr>
            <w:r w:rsidRPr="00EC5379">
              <w:rPr>
                <w:rFonts w:cs="Arial"/>
              </w:rPr>
              <w:t>Options should reduce the administr</w:t>
            </w:r>
            <w:r>
              <w:rPr>
                <w:rFonts w:cs="Arial"/>
              </w:rPr>
              <w:t>ative burden on the Authority</w:t>
            </w:r>
            <w:r w:rsidR="009A6C38">
              <w:rPr>
                <w:rFonts w:cs="Arial"/>
              </w:rPr>
              <w:t xml:space="preserve"> associated with administering the Scheme.</w:t>
            </w:r>
          </w:p>
        </w:tc>
        <w:tc>
          <w:tcPr>
            <w:tcW w:w="1365" w:type="dxa"/>
            <w:tcBorders>
              <w:right w:val="nil"/>
            </w:tcBorders>
            <w:shd w:val="clear" w:color="auto" w:fill="DEEAF6" w:themeFill="accent1" w:themeFillTint="33"/>
            <w:vAlign w:val="center"/>
          </w:tcPr>
          <w:p w14:paraId="635CBEFE" w14:textId="297CE66A" w:rsidR="00F11F33" w:rsidRPr="00EC5379" w:rsidRDefault="002B2394" w:rsidP="00337958">
            <w:pPr>
              <w:pStyle w:val="Tabletext"/>
              <w:keepNext/>
              <w:rPr>
                <w:rFonts w:cs="Arial"/>
              </w:rPr>
            </w:pPr>
            <w:r>
              <w:rPr>
                <w:rFonts w:cs="Arial"/>
              </w:rPr>
              <w:t>10</w:t>
            </w:r>
            <w:r w:rsidR="003A0F3F">
              <w:rPr>
                <w:rFonts w:cs="Arial"/>
              </w:rPr>
              <w:t>%</w:t>
            </w:r>
          </w:p>
        </w:tc>
      </w:tr>
    </w:tbl>
    <w:p w14:paraId="2B88656C" w14:textId="59E51AEF" w:rsidR="002B2394" w:rsidRPr="00A40F39" w:rsidRDefault="002B2394" w:rsidP="002B2394">
      <w:pPr>
        <w:spacing w:before="240"/>
        <w:rPr>
          <w:rFonts w:ascii="Arial" w:hAnsi="Arial" w:cs="Arial"/>
        </w:rPr>
      </w:pPr>
      <w:bookmarkStart w:id="110" w:name="_Ref36540113"/>
      <w:bookmarkStart w:id="111" w:name="_Toc4768889"/>
      <w:r w:rsidRPr="00A40F39">
        <w:rPr>
          <w:rFonts w:ascii="Arial" w:hAnsi="Arial" w:cs="Arial"/>
        </w:rPr>
        <w:t>For each option, scores are assigned against each criteri</w:t>
      </w:r>
      <w:r w:rsidR="000B4581">
        <w:rPr>
          <w:rFonts w:ascii="Arial" w:hAnsi="Arial" w:cs="Arial"/>
        </w:rPr>
        <w:t>on</w:t>
      </w:r>
      <w:r w:rsidRPr="00A40F39">
        <w:rPr>
          <w:rFonts w:ascii="Arial" w:hAnsi="Arial" w:cs="Arial"/>
        </w:rPr>
        <w:t>, ranging from minus three to three, with three representing a high alignment to the criteri</w:t>
      </w:r>
      <w:r w:rsidR="000B4581">
        <w:rPr>
          <w:rFonts w:ascii="Arial" w:hAnsi="Arial" w:cs="Arial"/>
        </w:rPr>
        <w:t>on</w:t>
      </w:r>
      <w:r>
        <w:rPr>
          <w:rFonts w:ascii="Arial" w:hAnsi="Arial" w:cs="Arial"/>
        </w:rPr>
        <w:t xml:space="preserve"> in reference to the status quo</w:t>
      </w:r>
      <w:r w:rsidRPr="00A40F39">
        <w:rPr>
          <w:rFonts w:ascii="Arial" w:hAnsi="Arial" w:cs="Arial"/>
        </w:rPr>
        <w:t xml:space="preserve">. The scoring framework is outlined in </w:t>
      </w:r>
      <w:r w:rsidRPr="00A40F39">
        <w:rPr>
          <w:rFonts w:ascii="Arial" w:hAnsi="Arial" w:cs="Arial"/>
        </w:rPr>
        <w:fldChar w:fldCharType="begin"/>
      </w:r>
      <w:r w:rsidRPr="00A40F39">
        <w:rPr>
          <w:rFonts w:ascii="Arial" w:hAnsi="Arial" w:cs="Arial"/>
        </w:rPr>
        <w:instrText xml:space="preserve"> REF _Ref36540113 \h  \* MERGEFORMAT </w:instrText>
      </w:r>
      <w:r w:rsidRPr="00A40F39">
        <w:rPr>
          <w:rFonts w:ascii="Arial" w:hAnsi="Arial" w:cs="Arial"/>
        </w:rPr>
      </w:r>
      <w:r w:rsidRPr="00A40F39">
        <w:rPr>
          <w:rFonts w:ascii="Arial" w:hAnsi="Arial" w:cs="Arial"/>
        </w:rPr>
        <w:fldChar w:fldCharType="separate"/>
      </w:r>
      <w:r w:rsidRPr="00A40F39">
        <w:rPr>
          <w:rFonts w:ascii="Arial" w:hAnsi="Arial" w:cs="Arial"/>
        </w:rPr>
        <w:t>Table 5</w:t>
      </w:r>
      <w:r w:rsidRPr="00A40F39">
        <w:rPr>
          <w:rFonts w:ascii="Arial" w:hAnsi="Arial" w:cs="Arial"/>
        </w:rPr>
        <w:fldChar w:fldCharType="end"/>
      </w:r>
      <w:r w:rsidRPr="00A40F39">
        <w:rPr>
          <w:rFonts w:ascii="Arial" w:hAnsi="Arial" w:cs="Arial"/>
        </w:rPr>
        <w:t xml:space="preserve">. The analysis framework has a limited scale (three points in the positive and negative scale) in order to not give the analysis a sense of false precision, as there are difficulties in quantifying </w:t>
      </w:r>
      <w:r w:rsidR="003431E8">
        <w:rPr>
          <w:rFonts w:ascii="Arial" w:hAnsi="Arial" w:cs="Arial"/>
        </w:rPr>
        <w:t>a good deal</w:t>
      </w:r>
      <w:r w:rsidR="003431E8" w:rsidRPr="00A40F39">
        <w:rPr>
          <w:rFonts w:ascii="Arial" w:hAnsi="Arial" w:cs="Arial"/>
        </w:rPr>
        <w:t xml:space="preserve"> </w:t>
      </w:r>
      <w:r w:rsidRPr="00A40F39">
        <w:rPr>
          <w:rFonts w:ascii="Arial" w:hAnsi="Arial" w:cs="Arial"/>
        </w:rPr>
        <w:t xml:space="preserve">of the impact discussed here. For this reason, it is especially important that the evaluation framework in section </w:t>
      </w:r>
      <w:r w:rsidRPr="00A40F39">
        <w:rPr>
          <w:rFonts w:ascii="Arial" w:hAnsi="Arial" w:cs="Arial"/>
        </w:rPr>
        <w:fldChar w:fldCharType="begin"/>
      </w:r>
      <w:r w:rsidRPr="00A40F39">
        <w:rPr>
          <w:rFonts w:ascii="Arial" w:hAnsi="Arial" w:cs="Arial"/>
        </w:rPr>
        <w:instrText xml:space="preserve"> REF _Ref5825272 \w \h  \* MERGEFORMAT </w:instrText>
      </w:r>
      <w:r w:rsidRPr="00A40F39">
        <w:rPr>
          <w:rFonts w:ascii="Arial" w:hAnsi="Arial" w:cs="Arial"/>
        </w:rPr>
      </w:r>
      <w:r w:rsidRPr="00A40F39">
        <w:rPr>
          <w:rFonts w:ascii="Arial" w:hAnsi="Arial" w:cs="Arial"/>
        </w:rPr>
        <w:fldChar w:fldCharType="separate"/>
      </w:r>
      <w:r w:rsidRPr="00A40F39">
        <w:rPr>
          <w:rFonts w:ascii="Arial" w:hAnsi="Arial" w:cs="Arial"/>
        </w:rPr>
        <w:t>8</w:t>
      </w:r>
      <w:r w:rsidRPr="00A40F39">
        <w:rPr>
          <w:rFonts w:ascii="Arial" w:hAnsi="Arial" w:cs="Arial"/>
        </w:rPr>
        <w:fldChar w:fldCharType="end"/>
      </w:r>
      <w:r w:rsidRPr="00A40F39">
        <w:rPr>
          <w:rFonts w:ascii="Arial" w:hAnsi="Arial" w:cs="Arial"/>
        </w:rPr>
        <w:t xml:space="preserve"> is implemented, in order to measure the actual impact of the Proposed Regulations. </w:t>
      </w:r>
    </w:p>
    <w:p w14:paraId="0852A442" w14:textId="7ACCFACA" w:rsidR="00F11F33" w:rsidRPr="00337958" w:rsidRDefault="00F11F33" w:rsidP="0089060C">
      <w:pPr>
        <w:spacing w:before="240"/>
        <w:rPr>
          <w:rFonts w:ascii="Arial" w:hAnsi="Arial" w:cs="Arial"/>
        </w:rPr>
      </w:pPr>
      <w:r w:rsidRPr="00337958">
        <w:rPr>
          <w:rFonts w:ascii="Arial" w:hAnsi="Arial" w:cs="Arial"/>
          <w:i/>
        </w:rPr>
        <w:t xml:space="preserve">Table </w:t>
      </w:r>
      <w:r w:rsidRPr="00337958">
        <w:rPr>
          <w:rFonts w:ascii="Arial" w:hAnsi="Arial" w:cs="Arial"/>
          <w:i/>
        </w:rPr>
        <w:fldChar w:fldCharType="begin"/>
      </w:r>
      <w:r w:rsidRPr="00337958">
        <w:rPr>
          <w:rFonts w:ascii="Arial" w:hAnsi="Arial" w:cs="Arial"/>
          <w:i/>
        </w:rPr>
        <w:instrText xml:space="preserve"> SEQ Table \* ARABIC </w:instrText>
      </w:r>
      <w:r w:rsidRPr="00337958">
        <w:rPr>
          <w:rFonts w:ascii="Arial" w:hAnsi="Arial" w:cs="Arial"/>
          <w:i/>
        </w:rPr>
        <w:fldChar w:fldCharType="separate"/>
      </w:r>
      <w:r w:rsidR="00EB4037">
        <w:rPr>
          <w:rFonts w:ascii="Arial" w:hAnsi="Arial" w:cs="Arial"/>
          <w:i/>
          <w:noProof/>
        </w:rPr>
        <w:t>5</w:t>
      </w:r>
      <w:r w:rsidRPr="00337958">
        <w:rPr>
          <w:rFonts w:ascii="Arial" w:hAnsi="Arial" w:cs="Arial"/>
          <w:i/>
        </w:rPr>
        <w:fldChar w:fldCharType="end"/>
      </w:r>
      <w:bookmarkEnd w:id="110"/>
      <w:r w:rsidRPr="00337958">
        <w:rPr>
          <w:rFonts w:ascii="Arial" w:hAnsi="Arial" w:cs="Arial"/>
          <w:i/>
        </w:rPr>
        <w:t>:</w:t>
      </w:r>
      <w:r>
        <w:rPr>
          <w:rFonts w:ascii="Arial" w:hAnsi="Arial" w:cs="Arial"/>
        </w:rPr>
        <w:t xml:space="preserve"> </w:t>
      </w:r>
      <w:r w:rsidRPr="009A6C38">
        <w:rPr>
          <w:rFonts w:ascii="Arial" w:hAnsi="Arial" w:cs="Arial"/>
          <w:i/>
        </w:rPr>
        <w:t>Scoring system</w:t>
      </w:r>
      <w:r w:rsidR="00180E44" w:rsidRPr="00337958">
        <w:rPr>
          <w:rFonts w:ascii="Arial" w:hAnsi="Arial" w:cs="Arial"/>
          <w:i/>
        </w:rPr>
        <w:t xml:space="preserve"> for the impact analysis framework</w:t>
      </w:r>
    </w:p>
    <w:tbl>
      <w:tblPr>
        <w:tblStyle w:val="TableGrid"/>
        <w:tblW w:w="9072" w:type="dxa"/>
        <w:tblLook w:val="04A0" w:firstRow="1" w:lastRow="0" w:firstColumn="1" w:lastColumn="0" w:noHBand="0" w:noVBand="1"/>
      </w:tblPr>
      <w:tblGrid>
        <w:gridCol w:w="851"/>
        <w:gridCol w:w="8221"/>
      </w:tblGrid>
      <w:tr w:rsidR="00180E44" w:rsidRPr="00F738AD" w14:paraId="7036EC36" w14:textId="77777777" w:rsidTr="00337958">
        <w:trPr>
          <w:trHeight w:val="340"/>
          <w:tblHeader/>
        </w:trPr>
        <w:tc>
          <w:tcPr>
            <w:tcW w:w="9072" w:type="dxa"/>
            <w:gridSpan w:val="2"/>
            <w:tcBorders>
              <w:left w:val="nil"/>
              <w:bottom w:val="nil"/>
              <w:right w:val="nil"/>
            </w:tcBorders>
            <w:shd w:val="clear" w:color="auto" w:fill="002060"/>
            <w:vAlign w:val="center"/>
          </w:tcPr>
          <w:p w14:paraId="42451B59" w14:textId="77777777" w:rsidR="00180E44" w:rsidRPr="00F738AD" w:rsidRDefault="00180E44" w:rsidP="0089060C">
            <w:pPr>
              <w:rPr>
                <w:rFonts w:ascii="Arial" w:hAnsi="Arial" w:cs="Arial"/>
                <w:color w:val="FFFFFF" w:themeColor="background1"/>
              </w:rPr>
            </w:pPr>
            <w:r w:rsidRPr="00F738AD">
              <w:rPr>
                <w:rFonts w:ascii="Arial" w:hAnsi="Arial" w:cs="Arial"/>
                <w:color w:val="FFFFFF" w:themeColor="background1"/>
              </w:rPr>
              <w:t xml:space="preserve">Score </w:t>
            </w:r>
          </w:p>
        </w:tc>
      </w:tr>
      <w:tr w:rsidR="00F87691" w:rsidRPr="00EC5379" w14:paraId="4E959BD6" w14:textId="77777777" w:rsidTr="00337958">
        <w:trPr>
          <w:trHeight w:val="567"/>
        </w:trPr>
        <w:tc>
          <w:tcPr>
            <w:tcW w:w="851" w:type="dxa"/>
            <w:tcBorders>
              <w:top w:val="nil"/>
              <w:left w:val="nil"/>
              <w:right w:val="single" w:sz="4" w:space="0" w:color="auto"/>
            </w:tcBorders>
            <w:shd w:val="clear" w:color="auto" w:fill="DEEAF6" w:themeFill="accent1" w:themeFillTint="33"/>
            <w:vAlign w:val="center"/>
          </w:tcPr>
          <w:p w14:paraId="09555FC7" w14:textId="11AD9FE8" w:rsidR="00F87691" w:rsidRPr="00337958" w:rsidRDefault="00F87691" w:rsidP="00337958">
            <w:pPr>
              <w:pStyle w:val="Tabletext"/>
              <w:jc w:val="center"/>
              <w:rPr>
                <w:rFonts w:cs="Arial"/>
                <w:b/>
              </w:rPr>
            </w:pPr>
            <w:r w:rsidRPr="0089060C">
              <w:rPr>
                <w:rFonts w:cs="Arial"/>
                <w:b/>
              </w:rPr>
              <w:t>3</w:t>
            </w:r>
          </w:p>
        </w:tc>
        <w:tc>
          <w:tcPr>
            <w:tcW w:w="8221" w:type="dxa"/>
            <w:tcBorders>
              <w:top w:val="nil"/>
              <w:left w:val="single" w:sz="4" w:space="0" w:color="auto"/>
              <w:right w:val="nil"/>
            </w:tcBorders>
            <w:shd w:val="clear" w:color="auto" w:fill="DEEAF6" w:themeFill="accent1" w:themeFillTint="33"/>
            <w:vAlign w:val="center"/>
          </w:tcPr>
          <w:p w14:paraId="6D7C249D" w14:textId="45471984" w:rsidR="00F87691" w:rsidRPr="00EC5379" w:rsidRDefault="00F87691" w:rsidP="00F87691">
            <w:pPr>
              <w:pStyle w:val="Tabletext"/>
              <w:rPr>
                <w:rFonts w:cs="Arial"/>
              </w:rPr>
            </w:pPr>
            <w:r>
              <w:rPr>
                <w:rFonts w:cs="Arial"/>
              </w:rPr>
              <w:t>A</w:t>
            </w:r>
            <w:r w:rsidRPr="00EC5379">
              <w:rPr>
                <w:rFonts w:cs="Arial"/>
              </w:rPr>
              <w:t xml:space="preserve"> score of three will be provided where the option is </w:t>
            </w:r>
            <w:r>
              <w:rPr>
                <w:rFonts w:cs="Arial"/>
              </w:rPr>
              <w:t>much more aligned with the criteri</w:t>
            </w:r>
            <w:r w:rsidR="000B4581">
              <w:rPr>
                <w:rFonts w:cs="Arial"/>
              </w:rPr>
              <w:t>on</w:t>
            </w:r>
            <w:r>
              <w:rPr>
                <w:rFonts w:cs="Arial"/>
              </w:rPr>
              <w:t xml:space="preserve"> than the status quo.</w:t>
            </w:r>
          </w:p>
        </w:tc>
      </w:tr>
      <w:tr w:rsidR="00F87691" w:rsidRPr="00EC5379" w14:paraId="4D18F006" w14:textId="77777777" w:rsidTr="00337958">
        <w:trPr>
          <w:trHeight w:val="567"/>
        </w:trPr>
        <w:tc>
          <w:tcPr>
            <w:tcW w:w="851" w:type="dxa"/>
            <w:tcBorders>
              <w:left w:val="nil"/>
              <w:right w:val="single" w:sz="4" w:space="0" w:color="auto"/>
            </w:tcBorders>
            <w:shd w:val="clear" w:color="auto" w:fill="DEEAF6" w:themeFill="accent1" w:themeFillTint="33"/>
            <w:vAlign w:val="center"/>
          </w:tcPr>
          <w:p w14:paraId="32B95CDA" w14:textId="1B19745E" w:rsidR="00F87691" w:rsidRPr="0089060C" w:rsidRDefault="00F87691" w:rsidP="00337958">
            <w:pPr>
              <w:pStyle w:val="Tabletext"/>
              <w:jc w:val="center"/>
              <w:rPr>
                <w:rFonts w:cs="Arial"/>
                <w:b/>
              </w:rPr>
            </w:pPr>
            <w:r w:rsidRPr="0089060C">
              <w:rPr>
                <w:rFonts w:cs="Arial"/>
                <w:b/>
              </w:rPr>
              <w:t>2</w:t>
            </w:r>
          </w:p>
        </w:tc>
        <w:tc>
          <w:tcPr>
            <w:tcW w:w="8221" w:type="dxa"/>
            <w:tcBorders>
              <w:left w:val="single" w:sz="4" w:space="0" w:color="auto"/>
              <w:right w:val="nil"/>
            </w:tcBorders>
            <w:shd w:val="clear" w:color="auto" w:fill="DEEAF6" w:themeFill="accent1" w:themeFillTint="33"/>
            <w:vAlign w:val="center"/>
          </w:tcPr>
          <w:p w14:paraId="6C24713C" w14:textId="53AABCDC" w:rsidR="00F87691" w:rsidRPr="00EC5379" w:rsidRDefault="00F87691" w:rsidP="00F87691">
            <w:pPr>
              <w:pStyle w:val="Tabletext"/>
              <w:rPr>
                <w:rFonts w:cs="Arial"/>
                <w:b/>
              </w:rPr>
            </w:pPr>
            <w:r>
              <w:rPr>
                <w:rFonts w:cs="Arial"/>
              </w:rPr>
              <w:t>A</w:t>
            </w:r>
            <w:r w:rsidRPr="00EC5379">
              <w:rPr>
                <w:rFonts w:cs="Arial"/>
              </w:rPr>
              <w:t xml:space="preserve"> score of two will be provided where the option is </w:t>
            </w:r>
            <w:r>
              <w:rPr>
                <w:rFonts w:cs="Arial"/>
              </w:rPr>
              <w:t xml:space="preserve">more aligned with the </w:t>
            </w:r>
            <w:r w:rsidR="000B4581">
              <w:rPr>
                <w:rFonts w:cs="Arial"/>
              </w:rPr>
              <w:t>criterion</w:t>
            </w:r>
            <w:r>
              <w:rPr>
                <w:rFonts w:cs="Arial"/>
              </w:rPr>
              <w:t xml:space="preserve"> than the status quo.</w:t>
            </w:r>
          </w:p>
        </w:tc>
      </w:tr>
      <w:tr w:rsidR="00F87691" w:rsidRPr="00EC5379" w14:paraId="7D9B271A" w14:textId="77777777" w:rsidTr="00337958">
        <w:trPr>
          <w:trHeight w:val="567"/>
        </w:trPr>
        <w:tc>
          <w:tcPr>
            <w:tcW w:w="851" w:type="dxa"/>
            <w:tcBorders>
              <w:left w:val="nil"/>
              <w:right w:val="single" w:sz="4" w:space="0" w:color="auto"/>
            </w:tcBorders>
            <w:shd w:val="clear" w:color="auto" w:fill="DEEAF6" w:themeFill="accent1" w:themeFillTint="33"/>
            <w:vAlign w:val="center"/>
          </w:tcPr>
          <w:p w14:paraId="39C53980" w14:textId="3B44EDEE" w:rsidR="00F87691" w:rsidRPr="0089060C" w:rsidRDefault="00F87691" w:rsidP="00337958">
            <w:pPr>
              <w:pStyle w:val="Tabletext"/>
              <w:jc w:val="center"/>
              <w:rPr>
                <w:rFonts w:cs="Arial"/>
                <w:b/>
              </w:rPr>
            </w:pPr>
            <w:r w:rsidRPr="0089060C">
              <w:rPr>
                <w:rFonts w:cs="Arial"/>
                <w:b/>
              </w:rPr>
              <w:t>1</w:t>
            </w:r>
          </w:p>
        </w:tc>
        <w:tc>
          <w:tcPr>
            <w:tcW w:w="8221" w:type="dxa"/>
            <w:tcBorders>
              <w:left w:val="single" w:sz="4" w:space="0" w:color="auto"/>
              <w:right w:val="nil"/>
            </w:tcBorders>
            <w:shd w:val="clear" w:color="auto" w:fill="DEEAF6" w:themeFill="accent1" w:themeFillTint="33"/>
            <w:vAlign w:val="center"/>
          </w:tcPr>
          <w:p w14:paraId="50BCFF4E" w14:textId="581C30F1" w:rsidR="00F87691" w:rsidRPr="00EC5379" w:rsidRDefault="00F87691" w:rsidP="00F87691">
            <w:pPr>
              <w:pStyle w:val="Tabletext"/>
              <w:rPr>
                <w:rFonts w:cs="Arial"/>
                <w:b/>
              </w:rPr>
            </w:pPr>
            <w:r>
              <w:rPr>
                <w:rFonts w:cs="Arial"/>
              </w:rPr>
              <w:t>A</w:t>
            </w:r>
            <w:r w:rsidRPr="00EC5379">
              <w:rPr>
                <w:rFonts w:cs="Arial"/>
              </w:rPr>
              <w:t xml:space="preserve"> score of one will be provided where the option is </w:t>
            </w:r>
            <w:r>
              <w:rPr>
                <w:rFonts w:cs="Arial"/>
              </w:rPr>
              <w:t xml:space="preserve">somewhat more aligned with the </w:t>
            </w:r>
            <w:r w:rsidR="000B4581">
              <w:rPr>
                <w:rFonts w:cs="Arial"/>
              </w:rPr>
              <w:t>criterion</w:t>
            </w:r>
            <w:r>
              <w:rPr>
                <w:rFonts w:cs="Arial"/>
              </w:rPr>
              <w:t xml:space="preserve"> than the status quo.</w:t>
            </w:r>
          </w:p>
        </w:tc>
      </w:tr>
      <w:tr w:rsidR="00F87691" w:rsidRPr="00EC5379" w14:paraId="3650BD23" w14:textId="77777777" w:rsidTr="00337958">
        <w:trPr>
          <w:trHeight w:val="567"/>
        </w:trPr>
        <w:tc>
          <w:tcPr>
            <w:tcW w:w="851" w:type="dxa"/>
            <w:tcBorders>
              <w:left w:val="nil"/>
              <w:right w:val="single" w:sz="4" w:space="0" w:color="auto"/>
            </w:tcBorders>
            <w:shd w:val="clear" w:color="auto" w:fill="DEEAF6" w:themeFill="accent1" w:themeFillTint="33"/>
            <w:vAlign w:val="center"/>
          </w:tcPr>
          <w:p w14:paraId="2E88C076" w14:textId="5E688D30" w:rsidR="00F87691" w:rsidRPr="0089060C" w:rsidRDefault="00F87691" w:rsidP="00337958">
            <w:pPr>
              <w:pStyle w:val="Tabletext"/>
              <w:jc w:val="center"/>
              <w:rPr>
                <w:rFonts w:cs="Arial"/>
                <w:b/>
              </w:rPr>
            </w:pPr>
            <w:r w:rsidRPr="0089060C">
              <w:rPr>
                <w:rFonts w:cs="Arial"/>
                <w:b/>
              </w:rPr>
              <w:t>0</w:t>
            </w:r>
          </w:p>
        </w:tc>
        <w:tc>
          <w:tcPr>
            <w:tcW w:w="8221" w:type="dxa"/>
            <w:tcBorders>
              <w:left w:val="single" w:sz="4" w:space="0" w:color="auto"/>
              <w:right w:val="nil"/>
            </w:tcBorders>
            <w:shd w:val="clear" w:color="auto" w:fill="DEEAF6" w:themeFill="accent1" w:themeFillTint="33"/>
            <w:vAlign w:val="center"/>
          </w:tcPr>
          <w:p w14:paraId="4438137F" w14:textId="4AD7D136" w:rsidR="00F87691" w:rsidRPr="00EC5379" w:rsidRDefault="00F87691" w:rsidP="00F87691">
            <w:pPr>
              <w:pStyle w:val="Tabletext"/>
              <w:rPr>
                <w:rFonts w:cs="Arial"/>
                <w:b/>
              </w:rPr>
            </w:pPr>
            <w:r>
              <w:rPr>
                <w:rFonts w:cs="Arial"/>
              </w:rPr>
              <w:t>A</w:t>
            </w:r>
            <w:r w:rsidRPr="00EC5379">
              <w:rPr>
                <w:rFonts w:cs="Arial"/>
              </w:rPr>
              <w:t xml:space="preserve"> score of zero will be provided where the</w:t>
            </w:r>
            <w:r>
              <w:rPr>
                <w:rFonts w:cs="Arial"/>
              </w:rPr>
              <w:t>re is no change to the status quo.</w:t>
            </w:r>
          </w:p>
        </w:tc>
      </w:tr>
      <w:tr w:rsidR="00F87691" w:rsidRPr="00EC5379" w14:paraId="64B39070" w14:textId="77777777" w:rsidTr="00337958">
        <w:trPr>
          <w:trHeight w:val="567"/>
        </w:trPr>
        <w:tc>
          <w:tcPr>
            <w:tcW w:w="851" w:type="dxa"/>
            <w:tcBorders>
              <w:left w:val="nil"/>
              <w:right w:val="single" w:sz="4" w:space="0" w:color="auto"/>
            </w:tcBorders>
            <w:shd w:val="clear" w:color="auto" w:fill="DEEAF6" w:themeFill="accent1" w:themeFillTint="33"/>
            <w:vAlign w:val="center"/>
          </w:tcPr>
          <w:p w14:paraId="07CC45F3" w14:textId="6BFD6072" w:rsidR="00F87691" w:rsidRPr="0089060C" w:rsidRDefault="00F87691" w:rsidP="00337958">
            <w:pPr>
              <w:pStyle w:val="Tabletext"/>
              <w:jc w:val="center"/>
              <w:rPr>
                <w:rFonts w:cs="Arial"/>
                <w:b/>
              </w:rPr>
            </w:pPr>
            <w:r w:rsidRPr="00337958">
              <w:rPr>
                <w:rFonts w:cs="Arial"/>
                <w:b/>
              </w:rPr>
              <w:t>-1</w:t>
            </w:r>
          </w:p>
        </w:tc>
        <w:tc>
          <w:tcPr>
            <w:tcW w:w="8221" w:type="dxa"/>
            <w:tcBorders>
              <w:left w:val="single" w:sz="4" w:space="0" w:color="auto"/>
              <w:right w:val="nil"/>
            </w:tcBorders>
            <w:shd w:val="clear" w:color="auto" w:fill="DEEAF6" w:themeFill="accent1" w:themeFillTint="33"/>
            <w:vAlign w:val="center"/>
          </w:tcPr>
          <w:p w14:paraId="5274C4ED" w14:textId="4C8E7267" w:rsidR="00F87691" w:rsidRPr="00337958" w:rsidRDefault="00F87691" w:rsidP="00F87691">
            <w:pPr>
              <w:pStyle w:val="Tabletext"/>
              <w:rPr>
                <w:rFonts w:cs="Arial"/>
              </w:rPr>
            </w:pPr>
            <w:r>
              <w:rPr>
                <w:rFonts w:cs="Arial"/>
              </w:rPr>
              <w:t>A</w:t>
            </w:r>
            <w:r w:rsidRPr="00EC5379">
              <w:rPr>
                <w:rFonts w:cs="Arial"/>
              </w:rPr>
              <w:t xml:space="preserve"> score of minus one will be provided where the option is </w:t>
            </w:r>
            <w:r>
              <w:rPr>
                <w:rFonts w:cs="Arial"/>
              </w:rPr>
              <w:t>somewhat less</w:t>
            </w:r>
            <w:r w:rsidRPr="00EC5379">
              <w:rPr>
                <w:rFonts w:cs="Arial"/>
              </w:rPr>
              <w:t xml:space="preserve"> aligned with the </w:t>
            </w:r>
            <w:r w:rsidR="000B4581">
              <w:rPr>
                <w:rFonts w:cs="Arial"/>
              </w:rPr>
              <w:t>criterion</w:t>
            </w:r>
            <w:r>
              <w:rPr>
                <w:rFonts w:cs="Arial"/>
              </w:rPr>
              <w:t xml:space="preserve"> than the status quo.</w:t>
            </w:r>
          </w:p>
        </w:tc>
      </w:tr>
      <w:tr w:rsidR="00F87691" w:rsidRPr="00EC5379" w14:paraId="6E200C7F" w14:textId="77777777" w:rsidTr="00337958">
        <w:trPr>
          <w:trHeight w:val="567"/>
        </w:trPr>
        <w:tc>
          <w:tcPr>
            <w:tcW w:w="851" w:type="dxa"/>
            <w:tcBorders>
              <w:left w:val="nil"/>
              <w:right w:val="single" w:sz="4" w:space="0" w:color="auto"/>
            </w:tcBorders>
            <w:shd w:val="clear" w:color="auto" w:fill="DEEAF6" w:themeFill="accent1" w:themeFillTint="33"/>
            <w:vAlign w:val="center"/>
          </w:tcPr>
          <w:p w14:paraId="34B190D6" w14:textId="7269F8D6" w:rsidR="00F87691" w:rsidRPr="0089060C" w:rsidRDefault="00F87691" w:rsidP="00337958">
            <w:pPr>
              <w:pStyle w:val="Tabletext"/>
              <w:jc w:val="center"/>
              <w:rPr>
                <w:rFonts w:cs="Arial"/>
                <w:b/>
              </w:rPr>
            </w:pPr>
            <w:r w:rsidRPr="00337958">
              <w:rPr>
                <w:rFonts w:cs="Arial"/>
                <w:b/>
              </w:rPr>
              <w:t>-2</w:t>
            </w:r>
          </w:p>
        </w:tc>
        <w:tc>
          <w:tcPr>
            <w:tcW w:w="8221" w:type="dxa"/>
            <w:tcBorders>
              <w:left w:val="single" w:sz="4" w:space="0" w:color="auto"/>
              <w:right w:val="nil"/>
            </w:tcBorders>
            <w:shd w:val="clear" w:color="auto" w:fill="DEEAF6" w:themeFill="accent1" w:themeFillTint="33"/>
            <w:vAlign w:val="center"/>
          </w:tcPr>
          <w:p w14:paraId="57B8F872" w14:textId="61F96E5C" w:rsidR="00F87691" w:rsidRPr="00EC5379" w:rsidRDefault="00F87691" w:rsidP="00F87691">
            <w:pPr>
              <w:pStyle w:val="Tabletext"/>
              <w:rPr>
                <w:rFonts w:cs="Arial"/>
                <w:b/>
              </w:rPr>
            </w:pPr>
            <w:r>
              <w:rPr>
                <w:rFonts w:cs="Arial"/>
              </w:rPr>
              <w:t>A</w:t>
            </w:r>
            <w:r w:rsidRPr="00EC5379">
              <w:rPr>
                <w:rFonts w:cs="Arial"/>
              </w:rPr>
              <w:t xml:space="preserve"> score of minus two will be provided where the option is </w:t>
            </w:r>
            <w:r w:rsidR="000B4581">
              <w:rPr>
                <w:rFonts w:cs="Arial"/>
              </w:rPr>
              <w:t xml:space="preserve">less </w:t>
            </w:r>
            <w:r>
              <w:rPr>
                <w:rFonts w:cs="Arial"/>
              </w:rPr>
              <w:t xml:space="preserve">aligned with the </w:t>
            </w:r>
            <w:r w:rsidR="000B4581">
              <w:rPr>
                <w:rFonts w:cs="Arial"/>
              </w:rPr>
              <w:t>criterion</w:t>
            </w:r>
            <w:r>
              <w:rPr>
                <w:rFonts w:cs="Arial"/>
              </w:rPr>
              <w:t xml:space="preserve"> than the status quo.</w:t>
            </w:r>
          </w:p>
        </w:tc>
      </w:tr>
      <w:tr w:rsidR="00F87691" w:rsidRPr="00EC5379" w14:paraId="48153041" w14:textId="77777777" w:rsidTr="00337958">
        <w:trPr>
          <w:trHeight w:val="567"/>
        </w:trPr>
        <w:tc>
          <w:tcPr>
            <w:tcW w:w="851" w:type="dxa"/>
            <w:tcBorders>
              <w:left w:val="nil"/>
              <w:bottom w:val="nil"/>
              <w:right w:val="single" w:sz="4" w:space="0" w:color="auto"/>
            </w:tcBorders>
            <w:shd w:val="clear" w:color="auto" w:fill="DEEAF6" w:themeFill="accent1" w:themeFillTint="33"/>
            <w:vAlign w:val="center"/>
          </w:tcPr>
          <w:p w14:paraId="479A525B" w14:textId="667C1AA8" w:rsidR="00F87691" w:rsidRPr="0089060C" w:rsidRDefault="00F87691" w:rsidP="00337958">
            <w:pPr>
              <w:pStyle w:val="Tabletext"/>
              <w:jc w:val="center"/>
              <w:rPr>
                <w:rFonts w:cs="Arial"/>
                <w:b/>
              </w:rPr>
            </w:pPr>
            <w:r w:rsidRPr="00337958">
              <w:rPr>
                <w:rFonts w:cs="Arial"/>
                <w:b/>
              </w:rPr>
              <w:t>-3</w:t>
            </w:r>
          </w:p>
        </w:tc>
        <w:tc>
          <w:tcPr>
            <w:tcW w:w="8221" w:type="dxa"/>
            <w:tcBorders>
              <w:left w:val="single" w:sz="4" w:space="0" w:color="auto"/>
              <w:bottom w:val="nil"/>
              <w:right w:val="nil"/>
            </w:tcBorders>
            <w:shd w:val="clear" w:color="auto" w:fill="DEEAF6" w:themeFill="accent1" w:themeFillTint="33"/>
            <w:vAlign w:val="center"/>
          </w:tcPr>
          <w:p w14:paraId="5E8C513B" w14:textId="66D32082" w:rsidR="00F87691" w:rsidRPr="00EC5379" w:rsidRDefault="00F87691" w:rsidP="000B4581">
            <w:pPr>
              <w:pStyle w:val="Tabletext"/>
              <w:rPr>
                <w:rFonts w:cs="Arial"/>
                <w:b/>
              </w:rPr>
            </w:pPr>
            <w:r>
              <w:rPr>
                <w:rFonts w:cs="Arial"/>
              </w:rPr>
              <w:t>A</w:t>
            </w:r>
            <w:r w:rsidRPr="00EC5379">
              <w:rPr>
                <w:rFonts w:cs="Arial"/>
              </w:rPr>
              <w:t xml:space="preserve"> score of minus three will be provided where the option is </w:t>
            </w:r>
            <w:r>
              <w:rPr>
                <w:rFonts w:cs="Arial"/>
              </w:rPr>
              <w:t xml:space="preserve">much </w:t>
            </w:r>
            <w:r w:rsidR="000B4581">
              <w:rPr>
                <w:rFonts w:cs="Arial"/>
              </w:rPr>
              <w:t xml:space="preserve">less </w:t>
            </w:r>
            <w:r w:rsidRPr="00EC5379">
              <w:rPr>
                <w:rFonts w:cs="Arial"/>
              </w:rPr>
              <w:t>aligned wit</w:t>
            </w:r>
            <w:r>
              <w:rPr>
                <w:rFonts w:cs="Arial"/>
              </w:rPr>
              <w:t xml:space="preserve">h the </w:t>
            </w:r>
            <w:r w:rsidR="000B4581">
              <w:rPr>
                <w:rFonts w:cs="Arial"/>
              </w:rPr>
              <w:t>criterion</w:t>
            </w:r>
            <w:r>
              <w:rPr>
                <w:rFonts w:cs="Arial"/>
              </w:rPr>
              <w:t xml:space="preserve"> than the status quo.</w:t>
            </w:r>
          </w:p>
        </w:tc>
      </w:tr>
    </w:tbl>
    <w:p w14:paraId="7842D7C7" w14:textId="07625F00" w:rsidR="00E13F2A" w:rsidRPr="00EC5379" w:rsidRDefault="00E13F2A" w:rsidP="00E13F2A">
      <w:pPr>
        <w:pStyle w:val="Heading2"/>
        <w:rPr>
          <w:rFonts w:ascii="Arial" w:hAnsi="Arial" w:cs="Arial"/>
        </w:rPr>
      </w:pPr>
      <w:bookmarkStart w:id="112" w:name="_Toc37921497"/>
      <w:r w:rsidRPr="00EC5379">
        <w:rPr>
          <w:rFonts w:ascii="Arial" w:hAnsi="Arial" w:cs="Arial"/>
        </w:rPr>
        <w:lastRenderedPageBreak/>
        <w:t>Analysis of options</w:t>
      </w:r>
      <w:bookmarkEnd w:id="111"/>
      <w:bookmarkEnd w:id="112"/>
      <w:r w:rsidRPr="00EC5379">
        <w:rPr>
          <w:rFonts w:ascii="Arial" w:hAnsi="Arial" w:cs="Arial"/>
        </w:rPr>
        <w:t xml:space="preserve"> </w:t>
      </w:r>
    </w:p>
    <w:p w14:paraId="375CDECF" w14:textId="375E3E26" w:rsidR="00E13F2A" w:rsidRDefault="00E13F2A" w:rsidP="0036571A">
      <w:pPr>
        <w:pStyle w:val="BodyText"/>
        <w:rPr>
          <w:rFonts w:cs="Arial"/>
        </w:rPr>
      </w:pPr>
      <w:r w:rsidRPr="00EC5379">
        <w:rPr>
          <w:rFonts w:cs="Arial"/>
        </w:rPr>
        <w:t xml:space="preserve">This section uses the above analysis framework to assess the </w:t>
      </w:r>
      <w:r w:rsidR="0013418B">
        <w:rPr>
          <w:rFonts w:cs="Arial"/>
        </w:rPr>
        <w:t>status quo</w:t>
      </w:r>
      <w:r w:rsidR="00810970">
        <w:rPr>
          <w:rFonts w:cs="Arial"/>
        </w:rPr>
        <w:t xml:space="preserve"> under the Interim Regulations</w:t>
      </w:r>
      <w:r w:rsidRPr="00EC5379">
        <w:rPr>
          <w:rFonts w:cs="Arial"/>
        </w:rPr>
        <w:t xml:space="preserve"> for each residual problem, and then appraise</w:t>
      </w:r>
      <w:r w:rsidR="0036571A" w:rsidRPr="00EC5379">
        <w:rPr>
          <w:rFonts w:cs="Arial"/>
        </w:rPr>
        <w:t>s</w:t>
      </w:r>
      <w:r w:rsidRPr="00EC5379">
        <w:rPr>
          <w:rFonts w:cs="Arial"/>
        </w:rPr>
        <w:t xml:space="preserve"> each option. </w:t>
      </w:r>
    </w:p>
    <w:p w14:paraId="12D75625" w14:textId="063BD7E7" w:rsidR="00927EE1" w:rsidRDefault="00927EE1" w:rsidP="0036571A">
      <w:pPr>
        <w:pStyle w:val="BodyText"/>
        <w:rPr>
          <w:rFonts w:cs="Arial"/>
          <w:color w:val="auto"/>
        </w:rPr>
      </w:pPr>
      <w:r>
        <w:rPr>
          <w:rFonts w:cs="Arial"/>
        </w:rPr>
        <w:t>Due to the m</w:t>
      </w:r>
      <w:r w:rsidRPr="003A15C8">
        <w:rPr>
          <w:rFonts w:cs="Arial"/>
          <w:color w:val="auto"/>
        </w:rPr>
        <w:t>ulti-factorial test of eligibility for the community services sector</w:t>
      </w:r>
      <w:r>
        <w:rPr>
          <w:rFonts w:cs="Arial"/>
          <w:color w:val="auto"/>
        </w:rPr>
        <w:t xml:space="preserve">, detailed in </w:t>
      </w:r>
      <w:r>
        <w:rPr>
          <w:rFonts w:cs="Arial"/>
          <w:color w:val="auto"/>
        </w:rPr>
        <w:fldChar w:fldCharType="begin"/>
      </w:r>
      <w:r>
        <w:rPr>
          <w:rFonts w:cs="Arial"/>
          <w:color w:val="auto"/>
        </w:rPr>
        <w:instrText xml:space="preserve"> REF _Ref36560099 \h </w:instrText>
      </w:r>
      <w:r>
        <w:rPr>
          <w:rFonts w:cs="Arial"/>
          <w:color w:val="auto"/>
        </w:rPr>
      </w:r>
      <w:r>
        <w:rPr>
          <w:rFonts w:cs="Arial"/>
          <w:color w:val="auto"/>
        </w:rPr>
        <w:fldChar w:fldCharType="separate"/>
      </w:r>
      <w:r w:rsidRPr="003A15C8">
        <w:rPr>
          <w:rFonts w:cs="Arial"/>
          <w:color w:val="auto"/>
        </w:rPr>
        <w:t xml:space="preserve">Figure </w:t>
      </w:r>
      <w:r>
        <w:rPr>
          <w:rFonts w:cs="Arial"/>
          <w:noProof/>
          <w:color w:val="auto"/>
        </w:rPr>
        <w:t>2</w:t>
      </w:r>
      <w:r>
        <w:rPr>
          <w:rFonts w:cs="Arial"/>
          <w:color w:val="auto"/>
        </w:rPr>
        <w:fldChar w:fldCharType="end"/>
      </w:r>
      <w:r>
        <w:rPr>
          <w:rFonts w:cs="Arial"/>
          <w:color w:val="auto"/>
        </w:rPr>
        <w:t xml:space="preserve"> in section </w:t>
      </w:r>
      <w:r>
        <w:rPr>
          <w:rFonts w:cs="Arial"/>
          <w:color w:val="auto"/>
        </w:rPr>
        <w:fldChar w:fldCharType="begin"/>
      </w:r>
      <w:r>
        <w:rPr>
          <w:rFonts w:cs="Arial"/>
          <w:color w:val="auto"/>
        </w:rPr>
        <w:instrText xml:space="preserve"> REF _Ref36560399 \r \h </w:instrText>
      </w:r>
      <w:r>
        <w:rPr>
          <w:rFonts w:cs="Arial"/>
          <w:color w:val="auto"/>
        </w:rPr>
      </w:r>
      <w:r>
        <w:rPr>
          <w:rFonts w:cs="Arial"/>
          <w:color w:val="auto"/>
        </w:rPr>
        <w:fldChar w:fldCharType="separate"/>
      </w:r>
      <w:r>
        <w:rPr>
          <w:rFonts w:cs="Arial"/>
          <w:color w:val="auto"/>
        </w:rPr>
        <w:t>1.3</w:t>
      </w:r>
      <w:r>
        <w:rPr>
          <w:rFonts w:cs="Arial"/>
          <w:color w:val="auto"/>
        </w:rPr>
        <w:fldChar w:fldCharType="end"/>
      </w:r>
      <w:r w:rsidR="008E3FED">
        <w:rPr>
          <w:rFonts w:cs="Arial"/>
          <w:color w:val="auto"/>
        </w:rPr>
        <w:t xml:space="preserve">, </w:t>
      </w:r>
      <w:r>
        <w:rPr>
          <w:rFonts w:cs="Arial"/>
          <w:color w:val="auto"/>
        </w:rPr>
        <w:t xml:space="preserve">options relating to the problems of </w:t>
      </w:r>
      <w:r w:rsidR="00EB4037">
        <w:rPr>
          <w:rFonts w:cs="Arial"/>
          <w:color w:val="auto"/>
        </w:rPr>
        <w:t xml:space="preserve">what is defined as community service work, </w:t>
      </w:r>
      <w:r>
        <w:rPr>
          <w:rFonts w:cs="Arial"/>
          <w:color w:val="auto"/>
        </w:rPr>
        <w:t xml:space="preserve">who is </w:t>
      </w:r>
      <w:r w:rsidR="0071726F">
        <w:rPr>
          <w:rFonts w:cs="Arial"/>
          <w:color w:val="auto"/>
        </w:rPr>
        <w:t xml:space="preserve">regarded as </w:t>
      </w:r>
      <w:r>
        <w:rPr>
          <w:rFonts w:cs="Arial"/>
          <w:color w:val="auto"/>
        </w:rPr>
        <w:t xml:space="preserve">an employer in the community services sector and who is </w:t>
      </w:r>
      <w:r w:rsidR="0071726F">
        <w:rPr>
          <w:rFonts w:cs="Arial"/>
          <w:color w:val="auto"/>
        </w:rPr>
        <w:t xml:space="preserve">regarded as </w:t>
      </w:r>
      <w:r>
        <w:rPr>
          <w:rFonts w:cs="Arial"/>
          <w:color w:val="auto"/>
        </w:rPr>
        <w:t xml:space="preserve">an employee in the community services sector will </w:t>
      </w:r>
      <w:r w:rsidR="006378E1">
        <w:rPr>
          <w:rFonts w:cs="Arial"/>
          <w:color w:val="auto"/>
        </w:rPr>
        <w:t xml:space="preserve">have interrelated, and potentially cumulative, </w:t>
      </w:r>
      <w:r>
        <w:rPr>
          <w:rFonts w:cs="Arial"/>
          <w:color w:val="auto"/>
        </w:rPr>
        <w:t xml:space="preserve">impacts. However, there is no interdependence between the </w:t>
      </w:r>
      <w:r w:rsidR="006378E1">
        <w:rPr>
          <w:rFonts w:cs="Arial"/>
          <w:color w:val="auto"/>
        </w:rPr>
        <w:t xml:space="preserve">problems or </w:t>
      </w:r>
      <w:r>
        <w:rPr>
          <w:rFonts w:cs="Arial"/>
          <w:color w:val="auto"/>
        </w:rPr>
        <w:t>options. A decision can be made on a preferred option to address each problem without this affecting any decisions relating to the preferred option for another problem.</w:t>
      </w:r>
      <w:r w:rsidR="00F87691">
        <w:rPr>
          <w:rFonts w:cs="Arial"/>
          <w:color w:val="auto"/>
        </w:rPr>
        <w:t xml:space="preserve"> </w:t>
      </w:r>
      <w:r w:rsidR="005C010A">
        <w:rPr>
          <w:rFonts w:cs="Arial"/>
          <w:color w:val="auto"/>
        </w:rPr>
        <w:t>Where independencies occur, assumptions about the chosen</w:t>
      </w:r>
      <w:r w:rsidR="00CA051E">
        <w:rPr>
          <w:rFonts w:cs="Arial"/>
          <w:color w:val="auto"/>
        </w:rPr>
        <w:t>,</w:t>
      </w:r>
      <w:r w:rsidR="005C010A">
        <w:rPr>
          <w:rFonts w:cs="Arial"/>
          <w:color w:val="auto"/>
        </w:rPr>
        <w:t xml:space="preserve"> interrelated option are clearly stated</w:t>
      </w:r>
      <w:r w:rsidR="00EB4037">
        <w:rPr>
          <w:rFonts w:cs="Arial"/>
          <w:color w:val="auto"/>
        </w:rPr>
        <w:t xml:space="preserve"> when estimating impact</w:t>
      </w:r>
      <w:r w:rsidR="005C010A">
        <w:rPr>
          <w:rFonts w:cs="Arial"/>
          <w:color w:val="auto"/>
        </w:rPr>
        <w:t xml:space="preserve">. </w:t>
      </w:r>
    </w:p>
    <w:p w14:paraId="129F61F8" w14:textId="582D156A" w:rsidR="00330061" w:rsidRDefault="00330061" w:rsidP="0036571A">
      <w:pPr>
        <w:pStyle w:val="BodyText"/>
        <w:rPr>
          <w:rFonts w:cs="Arial"/>
        </w:rPr>
      </w:pPr>
      <w:r>
        <w:rPr>
          <w:rFonts w:cs="Arial"/>
        </w:rPr>
        <w:t xml:space="preserve">The analysis also considers where uncertainty has resulted in stakeholders applying the Regulations differently to how they were intended. This has been clearly stated where this has occurred. </w:t>
      </w:r>
    </w:p>
    <w:p w14:paraId="631D1A91" w14:textId="5BD7CB47" w:rsidR="00791100" w:rsidRDefault="00791100" w:rsidP="00D44303">
      <w:pPr>
        <w:pStyle w:val="Heading3"/>
        <w:tabs>
          <w:tab w:val="clear" w:pos="5115"/>
        </w:tabs>
        <w:spacing w:before="100" w:beforeAutospacing="1" w:after="100" w:afterAutospacing="1"/>
        <w:ind w:left="709"/>
        <w:rPr>
          <w:rFonts w:ascii="Arial" w:hAnsi="Arial" w:cs="Arial"/>
        </w:rPr>
      </w:pPr>
      <w:bookmarkStart w:id="113" w:name="_Toc955752"/>
      <w:bookmarkStart w:id="114" w:name="_Toc4768890"/>
      <w:r>
        <w:rPr>
          <w:rFonts w:ascii="Arial" w:hAnsi="Arial" w:cs="Arial"/>
        </w:rPr>
        <w:t>What is defined as community service work</w:t>
      </w:r>
    </w:p>
    <w:p w14:paraId="1A354245" w14:textId="40D667D3" w:rsidR="00EB4037" w:rsidRPr="00DB3ADD" w:rsidRDefault="00EB4037" w:rsidP="00EB4037">
      <w:pPr>
        <w:rPr>
          <w:rFonts w:ascii="Arial" w:hAnsi="Arial" w:cs="Arial"/>
          <w:color w:val="auto"/>
        </w:rPr>
      </w:pPr>
      <w:r w:rsidRPr="00EC5379">
        <w:rPr>
          <w:rFonts w:ascii="Arial" w:hAnsi="Arial" w:cs="Arial"/>
          <w:color w:val="auto"/>
        </w:rPr>
        <w:t>As discussed in section</w:t>
      </w:r>
      <w:r>
        <w:rPr>
          <w:rFonts w:ascii="Arial" w:hAnsi="Arial" w:cs="Arial"/>
          <w:color w:val="auto"/>
        </w:rPr>
        <w:t xml:space="preserve"> </w:t>
      </w:r>
      <w:r>
        <w:rPr>
          <w:rFonts w:ascii="Arial" w:hAnsi="Arial" w:cs="Arial"/>
          <w:color w:val="auto"/>
        </w:rPr>
        <w:fldChar w:fldCharType="begin"/>
      </w:r>
      <w:r>
        <w:rPr>
          <w:rFonts w:ascii="Arial" w:hAnsi="Arial" w:cs="Arial"/>
          <w:color w:val="auto"/>
        </w:rPr>
        <w:instrText xml:space="preserve"> REF _Ref35937834 \r \h </w:instrText>
      </w:r>
      <w:r>
        <w:rPr>
          <w:rFonts w:ascii="Arial" w:hAnsi="Arial" w:cs="Arial"/>
          <w:color w:val="auto"/>
        </w:rPr>
      </w:r>
      <w:r>
        <w:rPr>
          <w:rFonts w:ascii="Arial" w:hAnsi="Arial" w:cs="Arial"/>
          <w:color w:val="auto"/>
        </w:rPr>
        <w:fldChar w:fldCharType="separate"/>
      </w:r>
      <w:r>
        <w:rPr>
          <w:rFonts w:ascii="Arial" w:hAnsi="Arial" w:cs="Arial"/>
          <w:color w:val="auto"/>
        </w:rPr>
        <w:t>3.1</w:t>
      </w:r>
      <w:r>
        <w:rPr>
          <w:rFonts w:ascii="Arial" w:hAnsi="Arial" w:cs="Arial"/>
          <w:color w:val="auto"/>
        </w:rPr>
        <w:fldChar w:fldCharType="end"/>
      </w:r>
      <w:r w:rsidRPr="00EC5379">
        <w:rPr>
          <w:rFonts w:ascii="Arial" w:hAnsi="Arial" w:cs="Arial"/>
          <w:color w:val="auto"/>
        </w:rPr>
        <w:t xml:space="preserve">, the </w:t>
      </w:r>
      <w:r w:rsidR="000B4581">
        <w:rPr>
          <w:rFonts w:ascii="Arial" w:hAnsi="Arial" w:cs="Arial"/>
          <w:color w:val="auto"/>
        </w:rPr>
        <w:t>objectives</w:t>
      </w:r>
      <w:r w:rsidR="000B4581" w:rsidRPr="00EC5379">
        <w:rPr>
          <w:rFonts w:ascii="Arial" w:hAnsi="Arial" w:cs="Arial"/>
          <w:color w:val="auto"/>
        </w:rPr>
        <w:t xml:space="preserve"> </w:t>
      </w:r>
      <w:r w:rsidRPr="00EC5379">
        <w:rPr>
          <w:rFonts w:ascii="Arial" w:hAnsi="Arial" w:cs="Arial"/>
          <w:color w:val="auto"/>
        </w:rPr>
        <w:t xml:space="preserve">for determining </w:t>
      </w:r>
      <w:r>
        <w:rPr>
          <w:rFonts w:ascii="Arial" w:hAnsi="Arial" w:cs="Arial"/>
          <w:color w:val="auto"/>
        </w:rPr>
        <w:t xml:space="preserve">what is defined as community service work </w:t>
      </w:r>
      <w:r w:rsidRPr="00EC5379">
        <w:rPr>
          <w:rFonts w:ascii="Arial" w:hAnsi="Arial" w:cs="Arial"/>
          <w:color w:val="auto"/>
        </w:rPr>
        <w:t xml:space="preserve">should </w:t>
      </w:r>
      <w:r>
        <w:rPr>
          <w:rFonts w:ascii="Arial" w:hAnsi="Arial" w:cs="Arial"/>
        </w:rPr>
        <w:t>p</w:t>
      </w:r>
      <w:r w:rsidRPr="007F4727">
        <w:rPr>
          <w:rFonts w:ascii="Arial" w:hAnsi="Arial" w:cs="Arial"/>
        </w:rPr>
        <w:t xml:space="preserve">rovide certainty to </w:t>
      </w:r>
      <w:r w:rsidR="00BA4E89">
        <w:rPr>
          <w:rFonts w:ascii="Arial" w:hAnsi="Arial" w:cs="Arial"/>
        </w:rPr>
        <w:t>employee</w:t>
      </w:r>
      <w:r w:rsidRPr="007F4727">
        <w:rPr>
          <w:rFonts w:ascii="Arial" w:hAnsi="Arial" w:cs="Arial"/>
        </w:rPr>
        <w:t xml:space="preserve">s and </w:t>
      </w:r>
      <w:r w:rsidR="00DB01D9">
        <w:rPr>
          <w:rFonts w:ascii="Arial" w:hAnsi="Arial" w:cs="Arial"/>
        </w:rPr>
        <w:t>employers</w:t>
      </w:r>
      <w:r w:rsidRPr="007F4727">
        <w:rPr>
          <w:rFonts w:ascii="Arial" w:hAnsi="Arial" w:cs="Arial"/>
        </w:rPr>
        <w:t xml:space="preserve"> in the sector</w:t>
      </w:r>
      <w:r>
        <w:rPr>
          <w:rFonts w:ascii="Arial" w:hAnsi="Arial" w:cs="Arial"/>
        </w:rPr>
        <w:t xml:space="preserve"> about what work is covered by the Scheme, and ensure employees across the community services sector have fair and equitable access to the Scheme.</w:t>
      </w:r>
    </w:p>
    <w:p w14:paraId="2394C4EE" w14:textId="7C59D840" w:rsidR="00791100" w:rsidRPr="00EC5379" w:rsidRDefault="00791100" w:rsidP="00791100">
      <w:pPr>
        <w:pStyle w:val="BodyText"/>
        <w:rPr>
          <w:rFonts w:cs="Arial"/>
        </w:rPr>
      </w:pPr>
      <w:r w:rsidRPr="00EC5379">
        <w:rPr>
          <w:rFonts w:cs="Arial"/>
        </w:rPr>
        <w:t xml:space="preserve">A summary of the options for </w:t>
      </w:r>
      <w:r>
        <w:rPr>
          <w:rFonts w:cs="Arial"/>
        </w:rPr>
        <w:t xml:space="preserve">providing clarity as to whether </w:t>
      </w:r>
      <w:r w:rsidR="00EB4037">
        <w:rPr>
          <w:rFonts w:cs="Arial"/>
        </w:rPr>
        <w:t xml:space="preserve">care </w:t>
      </w:r>
      <w:r w:rsidR="00330A91">
        <w:rPr>
          <w:rFonts w:cs="Arial"/>
        </w:rPr>
        <w:t xml:space="preserve">delivered </w:t>
      </w:r>
      <w:r w:rsidR="00EB4037">
        <w:rPr>
          <w:rFonts w:cs="Arial"/>
        </w:rPr>
        <w:t>in a private residence is defined as community service work for the purposes of</w:t>
      </w:r>
      <w:r>
        <w:rPr>
          <w:rFonts w:cs="Arial"/>
        </w:rPr>
        <w:t xml:space="preserve"> the Scheme</w:t>
      </w:r>
      <w:r w:rsidRPr="00EC5379">
        <w:rPr>
          <w:rFonts w:cs="Arial"/>
        </w:rPr>
        <w:t xml:space="preserve">, along with their relative scores compared to the </w:t>
      </w:r>
      <w:r>
        <w:rPr>
          <w:rFonts w:cs="Arial"/>
        </w:rPr>
        <w:t>status quo</w:t>
      </w:r>
      <w:r w:rsidRPr="00EC5379">
        <w:rPr>
          <w:rFonts w:cs="Arial"/>
        </w:rPr>
        <w:t>, is as follows:</w:t>
      </w:r>
    </w:p>
    <w:p w14:paraId="1D539F5A" w14:textId="318A90F2" w:rsidR="00791100" w:rsidRDefault="00EB4037" w:rsidP="00D50857">
      <w:pPr>
        <w:pStyle w:val="Caption"/>
      </w:pPr>
      <w:r w:rsidRPr="00DB3ADD">
        <w:rPr>
          <w:rFonts w:ascii="Arial" w:hAnsi="Arial" w:cs="Arial"/>
        </w:rPr>
        <w:t xml:space="preserve">Table </w:t>
      </w:r>
      <w:r w:rsidRPr="00DB3ADD">
        <w:rPr>
          <w:rFonts w:ascii="Arial" w:hAnsi="Arial" w:cs="Arial"/>
        </w:rPr>
        <w:fldChar w:fldCharType="begin"/>
      </w:r>
      <w:r w:rsidRPr="00DB3ADD">
        <w:rPr>
          <w:rFonts w:ascii="Arial" w:hAnsi="Arial" w:cs="Arial"/>
        </w:rPr>
        <w:instrText xml:space="preserve"> SEQ Table \* ARABIC </w:instrText>
      </w:r>
      <w:r w:rsidRPr="00DB3ADD">
        <w:rPr>
          <w:rFonts w:ascii="Arial" w:hAnsi="Arial" w:cs="Arial"/>
        </w:rPr>
        <w:fldChar w:fldCharType="separate"/>
      </w:r>
      <w:r w:rsidRPr="00DB3ADD">
        <w:rPr>
          <w:rFonts w:ascii="Arial" w:hAnsi="Arial" w:cs="Arial"/>
          <w:noProof/>
        </w:rPr>
        <w:t>6</w:t>
      </w:r>
      <w:r w:rsidRPr="00DB3ADD">
        <w:rPr>
          <w:rFonts w:ascii="Arial" w:hAnsi="Arial" w:cs="Arial"/>
        </w:rPr>
        <w:fldChar w:fldCharType="end"/>
      </w:r>
      <w:r w:rsidR="00791100" w:rsidRPr="00D50857">
        <w:rPr>
          <w:rFonts w:ascii="Arial" w:hAnsi="Arial" w:cs="Arial"/>
        </w:rPr>
        <w:t>: Summary</w:t>
      </w:r>
      <w:r w:rsidR="00791100" w:rsidRPr="00EC5379">
        <w:rPr>
          <w:rFonts w:ascii="Arial" w:hAnsi="Arial" w:cs="Arial"/>
        </w:rPr>
        <w:t xml:space="preserve"> of definition </w:t>
      </w:r>
      <w:r w:rsidR="00791100">
        <w:rPr>
          <w:rFonts w:ascii="Arial" w:hAnsi="Arial" w:cs="Arial"/>
        </w:rPr>
        <w:t>of community service work</w:t>
      </w:r>
      <w:r w:rsidR="00791100" w:rsidRPr="00EC5379">
        <w:rPr>
          <w:rFonts w:ascii="Arial" w:hAnsi="Arial" w:cs="Arial"/>
        </w:rPr>
        <w:t xml:space="preserve"> impact analysis</w:t>
      </w:r>
    </w:p>
    <w:tbl>
      <w:tblPr>
        <w:tblStyle w:val="TableGrid"/>
        <w:tblW w:w="9072" w:type="dxa"/>
        <w:tblLayout w:type="fixed"/>
        <w:tblLook w:val="04A0" w:firstRow="1" w:lastRow="0" w:firstColumn="1" w:lastColumn="0" w:noHBand="0" w:noVBand="1"/>
      </w:tblPr>
      <w:tblGrid>
        <w:gridCol w:w="2552"/>
        <w:gridCol w:w="1304"/>
        <w:gridCol w:w="1304"/>
        <w:gridCol w:w="1304"/>
        <w:gridCol w:w="1304"/>
        <w:gridCol w:w="1304"/>
      </w:tblGrid>
      <w:tr w:rsidR="00791100" w:rsidRPr="00F738AD" w14:paraId="09FEA996" w14:textId="77777777" w:rsidTr="006C3958">
        <w:trPr>
          <w:trHeight w:val="442"/>
          <w:tblHeader/>
        </w:trPr>
        <w:tc>
          <w:tcPr>
            <w:tcW w:w="2552" w:type="dxa"/>
            <w:vMerge w:val="restart"/>
            <w:tcBorders>
              <w:top w:val="single" w:sz="4" w:space="0" w:color="auto"/>
              <w:left w:val="nil"/>
              <w:right w:val="single" w:sz="4" w:space="0" w:color="auto"/>
            </w:tcBorders>
            <w:shd w:val="clear" w:color="auto" w:fill="002060"/>
            <w:vAlign w:val="center"/>
          </w:tcPr>
          <w:p w14:paraId="2C14FEB6" w14:textId="77777777" w:rsidR="00791100" w:rsidRPr="00F738AD" w:rsidRDefault="00791100" w:rsidP="006C3958">
            <w:pPr>
              <w:rPr>
                <w:rFonts w:ascii="Arial" w:hAnsi="Arial" w:cs="Arial"/>
                <w:b/>
                <w:color w:val="FFFFFF" w:themeColor="background1"/>
              </w:rPr>
            </w:pPr>
            <w:r w:rsidRPr="00F738AD">
              <w:rPr>
                <w:rFonts w:ascii="Arial" w:hAnsi="Arial" w:cs="Arial"/>
                <w:b/>
                <w:color w:val="FFFFFF" w:themeColor="background1"/>
              </w:rPr>
              <w:t>Option</w:t>
            </w:r>
          </w:p>
        </w:tc>
        <w:tc>
          <w:tcPr>
            <w:tcW w:w="6520" w:type="dxa"/>
            <w:gridSpan w:val="5"/>
            <w:tcBorders>
              <w:top w:val="single" w:sz="4" w:space="0" w:color="auto"/>
              <w:left w:val="single" w:sz="4" w:space="0" w:color="auto"/>
              <w:right w:val="nil"/>
            </w:tcBorders>
            <w:shd w:val="clear" w:color="auto" w:fill="002060"/>
            <w:vAlign w:val="center"/>
          </w:tcPr>
          <w:p w14:paraId="3C7C5CBE" w14:textId="77777777" w:rsidR="00791100" w:rsidRPr="00F738AD" w:rsidRDefault="00791100" w:rsidP="00DB01D9">
            <w:pPr>
              <w:keepNext/>
              <w:jc w:val="center"/>
              <w:rPr>
                <w:rFonts w:ascii="Arial" w:hAnsi="Arial" w:cs="Arial"/>
                <w:b/>
                <w:color w:val="FFFFFF" w:themeColor="background1"/>
              </w:rPr>
            </w:pPr>
            <w:r w:rsidRPr="00F738AD">
              <w:rPr>
                <w:rFonts w:ascii="Arial" w:hAnsi="Arial" w:cs="Arial"/>
                <w:b/>
                <w:color w:val="FFFFFF" w:themeColor="background1"/>
              </w:rPr>
              <w:t>Scores</w:t>
            </w:r>
          </w:p>
        </w:tc>
      </w:tr>
      <w:tr w:rsidR="00791100" w:rsidRPr="00F738AD" w14:paraId="1B9E2A9D" w14:textId="77777777" w:rsidTr="006C3958">
        <w:trPr>
          <w:trHeight w:val="924"/>
          <w:tblHeader/>
        </w:trPr>
        <w:tc>
          <w:tcPr>
            <w:tcW w:w="2552" w:type="dxa"/>
            <w:vMerge/>
            <w:tcBorders>
              <w:left w:val="nil"/>
              <w:bottom w:val="single" w:sz="4" w:space="0" w:color="auto"/>
              <w:right w:val="single" w:sz="4" w:space="0" w:color="auto"/>
            </w:tcBorders>
            <w:shd w:val="clear" w:color="auto" w:fill="002060"/>
          </w:tcPr>
          <w:p w14:paraId="09BC9AB0" w14:textId="77777777" w:rsidR="00791100" w:rsidRPr="00F738AD" w:rsidRDefault="00791100" w:rsidP="00DB01D9">
            <w:pPr>
              <w:pStyle w:val="Tableheading"/>
              <w:keepNext/>
              <w:rPr>
                <w:rFonts w:ascii="Arial" w:hAnsi="Arial" w:cs="Arial"/>
              </w:rPr>
            </w:pPr>
          </w:p>
        </w:tc>
        <w:tc>
          <w:tcPr>
            <w:tcW w:w="1304" w:type="dxa"/>
            <w:tcBorders>
              <w:top w:val="single" w:sz="4" w:space="0" w:color="auto"/>
              <w:left w:val="single" w:sz="4" w:space="0" w:color="auto"/>
              <w:right w:val="nil"/>
            </w:tcBorders>
            <w:shd w:val="clear" w:color="auto" w:fill="002060"/>
            <w:vAlign w:val="center"/>
          </w:tcPr>
          <w:p w14:paraId="23871872" w14:textId="77777777" w:rsidR="00791100" w:rsidRPr="00F738AD" w:rsidRDefault="00791100" w:rsidP="006C3958">
            <w:pPr>
              <w:jc w:val="center"/>
              <w:rPr>
                <w:rFonts w:ascii="Arial" w:hAnsi="Arial" w:cs="Arial"/>
                <w:color w:val="FFFFFF" w:themeColor="background1"/>
              </w:rPr>
            </w:pPr>
            <w:r w:rsidRPr="00F738AD">
              <w:rPr>
                <w:rFonts w:ascii="Arial" w:hAnsi="Arial" w:cs="Arial"/>
                <w:color w:val="FFFFFF" w:themeColor="background1"/>
              </w:rPr>
              <w:t>E</w:t>
            </w:r>
            <w:r>
              <w:rPr>
                <w:rFonts w:ascii="Arial" w:hAnsi="Arial" w:cs="Arial"/>
                <w:color w:val="FFFFFF" w:themeColor="background1"/>
              </w:rPr>
              <w:t>mployee e</w:t>
            </w:r>
            <w:r w:rsidRPr="00F738AD">
              <w:rPr>
                <w:rFonts w:ascii="Arial" w:hAnsi="Arial" w:cs="Arial"/>
                <w:color w:val="FFFFFF" w:themeColor="background1"/>
              </w:rPr>
              <w:t>quity (50%)</w:t>
            </w:r>
          </w:p>
        </w:tc>
        <w:tc>
          <w:tcPr>
            <w:tcW w:w="1304" w:type="dxa"/>
            <w:tcBorders>
              <w:top w:val="single" w:sz="4" w:space="0" w:color="auto"/>
              <w:left w:val="single" w:sz="4" w:space="0" w:color="auto"/>
              <w:right w:val="nil"/>
            </w:tcBorders>
            <w:shd w:val="clear" w:color="auto" w:fill="002060"/>
            <w:vAlign w:val="center"/>
          </w:tcPr>
          <w:p w14:paraId="10C1A456" w14:textId="0899C04C" w:rsidR="00791100" w:rsidRPr="00F738AD" w:rsidRDefault="00B82CEE" w:rsidP="006C3958">
            <w:pPr>
              <w:jc w:val="center"/>
              <w:rPr>
                <w:rFonts w:ascii="Arial" w:hAnsi="Arial" w:cs="Arial"/>
                <w:b/>
                <w:color w:val="FFFFFF" w:themeColor="background1"/>
              </w:rPr>
            </w:pPr>
            <w:r>
              <w:rPr>
                <w:rFonts w:ascii="Arial" w:hAnsi="Arial" w:cs="Arial"/>
                <w:color w:val="FFFFFF" w:themeColor="background1"/>
              </w:rPr>
              <w:t>Employer</w:t>
            </w:r>
            <w:r w:rsidR="00791100">
              <w:rPr>
                <w:rFonts w:ascii="Arial" w:hAnsi="Arial" w:cs="Arial"/>
                <w:color w:val="FFFFFF" w:themeColor="background1"/>
              </w:rPr>
              <w:t xml:space="preserve"> financial cost </w:t>
            </w:r>
            <w:r w:rsidR="00791100" w:rsidRPr="00F738AD">
              <w:rPr>
                <w:rFonts w:ascii="Arial" w:hAnsi="Arial" w:cs="Arial"/>
                <w:color w:val="FFFFFF" w:themeColor="background1"/>
              </w:rPr>
              <w:t>(2</w:t>
            </w:r>
            <w:r w:rsidR="00791100">
              <w:rPr>
                <w:rFonts w:ascii="Arial" w:hAnsi="Arial" w:cs="Arial"/>
                <w:color w:val="FFFFFF" w:themeColor="background1"/>
              </w:rPr>
              <w:t>0</w:t>
            </w:r>
            <w:r w:rsidR="00791100" w:rsidRPr="00F738AD">
              <w:rPr>
                <w:rFonts w:ascii="Arial" w:hAnsi="Arial" w:cs="Arial"/>
                <w:color w:val="FFFFFF" w:themeColor="background1"/>
              </w:rPr>
              <w:t>%)</w:t>
            </w:r>
          </w:p>
        </w:tc>
        <w:tc>
          <w:tcPr>
            <w:tcW w:w="1304" w:type="dxa"/>
            <w:tcBorders>
              <w:top w:val="single" w:sz="4" w:space="0" w:color="auto"/>
              <w:left w:val="single" w:sz="4" w:space="0" w:color="auto"/>
              <w:right w:val="nil"/>
            </w:tcBorders>
            <w:shd w:val="clear" w:color="auto" w:fill="002060"/>
            <w:vAlign w:val="center"/>
          </w:tcPr>
          <w:p w14:paraId="6FCA1F54" w14:textId="08DAA25E" w:rsidR="00791100" w:rsidRPr="0074738D" w:rsidRDefault="00B82CEE" w:rsidP="006C3958">
            <w:pPr>
              <w:jc w:val="center"/>
              <w:rPr>
                <w:rFonts w:ascii="Arial" w:hAnsi="Arial" w:cs="Arial"/>
                <w:color w:val="FFFFFF" w:themeColor="background1"/>
              </w:rPr>
            </w:pPr>
            <w:r>
              <w:rPr>
                <w:rFonts w:ascii="Arial" w:hAnsi="Arial" w:cs="Arial"/>
                <w:color w:val="FFFFFF" w:themeColor="background1"/>
              </w:rPr>
              <w:t>Employer</w:t>
            </w:r>
            <w:r w:rsidR="00791100" w:rsidRPr="0074738D">
              <w:rPr>
                <w:rFonts w:ascii="Arial" w:hAnsi="Arial" w:cs="Arial"/>
                <w:color w:val="FFFFFF" w:themeColor="background1"/>
              </w:rPr>
              <w:t xml:space="preserve"> uncertainty</w:t>
            </w:r>
            <w:r w:rsidR="00791100">
              <w:rPr>
                <w:rFonts w:ascii="Arial" w:hAnsi="Arial" w:cs="Arial"/>
                <w:color w:val="FFFFFF" w:themeColor="background1"/>
              </w:rPr>
              <w:t xml:space="preserve"> cost</w:t>
            </w:r>
            <w:r w:rsidR="00791100" w:rsidRPr="0074738D">
              <w:rPr>
                <w:rFonts w:ascii="Arial" w:hAnsi="Arial" w:cs="Arial"/>
                <w:color w:val="FFFFFF" w:themeColor="background1"/>
              </w:rPr>
              <w:t xml:space="preserve"> (20%)</w:t>
            </w:r>
          </w:p>
        </w:tc>
        <w:tc>
          <w:tcPr>
            <w:tcW w:w="1304" w:type="dxa"/>
            <w:tcBorders>
              <w:top w:val="single" w:sz="4" w:space="0" w:color="auto"/>
              <w:left w:val="single" w:sz="4" w:space="0" w:color="auto"/>
              <w:right w:val="nil"/>
            </w:tcBorders>
            <w:shd w:val="clear" w:color="auto" w:fill="002060"/>
            <w:vAlign w:val="center"/>
          </w:tcPr>
          <w:p w14:paraId="3820BA2D" w14:textId="77777777" w:rsidR="00791100" w:rsidRPr="00F738AD" w:rsidRDefault="00791100" w:rsidP="006C3958">
            <w:pPr>
              <w:jc w:val="center"/>
              <w:rPr>
                <w:rFonts w:ascii="Arial" w:hAnsi="Arial" w:cs="Arial"/>
                <w:color w:val="FFFFFF" w:themeColor="background1"/>
              </w:rPr>
            </w:pPr>
            <w:r>
              <w:rPr>
                <w:rFonts w:ascii="Arial" w:hAnsi="Arial" w:cs="Arial"/>
                <w:color w:val="FFFFFF" w:themeColor="background1"/>
              </w:rPr>
              <w:t>Impact on Authority</w:t>
            </w:r>
          </w:p>
          <w:p w14:paraId="5A93101C" w14:textId="77777777" w:rsidR="00791100" w:rsidRPr="00F738AD" w:rsidRDefault="00791100" w:rsidP="00DB01D9">
            <w:pPr>
              <w:keepNext/>
              <w:jc w:val="center"/>
              <w:rPr>
                <w:rFonts w:ascii="Arial" w:hAnsi="Arial" w:cs="Arial"/>
                <w:color w:val="FFFFFF" w:themeColor="background1"/>
              </w:rPr>
            </w:pPr>
            <w:r w:rsidRPr="00F738AD">
              <w:rPr>
                <w:rFonts w:ascii="Arial" w:hAnsi="Arial" w:cs="Arial"/>
                <w:color w:val="FFFFFF" w:themeColor="background1"/>
              </w:rPr>
              <w:t>(</w:t>
            </w:r>
            <w:r>
              <w:rPr>
                <w:rFonts w:ascii="Arial" w:hAnsi="Arial" w:cs="Arial"/>
                <w:color w:val="FFFFFF" w:themeColor="background1"/>
              </w:rPr>
              <w:t>10</w:t>
            </w:r>
            <w:r w:rsidRPr="00F738AD">
              <w:rPr>
                <w:rFonts w:ascii="Arial" w:hAnsi="Arial" w:cs="Arial"/>
                <w:color w:val="FFFFFF" w:themeColor="background1"/>
              </w:rPr>
              <w:t>%)</w:t>
            </w:r>
          </w:p>
        </w:tc>
        <w:tc>
          <w:tcPr>
            <w:tcW w:w="1304" w:type="dxa"/>
            <w:tcBorders>
              <w:top w:val="single" w:sz="4" w:space="0" w:color="auto"/>
              <w:left w:val="single" w:sz="4" w:space="0" w:color="auto"/>
              <w:right w:val="nil"/>
            </w:tcBorders>
            <w:shd w:val="clear" w:color="auto" w:fill="002060"/>
            <w:vAlign w:val="center"/>
          </w:tcPr>
          <w:p w14:paraId="56DDF21D" w14:textId="77777777" w:rsidR="00791100" w:rsidRPr="00F738AD" w:rsidRDefault="00791100" w:rsidP="006C3958">
            <w:pPr>
              <w:jc w:val="center"/>
              <w:rPr>
                <w:rFonts w:ascii="Arial" w:hAnsi="Arial" w:cs="Arial"/>
                <w:b/>
                <w:color w:val="FFFFFF" w:themeColor="background1"/>
              </w:rPr>
            </w:pPr>
            <w:r w:rsidRPr="00F738AD">
              <w:rPr>
                <w:rFonts w:ascii="Arial" w:hAnsi="Arial" w:cs="Arial"/>
                <w:b/>
                <w:color w:val="FFFFFF" w:themeColor="background1"/>
              </w:rPr>
              <w:t>Weighted score</w:t>
            </w:r>
          </w:p>
        </w:tc>
      </w:tr>
      <w:tr w:rsidR="00791100" w:rsidRPr="00EC5379" w14:paraId="2E4C78BF" w14:textId="77777777" w:rsidTr="00DB01D9">
        <w:trPr>
          <w:trHeight w:val="696"/>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1DD587FA" w14:textId="77777777" w:rsidR="00791100" w:rsidRPr="00EC5379" w:rsidRDefault="00791100" w:rsidP="006C3958">
            <w:pPr>
              <w:spacing w:before="100" w:beforeAutospacing="1"/>
              <w:rPr>
                <w:rFonts w:ascii="Arial" w:hAnsi="Arial" w:cs="Arial"/>
              </w:rPr>
            </w:pPr>
            <w:r>
              <w:rPr>
                <w:rFonts w:ascii="Arial" w:hAnsi="Arial" w:cs="Arial"/>
              </w:rPr>
              <w:t>S</w:t>
            </w:r>
            <w:r w:rsidRPr="00EC5379">
              <w:rPr>
                <w:rFonts w:ascii="Arial" w:hAnsi="Arial" w:cs="Arial"/>
              </w:rPr>
              <w:t>tatus quo under the Interim Regulations</w:t>
            </w:r>
          </w:p>
        </w:tc>
        <w:tc>
          <w:tcPr>
            <w:tcW w:w="1304" w:type="dxa"/>
            <w:tcBorders>
              <w:left w:val="single" w:sz="4" w:space="0" w:color="auto"/>
              <w:right w:val="nil"/>
            </w:tcBorders>
            <w:shd w:val="clear" w:color="auto" w:fill="DEEAF6" w:themeFill="accent1" w:themeFillTint="33"/>
            <w:vAlign w:val="center"/>
          </w:tcPr>
          <w:p w14:paraId="23CE4B7A" w14:textId="77777777" w:rsidR="00791100" w:rsidRPr="00EC5379" w:rsidRDefault="00791100" w:rsidP="00DB01D9">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3C325000" w14:textId="77777777" w:rsidR="00791100" w:rsidRPr="00EC5379" w:rsidRDefault="00791100" w:rsidP="00DB01D9">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7133F12E" w14:textId="77777777" w:rsidR="00791100" w:rsidRPr="00EC5379" w:rsidRDefault="00791100" w:rsidP="00DB01D9">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70B8621A" w14:textId="77777777" w:rsidR="00791100" w:rsidRPr="00EC5379" w:rsidRDefault="00791100" w:rsidP="00DB01D9">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6C986AF7" w14:textId="77777777" w:rsidR="00791100" w:rsidRPr="00EC5379" w:rsidRDefault="00791100" w:rsidP="00DB01D9">
            <w:pPr>
              <w:keepNext/>
              <w:jc w:val="center"/>
              <w:rPr>
                <w:rFonts w:ascii="Arial" w:hAnsi="Arial" w:cs="Arial"/>
                <w:b/>
              </w:rPr>
            </w:pPr>
            <w:r>
              <w:rPr>
                <w:rFonts w:ascii="Arial" w:hAnsi="Arial" w:cs="Arial"/>
                <w:b/>
              </w:rPr>
              <w:t>0</w:t>
            </w:r>
          </w:p>
        </w:tc>
      </w:tr>
      <w:tr w:rsidR="00791100" w:rsidRPr="00EC5379" w14:paraId="65A618E6" w14:textId="77777777" w:rsidTr="00DB01D9">
        <w:trPr>
          <w:trHeight w:val="1191"/>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46C10A55" w14:textId="77777777" w:rsidR="00791100" w:rsidRPr="00EC5379" w:rsidRDefault="00791100" w:rsidP="006C3958">
            <w:pPr>
              <w:spacing w:before="100" w:beforeAutospacing="1"/>
              <w:rPr>
                <w:rFonts w:ascii="Arial" w:hAnsi="Arial" w:cs="Arial"/>
              </w:rPr>
            </w:pPr>
            <w:r w:rsidRPr="00EC5379">
              <w:rPr>
                <w:rFonts w:ascii="Arial" w:hAnsi="Arial" w:cs="Arial"/>
              </w:rPr>
              <w:t>Option 1 –</w:t>
            </w:r>
            <w:r>
              <w:rPr>
                <w:rFonts w:ascii="Arial" w:hAnsi="Arial" w:cs="Arial"/>
              </w:rPr>
              <w:t xml:space="preserve"> Clarify community service work undertaken in the home is within scope</w:t>
            </w:r>
          </w:p>
        </w:tc>
        <w:tc>
          <w:tcPr>
            <w:tcW w:w="1304" w:type="dxa"/>
            <w:tcBorders>
              <w:left w:val="single" w:sz="4" w:space="0" w:color="auto"/>
              <w:right w:val="nil"/>
            </w:tcBorders>
            <w:shd w:val="clear" w:color="auto" w:fill="DEEAF6" w:themeFill="accent1" w:themeFillTint="33"/>
            <w:vAlign w:val="center"/>
          </w:tcPr>
          <w:p w14:paraId="76B63BA3" w14:textId="77777777" w:rsidR="00791100" w:rsidRPr="00EC5379" w:rsidRDefault="00791100" w:rsidP="00DB01D9">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481AD779" w14:textId="77777777" w:rsidR="00791100" w:rsidRPr="00EC5379" w:rsidRDefault="00791100" w:rsidP="00DB01D9">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48C90F27" w14:textId="77777777" w:rsidR="00791100" w:rsidRPr="00EC5379" w:rsidRDefault="00791100" w:rsidP="00DB01D9">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64572EF8" w14:textId="77777777" w:rsidR="00791100" w:rsidRPr="00EC5379" w:rsidRDefault="00791100" w:rsidP="00DB01D9">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7FB1DE32" w14:textId="77777777" w:rsidR="00791100" w:rsidRPr="00EC5379" w:rsidRDefault="00791100" w:rsidP="00DB01D9">
            <w:pPr>
              <w:keepNext/>
              <w:jc w:val="center"/>
              <w:rPr>
                <w:rFonts w:ascii="Arial" w:hAnsi="Arial" w:cs="Arial"/>
                <w:b/>
              </w:rPr>
            </w:pPr>
            <w:r>
              <w:rPr>
                <w:rFonts w:ascii="Arial" w:hAnsi="Arial" w:cs="Arial"/>
                <w:b/>
              </w:rPr>
              <w:t>2.2</w:t>
            </w:r>
          </w:p>
        </w:tc>
      </w:tr>
      <w:tr w:rsidR="00791100" w:rsidRPr="00EC5379" w14:paraId="4C955231" w14:textId="77777777" w:rsidTr="00DB01D9">
        <w:trPr>
          <w:trHeight w:val="922"/>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30162FC2" w14:textId="77777777" w:rsidR="00791100" w:rsidRPr="00EC5379" w:rsidRDefault="00791100" w:rsidP="006C3958">
            <w:pPr>
              <w:spacing w:before="100" w:beforeAutospacing="1"/>
              <w:rPr>
                <w:rFonts w:ascii="Arial" w:hAnsi="Arial" w:cs="Arial"/>
              </w:rPr>
            </w:pPr>
            <w:r>
              <w:rPr>
                <w:rFonts w:ascii="Arial" w:hAnsi="Arial" w:cs="Arial"/>
              </w:rPr>
              <w:t>Option 2 – Exclude home care work involving ‘aged’ patients</w:t>
            </w:r>
          </w:p>
        </w:tc>
        <w:tc>
          <w:tcPr>
            <w:tcW w:w="1304" w:type="dxa"/>
            <w:tcBorders>
              <w:left w:val="single" w:sz="4" w:space="0" w:color="auto"/>
              <w:right w:val="nil"/>
            </w:tcBorders>
            <w:shd w:val="clear" w:color="auto" w:fill="DEEAF6" w:themeFill="accent1" w:themeFillTint="33"/>
            <w:vAlign w:val="center"/>
          </w:tcPr>
          <w:p w14:paraId="5E32F726" w14:textId="77777777" w:rsidR="00791100" w:rsidRPr="00EC5379" w:rsidRDefault="00791100" w:rsidP="00DB01D9">
            <w:pPr>
              <w:keepNext/>
              <w:jc w:val="center"/>
              <w:rPr>
                <w:rFonts w:ascii="Arial" w:hAnsi="Arial" w:cs="Arial"/>
              </w:rPr>
            </w:pPr>
            <w:r>
              <w:rPr>
                <w:rFonts w:ascii="Arial" w:hAnsi="Arial" w:cs="Arial"/>
              </w:rPr>
              <w:t>-2</w:t>
            </w:r>
          </w:p>
        </w:tc>
        <w:tc>
          <w:tcPr>
            <w:tcW w:w="1304" w:type="dxa"/>
            <w:tcBorders>
              <w:left w:val="single" w:sz="4" w:space="0" w:color="auto"/>
              <w:right w:val="nil"/>
            </w:tcBorders>
            <w:shd w:val="clear" w:color="auto" w:fill="DEEAF6" w:themeFill="accent1" w:themeFillTint="33"/>
            <w:vAlign w:val="center"/>
          </w:tcPr>
          <w:p w14:paraId="64404631" w14:textId="77777777" w:rsidR="00791100" w:rsidRPr="00EC5379" w:rsidRDefault="00791100" w:rsidP="00DB01D9">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10D1BA64" w14:textId="77777777" w:rsidR="00791100" w:rsidRPr="00EC5379" w:rsidRDefault="00791100" w:rsidP="00DB01D9">
            <w:pPr>
              <w:keepNext/>
              <w:jc w:val="center"/>
              <w:rPr>
                <w:rFonts w:ascii="Arial" w:hAnsi="Arial" w:cs="Arial"/>
              </w:rPr>
            </w:pPr>
            <w:r>
              <w:rPr>
                <w:rFonts w:ascii="Arial" w:hAnsi="Arial" w:cs="Arial"/>
              </w:rPr>
              <w:t>-2</w:t>
            </w:r>
          </w:p>
        </w:tc>
        <w:tc>
          <w:tcPr>
            <w:tcW w:w="1304" w:type="dxa"/>
            <w:tcBorders>
              <w:left w:val="single" w:sz="4" w:space="0" w:color="auto"/>
              <w:right w:val="nil"/>
            </w:tcBorders>
            <w:shd w:val="clear" w:color="auto" w:fill="DEEAF6" w:themeFill="accent1" w:themeFillTint="33"/>
            <w:vAlign w:val="center"/>
          </w:tcPr>
          <w:p w14:paraId="58E85A14" w14:textId="1DC9FDD9" w:rsidR="00791100" w:rsidRPr="00EC5379" w:rsidRDefault="000F2999" w:rsidP="00DB01D9">
            <w:pPr>
              <w:keepNext/>
              <w:jc w:val="center"/>
              <w:rPr>
                <w:rFonts w:ascii="Arial" w:hAnsi="Arial" w:cs="Arial"/>
              </w:rPr>
            </w:pPr>
            <w:r>
              <w:rPr>
                <w:rFonts w:ascii="Arial" w:hAnsi="Arial" w:cs="Arial"/>
              </w:rPr>
              <w:t>2</w:t>
            </w:r>
          </w:p>
        </w:tc>
        <w:tc>
          <w:tcPr>
            <w:tcW w:w="1304" w:type="dxa"/>
            <w:tcBorders>
              <w:left w:val="single" w:sz="4" w:space="0" w:color="auto"/>
              <w:right w:val="nil"/>
            </w:tcBorders>
            <w:shd w:val="clear" w:color="auto" w:fill="DEEAF6" w:themeFill="accent1" w:themeFillTint="33"/>
            <w:vAlign w:val="center"/>
          </w:tcPr>
          <w:p w14:paraId="64D4A39B" w14:textId="691C2534" w:rsidR="00791100" w:rsidRPr="00EC5379" w:rsidRDefault="00791100" w:rsidP="00DB01D9">
            <w:pPr>
              <w:keepNext/>
              <w:jc w:val="center"/>
              <w:rPr>
                <w:rFonts w:ascii="Arial" w:hAnsi="Arial" w:cs="Arial"/>
                <w:b/>
              </w:rPr>
            </w:pPr>
            <w:r>
              <w:rPr>
                <w:rFonts w:ascii="Arial" w:hAnsi="Arial" w:cs="Arial"/>
                <w:b/>
              </w:rPr>
              <w:t>-</w:t>
            </w:r>
            <w:r w:rsidR="000F2999">
              <w:rPr>
                <w:rFonts w:ascii="Arial" w:hAnsi="Arial" w:cs="Arial"/>
                <w:b/>
              </w:rPr>
              <w:t>1.0</w:t>
            </w:r>
          </w:p>
        </w:tc>
      </w:tr>
      <w:tr w:rsidR="00791100" w:rsidRPr="00EC5379" w14:paraId="73BA30B3" w14:textId="77777777" w:rsidTr="00DB01D9">
        <w:trPr>
          <w:trHeight w:val="1120"/>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177EF653" w14:textId="77777777" w:rsidR="00791100" w:rsidRDefault="00791100" w:rsidP="006C3958">
            <w:pPr>
              <w:spacing w:before="100" w:beforeAutospacing="1"/>
              <w:rPr>
                <w:rFonts w:ascii="Arial" w:hAnsi="Arial" w:cs="Arial"/>
              </w:rPr>
            </w:pPr>
            <w:r>
              <w:rPr>
                <w:rFonts w:ascii="Arial" w:hAnsi="Arial" w:cs="Arial"/>
              </w:rPr>
              <w:t>Option 3 – Clarify that all work undertaken in the home is excluded from the Scheme</w:t>
            </w:r>
          </w:p>
        </w:tc>
        <w:tc>
          <w:tcPr>
            <w:tcW w:w="1304" w:type="dxa"/>
            <w:tcBorders>
              <w:left w:val="single" w:sz="4" w:space="0" w:color="auto"/>
              <w:right w:val="nil"/>
            </w:tcBorders>
            <w:shd w:val="clear" w:color="auto" w:fill="DEEAF6" w:themeFill="accent1" w:themeFillTint="33"/>
            <w:vAlign w:val="center"/>
          </w:tcPr>
          <w:p w14:paraId="7CBC7D6E" w14:textId="77CC1EA5" w:rsidR="00791100" w:rsidRDefault="00791100" w:rsidP="00DB01D9">
            <w:pPr>
              <w:keepNext/>
              <w:jc w:val="center"/>
              <w:rPr>
                <w:rFonts w:ascii="Arial" w:hAnsi="Arial" w:cs="Arial"/>
              </w:rPr>
            </w:pPr>
            <w:r>
              <w:rPr>
                <w:rFonts w:ascii="Arial" w:hAnsi="Arial" w:cs="Arial"/>
              </w:rPr>
              <w:t>-</w:t>
            </w:r>
            <w:r w:rsidR="000F2999">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6624D666" w14:textId="77777777" w:rsidR="00791100" w:rsidRDefault="00791100" w:rsidP="00DB01D9">
            <w:pPr>
              <w:keepNext/>
              <w:jc w:val="center"/>
              <w:rPr>
                <w:rFonts w:ascii="Arial" w:hAnsi="Arial" w:cs="Arial"/>
              </w:rPr>
            </w:pPr>
            <w:r>
              <w:rPr>
                <w:rFonts w:ascii="Arial" w:hAnsi="Arial" w:cs="Arial"/>
              </w:rPr>
              <w:t>2</w:t>
            </w:r>
          </w:p>
        </w:tc>
        <w:tc>
          <w:tcPr>
            <w:tcW w:w="1304" w:type="dxa"/>
            <w:tcBorders>
              <w:left w:val="single" w:sz="4" w:space="0" w:color="auto"/>
              <w:right w:val="nil"/>
            </w:tcBorders>
            <w:shd w:val="clear" w:color="auto" w:fill="DEEAF6" w:themeFill="accent1" w:themeFillTint="33"/>
            <w:vAlign w:val="center"/>
          </w:tcPr>
          <w:p w14:paraId="2E42078F" w14:textId="77777777" w:rsidR="00791100" w:rsidRDefault="00791100" w:rsidP="00DB01D9">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3628C022" w14:textId="77777777" w:rsidR="00791100" w:rsidRDefault="00791100" w:rsidP="00DB01D9">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545FA142" w14:textId="6CC08937" w:rsidR="00791100" w:rsidRDefault="00791100" w:rsidP="00DB01D9">
            <w:pPr>
              <w:keepNext/>
              <w:jc w:val="center"/>
              <w:rPr>
                <w:rFonts w:ascii="Arial" w:hAnsi="Arial" w:cs="Arial"/>
                <w:b/>
              </w:rPr>
            </w:pPr>
            <w:r>
              <w:rPr>
                <w:rFonts w:ascii="Arial" w:hAnsi="Arial" w:cs="Arial"/>
                <w:b/>
              </w:rPr>
              <w:t>-0.</w:t>
            </w:r>
            <w:r w:rsidR="000F2999">
              <w:rPr>
                <w:rFonts w:ascii="Arial" w:hAnsi="Arial" w:cs="Arial"/>
                <w:b/>
              </w:rPr>
              <w:t>6</w:t>
            </w:r>
          </w:p>
        </w:tc>
      </w:tr>
    </w:tbl>
    <w:p w14:paraId="48EB270E" w14:textId="77777777" w:rsidR="00791100" w:rsidRPr="00EC5379" w:rsidRDefault="00791100" w:rsidP="00791100">
      <w:pPr>
        <w:spacing w:before="240"/>
        <w:rPr>
          <w:rFonts w:ascii="Arial" w:hAnsi="Arial" w:cs="Arial"/>
        </w:rPr>
      </w:pPr>
      <w:r w:rsidRPr="00EC5379">
        <w:rPr>
          <w:rFonts w:ascii="Arial" w:hAnsi="Arial" w:cs="Arial"/>
        </w:rPr>
        <w:lastRenderedPageBreak/>
        <w:t>The rationale for these scores is summarised for each option in the following sub-sections.</w:t>
      </w:r>
    </w:p>
    <w:p w14:paraId="004630D0" w14:textId="77777777" w:rsidR="00791100" w:rsidRPr="00CF0C6E" w:rsidRDefault="00791100" w:rsidP="00CA051E">
      <w:pPr>
        <w:pStyle w:val="Heading6"/>
      </w:pPr>
      <w:r w:rsidRPr="00DB3ADD">
        <w:t>Analysis of the status quo</w:t>
      </w:r>
    </w:p>
    <w:p w14:paraId="1FCB3E2F" w14:textId="77777777" w:rsidR="00791100" w:rsidRDefault="00791100" w:rsidP="00791100">
      <w:pPr>
        <w:pStyle w:val="BodyText"/>
        <w:rPr>
          <w:rFonts w:cs="Arial"/>
          <w:color w:val="auto"/>
        </w:rPr>
      </w:pPr>
      <w:r w:rsidRPr="00EC5379">
        <w:rPr>
          <w:rFonts w:cs="Arial"/>
        </w:rPr>
        <w:t xml:space="preserve">The </w:t>
      </w:r>
      <w:r>
        <w:rPr>
          <w:rFonts w:cs="Arial"/>
        </w:rPr>
        <w:t>status quo</w:t>
      </w:r>
      <w:r w:rsidRPr="00EC5379">
        <w:rPr>
          <w:rFonts w:cs="Arial"/>
        </w:rPr>
        <w:t xml:space="preserve"> is analysed to provide a point of comparison for the options which follow. </w:t>
      </w:r>
      <w:r>
        <w:rPr>
          <w:rFonts w:cs="Arial"/>
        </w:rPr>
        <w:t xml:space="preserve">Despite the intent of the Interim Regulations to include community service work undertaken in the home within the scope of the Scheme, </w:t>
      </w:r>
      <w:r>
        <w:rPr>
          <w:rFonts w:cs="Arial"/>
          <w:color w:val="auto"/>
        </w:rPr>
        <w:t>maintaining the status quo would</w:t>
      </w:r>
      <w:r w:rsidRPr="004B3C99">
        <w:rPr>
          <w:rFonts w:cs="Arial"/>
          <w:color w:val="auto"/>
        </w:rPr>
        <w:t xml:space="preserve"> mean employers, employees and the Authority would lack clarity </w:t>
      </w:r>
      <w:r>
        <w:rPr>
          <w:rFonts w:cs="Arial"/>
          <w:color w:val="auto"/>
        </w:rPr>
        <w:t xml:space="preserve">as to whether </w:t>
      </w:r>
      <w:r w:rsidRPr="004B3C99">
        <w:rPr>
          <w:rFonts w:cs="Arial"/>
          <w:color w:val="auto"/>
        </w:rPr>
        <w:t xml:space="preserve">work undertaken in a private residence is within scope of the Scheme. </w:t>
      </w:r>
    </w:p>
    <w:p w14:paraId="531D4167" w14:textId="763DD944" w:rsidR="00791100" w:rsidRPr="004B3C99" w:rsidRDefault="00791100" w:rsidP="00791100">
      <w:pPr>
        <w:pStyle w:val="BodyText"/>
        <w:numPr>
          <w:ilvl w:val="0"/>
          <w:numId w:val="70"/>
        </w:numPr>
        <w:rPr>
          <w:rFonts w:cs="Arial"/>
          <w:color w:val="auto"/>
        </w:rPr>
      </w:pPr>
      <w:r w:rsidRPr="004B3C99">
        <w:rPr>
          <w:rFonts w:cs="Arial"/>
          <w:color w:val="auto"/>
        </w:rPr>
        <w:t xml:space="preserve">The lack of clarity </w:t>
      </w:r>
      <w:r>
        <w:rPr>
          <w:rFonts w:cs="Arial"/>
          <w:color w:val="auto"/>
        </w:rPr>
        <w:t xml:space="preserve">could result in </w:t>
      </w:r>
      <w:r w:rsidRPr="004B3C99">
        <w:rPr>
          <w:rFonts w:cs="Arial"/>
          <w:color w:val="auto"/>
        </w:rPr>
        <w:t xml:space="preserve">eligible </w:t>
      </w:r>
      <w:r w:rsidR="00BA4E89">
        <w:rPr>
          <w:rFonts w:cs="Arial"/>
          <w:color w:val="auto"/>
        </w:rPr>
        <w:t>employee</w:t>
      </w:r>
      <w:r w:rsidRPr="004B3C99">
        <w:rPr>
          <w:rFonts w:cs="Arial"/>
          <w:color w:val="auto"/>
        </w:rPr>
        <w:t>s</w:t>
      </w:r>
      <w:r>
        <w:rPr>
          <w:rFonts w:cs="Arial"/>
          <w:color w:val="auto"/>
        </w:rPr>
        <w:t xml:space="preserve"> incorrectly</w:t>
      </w:r>
      <w:r w:rsidRPr="004B3C99">
        <w:rPr>
          <w:rFonts w:cs="Arial"/>
          <w:color w:val="auto"/>
        </w:rPr>
        <w:t xml:space="preserve"> </w:t>
      </w:r>
      <w:r>
        <w:rPr>
          <w:rFonts w:cs="Arial"/>
          <w:color w:val="auto"/>
        </w:rPr>
        <w:t xml:space="preserve">being </w:t>
      </w:r>
      <w:r w:rsidRPr="004B3C99">
        <w:rPr>
          <w:rFonts w:cs="Arial"/>
          <w:color w:val="auto"/>
        </w:rPr>
        <w:t>denied access</w:t>
      </w:r>
      <w:r>
        <w:rPr>
          <w:rFonts w:cs="Arial"/>
          <w:color w:val="auto"/>
        </w:rPr>
        <w:t xml:space="preserve"> to, or ineligible </w:t>
      </w:r>
      <w:r w:rsidR="00BA4E89">
        <w:rPr>
          <w:rFonts w:cs="Arial"/>
          <w:color w:val="auto"/>
        </w:rPr>
        <w:t>employee</w:t>
      </w:r>
      <w:r>
        <w:rPr>
          <w:rFonts w:cs="Arial"/>
          <w:color w:val="auto"/>
        </w:rPr>
        <w:t>s incorrectly being given access</w:t>
      </w:r>
      <w:r w:rsidRPr="004B3C99">
        <w:rPr>
          <w:rFonts w:cs="Arial"/>
          <w:color w:val="auto"/>
        </w:rPr>
        <w:t xml:space="preserve"> to</w:t>
      </w:r>
      <w:r>
        <w:rPr>
          <w:rFonts w:cs="Arial"/>
          <w:color w:val="auto"/>
        </w:rPr>
        <w:t>,</w:t>
      </w:r>
      <w:r w:rsidRPr="004B3C99">
        <w:rPr>
          <w:rFonts w:cs="Arial"/>
          <w:color w:val="auto"/>
        </w:rPr>
        <w:t xml:space="preserve"> porta</w:t>
      </w:r>
      <w:r>
        <w:rPr>
          <w:rFonts w:cs="Arial"/>
          <w:color w:val="auto"/>
        </w:rPr>
        <w:t>ble long service benefits under the Scheme;</w:t>
      </w:r>
    </w:p>
    <w:p w14:paraId="2462FAB7" w14:textId="315CE4C3" w:rsidR="00791100" w:rsidRDefault="00791100" w:rsidP="00791100">
      <w:pPr>
        <w:pStyle w:val="BodyText"/>
        <w:numPr>
          <w:ilvl w:val="0"/>
          <w:numId w:val="70"/>
        </w:numPr>
        <w:rPr>
          <w:rFonts w:cs="Arial"/>
          <w:color w:val="auto"/>
        </w:rPr>
      </w:pPr>
      <w:r w:rsidRPr="004B3C99">
        <w:rPr>
          <w:rFonts w:cs="Arial"/>
          <w:color w:val="auto"/>
        </w:rPr>
        <w:t xml:space="preserve">The lack of clarity would continue to add to the administrative burden </w:t>
      </w:r>
      <w:r>
        <w:rPr>
          <w:rFonts w:cs="Arial"/>
          <w:color w:val="auto"/>
        </w:rPr>
        <w:t xml:space="preserve">of uncertainty </w:t>
      </w:r>
      <w:r w:rsidRPr="004B3C99">
        <w:rPr>
          <w:rFonts w:cs="Arial"/>
          <w:color w:val="auto"/>
        </w:rPr>
        <w:t xml:space="preserve">on employers </w:t>
      </w:r>
      <w:r>
        <w:rPr>
          <w:rFonts w:cs="Arial"/>
          <w:color w:val="auto"/>
        </w:rPr>
        <w:t xml:space="preserve">in determining whether </w:t>
      </w:r>
      <w:r w:rsidR="00096F69">
        <w:rPr>
          <w:rFonts w:cs="Arial"/>
          <w:color w:val="auto"/>
        </w:rPr>
        <w:t xml:space="preserve">their organisation </w:t>
      </w:r>
      <w:r>
        <w:rPr>
          <w:rFonts w:cs="Arial"/>
          <w:color w:val="auto"/>
        </w:rPr>
        <w:t>and their employees are covered by the Scheme; and</w:t>
      </w:r>
      <w:r w:rsidRPr="004B3C99">
        <w:rPr>
          <w:rFonts w:cs="Arial"/>
          <w:color w:val="auto"/>
        </w:rPr>
        <w:t xml:space="preserve"> </w:t>
      </w:r>
    </w:p>
    <w:p w14:paraId="07CF31D0" w14:textId="6083698A" w:rsidR="002D716D" w:rsidRPr="00F0572E" w:rsidRDefault="002D716D" w:rsidP="002D716D">
      <w:pPr>
        <w:pStyle w:val="ListParagraph"/>
        <w:numPr>
          <w:ilvl w:val="0"/>
          <w:numId w:val="70"/>
        </w:numPr>
        <w:contextualSpacing w:val="0"/>
        <w:rPr>
          <w:rFonts w:ascii="Arial" w:hAnsi="Arial" w:cs="Arial"/>
        </w:rPr>
      </w:pPr>
      <w:r w:rsidRPr="00F0572E">
        <w:rPr>
          <w:rFonts w:ascii="Arial" w:hAnsi="Arial" w:cs="Arial"/>
        </w:rPr>
        <w:t xml:space="preserve">The Authority would </w:t>
      </w:r>
      <w:r w:rsidR="000F2999">
        <w:rPr>
          <w:rFonts w:ascii="Arial" w:hAnsi="Arial" w:cs="Arial"/>
        </w:rPr>
        <w:t>continue to be burdened by questions from the sector and be unable to provide clear guidance.</w:t>
      </w:r>
      <w:r w:rsidRPr="00F0572E">
        <w:rPr>
          <w:rFonts w:ascii="Arial" w:hAnsi="Arial" w:cs="Arial"/>
        </w:rPr>
        <w:t xml:space="preserve"> </w:t>
      </w:r>
    </w:p>
    <w:p w14:paraId="19CEFCD9" w14:textId="77777777" w:rsidR="00791100" w:rsidRPr="002D71C2" w:rsidRDefault="00791100" w:rsidP="00CA051E">
      <w:pPr>
        <w:pStyle w:val="Heading6"/>
      </w:pPr>
      <w:r w:rsidRPr="002D71C2">
        <w:t>Option 1 – Clarify that care provided in a private residence is defined as community service work for the purposes of the Scheme, irrespective of the age of the client</w:t>
      </w:r>
    </w:p>
    <w:p w14:paraId="34C6D23F" w14:textId="77777777" w:rsidR="00791100" w:rsidRPr="00CA051E" w:rsidRDefault="00791100" w:rsidP="00CA051E">
      <w:pPr>
        <w:pStyle w:val="Heading7"/>
      </w:pPr>
      <w:r w:rsidRPr="00CA051E">
        <w:t>Equity for employees</w:t>
      </w:r>
    </w:p>
    <w:p w14:paraId="4A7C8451" w14:textId="3F229176" w:rsidR="00791100" w:rsidRPr="004B3C99" w:rsidRDefault="00791100" w:rsidP="00791100">
      <w:pPr>
        <w:pStyle w:val="BodyText"/>
        <w:rPr>
          <w:rFonts w:cs="Arial"/>
          <w:color w:val="auto"/>
        </w:rPr>
      </w:pPr>
      <w:r>
        <w:rPr>
          <w:rFonts w:cs="Arial"/>
          <w:color w:val="auto"/>
        </w:rPr>
        <w:t>Th</w:t>
      </w:r>
      <w:r w:rsidR="00FF0A98">
        <w:rPr>
          <w:rFonts w:cs="Arial"/>
          <w:color w:val="auto"/>
        </w:rPr>
        <w:t>is</w:t>
      </w:r>
      <w:r>
        <w:rPr>
          <w:rFonts w:cs="Arial"/>
          <w:color w:val="auto"/>
        </w:rPr>
        <w:t xml:space="preserve"> option is much more aligned with the </w:t>
      </w:r>
      <w:r w:rsidR="000B4581">
        <w:rPr>
          <w:rFonts w:cs="Arial"/>
          <w:color w:val="auto"/>
        </w:rPr>
        <w:t>criterion</w:t>
      </w:r>
      <w:r>
        <w:rPr>
          <w:rFonts w:cs="Arial"/>
          <w:color w:val="auto"/>
        </w:rPr>
        <w:t xml:space="preserve"> compared to the status quo. T</w:t>
      </w:r>
      <w:r w:rsidRPr="004B3C99">
        <w:rPr>
          <w:rFonts w:cs="Arial"/>
          <w:color w:val="auto"/>
        </w:rPr>
        <w:t>h</w:t>
      </w:r>
      <w:r w:rsidR="00FF0A98">
        <w:rPr>
          <w:rFonts w:cs="Arial"/>
          <w:color w:val="auto"/>
        </w:rPr>
        <w:t>is</w:t>
      </w:r>
      <w:r w:rsidRPr="004B3C99">
        <w:rPr>
          <w:rFonts w:cs="Arial"/>
          <w:color w:val="auto"/>
        </w:rPr>
        <w:t xml:space="preserve"> option promotes equity of long service entitlements within the sector. </w:t>
      </w:r>
      <w:r>
        <w:rPr>
          <w:rFonts w:cs="Arial"/>
          <w:color w:val="auto"/>
        </w:rPr>
        <w:t xml:space="preserve">Compared to the status quo, employees who </w:t>
      </w:r>
      <w:r w:rsidRPr="004B3C99">
        <w:rPr>
          <w:rFonts w:cs="Arial"/>
          <w:color w:val="auto"/>
        </w:rPr>
        <w:t>deliver</w:t>
      </w:r>
      <w:r>
        <w:rPr>
          <w:rFonts w:cs="Arial"/>
          <w:color w:val="auto"/>
        </w:rPr>
        <w:t xml:space="preserve"> </w:t>
      </w:r>
      <w:r w:rsidRPr="004B3C99">
        <w:rPr>
          <w:rFonts w:cs="Arial"/>
          <w:color w:val="auto"/>
        </w:rPr>
        <w:t>community service work, regardless of the setting, w</w:t>
      </w:r>
      <w:r>
        <w:rPr>
          <w:rFonts w:cs="Arial"/>
          <w:color w:val="auto"/>
        </w:rPr>
        <w:t>ould</w:t>
      </w:r>
      <w:r w:rsidRPr="004B3C99">
        <w:rPr>
          <w:rFonts w:cs="Arial"/>
          <w:color w:val="auto"/>
        </w:rPr>
        <w:t xml:space="preserve"> </w:t>
      </w:r>
      <w:r>
        <w:rPr>
          <w:rFonts w:cs="Arial"/>
          <w:color w:val="auto"/>
        </w:rPr>
        <w:t xml:space="preserve">have certainty that they would </w:t>
      </w:r>
      <w:r w:rsidRPr="004B3C99">
        <w:rPr>
          <w:rFonts w:cs="Arial"/>
          <w:color w:val="auto"/>
        </w:rPr>
        <w:t xml:space="preserve">be eligible to be covered by the Scheme. This is consistent with the intent of the </w:t>
      </w:r>
      <w:r>
        <w:rPr>
          <w:rFonts w:cs="Arial"/>
          <w:color w:val="auto"/>
        </w:rPr>
        <w:t>LSBP</w:t>
      </w:r>
      <w:r w:rsidRPr="004B3C99">
        <w:rPr>
          <w:rFonts w:cs="Arial"/>
          <w:color w:val="auto"/>
        </w:rPr>
        <w:t xml:space="preserve"> Act.</w:t>
      </w:r>
    </w:p>
    <w:p w14:paraId="25ECF191" w14:textId="1371CDA6" w:rsidR="00791100" w:rsidRDefault="00791100" w:rsidP="00CA051E">
      <w:pPr>
        <w:pStyle w:val="Heading7"/>
      </w:pPr>
      <w:r>
        <w:t>I</w:t>
      </w:r>
      <w:r w:rsidRPr="00866686">
        <w:t xml:space="preserve">mpact on </w:t>
      </w:r>
      <w:r w:rsidR="00DB01D9">
        <w:t>employers</w:t>
      </w:r>
      <w:r>
        <w:t xml:space="preserve"> – financial cost</w:t>
      </w:r>
    </w:p>
    <w:p w14:paraId="0DFC0EDC" w14:textId="6EE44864" w:rsidR="00791100" w:rsidRPr="0017158D" w:rsidRDefault="00791100" w:rsidP="00791100">
      <w:pPr>
        <w:pStyle w:val="BodyText"/>
        <w:rPr>
          <w:rFonts w:cs="Arial"/>
          <w:color w:val="auto"/>
        </w:rPr>
      </w:pPr>
      <w:r w:rsidRPr="00337958">
        <w:rPr>
          <w:rFonts w:cs="Arial"/>
          <w:color w:val="auto"/>
        </w:rPr>
        <w:t>Th</w:t>
      </w:r>
      <w:r w:rsidR="00FF0A98">
        <w:rPr>
          <w:rFonts w:cs="Arial"/>
          <w:color w:val="auto"/>
        </w:rPr>
        <w:t>is</w:t>
      </w:r>
      <w:r w:rsidRPr="00337958">
        <w:rPr>
          <w:rFonts w:cs="Arial"/>
          <w:color w:val="auto"/>
        </w:rPr>
        <w:t xml:space="preserve"> option is </w:t>
      </w:r>
      <w:r>
        <w:rPr>
          <w:rFonts w:cs="Arial"/>
          <w:color w:val="auto"/>
        </w:rPr>
        <w:t xml:space="preserve">somewhat less </w:t>
      </w:r>
      <w:r w:rsidRPr="00337958">
        <w:rPr>
          <w:rFonts w:cs="Arial"/>
          <w:color w:val="auto"/>
        </w:rPr>
        <w:t xml:space="preserve">aligned with the </w:t>
      </w:r>
      <w:r w:rsidR="000B4581">
        <w:rPr>
          <w:rFonts w:cs="Arial"/>
          <w:color w:val="auto"/>
        </w:rPr>
        <w:t>criterion</w:t>
      </w:r>
      <w:r>
        <w:rPr>
          <w:rFonts w:cs="Arial"/>
          <w:color w:val="auto"/>
        </w:rPr>
        <w:t xml:space="preserve"> compared to the status quo</w:t>
      </w:r>
      <w:r w:rsidRPr="00337958">
        <w:rPr>
          <w:rFonts w:cs="Arial"/>
          <w:color w:val="auto"/>
        </w:rPr>
        <w:t xml:space="preserve">. </w:t>
      </w:r>
      <w:r>
        <w:rPr>
          <w:rFonts w:cs="Arial"/>
          <w:color w:val="auto"/>
        </w:rPr>
        <w:t xml:space="preserve">It is </w:t>
      </w:r>
      <w:r w:rsidRPr="0017158D">
        <w:rPr>
          <w:rFonts w:cs="Arial"/>
          <w:color w:val="auto"/>
        </w:rPr>
        <w:t>expect</w:t>
      </w:r>
      <w:r>
        <w:rPr>
          <w:rFonts w:cs="Arial"/>
          <w:color w:val="auto"/>
        </w:rPr>
        <w:t>ed</w:t>
      </w:r>
      <w:r w:rsidRPr="0017158D">
        <w:rPr>
          <w:rFonts w:cs="Arial"/>
          <w:color w:val="auto"/>
        </w:rPr>
        <w:t xml:space="preserve"> to have a financial impact on employers who, under the status quo, have not registered </w:t>
      </w:r>
      <w:r w:rsidR="00EB4037">
        <w:rPr>
          <w:rFonts w:cs="Arial"/>
          <w:color w:val="auto"/>
        </w:rPr>
        <w:t xml:space="preserve">themselves or their employees </w:t>
      </w:r>
      <w:r w:rsidRPr="0017158D">
        <w:rPr>
          <w:rFonts w:cs="Arial"/>
          <w:color w:val="auto"/>
        </w:rPr>
        <w:t xml:space="preserve">with the Authority because of a misunderstanding relating to their eligibility. </w:t>
      </w:r>
      <w:r>
        <w:rPr>
          <w:rFonts w:cs="Arial"/>
          <w:color w:val="auto"/>
        </w:rPr>
        <w:t xml:space="preserve">These employers would now </w:t>
      </w:r>
      <w:r w:rsidR="00624C23">
        <w:rPr>
          <w:rFonts w:cs="Arial"/>
          <w:color w:val="auto"/>
        </w:rPr>
        <w:t xml:space="preserve">be required </w:t>
      </w:r>
      <w:r>
        <w:rPr>
          <w:rFonts w:cs="Arial"/>
          <w:color w:val="auto"/>
        </w:rPr>
        <w:t>to register with the Authority and pay lev</w:t>
      </w:r>
      <w:r w:rsidR="00F35678">
        <w:rPr>
          <w:rFonts w:cs="Arial"/>
          <w:color w:val="auto"/>
        </w:rPr>
        <w:t>i</w:t>
      </w:r>
      <w:r>
        <w:rPr>
          <w:rFonts w:cs="Arial"/>
          <w:color w:val="auto"/>
        </w:rPr>
        <w:t>es to the Authority on behalf of their eligible employees.</w:t>
      </w:r>
    </w:p>
    <w:p w14:paraId="19D2D6D4" w14:textId="45B838F3" w:rsidR="00791100" w:rsidRDefault="00791100" w:rsidP="00CA051E">
      <w:pPr>
        <w:pStyle w:val="Heading7"/>
      </w:pPr>
      <w:r>
        <w:t>I</w:t>
      </w:r>
      <w:r w:rsidRPr="00866686">
        <w:t xml:space="preserve">mpact on </w:t>
      </w:r>
      <w:r w:rsidR="00DB01D9">
        <w:t>employers</w:t>
      </w:r>
      <w:r>
        <w:t xml:space="preserve"> – cost of uncertainty and administration</w:t>
      </w:r>
    </w:p>
    <w:p w14:paraId="488852BD" w14:textId="157C755E" w:rsidR="00791100" w:rsidRPr="004B3C99" w:rsidRDefault="00791100" w:rsidP="00791100">
      <w:pPr>
        <w:pStyle w:val="BodyText"/>
        <w:rPr>
          <w:rFonts w:cs="Arial"/>
          <w:color w:val="auto"/>
        </w:rPr>
      </w:pPr>
      <w:r>
        <w:rPr>
          <w:rFonts w:cs="Arial"/>
          <w:color w:val="auto"/>
        </w:rPr>
        <w:t>Th</w:t>
      </w:r>
      <w:r w:rsidR="00FF0A98">
        <w:rPr>
          <w:rFonts w:cs="Arial"/>
          <w:color w:val="auto"/>
        </w:rPr>
        <w:t>is</w:t>
      </w:r>
      <w:r>
        <w:rPr>
          <w:rFonts w:cs="Arial"/>
          <w:color w:val="auto"/>
        </w:rPr>
        <w:t xml:space="preserve"> option is much more aligned with the </w:t>
      </w:r>
      <w:r w:rsidR="000B4581">
        <w:rPr>
          <w:rFonts w:cs="Arial"/>
          <w:color w:val="auto"/>
        </w:rPr>
        <w:t>criterion</w:t>
      </w:r>
      <w:r>
        <w:rPr>
          <w:rFonts w:cs="Arial"/>
          <w:color w:val="auto"/>
        </w:rPr>
        <w:t xml:space="preserve"> compared to the status quo. It</w:t>
      </w:r>
      <w:r w:rsidRPr="004B3C99">
        <w:rPr>
          <w:rFonts w:cs="Arial"/>
          <w:color w:val="auto"/>
        </w:rPr>
        <w:t xml:space="preserve"> would provide clarity to employers that community service work undertaken in the home is within scope for the purposes of the Scheme. Under this option, employers would not </w:t>
      </w:r>
      <w:r w:rsidR="0038431F">
        <w:rPr>
          <w:rFonts w:cs="Arial"/>
          <w:color w:val="auto"/>
        </w:rPr>
        <w:t>be required</w:t>
      </w:r>
      <w:r w:rsidR="0038431F" w:rsidRPr="004B3C99">
        <w:rPr>
          <w:rFonts w:cs="Arial"/>
          <w:color w:val="auto"/>
        </w:rPr>
        <w:t xml:space="preserve"> </w:t>
      </w:r>
      <w:r w:rsidRPr="004B3C99">
        <w:rPr>
          <w:rFonts w:cs="Arial"/>
          <w:color w:val="auto"/>
        </w:rPr>
        <w:t xml:space="preserve">to track where a </w:t>
      </w:r>
      <w:r>
        <w:rPr>
          <w:rFonts w:cs="Arial"/>
          <w:color w:val="auto"/>
        </w:rPr>
        <w:t>service is delivered. This would make it easier for employers</w:t>
      </w:r>
      <w:r w:rsidRPr="004B3C99">
        <w:rPr>
          <w:rFonts w:cs="Arial"/>
          <w:color w:val="auto"/>
        </w:rPr>
        <w:t xml:space="preserve"> to determine whether </w:t>
      </w:r>
      <w:r w:rsidR="00096F69">
        <w:rPr>
          <w:rFonts w:cs="Arial"/>
          <w:color w:val="auto"/>
        </w:rPr>
        <w:t xml:space="preserve">their organisation </w:t>
      </w:r>
      <w:r w:rsidR="00EB4037">
        <w:rPr>
          <w:rFonts w:cs="Arial"/>
          <w:color w:val="auto"/>
        </w:rPr>
        <w:t xml:space="preserve">and their employees </w:t>
      </w:r>
      <w:r w:rsidR="00FF0A98">
        <w:rPr>
          <w:rFonts w:cs="Arial"/>
          <w:color w:val="auto"/>
        </w:rPr>
        <w:t xml:space="preserve">who </w:t>
      </w:r>
      <w:r w:rsidR="00EB4037">
        <w:rPr>
          <w:rFonts w:cs="Arial"/>
          <w:color w:val="auto"/>
        </w:rPr>
        <w:t xml:space="preserve">are performing community service work </w:t>
      </w:r>
      <w:r>
        <w:rPr>
          <w:rFonts w:cs="Arial"/>
          <w:color w:val="auto"/>
        </w:rPr>
        <w:t>are covered by the Scheme compared to the status quo</w:t>
      </w:r>
      <w:r w:rsidRPr="004B3C99">
        <w:rPr>
          <w:rFonts w:cs="Arial"/>
          <w:color w:val="auto"/>
        </w:rPr>
        <w:t>.</w:t>
      </w:r>
      <w:r>
        <w:rPr>
          <w:rFonts w:cs="Arial"/>
          <w:color w:val="auto"/>
        </w:rPr>
        <w:t xml:space="preserve"> </w:t>
      </w:r>
    </w:p>
    <w:p w14:paraId="30DB00B1" w14:textId="77777777" w:rsidR="00791100" w:rsidRPr="00866686" w:rsidRDefault="00791100" w:rsidP="00CA051E">
      <w:pPr>
        <w:pStyle w:val="Heading7"/>
      </w:pPr>
      <w:r w:rsidRPr="00866686">
        <w:t>Impact on the Authority</w:t>
      </w:r>
    </w:p>
    <w:p w14:paraId="5CB64C95" w14:textId="7D7203E4" w:rsidR="00791100" w:rsidRPr="004B3C99" w:rsidRDefault="00791100" w:rsidP="00791100">
      <w:pPr>
        <w:pStyle w:val="BodyText"/>
        <w:rPr>
          <w:rFonts w:cs="Arial"/>
          <w:color w:val="auto"/>
        </w:rPr>
      </w:pPr>
      <w:r>
        <w:rPr>
          <w:rFonts w:cs="Arial"/>
          <w:color w:val="auto"/>
        </w:rPr>
        <w:t>Th</w:t>
      </w:r>
      <w:r w:rsidR="00FF0A98">
        <w:rPr>
          <w:rFonts w:cs="Arial"/>
          <w:color w:val="auto"/>
        </w:rPr>
        <w:t>is</w:t>
      </w:r>
      <w:r>
        <w:rPr>
          <w:rFonts w:cs="Arial"/>
          <w:color w:val="auto"/>
        </w:rPr>
        <w:t xml:space="preserve"> option is much more aligned with the </w:t>
      </w:r>
      <w:r w:rsidR="000B4581">
        <w:rPr>
          <w:rFonts w:cs="Arial"/>
          <w:color w:val="auto"/>
        </w:rPr>
        <w:t>criterion</w:t>
      </w:r>
      <w:r>
        <w:rPr>
          <w:rFonts w:cs="Arial"/>
          <w:color w:val="auto"/>
        </w:rPr>
        <w:t xml:space="preserve"> compared to the status quo. It would provide clarity</w:t>
      </w:r>
      <w:r w:rsidRPr="004B3C99">
        <w:rPr>
          <w:rFonts w:cs="Arial"/>
          <w:color w:val="auto"/>
        </w:rPr>
        <w:t xml:space="preserve"> that</w:t>
      </w:r>
      <w:r>
        <w:rPr>
          <w:rFonts w:cs="Arial"/>
          <w:color w:val="auto"/>
        </w:rPr>
        <w:t xml:space="preserve"> </w:t>
      </w:r>
      <w:r w:rsidR="00EB4037">
        <w:rPr>
          <w:rFonts w:cs="Arial"/>
          <w:color w:val="auto"/>
        </w:rPr>
        <w:t>care delivered</w:t>
      </w:r>
      <w:r w:rsidRPr="004B3C99">
        <w:rPr>
          <w:rFonts w:cs="Arial"/>
          <w:color w:val="auto"/>
        </w:rPr>
        <w:t xml:space="preserve"> in the home is </w:t>
      </w:r>
      <w:r>
        <w:rPr>
          <w:rFonts w:cs="Arial"/>
          <w:color w:val="auto"/>
        </w:rPr>
        <w:t>covered by</w:t>
      </w:r>
      <w:r w:rsidRPr="004B3C99">
        <w:rPr>
          <w:rFonts w:cs="Arial"/>
          <w:color w:val="auto"/>
        </w:rPr>
        <w:t xml:space="preserve"> the Scheme. This would assist the Authority </w:t>
      </w:r>
      <w:r>
        <w:rPr>
          <w:rFonts w:cs="Arial"/>
          <w:color w:val="auto"/>
        </w:rPr>
        <w:t>to administer the Scheme and</w:t>
      </w:r>
      <w:r w:rsidR="00096F69">
        <w:rPr>
          <w:rFonts w:cs="Arial"/>
          <w:color w:val="auto"/>
        </w:rPr>
        <w:t xml:space="preserve"> to</w:t>
      </w:r>
      <w:r>
        <w:rPr>
          <w:rFonts w:cs="Arial"/>
          <w:color w:val="auto"/>
        </w:rPr>
        <w:t xml:space="preserve"> provide</w:t>
      </w:r>
      <w:r w:rsidRPr="004B3C99">
        <w:rPr>
          <w:rFonts w:cs="Arial"/>
          <w:color w:val="auto"/>
        </w:rPr>
        <w:t xml:space="preserve"> clearer advice to employers</w:t>
      </w:r>
      <w:r>
        <w:rPr>
          <w:rFonts w:cs="Arial"/>
          <w:color w:val="auto"/>
        </w:rPr>
        <w:t xml:space="preserve"> and employees</w:t>
      </w:r>
      <w:r w:rsidRPr="004B3C99">
        <w:rPr>
          <w:rFonts w:cs="Arial"/>
          <w:color w:val="auto"/>
        </w:rPr>
        <w:t>.</w:t>
      </w:r>
      <w:r>
        <w:rPr>
          <w:rFonts w:cs="Arial"/>
          <w:color w:val="auto"/>
        </w:rPr>
        <w:t xml:space="preserve"> </w:t>
      </w:r>
      <w:r w:rsidRPr="004B3C99">
        <w:rPr>
          <w:rFonts w:cs="Arial"/>
          <w:color w:val="auto"/>
        </w:rPr>
        <w:t xml:space="preserve">Determining eligibility would remain the responsibility of employers. </w:t>
      </w:r>
    </w:p>
    <w:p w14:paraId="58A4D881" w14:textId="77777777" w:rsidR="00791100" w:rsidRPr="002D71C2" w:rsidRDefault="00791100" w:rsidP="00CA051E">
      <w:pPr>
        <w:pStyle w:val="Heading6"/>
      </w:pPr>
      <w:r w:rsidRPr="002D71C2">
        <w:lastRenderedPageBreak/>
        <w:t>Option 2 – Exclude home care involving ‘aged’ clients from the definition of community service work</w:t>
      </w:r>
    </w:p>
    <w:p w14:paraId="4712A7AD" w14:textId="77777777" w:rsidR="00791100" w:rsidRPr="00337958" w:rsidRDefault="00791100" w:rsidP="00CA051E">
      <w:pPr>
        <w:pStyle w:val="Heading7"/>
        <w:rPr>
          <w:b/>
        </w:rPr>
      </w:pPr>
      <w:r w:rsidRPr="00F5772B">
        <w:t>Equity</w:t>
      </w:r>
      <w:r w:rsidRPr="00F87691">
        <w:t xml:space="preserve"> for employees</w:t>
      </w:r>
    </w:p>
    <w:p w14:paraId="31B77762" w14:textId="400A0EC0" w:rsidR="00791100" w:rsidRPr="00224EC3" w:rsidRDefault="00791100" w:rsidP="00791100">
      <w:pPr>
        <w:pStyle w:val="BodyText"/>
        <w:rPr>
          <w:rFonts w:cs="Arial"/>
          <w:color w:val="auto"/>
        </w:rPr>
      </w:pPr>
      <w:r>
        <w:rPr>
          <w:rFonts w:cs="Arial"/>
          <w:color w:val="auto"/>
        </w:rPr>
        <w:t>Th</w:t>
      </w:r>
      <w:r w:rsidR="00FF0A98">
        <w:rPr>
          <w:rFonts w:cs="Arial"/>
          <w:color w:val="auto"/>
        </w:rPr>
        <w:t>is</w:t>
      </w:r>
      <w:r>
        <w:rPr>
          <w:rFonts w:cs="Arial"/>
          <w:color w:val="auto"/>
        </w:rPr>
        <w:t xml:space="preserve"> option is </w:t>
      </w:r>
      <w:r w:rsidR="000B4581">
        <w:rPr>
          <w:rFonts w:cs="Arial"/>
          <w:color w:val="auto"/>
        </w:rPr>
        <w:t>less aligned</w:t>
      </w:r>
      <w:r>
        <w:rPr>
          <w:rFonts w:cs="Arial"/>
          <w:color w:val="auto"/>
        </w:rPr>
        <w:t xml:space="preserve"> with the </w:t>
      </w:r>
      <w:r w:rsidR="000B4581">
        <w:rPr>
          <w:rFonts w:cs="Arial"/>
          <w:color w:val="auto"/>
        </w:rPr>
        <w:t>criterion</w:t>
      </w:r>
      <w:r>
        <w:rPr>
          <w:rFonts w:cs="Arial"/>
          <w:color w:val="auto"/>
        </w:rPr>
        <w:t xml:space="preserve"> compared to the status quo. Compared to the status quo, it</w:t>
      </w:r>
      <w:r w:rsidRPr="00224EC3">
        <w:rPr>
          <w:rFonts w:cs="Arial"/>
          <w:color w:val="auto"/>
        </w:rPr>
        <w:t xml:space="preserve"> would significantly undermine equity within the sector as community sector </w:t>
      </w:r>
      <w:r w:rsidR="00BA4E89">
        <w:rPr>
          <w:rFonts w:cs="Arial"/>
          <w:color w:val="auto"/>
        </w:rPr>
        <w:t>employee</w:t>
      </w:r>
      <w:r w:rsidRPr="00224EC3">
        <w:rPr>
          <w:rFonts w:cs="Arial"/>
          <w:color w:val="auto"/>
        </w:rPr>
        <w:t xml:space="preserve">s deliver services to clients of all ages. </w:t>
      </w:r>
      <w:r w:rsidRPr="00952980">
        <w:rPr>
          <w:rFonts w:cs="Arial"/>
          <w:color w:val="auto"/>
        </w:rPr>
        <w:t>Services in a private home should properly be considered community services and not aged care</w:t>
      </w:r>
      <w:r>
        <w:rPr>
          <w:rFonts w:cs="Arial"/>
          <w:color w:val="auto"/>
        </w:rPr>
        <w:t xml:space="preserve"> </w:t>
      </w:r>
      <w:r w:rsidR="00FF0A98">
        <w:rPr>
          <w:rFonts w:cs="Arial"/>
          <w:color w:val="auto"/>
        </w:rPr>
        <w:t xml:space="preserve">services </w:t>
      </w:r>
      <w:r>
        <w:rPr>
          <w:rFonts w:cs="Arial"/>
          <w:color w:val="auto"/>
        </w:rPr>
        <w:t>to promote equity within the sector</w:t>
      </w:r>
      <w:r w:rsidRPr="00952980">
        <w:rPr>
          <w:rFonts w:cs="Arial"/>
          <w:color w:val="auto"/>
        </w:rPr>
        <w:t>.</w:t>
      </w:r>
      <w:r>
        <w:rPr>
          <w:rFonts w:cs="Arial"/>
          <w:color w:val="auto"/>
        </w:rPr>
        <w:t xml:space="preserve"> </w:t>
      </w:r>
    </w:p>
    <w:p w14:paraId="666BB4C7" w14:textId="55AB9E4F" w:rsidR="00791100" w:rsidRDefault="00791100" w:rsidP="00CA051E">
      <w:pPr>
        <w:pStyle w:val="Heading7"/>
      </w:pPr>
      <w:r>
        <w:t>I</w:t>
      </w:r>
      <w:r w:rsidRPr="00866686">
        <w:t xml:space="preserve">mpact on </w:t>
      </w:r>
      <w:r w:rsidR="00DB01D9">
        <w:t>employers</w:t>
      </w:r>
      <w:r>
        <w:t xml:space="preserve"> – financial cost</w:t>
      </w:r>
    </w:p>
    <w:p w14:paraId="4D032FC0" w14:textId="5CE4A2B5" w:rsidR="00791100" w:rsidRPr="00337958" w:rsidRDefault="00791100" w:rsidP="00791100">
      <w:pPr>
        <w:pStyle w:val="BodyText"/>
        <w:rPr>
          <w:rFonts w:cs="Arial"/>
          <w:color w:val="auto"/>
        </w:rPr>
      </w:pPr>
      <w:r>
        <w:rPr>
          <w:rFonts w:cs="Arial"/>
          <w:color w:val="auto"/>
        </w:rPr>
        <w:t xml:space="preserve">This option is somewhat more aligned with the </w:t>
      </w:r>
      <w:r w:rsidR="000B4581">
        <w:rPr>
          <w:rFonts w:cs="Arial"/>
          <w:color w:val="auto"/>
        </w:rPr>
        <w:t>criterion</w:t>
      </w:r>
      <w:r>
        <w:rPr>
          <w:rFonts w:cs="Arial"/>
          <w:color w:val="auto"/>
        </w:rPr>
        <w:t xml:space="preserve"> compared to the status quo. It </w:t>
      </w:r>
      <w:r w:rsidRPr="00952980">
        <w:rPr>
          <w:rFonts w:cs="Arial"/>
          <w:color w:val="auto"/>
        </w:rPr>
        <w:t xml:space="preserve">would reduce the financial impact on employers </w:t>
      </w:r>
      <w:r>
        <w:rPr>
          <w:rFonts w:cs="Arial"/>
          <w:color w:val="auto"/>
        </w:rPr>
        <w:t xml:space="preserve">compared to the status quo, </w:t>
      </w:r>
      <w:r w:rsidRPr="00952980">
        <w:rPr>
          <w:rFonts w:cs="Arial"/>
          <w:color w:val="auto"/>
        </w:rPr>
        <w:t xml:space="preserve">as </w:t>
      </w:r>
      <w:r>
        <w:rPr>
          <w:rFonts w:cs="Arial"/>
          <w:color w:val="auto"/>
        </w:rPr>
        <w:t>care work involving ‘aged’</w:t>
      </w:r>
      <w:r w:rsidRPr="00952980">
        <w:rPr>
          <w:rFonts w:cs="Arial"/>
          <w:color w:val="auto"/>
        </w:rPr>
        <w:t xml:space="preserve"> patients would not be covered the Scheme.</w:t>
      </w:r>
    </w:p>
    <w:p w14:paraId="0E4BC374" w14:textId="75C407A1" w:rsidR="00791100" w:rsidRDefault="00791100" w:rsidP="00CA051E">
      <w:pPr>
        <w:pStyle w:val="Heading7"/>
      </w:pPr>
      <w:r>
        <w:t>I</w:t>
      </w:r>
      <w:r w:rsidRPr="00866686">
        <w:t xml:space="preserve">mpact on </w:t>
      </w:r>
      <w:r w:rsidR="00DB01D9">
        <w:t>employers</w:t>
      </w:r>
      <w:r>
        <w:t xml:space="preserve"> – cost of uncertainty and administration</w:t>
      </w:r>
    </w:p>
    <w:p w14:paraId="0B95DF6F" w14:textId="1C284EFE" w:rsidR="00791100" w:rsidRPr="00952980" w:rsidRDefault="00791100" w:rsidP="00791100">
      <w:pPr>
        <w:pStyle w:val="BodyText"/>
        <w:rPr>
          <w:color w:val="auto"/>
        </w:rPr>
      </w:pPr>
      <w:r w:rsidRPr="00952980">
        <w:rPr>
          <w:rFonts w:cs="Arial"/>
          <w:color w:val="auto"/>
        </w:rPr>
        <w:t>Th</w:t>
      </w:r>
      <w:r w:rsidR="00FF0A98">
        <w:rPr>
          <w:rFonts w:cs="Arial"/>
          <w:color w:val="auto"/>
        </w:rPr>
        <w:t>is</w:t>
      </w:r>
      <w:r w:rsidRPr="00952980">
        <w:rPr>
          <w:rFonts w:cs="Arial"/>
          <w:color w:val="auto"/>
        </w:rPr>
        <w:t xml:space="preserve"> option</w:t>
      </w:r>
      <w:r>
        <w:rPr>
          <w:rFonts w:cs="Arial"/>
          <w:color w:val="auto"/>
        </w:rPr>
        <w:t xml:space="preserve"> is </w:t>
      </w:r>
      <w:r w:rsidR="000B4581">
        <w:rPr>
          <w:rFonts w:cs="Arial"/>
          <w:color w:val="auto"/>
        </w:rPr>
        <w:t>less aligned</w:t>
      </w:r>
      <w:r>
        <w:rPr>
          <w:rFonts w:cs="Arial"/>
          <w:color w:val="auto"/>
        </w:rPr>
        <w:t xml:space="preserve"> with the </w:t>
      </w:r>
      <w:r w:rsidR="000B4581">
        <w:rPr>
          <w:rFonts w:cs="Arial"/>
          <w:color w:val="auto"/>
        </w:rPr>
        <w:t>criterion</w:t>
      </w:r>
      <w:r>
        <w:rPr>
          <w:rFonts w:cs="Arial"/>
          <w:color w:val="auto"/>
        </w:rPr>
        <w:t xml:space="preserve"> compared to the status quo. It </w:t>
      </w:r>
      <w:r w:rsidRPr="00952980">
        <w:rPr>
          <w:rFonts w:cs="Arial"/>
          <w:color w:val="auto"/>
        </w:rPr>
        <w:t>would be a significant additional administrative burden on employers</w:t>
      </w:r>
      <w:r>
        <w:rPr>
          <w:rFonts w:cs="Arial"/>
          <w:color w:val="auto"/>
        </w:rPr>
        <w:t xml:space="preserve"> compared to the status quo</w:t>
      </w:r>
      <w:r w:rsidRPr="00952980">
        <w:rPr>
          <w:rFonts w:cs="Arial"/>
          <w:color w:val="auto"/>
        </w:rPr>
        <w:t>.</w:t>
      </w:r>
      <w:r>
        <w:rPr>
          <w:rFonts w:cs="Arial"/>
          <w:color w:val="auto"/>
        </w:rPr>
        <w:t xml:space="preserve"> Employers would need to track the age of their employees’ clients in addition to the type of work their employees perform to determine whether </w:t>
      </w:r>
      <w:r w:rsidR="00096F69">
        <w:rPr>
          <w:rFonts w:cs="Arial"/>
          <w:color w:val="auto"/>
        </w:rPr>
        <w:t>their organisation</w:t>
      </w:r>
      <w:r w:rsidR="00EB4037">
        <w:rPr>
          <w:rFonts w:cs="Arial"/>
          <w:color w:val="auto"/>
        </w:rPr>
        <w:t xml:space="preserve"> and their employees are</w:t>
      </w:r>
      <w:r>
        <w:rPr>
          <w:rFonts w:cs="Arial"/>
          <w:color w:val="auto"/>
        </w:rPr>
        <w:t xml:space="preserve"> within scope of the Scheme.</w:t>
      </w:r>
      <w:r w:rsidRPr="00952980">
        <w:rPr>
          <w:rFonts w:cs="Arial"/>
          <w:color w:val="auto"/>
        </w:rPr>
        <w:t xml:space="preserve"> </w:t>
      </w:r>
    </w:p>
    <w:p w14:paraId="0FA951D6" w14:textId="77777777" w:rsidR="00791100" w:rsidRPr="00866686" w:rsidRDefault="00791100" w:rsidP="00CA051E">
      <w:pPr>
        <w:pStyle w:val="Heading7"/>
      </w:pPr>
      <w:r w:rsidRPr="00866686">
        <w:t>Impact on the Authority</w:t>
      </w:r>
    </w:p>
    <w:p w14:paraId="31042D11" w14:textId="3AC11A5C" w:rsidR="00B32D99" w:rsidRDefault="00791100" w:rsidP="00791100">
      <w:pPr>
        <w:pStyle w:val="BodyText"/>
        <w:rPr>
          <w:rFonts w:cs="Arial"/>
          <w:color w:val="auto"/>
        </w:rPr>
      </w:pPr>
      <w:r>
        <w:rPr>
          <w:rFonts w:cs="Arial"/>
          <w:color w:val="auto"/>
        </w:rPr>
        <w:t>Th</w:t>
      </w:r>
      <w:r w:rsidR="00FF0A98">
        <w:rPr>
          <w:rFonts w:cs="Arial"/>
          <w:color w:val="auto"/>
        </w:rPr>
        <w:t>is</w:t>
      </w:r>
      <w:r>
        <w:rPr>
          <w:rFonts w:cs="Arial"/>
          <w:color w:val="auto"/>
        </w:rPr>
        <w:t xml:space="preserve"> option is more aligned with the </w:t>
      </w:r>
      <w:r w:rsidR="000B4581">
        <w:rPr>
          <w:rFonts w:cs="Arial"/>
          <w:color w:val="auto"/>
        </w:rPr>
        <w:t>criterion</w:t>
      </w:r>
      <w:r>
        <w:rPr>
          <w:rFonts w:cs="Arial"/>
          <w:color w:val="auto"/>
        </w:rPr>
        <w:t xml:space="preserve"> compared to the status quo. Th</w:t>
      </w:r>
      <w:r w:rsidR="00FF0A98">
        <w:rPr>
          <w:rFonts w:cs="Arial"/>
          <w:color w:val="auto"/>
        </w:rPr>
        <w:t>is</w:t>
      </w:r>
      <w:r>
        <w:rPr>
          <w:rFonts w:cs="Arial"/>
          <w:color w:val="auto"/>
        </w:rPr>
        <w:t xml:space="preserve"> option would provide clarity for the Authority that services provided to ‘aged’ patients are not within the scope of the Scheme. </w:t>
      </w:r>
      <w:r w:rsidRPr="004B3C99">
        <w:rPr>
          <w:rFonts w:cs="Arial"/>
          <w:color w:val="auto"/>
        </w:rPr>
        <w:t xml:space="preserve">This would assist the Authority </w:t>
      </w:r>
      <w:r>
        <w:rPr>
          <w:rFonts w:cs="Arial"/>
          <w:color w:val="auto"/>
        </w:rPr>
        <w:t>to administer the Scheme and provide</w:t>
      </w:r>
      <w:r w:rsidRPr="004B3C99">
        <w:rPr>
          <w:rFonts w:cs="Arial"/>
          <w:color w:val="auto"/>
        </w:rPr>
        <w:t xml:space="preserve"> clearer advice to employers</w:t>
      </w:r>
      <w:r>
        <w:rPr>
          <w:rFonts w:cs="Arial"/>
          <w:color w:val="auto"/>
        </w:rPr>
        <w:t xml:space="preserve"> and employees. </w:t>
      </w:r>
    </w:p>
    <w:p w14:paraId="7EDA1E44" w14:textId="1D1D1710" w:rsidR="00B32D99" w:rsidRDefault="00B32D99" w:rsidP="00B32D99">
      <w:pPr>
        <w:pStyle w:val="BodyText"/>
        <w:rPr>
          <w:rFonts w:cs="Arial"/>
          <w:color w:val="auto"/>
        </w:rPr>
      </w:pPr>
      <w:r>
        <w:rPr>
          <w:rFonts w:cs="Arial"/>
          <w:color w:val="auto"/>
        </w:rPr>
        <w:t>While there would be an overall reduction in pressure on the Authority compared to the status quo, the Authority would still expect to field a number of enquiries from employers as a test based on a client’s age is not as easy to administer as a test based on location. This</w:t>
      </w:r>
      <w:r w:rsidRPr="004B3C99">
        <w:rPr>
          <w:rFonts w:cs="Arial"/>
          <w:color w:val="auto"/>
        </w:rPr>
        <w:t xml:space="preserve"> is burdensome for the Authority as it is the responsib</w:t>
      </w:r>
      <w:r w:rsidR="00FF0A98">
        <w:rPr>
          <w:rFonts w:cs="Arial"/>
          <w:color w:val="auto"/>
        </w:rPr>
        <w:t>ility</w:t>
      </w:r>
      <w:r w:rsidRPr="004B3C99">
        <w:rPr>
          <w:rFonts w:cs="Arial"/>
          <w:color w:val="auto"/>
        </w:rPr>
        <w:t xml:space="preserve"> of the employer to apply the test.</w:t>
      </w:r>
      <w:r w:rsidR="000742E1">
        <w:rPr>
          <w:rFonts w:cs="Arial"/>
          <w:color w:val="auto"/>
        </w:rPr>
        <w:t xml:space="preserve"> It is also invasive of the client’s privacy.</w:t>
      </w:r>
    </w:p>
    <w:p w14:paraId="5AB926FF" w14:textId="77777777" w:rsidR="00791100" w:rsidRPr="002D71C2" w:rsidRDefault="00791100" w:rsidP="00CA051E">
      <w:pPr>
        <w:pStyle w:val="Heading6"/>
      </w:pPr>
      <w:r w:rsidRPr="002D71C2">
        <w:t>Option 3 – Exclude all work undertaken in a private residence from the definition of community service work for the purposes of the Scheme</w:t>
      </w:r>
    </w:p>
    <w:p w14:paraId="0C19FCC0" w14:textId="77777777" w:rsidR="00791100" w:rsidRPr="00866686" w:rsidRDefault="00791100" w:rsidP="00CA051E">
      <w:pPr>
        <w:pStyle w:val="Heading7"/>
      </w:pPr>
      <w:r w:rsidRPr="00866686">
        <w:t>Equity</w:t>
      </w:r>
      <w:r>
        <w:t xml:space="preserve"> for employees</w:t>
      </w:r>
    </w:p>
    <w:p w14:paraId="5C020BBE" w14:textId="04C0D79A" w:rsidR="00791100" w:rsidRPr="004B3C99" w:rsidRDefault="00791100" w:rsidP="00791100">
      <w:pPr>
        <w:pStyle w:val="BodyText"/>
        <w:rPr>
          <w:rFonts w:cs="Arial"/>
          <w:color w:val="auto"/>
        </w:rPr>
      </w:pPr>
      <w:r>
        <w:rPr>
          <w:rFonts w:cs="Arial"/>
          <w:color w:val="auto"/>
        </w:rPr>
        <w:t>Th</w:t>
      </w:r>
      <w:r w:rsidR="00FF0A98">
        <w:rPr>
          <w:rFonts w:cs="Arial"/>
          <w:color w:val="auto"/>
        </w:rPr>
        <w:t>is</w:t>
      </w:r>
      <w:r>
        <w:rPr>
          <w:rFonts w:cs="Arial"/>
          <w:color w:val="auto"/>
        </w:rPr>
        <w:t xml:space="preserve"> option is </w:t>
      </w:r>
      <w:r w:rsidR="000F2999">
        <w:rPr>
          <w:rFonts w:cs="Arial"/>
          <w:color w:val="auto"/>
        </w:rPr>
        <w:t xml:space="preserve">much </w:t>
      </w:r>
      <w:r w:rsidR="000B4581">
        <w:rPr>
          <w:rFonts w:cs="Arial"/>
          <w:color w:val="auto"/>
        </w:rPr>
        <w:t>less aligned</w:t>
      </w:r>
      <w:r>
        <w:rPr>
          <w:rFonts w:cs="Arial"/>
          <w:color w:val="auto"/>
        </w:rPr>
        <w:t xml:space="preserve"> with the </w:t>
      </w:r>
      <w:r w:rsidR="000B4581">
        <w:rPr>
          <w:rFonts w:cs="Arial"/>
          <w:color w:val="auto"/>
        </w:rPr>
        <w:t>criterion</w:t>
      </w:r>
      <w:r>
        <w:rPr>
          <w:rFonts w:cs="Arial"/>
          <w:color w:val="auto"/>
        </w:rPr>
        <w:t xml:space="preserve"> compared to the status quo. Compared to the status quo, </w:t>
      </w:r>
      <w:r w:rsidR="00BA4E89">
        <w:rPr>
          <w:rFonts w:cs="Arial"/>
          <w:color w:val="auto"/>
        </w:rPr>
        <w:t>employee</w:t>
      </w:r>
      <w:r w:rsidRPr="004B3C99">
        <w:rPr>
          <w:rFonts w:cs="Arial"/>
          <w:color w:val="auto"/>
        </w:rPr>
        <w:t>s who deliver community services in the home would be denied long service benefit portability</w:t>
      </w:r>
      <w:r>
        <w:rPr>
          <w:rFonts w:cs="Arial"/>
          <w:color w:val="auto"/>
        </w:rPr>
        <w:t xml:space="preserve"> </w:t>
      </w:r>
      <w:r w:rsidR="00EB4037">
        <w:rPr>
          <w:rFonts w:cs="Arial"/>
          <w:color w:val="auto"/>
        </w:rPr>
        <w:t>because this activity would no longer be defined as community service work for the purposes of the Scheme</w:t>
      </w:r>
      <w:r w:rsidR="00FF0A98">
        <w:rPr>
          <w:rFonts w:cs="Arial"/>
          <w:color w:val="auto"/>
        </w:rPr>
        <w:t>,</w:t>
      </w:r>
      <w:r w:rsidRPr="004B3C99">
        <w:rPr>
          <w:rFonts w:cs="Arial"/>
          <w:color w:val="auto"/>
        </w:rPr>
        <w:t xml:space="preserve"> </w:t>
      </w:r>
      <w:r w:rsidR="00FF0A98">
        <w:rPr>
          <w:rFonts w:cs="Arial"/>
          <w:color w:val="auto"/>
        </w:rPr>
        <w:t>w</w:t>
      </w:r>
      <w:r w:rsidRPr="004B3C99">
        <w:rPr>
          <w:rFonts w:cs="Arial"/>
          <w:color w:val="auto"/>
        </w:rPr>
        <w:t>hereas, a</w:t>
      </w:r>
      <w:r w:rsidR="00BA4E89">
        <w:rPr>
          <w:rFonts w:cs="Arial"/>
          <w:color w:val="auto"/>
        </w:rPr>
        <w:t>n</w:t>
      </w:r>
      <w:r w:rsidRPr="004B3C99">
        <w:rPr>
          <w:rFonts w:cs="Arial"/>
          <w:color w:val="auto"/>
        </w:rPr>
        <w:t xml:space="preserve"> </w:t>
      </w:r>
      <w:r w:rsidR="00BA4E89">
        <w:rPr>
          <w:rFonts w:cs="Arial"/>
          <w:color w:val="auto"/>
        </w:rPr>
        <w:t>employee</w:t>
      </w:r>
      <w:r w:rsidRPr="004B3C99">
        <w:rPr>
          <w:rFonts w:cs="Arial"/>
          <w:color w:val="auto"/>
        </w:rPr>
        <w:t xml:space="preserve"> delivering the same service within a community service provider</w:t>
      </w:r>
      <w:r>
        <w:rPr>
          <w:rFonts w:cs="Arial"/>
          <w:color w:val="auto"/>
        </w:rPr>
        <w:t>’s premises</w:t>
      </w:r>
      <w:r w:rsidRPr="004B3C99">
        <w:rPr>
          <w:rFonts w:cs="Arial"/>
          <w:color w:val="auto"/>
        </w:rPr>
        <w:t xml:space="preserve"> would be covered by the Scheme. </w:t>
      </w:r>
      <w:r>
        <w:rPr>
          <w:rFonts w:cs="Arial"/>
          <w:color w:val="auto"/>
        </w:rPr>
        <w:t>This would undermine</w:t>
      </w:r>
      <w:r w:rsidRPr="004B3C99">
        <w:rPr>
          <w:rFonts w:cs="Arial"/>
          <w:color w:val="auto"/>
        </w:rPr>
        <w:t xml:space="preserve"> equity of long service entitlements within the sector.</w:t>
      </w:r>
    </w:p>
    <w:p w14:paraId="5589687D" w14:textId="6458ACF5" w:rsidR="00791100" w:rsidRDefault="00791100" w:rsidP="00CA051E">
      <w:pPr>
        <w:pStyle w:val="Heading7"/>
      </w:pPr>
      <w:r>
        <w:t>I</w:t>
      </w:r>
      <w:r w:rsidRPr="00866686">
        <w:t xml:space="preserve">mpact on </w:t>
      </w:r>
      <w:r w:rsidR="00DB01D9">
        <w:t>employers</w:t>
      </w:r>
      <w:r>
        <w:t xml:space="preserve"> – financial cost</w:t>
      </w:r>
    </w:p>
    <w:p w14:paraId="137A75E7" w14:textId="1E6AA086" w:rsidR="00791100" w:rsidRPr="00337958" w:rsidRDefault="00791100" w:rsidP="00791100">
      <w:pPr>
        <w:pStyle w:val="BodyText"/>
        <w:rPr>
          <w:rFonts w:cs="Arial"/>
          <w:color w:val="auto"/>
        </w:rPr>
      </w:pPr>
      <w:r>
        <w:rPr>
          <w:rFonts w:cs="Arial"/>
          <w:color w:val="auto"/>
        </w:rPr>
        <w:t>Th</w:t>
      </w:r>
      <w:r w:rsidR="00FF0A98">
        <w:rPr>
          <w:rFonts w:cs="Arial"/>
          <w:color w:val="auto"/>
        </w:rPr>
        <w:t>is</w:t>
      </w:r>
      <w:r>
        <w:rPr>
          <w:rFonts w:cs="Arial"/>
          <w:color w:val="auto"/>
        </w:rPr>
        <w:t xml:space="preserve"> option is more aligned with the </w:t>
      </w:r>
      <w:r w:rsidR="000B4581">
        <w:rPr>
          <w:rFonts w:cs="Arial"/>
          <w:color w:val="auto"/>
        </w:rPr>
        <w:t>criterion</w:t>
      </w:r>
      <w:r>
        <w:rPr>
          <w:rFonts w:cs="Arial"/>
          <w:color w:val="auto"/>
        </w:rPr>
        <w:t xml:space="preserve"> compared to the status quo. It would result </w:t>
      </w:r>
      <w:r w:rsidRPr="004B3C99">
        <w:rPr>
          <w:rFonts w:cs="Arial"/>
          <w:color w:val="auto"/>
        </w:rPr>
        <w:t xml:space="preserve">in some </w:t>
      </w:r>
      <w:r w:rsidR="00BA4E89">
        <w:rPr>
          <w:rFonts w:cs="Arial"/>
          <w:color w:val="auto"/>
        </w:rPr>
        <w:t>employee</w:t>
      </w:r>
      <w:r w:rsidRPr="004B3C99">
        <w:rPr>
          <w:rFonts w:cs="Arial"/>
          <w:color w:val="auto"/>
        </w:rPr>
        <w:t>s losing access to the Scheme</w:t>
      </w:r>
      <w:r>
        <w:rPr>
          <w:rFonts w:cs="Arial"/>
          <w:color w:val="auto"/>
        </w:rPr>
        <w:t xml:space="preserve"> which would have a financial benefit for employers who would no longer </w:t>
      </w:r>
      <w:r w:rsidR="005A3ACE">
        <w:rPr>
          <w:rFonts w:cs="Arial"/>
          <w:color w:val="auto"/>
        </w:rPr>
        <w:t xml:space="preserve">be required </w:t>
      </w:r>
      <w:r>
        <w:rPr>
          <w:rFonts w:cs="Arial"/>
          <w:color w:val="auto"/>
        </w:rPr>
        <w:t xml:space="preserve">to pay </w:t>
      </w:r>
      <w:r w:rsidR="00F35678">
        <w:rPr>
          <w:rFonts w:cs="Arial"/>
          <w:color w:val="auto"/>
        </w:rPr>
        <w:t>levie</w:t>
      </w:r>
      <w:r>
        <w:rPr>
          <w:rFonts w:cs="Arial"/>
          <w:color w:val="auto"/>
        </w:rPr>
        <w:t>s to the Authority on their behalf. This is because employers and their employees delivering com</w:t>
      </w:r>
      <w:r w:rsidR="00EB4037">
        <w:rPr>
          <w:rFonts w:cs="Arial"/>
          <w:color w:val="auto"/>
        </w:rPr>
        <w:t>munity services in the home would</w:t>
      </w:r>
      <w:r>
        <w:rPr>
          <w:rFonts w:cs="Arial"/>
          <w:color w:val="auto"/>
        </w:rPr>
        <w:t xml:space="preserve"> no </w:t>
      </w:r>
      <w:r w:rsidR="00EB4037">
        <w:rPr>
          <w:rFonts w:cs="Arial"/>
          <w:color w:val="auto"/>
        </w:rPr>
        <w:t>longer be performing community service work for the purposes of the Scheme</w:t>
      </w:r>
      <w:r w:rsidR="0055008B">
        <w:rPr>
          <w:rFonts w:cs="Arial"/>
          <w:color w:val="auto"/>
        </w:rPr>
        <w:t xml:space="preserve">. </w:t>
      </w:r>
    </w:p>
    <w:p w14:paraId="5C09E75F" w14:textId="70B897A2" w:rsidR="00791100" w:rsidRDefault="00791100" w:rsidP="00CA051E">
      <w:pPr>
        <w:pStyle w:val="Heading7"/>
      </w:pPr>
      <w:r>
        <w:lastRenderedPageBreak/>
        <w:t>I</w:t>
      </w:r>
      <w:r w:rsidRPr="00866686">
        <w:t xml:space="preserve">mpact on </w:t>
      </w:r>
      <w:r w:rsidR="00DB01D9">
        <w:t>employers</w:t>
      </w:r>
      <w:r>
        <w:t xml:space="preserve"> – cost of uncertainty and administration</w:t>
      </w:r>
    </w:p>
    <w:p w14:paraId="02FE1A28" w14:textId="335175E0" w:rsidR="00791100" w:rsidRPr="004B3C99" w:rsidRDefault="00791100" w:rsidP="00791100">
      <w:pPr>
        <w:pStyle w:val="BodyText"/>
        <w:rPr>
          <w:rFonts w:cs="Arial"/>
          <w:color w:val="auto"/>
        </w:rPr>
      </w:pPr>
      <w:r>
        <w:rPr>
          <w:rFonts w:cs="Arial"/>
          <w:color w:val="auto"/>
        </w:rPr>
        <w:t>Th</w:t>
      </w:r>
      <w:r w:rsidR="00FF0A98">
        <w:rPr>
          <w:rFonts w:cs="Arial"/>
          <w:color w:val="auto"/>
        </w:rPr>
        <w:t>is</w:t>
      </w:r>
      <w:r>
        <w:rPr>
          <w:rFonts w:cs="Arial"/>
          <w:color w:val="auto"/>
        </w:rPr>
        <w:t xml:space="preserve"> option is somewhat more aligned with the </w:t>
      </w:r>
      <w:r w:rsidR="000B4581">
        <w:rPr>
          <w:rFonts w:cs="Arial"/>
          <w:color w:val="auto"/>
        </w:rPr>
        <w:t>criterion</w:t>
      </w:r>
      <w:r>
        <w:rPr>
          <w:rFonts w:cs="Arial"/>
          <w:color w:val="auto"/>
        </w:rPr>
        <w:t xml:space="preserve"> compared to the status quo. T</w:t>
      </w:r>
      <w:r w:rsidRPr="004B3C99">
        <w:rPr>
          <w:rFonts w:cs="Arial"/>
          <w:color w:val="auto"/>
        </w:rPr>
        <w:t>his option would provide clarity to employers that all work undertaken in the home is out of scope for the purposes of the Scheme.</w:t>
      </w:r>
      <w:r>
        <w:rPr>
          <w:rFonts w:cs="Arial"/>
          <w:color w:val="auto"/>
        </w:rPr>
        <w:t xml:space="preserve"> However, th</w:t>
      </w:r>
      <w:r w:rsidR="00FF0A98">
        <w:rPr>
          <w:rFonts w:cs="Arial"/>
          <w:color w:val="auto"/>
        </w:rPr>
        <w:t>is</w:t>
      </w:r>
      <w:r>
        <w:rPr>
          <w:rFonts w:cs="Arial"/>
          <w:color w:val="auto"/>
        </w:rPr>
        <w:t xml:space="preserve"> option</w:t>
      </w:r>
      <w:r w:rsidRPr="004B3C99">
        <w:rPr>
          <w:rFonts w:cs="Arial"/>
          <w:color w:val="auto"/>
        </w:rPr>
        <w:t xml:space="preserve"> is expected to </w:t>
      </w:r>
      <w:r>
        <w:rPr>
          <w:rFonts w:cs="Arial"/>
          <w:color w:val="auto"/>
        </w:rPr>
        <w:t xml:space="preserve">marginally </w:t>
      </w:r>
      <w:r w:rsidRPr="004B3C99">
        <w:rPr>
          <w:rFonts w:cs="Arial"/>
          <w:color w:val="auto"/>
        </w:rPr>
        <w:t xml:space="preserve">add to the administrative burden on employers. </w:t>
      </w:r>
      <w:r>
        <w:rPr>
          <w:rFonts w:cs="Arial"/>
          <w:color w:val="auto"/>
        </w:rPr>
        <w:t>Compared to the status quo,</w:t>
      </w:r>
      <w:r w:rsidRPr="004B3C99">
        <w:rPr>
          <w:rFonts w:cs="Arial"/>
          <w:color w:val="auto"/>
        </w:rPr>
        <w:t xml:space="preserve"> employers would need to track where work is undertaken in addition to the type of work undertaken in determining eligibility</w:t>
      </w:r>
      <w:r>
        <w:rPr>
          <w:rFonts w:cs="Arial"/>
          <w:color w:val="auto"/>
        </w:rPr>
        <w:t xml:space="preserve"> for the Scheme</w:t>
      </w:r>
      <w:r w:rsidRPr="004B3C99">
        <w:rPr>
          <w:rFonts w:cs="Arial"/>
          <w:color w:val="auto"/>
        </w:rPr>
        <w:t xml:space="preserve">. </w:t>
      </w:r>
    </w:p>
    <w:p w14:paraId="693E208F" w14:textId="77777777" w:rsidR="00791100" w:rsidRPr="00866686" w:rsidRDefault="00791100" w:rsidP="00CA051E">
      <w:pPr>
        <w:pStyle w:val="Heading7"/>
      </w:pPr>
      <w:r w:rsidRPr="00866686">
        <w:t>Impact on the Authority</w:t>
      </w:r>
    </w:p>
    <w:p w14:paraId="6E911978" w14:textId="17A8717A" w:rsidR="00791100" w:rsidRDefault="00791100" w:rsidP="00DB3ADD">
      <w:pPr>
        <w:pStyle w:val="BodyText"/>
        <w:rPr>
          <w:rFonts w:cs="Arial"/>
          <w:color w:val="auto"/>
        </w:rPr>
      </w:pPr>
      <w:r>
        <w:rPr>
          <w:rFonts w:cs="Arial"/>
          <w:color w:val="auto"/>
        </w:rPr>
        <w:t>Th</w:t>
      </w:r>
      <w:r w:rsidR="00FF0A98">
        <w:rPr>
          <w:rFonts w:cs="Arial"/>
          <w:color w:val="auto"/>
        </w:rPr>
        <w:t>is</w:t>
      </w:r>
      <w:r>
        <w:rPr>
          <w:rFonts w:cs="Arial"/>
          <w:color w:val="auto"/>
        </w:rPr>
        <w:t xml:space="preserve"> option is much more aligned with the </w:t>
      </w:r>
      <w:r w:rsidR="000B4581">
        <w:rPr>
          <w:rFonts w:cs="Arial"/>
          <w:color w:val="auto"/>
        </w:rPr>
        <w:t>criterion</w:t>
      </w:r>
      <w:r>
        <w:rPr>
          <w:rFonts w:cs="Arial"/>
          <w:color w:val="auto"/>
        </w:rPr>
        <w:t xml:space="preserve"> compared to the status quo. T</w:t>
      </w:r>
      <w:r w:rsidRPr="004B3C99">
        <w:rPr>
          <w:rFonts w:cs="Arial"/>
          <w:color w:val="auto"/>
        </w:rPr>
        <w:t xml:space="preserve">his </w:t>
      </w:r>
      <w:r>
        <w:rPr>
          <w:rFonts w:cs="Arial"/>
          <w:color w:val="auto"/>
        </w:rPr>
        <w:t xml:space="preserve">option would provide clarity </w:t>
      </w:r>
      <w:r w:rsidRPr="004B3C99">
        <w:rPr>
          <w:rFonts w:cs="Arial"/>
          <w:color w:val="auto"/>
        </w:rPr>
        <w:t>that all work undertaken in the home is not defined as community service work for the purposes of the Scheme. This would assist the Authority to administer the Scheme and</w:t>
      </w:r>
      <w:r w:rsidR="00096F69">
        <w:rPr>
          <w:rFonts w:cs="Arial"/>
          <w:color w:val="auto"/>
        </w:rPr>
        <w:t xml:space="preserve"> to</w:t>
      </w:r>
      <w:r w:rsidRPr="004B3C99">
        <w:rPr>
          <w:rFonts w:cs="Arial"/>
          <w:color w:val="auto"/>
        </w:rPr>
        <w:t xml:space="preserve"> </w:t>
      </w:r>
      <w:r>
        <w:rPr>
          <w:rFonts w:cs="Arial"/>
          <w:color w:val="auto"/>
        </w:rPr>
        <w:t>provide</w:t>
      </w:r>
      <w:r w:rsidRPr="004B3C99">
        <w:rPr>
          <w:rFonts w:cs="Arial"/>
          <w:color w:val="auto"/>
        </w:rPr>
        <w:t xml:space="preserve"> clearer advice to employers</w:t>
      </w:r>
      <w:r>
        <w:rPr>
          <w:rFonts w:cs="Arial"/>
          <w:color w:val="auto"/>
        </w:rPr>
        <w:t xml:space="preserve"> and employees</w:t>
      </w:r>
      <w:r w:rsidRPr="004B3C99">
        <w:rPr>
          <w:rFonts w:cs="Arial"/>
          <w:color w:val="auto"/>
        </w:rPr>
        <w:t>. Determining eligibility would remain the responsibility of employers.</w:t>
      </w:r>
    </w:p>
    <w:tbl>
      <w:tblPr>
        <w:tblStyle w:val="TableGrid"/>
        <w:tblW w:w="9026" w:type="dxa"/>
        <w:tblLook w:val="04A0" w:firstRow="1" w:lastRow="0" w:firstColumn="1" w:lastColumn="0" w:noHBand="0" w:noVBand="1"/>
      </w:tblPr>
      <w:tblGrid>
        <w:gridCol w:w="9026"/>
      </w:tblGrid>
      <w:tr w:rsidR="006D166D" w:rsidRPr="00F738AD" w14:paraId="08FE3EF6" w14:textId="77777777" w:rsidTr="00DB01D9">
        <w:trPr>
          <w:tblHeader/>
        </w:trPr>
        <w:tc>
          <w:tcPr>
            <w:tcW w:w="9026" w:type="dxa"/>
            <w:tcBorders>
              <w:left w:val="nil"/>
            </w:tcBorders>
            <w:shd w:val="clear" w:color="auto" w:fill="002060"/>
          </w:tcPr>
          <w:p w14:paraId="1AECC996" w14:textId="77777777" w:rsidR="006D166D" w:rsidRPr="00F738AD" w:rsidRDefault="006D166D" w:rsidP="00DB01D9">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6D166D" w:rsidRPr="00EC5379" w14:paraId="4D101AE3" w14:textId="77777777" w:rsidTr="00FF0A98">
        <w:tc>
          <w:tcPr>
            <w:tcW w:w="9026" w:type="dxa"/>
            <w:tcBorders>
              <w:left w:val="nil"/>
            </w:tcBorders>
            <w:shd w:val="clear" w:color="auto" w:fill="DEEAF6" w:themeFill="accent1" w:themeFillTint="33"/>
          </w:tcPr>
          <w:p w14:paraId="5C15D819" w14:textId="169FCDF3" w:rsidR="006D166D" w:rsidRPr="00DB3ADD" w:rsidRDefault="00FF0A98" w:rsidP="00FF0A98">
            <w:pPr>
              <w:pStyle w:val="BodyText"/>
              <w:ind w:left="459" w:hanging="459"/>
            </w:pPr>
            <w:r>
              <w:rPr>
                <w:rFonts w:cs="Arial"/>
                <w:b/>
              </w:rPr>
              <w:t>S.9</w:t>
            </w:r>
            <w:r>
              <w:rPr>
                <w:rFonts w:cs="Arial"/>
                <w:b/>
              </w:rPr>
              <w:tab/>
            </w:r>
            <w:r w:rsidR="006D166D">
              <w:rPr>
                <w:rFonts w:cs="Arial"/>
              </w:rPr>
              <w:t>Which option best ensures that employees across the community services sector have fair and equitable access to the Scheme?</w:t>
            </w:r>
          </w:p>
        </w:tc>
      </w:tr>
    </w:tbl>
    <w:p w14:paraId="690A83A6" w14:textId="4D9BCB47" w:rsidR="00807495" w:rsidRPr="00EC5379" w:rsidRDefault="00807495" w:rsidP="00D44303">
      <w:pPr>
        <w:pStyle w:val="Heading3"/>
        <w:tabs>
          <w:tab w:val="clear" w:pos="5115"/>
        </w:tabs>
        <w:spacing w:before="100" w:beforeAutospacing="1" w:after="100" w:afterAutospacing="1"/>
        <w:ind w:left="709"/>
        <w:rPr>
          <w:rFonts w:ascii="Arial" w:hAnsi="Arial" w:cs="Arial"/>
        </w:rPr>
      </w:pPr>
      <w:r w:rsidRPr="00EC5379">
        <w:rPr>
          <w:rFonts w:ascii="Arial" w:hAnsi="Arial" w:cs="Arial"/>
        </w:rPr>
        <w:t xml:space="preserve">Who is </w:t>
      </w:r>
      <w:r w:rsidR="0071726F" w:rsidRPr="00AD518C">
        <w:rPr>
          <w:rFonts w:ascii="Arial" w:hAnsi="Arial" w:cs="Arial"/>
        </w:rPr>
        <w:t xml:space="preserve">regarded as </w:t>
      </w:r>
      <w:r w:rsidRPr="00EC5379">
        <w:rPr>
          <w:rFonts w:ascii="Arial" w:hAnsi="Arial" w:cs="Arial"/>
        </w:rPr>
        <w:t>an employer in the community services sector</w:t>
      </w:r>
    </w:p>
    <w:p w14:paraId="4A05DE94" w14:textId="341601FB" w:rsidR="004D21B4" w:rsidRPr="00221627" w:rsidRDefault="00807495" w:rsidP="0089060C">
      <w:pPr>
        <w:rPr>
          <w:rFonts w:ascii="Arial" w:hAnsi="Arial" w:cs="Arial"/>
        </w:rPr>
      </w:pPr>
      <w:r w:rsidRPr="00EC5379">
        <w:rPr>
          <w:rFonts w:ascii="Arial" w:hAnsi="Arial" w:cs="Arial"/>
          <w:color w:val="auto"/>
        </w:rPr>
        <w:t xml:space="preserve">As discussed in </w:t>
      </w:r>
      <w:r w:rsidR="00037AD6" w:rsidRPr="00EC5379">
        <w:rPr>
          <w:rFonts w:ascii="Arial" w:hAnsi="Arial" w:cs="Arial"/>
          <w:color w:val="auto"/>
        </w:rPr>
        <w:t>section</w:t>
      </w:r>
      <w:r w:rsidR="001A238C">
        <w:rPr>
          <w:rFonts w:ascii="Arial" w:hAnsi="Arial" w:cs="Arial"/>
          <w:color w:val="auto"/>
        </w:rPr>
        <w:t xml:space="preserve"> </w:t>
      </w:r>
      <w:r w:rsidR="0001065F">
        <w:rPr>
          <w:rFonts w:ascii="Arial" w:hAnsi="Arial" w:cs="Arial"/>
          <w:color w:val="auto"/>
        </w:rPr>
        <w:fldChar w:fldCharType="begin"/>
      </w:r>
      <w:r w:rsidR="0001065F">
        <w:rPr>
          <w:rFonts w:ascii="Arial" w:hAnsi="Arial" w:cs="Arial"/>
          <w:color w:val="auto"/>
        </w:rPr>
        <w:instrText xml:space="preserve"> REF _Ref36731262 \r \h </w:instrText>
      </w:r>
      <w:r w:rsidR="0001065F">
        <w:rPr>
          <w:rFonts w:ascii="Arial" w:hAnsi="Arial" w:cs="Arial"/>
          <w:color w:val="auto"/>
        </w:rPr>
      </w:r>
      <w:r w:rsidR="0001065F">
        <w:rPr>
          <w:rFonts w:ascii="Arial" w:hAnsi="Arial" w:cs="Arial"/>
          <w:color w:val="auto"/>
        </w:rPr>
        <w:fldChar w:fldCharType="separate"/>
      </w:r>
      <w:r w:rsidR="0001065F">
        <w:rPr>
          <w:rFonts w:ascii="Arial" w:hAnsi="Arial" w:cs="Arial"/>
          <w:color w:val="auto"/>
        </w:rPr>
        <w:t>3.2</w:t>
      </w:r>
      <w:r w:rsidR="0001065F">
        <w:rPr>
          <w:rFonts w:ascii="Arial" w:hAnsi="Arial" w:cs="Arial"/>
          <w:color w:val="auto"/>
        </w:rPr>
        <w:fldChar w:fldCharType="end"/>
      </w:r>
      <w:r w:rsidRPr="00EC5379">
        <w:rPr>
          <w:rFonts w:ascii="Arial" w:hAnsi="Arial" w:cs="Arial"/>
          <w:color w:val="auto"/>
        </w:rPr>
        <w:t xml:space="preserve">, the </w:t>
      </w:r>
      <w:r w:rsidR="000B4581">
        <w:rPr>
          <w:rFonts w:ascii="Arial" w:hAnsi="Arial" w:cs="Arial"/>
          <w:color w:val="auto"/>
        </w:rPr>
        <w:t>criterion</w:t>
      </w:r>
      <w:r w:rsidR="00EC5379" w:rsidRPr="00EC5379">
        <w:rPr>
          <w:rFonts w:ascii="Arial" w:hAnsi="Arial" w:cs="Arial"/>
          <w:color w:val="auto"/>
        </w:rPr>
        <w:t xml:space="preserve"> for determining who is </w:t>
      </w:r>
      <w:r w:rsidR="0071726F">
        <w:rPr>
          <w:rFonts w:ascii="Arial" w:hAnsi="Arial" w:cs="Arial"/>
          <w:color w:val="auto"/>
        </w:rPr>
        <w:t xml:space="preserve">regarded as </w:t>
      </w:r>
      <w:r w:rsidR="00EC5379" w:rsidRPr="00EC5379">
        <w:rPr>
          <w:rFonts w:ascii="Arial" w:hAnsi="Arial" w:cs="Arial"/>
          <w:color w:val="auto"/>
        </w:rPr>
        <w:t xml:space="preserve">an employer in the community </w:t>
      </w:r>
      <w:r w:rsidR="00EC5379" w:rsidRPr="0089060C">
        <w:rPr>
          <w:rFonts w:ascii="Arial" w:hAnsi="Arial" w:cs="Arial"/>
        </w:rPr>
        <w:t>services</w:t>
      </w:r>
      <w:r w:rsidR="00EC5379" w:rsidRPr="00EC5379">
        <w:rPr>
          <w:rFonts w:ascii="Arial" w:hAnsi="Arial" w:cs="Arial"/>
          <w:color w:val="auto"/>
        </w:rPr>
        <w:t xml:space="preserve"> sector should </w:t>
      </w:r>
      <w:r w:rsidR="00221627">
        <w:rPr>
          <w:rFonts w:ascii="Arial" w:hAnsi="Arial" w:cs="Arial"/>
        </w:rPr>
        <w:t>p</w:t>
      </w:r>
      <w:r w:rsidR="00221627" w:rsidRPr="007F4727">
        <w:rPr>
          <w:rFonts w:ascii="Arial" w:hAnsi="Arial" w:cs="Arial"/>
        </w:rPr>
        <w:t xml:space="preserve">rovide certainty to </w:t>
      </w:r>
      <w:r w:rsidR="00BA4E89">
        <w:rPr>
          <w:rFonts w:ascii="Arial" w:hAnsi="Arial" w:cs="Arial"/>
        </w:rPr>
        <w:t>employee</w:t>
      </w:r>
      <w:r w:rsidR="00221627" w:rsidRPr="007F4727">
        <w:rPr>
          <w:rFonts w:ascii="Arial" w:hAnsi="Arial" w:cs="Arial"/>
        </w:rPr>
        <w:t xml:space="preserve">s and </w:t>
      </w:r>
      <w:r w:rsidR="00DB01D9">
        <w:rPr>
          <w:rFonts w:ascii="Arial" w:hAnsi="Arial" w:cs="Arial"/>
        </w:rPr>
        <w:t>employers</w:t>
      </w:r>
      <w:r w:rsidR="00221627" w:rsidRPr="007F4727">
        <w:rPr>
          <w:rFonts w:ascii="Arial" w:hAnsi="Arial" w:cs="Arial"/>
        </w:rPr>
        <w:t xml:space="preserve"> in the sector on which employers </w:t>
      </w:r>
      <w:r w:rsidR="00221627">
        <w:rPr>
          <w:rFonts w:ascii="Arial" w:hAnsi="Arial" w:cs="Arial"/>
        </w:rPr>
        <w:t>are covered by the S</w:t>
      </w:r>
      <w:r w:rsidR="00221627" w:rsidRPr="007F4727">
        <w:rPr>
          <w:rFonts w:ascii="Arial" w:hAnsi="Arial" w:cs="Arial"/>
        </w:rPr>
        <w:t>cheme</w:t>
      </w:r>
      <w:r w:rsidR="004D21B4">
        <w:rPr>
          <w:rFonts w:ascii="Arial" w:hAnsi="Arial" w:cs="Arial"/>
        </w:rPr>
        <w:t>, and ensure employees across the community services sector have fair and equitable access to the Scheme.</w:t>
      </w:r>
    </w:p>
    <w:p w14:paraId="0ED39840" w14:textId="184D5A27" w:rsidR="008D7140" w:rsidRPr="008D7140" w:rsidRDefault="008D7140" w:rsidP="00E61DE9">
      <w:pPr>
        <w:pStyle w:val="Heading4"/>
        <w:ind w:left="709"/>
        <w:rPr>
          <w:rFonts w:ascii="Arial" w:hAnsi="Arial" w:cs="Arial"/>
          <w:sz w:val="20"/>
          <w:szCs w:val="20"/>
        </w:rPr>
      </w:pPr>
      <w:bookmarkStart w:id="115" w:name="_Ref35436849"/>
      <w:r w:rsidRPr="008D7140">
        <w:rPr>
          <w:rFonts w:ascii="Arial" w:hAnsi="Arial" w:cs="Arial"/>
          <w:sz w:val="20"/>
          <w:szCs w:val="20"/>
        </w:rPr>
        <w:t>Employer predominance test</w:t>
      </w:r>
      <w:bookmarkEnd w:id="115"/>
    </w:p>
    <w:p w14:paraId="661EB6F0" w14:textId="013A2DC1" w:rsidR="00807495" w:rsidRPr="00EC5379" w:rsidRDefault="00807495" w:rsidP="00FF0A98">
      <w:pPr>
        <w:pStyle w:val="Bodytextkeepwithnext"/>
      </w:pPr>
      <w:r w:rsidRPr="00EC5379">
        <w:t xml:space="preserve">A summary of the options </w:t>
      </w:r>
      <w:r w:rsidR="00EC5379" w:rsidRPr="00EC5379">
        <w:t xml:space="preserve">for </w:t>
      </w:r>
      <w:r w:rsidR="00E61DE9">
        <w:t>addressing</w:t>
      </w:r>
      <w:r w:rsidR="008D7140">
        <w:t xml:space="preserve"> the problems identified with the employer predominance test</w:t>
      </w:r>
      <w:r w:rsidRPr="00EC5379">
        <w:t xml:space="preserve">, along with their relative scores compared to the </w:t>
      </w:r>
      <w:r w:rsidR="0013418B">
        <w:t>status quo</w:t>
      </w:r>
      <w:r w:rsidRPr="00EC5379">
        <w:t>, is as follows:</w:t>
      </w:r>
    </w:p>
    <w:p w14:paraId="435CFF36" w14:textId="68FA36E0" w:rsidR="00807495" w:rsidRPr="00EC5379" w:rsidRDefault="00807495" w:rsidP="00203494">
      <w:pPr>
        <w:pStyle w:val="Caption"/>
        <w:rPr>
          <w:rFonts w:ascii="Arial" w:hAnsi="Arial" w:cs="Arial"/>
        </w:rPr>
      </w:pPr>
      <w:r w:rsidRPr="00EC5379">
        <w:rPr>
          <w:rFonts w:ascii="Arial" w:hAnsi="Arial" w:cs="Arial"/>
        </w:rPr>
        <w:t xml:space="preserve">Table </w:t>
      </w:r>
      <w:r w:rsidRPr="00EC5379">
        <w:rPr>
          <w:rFonts w:ascii="Arial" w:hAnsi="Arial" w:cs="Arial"/>
          <w:noProof/>
        </w:rPr>
        <w:fldChar w:fldCharType="begin"/>
      </w:r>
      <w:r w:rsidRPr="00EC5379">
        <w:rPr>
          <w:rFonts w:ascii="Arial" w:hAnsi="Arial" w:cs="Arial"/>
          <w:noProof/>
        </w:rPr>
        <w:instrText xml:space="preserve"> SEQ Table \* ARABIC </w:instrText>
      </w:r>
      <w:r w:rsidRPr="00EC5379">
        <w:rPr>
          <w:rFonts w:ascii="Arial" w:hAnsi="Arial" w:cs="Arial"/>
          <w:noProof/>
        </w:rPr>
        <w:fldChar w:fldCharType="separate"/>
      </w:r>
      <w:r w:rsidR="00EB4037">
        <w:rPr>
          <w:rFonts w:ascii="Arial" w:hAnsi="Arial" w:cs="Arial"/>
          <w:noProof/>
        </w:rPr>
        <w:t>7</w:t>
      </w:r>
      <w:r w:rsidRPr="00EC5379">
        <w:rPr>
          <w:rFonts w:ascii="Arial" w:hAnsi="Arial" w:cs="Arial"/>
          <w:noProof/>
        </w:rPr>
        <w:fldChar w:fldCharType="end"/>
      </w:r>
      <w:r w:rsidRPr="00EC5379">
        <w:rPr>
          <w:rFonts w:ascii="Arial" w:hAnsi="Arial" w:cs="Arial"/>
        </w:rPr>
        <w:t xml:space="preserve">: Summary of </w:t>
      </w:r>
      <w:r w:rsidR="00174F37">
        <w:rPr>
          <w:rFonts w:ascii="Arial" w:hAnsi="Arial" w:cs="Arial"/>
        </w:rPr>
        <w:t xml:space="preserve">employer predominance test </w:t>
      </w:r>
      <w:r w:rsidRPr="00EC5379">
        <w:rPr>
          <w:rFonts w:ascii="Arial" w:hAnsi="Arial" w:cs="Arial"/>
        </w:rPr>
        <w:t>impact analysis</w:t>
      </w:r>
    </w:p>
    <w:tbl>
      <w:tblPr>
        <w:tblStyle w:val="TableGrid"/>
        <w:tblW w:w="9072" w:type="dxa"/>
        <w:tblLayout w:type="fixed"/>
        <w:tblLook w:val="04A0" w:firstRow="1" w:lastRow="0" w:firstColumn="1" w:lastColumn="0" w:noHBand="0" w:noVBand="1"/>
      </w:tblPr>
      <w:tblGrid>
        <w:gridCol w:w="2552"/>
        <w:gridCol w:w="1304"/>
        <w:gridCol w:w="1304"/>
        <w:gridCol w:w="1304"/>
        <w:gridCol w:w="1304"/>
        <w:gridCol w:w="1304"/>
      </w:tblGrid>
      <w:tr w:rsidR="00807495" w:rsidRPr="00F738AD" w14:paraId="60E40A88" w14:textId="77777777" w:rsidTr="00337958">
        <w:trPr>
          <w:trHeight w:val="442"/>
        </w:trPr>
        <w:tc>
          <w:tcPr>
            <w:tcW w:w="2552" w:type="dxa"/>
            <w:vMerge w:val="restart"/>
            <w:tcBorders>
              <w:top w:val="single" w:sz="4" w:space="0" w:color="auto"/>
              <w:left w:val="nil"/>
              <w:right w:val="single" w:sz="4" w:space="0" w:color="auto"/>
            </w:tcBorders>
            <w:shd w:val="clear" w:color="auto" w:fill="002060"/>
            <w:vAlign w:val="center"/>
          </w:tcPr>
          <w:p w14:paraId="61B79547" w14:textId="77777777" w:rsidR="00807495" w:rsidRPr="00F738AD" w:rsidRDefault="00807495" w:rsidP="0089060C">
            <w:pPr>
              <w:keepNext/>
              <w:rPr>
                <w:rFonts w:ascii="Arial" w:hAnsi="Arial" w:cs="Arial"/>
                <w:b/>
                <w:color w:val="FFFFFF" w:themeColor="background1"/>
              </w:rPr>
            </w:pPr>
            <w:r w:rsidRPr="00F738AD">
              <w:rPr>
                <w:rFonts w:ascii="Arial" w:hAnsi="Arial" w:cs="Arial"/>
                <w:b/>
                <w:color w:val="FFFFFF" w:themeColor="background1"/>
              </w:rPr>
              <w:t>Option</w:t>
            </w:r>
          </w:p>
        </w:tc>
        <w:tc>
          <w:tcPr>
            <w:tcW w:w="6520" w:type="dxa"/>
            <w:gridSpan w:val="5"/>
            <w:tcBorders>
              <w:top w:val="single" w:sz="4" w:space="0" w:color="auto"/>
              <w:left w:val="single" w:sz="4" w:space="0" w:color="auto"/>
              <w:right w:val="nil"/>
            </w:tcBorders>
            <w:shd w:val="clear" w:color="auto" w:fill="002060"/>
            <w:vAlign w:val="center"/>
          </w:tcPr>
          <w:p w14:paraId="5AE6BCC0" w14:textId="77777777" w:rsidR="00807495" w:rsidRPr="00F738AD" w:rsidRDefault="00807495" w:rsidP="00203494">
            <w:pPr>
              <w:keepNext/>
              <w:jc w:val="center"/>
              <w:rPr>
                <w:rFonts w:ascii="Arial" w:hAnsi="Arial" w:cs="Arial"/>
                <w:b/>
                <w:color w:val="FFFFFF" w:themeColor="background1"/>
              </w:rPr>
            </w:pPr>
            <w:r w:rsidRPr="00F738AD">
              <w:rPr>
                <w:rFonts w:ascii="Arial" w:hAnsi="Arial" w:cs="Arial"/>
                <w:b/>
                <w:color w:val="FFFFFF" w:themeColor="background1"/>
              </w:rPr>
              <w:t>Scores</w:t>
            </w:r>
          </w:p>
        </w:tc>
      </w:tr>
      <w:tr w:rsidR="00415AED" w:rsidRPr="00F738AD" w14:paraId="35201309" w14:textId="77777777" w:rsidTr="00337958">
        <w:trPr>
          <w:trHeight w:val="924"/>
        </w:trPr>
        <w:tc>
          <w:tcPr>
            <w:tcW w:w="2552" w:type="dxa"/>
            <w:vMerge/>
            <w:tcBorders>
              <w:left w:val="nil"/>
              <w:bottom w:val="single" w:sz="4" w:space="0" w:color="auto"/>
              <w:right w:val="single" w:sz="4" w:space="0" w:color="auto"/>
            </w:tcBorders>
            <w:shd w:val="clear" w:color="auto" w:fill="002060"/>
          </w:tcPr>
          <w:p w14:paraId="2774FC1E" w14:textId="77777777" w:rsidR="00415AED" w:rsidRPr="00F738AD" w:rsidRDefault="00415AED" w:rsidP="00203494">
            <w:pPr>
              <w:pStyle w:val="Tableheading"/>
              <w:keepNext/>
              <w:rPr>
                <w:rFonts w:ascii="Arial" w:hAnsi="Arial" w:cs="Arial"/>
              </w:rPr>
            </w:pPr>
          </w:p>
        </w:tc>
        <w:tc>
          <w:tcPr>
            <w:tcW w:w="1304" w:type="dxa"/>
            <w:tcBorders>
              <w:top w:val="single" w:sz="4" w:space="0" w:color="auto"/>
              <w:left w:val="single" w:sz="4" w:space="0" w:color="auto"/>
              <w:right w:val="nil"/>
            </w:tcBorders>
            <w:shd w:val="clear" w:color="auto" w:fill="002060"/>
            <w:vAlign w:val="center"/>
          </w:tcPr>
          <w:p w14:paraId="4DF8D647" w14:textId="05075ACC" w:rsidR="00415AED" w:rsidRPr="00F738AD" w:rsidRDefault="00415AED">
            <w:pPr>
              <w:keepNext/>
              <w:jc w:val="center"/>
              <w:rPr>
                <w:rFonts w:ascii="Arial" w:hAnsi="Arial" w:cs="Arial"/>
                <w:color w:val="FFFFFF" w:themeColor="background1"/>
              </w:rPr>
            </w:pPr>
            <w:r w:rsidRPr="00F738AD">
              <w:rPr>
                <w:rFonts w:ascii="Arial" w:hAnsi="Arial" w:cs="Arial"/>
                <w:color w:val="FFFFFF" w:themeColor="background1"/>
              </w:rPr>
              <w:t>E</w:t>
            </w:r>
            <w:r>
              <w:rPr>
                <w:rFonts w:ascii="Arial" w:hAnsi="Arial" w:cs="Arial"/>
                <w:color w:val="FFFFFF" w:themeColor="background1"/>
              </w:rPr>
              <w:t>mployee e</w:t>
            </w:r>
            <w:r w:rsidRPr="00F738AD">
              <w:rPr>
                <w:rFonts w:ascii="Arial" w:hAnsi="Arial" w:cs="Arial"/>
                <w:color w:val="FFFFFF" w:themeColor="background1"/>
              </w:rPr>
              <w:t>quity (50%)</w:t>
            </w:r>
          </w:p>
        </w:tc>
        <w:tc>
          <w:tcPr>
            <w:tcW w:w="1304" w:type="dxa"/>
            <w:tcBorders>
              <w:top w:val="single" w:sz="4" w:space="0" w:color="auto"/>
              <w:left w:val="single" w:sz="4" w:space="0" w:color="auto"/>
              <w:right w:val="nil"/>
            </w:tcBorders>
            <w:shd w:val="clear" w:color="auto" w:fill="002060"/>
            <w:vAlign w:val="center"/>
          </w:tcPr>
          <w:p w14:paraId="5E41314A" w14:textId="621814E7" w:rsidR="00415AED" w:rsidRPr="00F738AD" w:rsidRDefault="00B82CEE">
            <w:pPr>
              <w:keepNext/>
              <w:jc w:val="center"/>
              <w:rPr>
                <w:rFonts w:ascii="Arial" w:hAnsi="Arial" w:cs="Arial"/>
                <w:b/>
                <w:color w:val="FFFFFF" w:themeColor="background1"/>
              </w:rPr>
            </w:pPr>
            <w:r>
              <w:rPr>
                <w:rFonts w:ascii="Arial" w:hAnsi="Arial" w:cs="Arial"/>
                <w:color w:val="FFFFFF" w:themeColor="background1"/>
              </w:rPr>
              <w:t>Employer</w:t>
            </w:r>
            <w:r w:rsidR="00415AED">
              <w:rPr>
                <w:rFonts w:ascii="Arial" w:hAnsi="Arial" w:cs="Arial"/>
                <w:color w:val="FFFFFF" w:themeColor="background1"/>
              </w:rPr>
              <w:t xml:space="preserve"> financial cost </w:t>
            </w:r>
            <w:r w:rsidR="00415AED" w:rsidRPr="00F738AD">
              <w:rPr>
                <w:rFonts w:ascii="Arial" w:hAnsi="Arial" w:cs="Arial"/>
                <w:color w:val="FFFFFF" w:themeColor="background1"/>
              </w:rPr>
              <w:t>(2</w:t>
            </w:r>
            <w:r w:rsidR="00415AED">
              <w:rPr>
                <w:rFonts w:ascii="Arial" w:hAnsi="Arial" w:cs="Arial"/>
                <w:color w:val="FFFFFF" w:themeColor="background1"/>
              </w:rPr>
              <w:t>0</w:t>
            </w:r>
            <w:r w:rsidR="00415AED" w:rsidRPr="00F738AD">
              <w:rPr>
                <w:rFonts w:ascii="Arial" w:hAnsi="Arial" w:cs="Arial"/>
                <w:color w:val="FFFFFF" w:themeColor="background1"/>
              </w:rPr>
              <w:t>%)</w:t>
            </w:r>
          </w:p>
        </w:tc>
        <w:tc>
          <w:tcPr>
            <w:tcW w:w="1304" w:type="dxa"/>
            <w:tcBorders>
              <w:top w:val="single" w:sz="4" w:space="0" w:color="auto"/>
              <w:left w:val="single" w:sz="4" w:space="0" w:color="auto"/>
              <w:right w:val="nil"/>
            </w:tcBorders>
            <w:shd w:val="clear" w:color="auto" w:fill="002060"/>
            <w:vAlign w:val="center"/>
          </w:tcPr>
          <w:p w14:paraId="1A308731" w14:textId="50E6C07A" w:rsidR="00415AED" w:rsidRPr="00337958" w:rsidRDefault="00B82CEE">
            <w:pPr>
              <w:keepNext/>
              <w:jc w:val="center"/>
              <w:rPr>
                <w:rFonts w:ascii="Arial" w:hAnsi="Arial" w:cs="Arial"/>
                <w:color w:val="FFFFFF" w:themeColor="background1"/>
              </w:rPr>
            </w:pPr>
            <w:r>
              <w:rPr>
                <w:rFonts w:ascii="Arial" w:hAnsi="Arial" w:cs="Arial"/>
                <w:color w:val="FFFFFF" w:themeColor="background1"/>
              </w:rPr>
              <w:t>Employer</w:t>
            </w:r>
            <w:r w:rsidR="00415AED" w:rsidRPr="00337958">
              <w:rPr>
                <w:rFonts w:ascii="Arial" w:hAnsi="Arial" w:cs="Arial"/>
                <w:color w:val="FFFFFF" w:themeColor="background1"/>
              </w:rPr>
              <w:t xml:space="preserve"> uncertainty</w:t>
            </w:r>
            <w:r w:rsidR="00415AED">
              <w:rPr>
                <w:rFonts w:ascii="Arial" w:hAnsi="Arial" w:cs="Arial"/>
                <w:color w:val="FFFFFF" w:themeColor="background1"/>
              </w:rPr>
              <w:t xml:space="preserve"> cost</w:t>
            </w:r>
            <w:r w:rsidR="00415AED" w:rsidRPr="00337958">
              <w:rPr>
                <w:rFonts w:ascii="Arial" w:hAnsi="Arial" w:cs="Arial"/>
                <w:color w:val="FFFFFF" w:themeColor="background1"/>
              </w:rPr>
              <w:t xml:space="preserve"> (20%)</w:t>
            </w:r>
          </w:p>
        </w:tc>
        <w:tc>
          <w:tcPr>
            <w:tcW w:w="1304" w:type="dxa"/>
            <w:tcBorders>
              <w:top w:val="single" w:sz="4" w:space="0" w:color="auto"/>
              <w:left w:val="single" w:sz="4" w:space="0" w:color="auto"/>
              <w:right w:val="nil"/>
            </w:tcBorders>
            <w:shd w:val="clear" w:color="auto" w:fill="002060"/>
            <w:vAlign w:val="center"/>
          </w:tcPr>
          <w:p w14:paraId="70EF1C59" w14:textId="3855CFE7" w:rsidR="00415AED" w:rsidRPr="00F738AD" w:rsidRDefault="00415AED">
            <w:pPr>
              <w:keepNext/>
              <w:jc w:val="center"/>
              <w:rPr>
                <w:rFonts w:ascii="Arial" w:hAnsi="Arial" w:cs="Arial"/>
                <w:color w:val="FFFFFF" w:themeColor="background1"/>
              </w:rPr>
            </w:pPr>
            <w:r>
              <w:rPr>
                <w:rFonts w:ascii="Arial" w:hAnsi="Arial" w:cs="Arial"/>
                <w:color w:val="FFFFFF" w:themeColor="background1"/>
              </w:rPr>
              <w:t>Impact on Authority</w:t>
            </w:r>
          </w:p>
          <w:p w14:paraId="35FBE429" w14:textId="4F15A70C" w:rsidR="00415AED" w:rsidRPr="00F738AD" w:rsidRDefault="00415AED">
            <w:pPr>
              <w:keepNext/>
              <w:jc w:val="center"/>
              <w:rPr>
                <w:rFonts w:ascii="Arial" w:hAnsi="Arial" w:cs="Arial"/>
                <w:color w:val="FFFFFF" w:themeColor="background1"/>
              </w:rPr>
            </w:pPr>
            <w:r w:rsidRPr="00F738AD">
              <w:rPr>
                <w:rFonts w:ascii="Arial" w:hAnsi="Arial" w:cs="Arial"/>
                <w:color w:val="FFFFFF" w:themeColor="background1"/>
              </w:rPr>
              <w:t>(</w:t>
            </w:r>
            <w:r>
              <w:rPr>
                <w:rFonts w:ascii="Arial" w:hAnsi="Arial" w:cs="Arial"/>
                <w:color w:val="FFFFFF" w:themeColor="background1"/>
              </w:rPr>
              <w:t>10</w:t>
            </w:r>
            <w:r w:rsidRPr="00F738AD">
              <w:rPr>
                <w:rFonts w:ascii="Arial" w:hAnsi="Arial" w:cs="Arial"/>
                <w:color w:val="FFFFFF" w:themeColor="background1"/>
              </w:rPr>
              <w:t>%)</w:t>
            </w:r>
          </w:p>
        </w:tc>
        <w:tc>
          <w:tcPr>
            <w:tcW w:w="1304" w:type="dxa"/>
            <w:tcBorders>
              <w:top w:val="single" w:sz="4" w:space="0" w:color="auto"/>
              <w:left w:val="single" w:sz="4" w:space="0" w:color="auto"/>
              <w:right w:val="nil"/>
            </w:tcBorders>
            <w:shd w:val="clear" w:color="auto" w:fill="002060"/>
            <w:vAlign w:val="center"/>
          </w:tcPr>
          <w:p w14:paraId="1B6CB9C9" w14:textId="0C9121F0" w:rsidR="00415AED" w:rsidRPr="00F738AD" w:rsidRDefault="00415AED">
            <w:pPr>
              <w:keepNext/>
              <w:jc w:val="center"/>
              <w:rPr>
                <w:rFonts w:ascii="Arial" w:hAnsi="Arial" w:cs="Arial"/>
                <w:b/>
                <w:color w:val="FFFFFF" w:themeColor="background1"/>
              </w:rPr>
            </w:pPr>
            <w:r w:rsidRPr="00F738AD">
              <w:rPr>
                <w:rFonts w:ascii="Arial" w:hAnsi="Arial" w:cs="Arial"/>
                <w:b/>
                <w:color w:val="FFFFFF" w:themeColor="background1"/>
              </w:rPr>
              <w:t>Weighted score</w:t>
            </w:r>
          </w:p>
        </w:tc>
      </w:tr>
      <w:tr w:rsidR="00415AED" w:rsidRPr="00EC5379" w14:paraId="0581A284" w14:textId="77777777" w:rsidTr="00337958">
        <w:trPr>
          <w:trHeight w:val="696"/>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2A8710E5" w14:textId="7C33597E" w:rsidR="00415AED" w:rsidRPr="00EC5379" w:rsidRDefault="00415AED" w:rsidP="006C3958">
            <w:pPr>
              <w:spacing w:before="100" w:beforeAutospacing="1"/>
              <w:rPr>
                <w:rFonts w:ascii="Arial" w:hAnsi="Arial" w:cs="Arial"/>
              </w:rPr>
            </w:pPr>
            <w:r>
              <w:rPr>
                <w:rFonts w:ascii="Arial" w:hAnsi="Arial" w:cs="Arial"/>
              </w:rPr>
              <w:t>Status</w:t>
            </w:r>
            <w:r w:rsidRPr="00EC5379">
              <w:rPr>
                <w:rFonts w:ascii="Arial" w:hAnsi="Arial" w:cs="Arial"/>
              </w:rPr>
              <w:t xml:space="preserve"> quo under the Interim Regulations</w:t>
            </w:r>
          </w:p>
        </w:tc>
        <w:tc>
          <w:tcPr>
            <w:tcW w:w="1304" w:type="dxa"/>
            <w:tcBorders>
              <w:left w:val="single" w:sz="4" w:space="0" w:color="auto"/>
              <w:right w:val="nil"/>
            </w:tcBorders>
            <w:shd w:val="clear" w:color="auto" w:fill="DEEAF6" w:themeFill="accent1" w:themeFillTint="33"/>
            <w:vAlign w:val="center"/>
          </w:tcPr>
          <w:p w14:paraId="1A9FE5C1" w14:textId="6A866378" w:rsidR="00415AED" w:rsidRPr="00EC5379" w:rsidRDefault="00415AED" w:rsidP="00337958">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033DD850" w14:textId="40A2D75F" w:rsidR="00415AED" w:rsidRPr="00EC5379" w:rsidRDefault="00415AED" w:rsidP="00337958">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65028063" w14:textId="126FA240" w:rsidR="00415AED" w:rsidRPr="00EC5379" w:rsidRDefault="00415AED" w:rsidP="00337958">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76A01534" w14:textId="341000FC" w:rsidR="00415AED" w:rsidRPr="00EC5379" w:rsidRDefault="00415AED" w:rsidP="00337958">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765A692C" w14:textId="5C8E6710" w:rsidR="00415AED" w:rsidRPr="00EC5379" w:rsidRDefault="00415AED" w:rsidP="00337958">
            <w:pPr>
              <w:keepNext/>
              <w:jc w:val="center"/>
              <w:rPr>
                <w:rFonts w:ascii="Arial" w:hAnsi="Arial" w:cs="Arial"/>
                <w:b/>
              </w:rPr>
            </w:pPr>
            <w:r>
              <w:rPr>
                <w:rFonts w:ascii="Arial" w:hAnsi="Arial" w:cs="Arial"/>
                <w:b/>
              </w:rPr>
              <w:t>0</w:t>
            </w:r>
          </w:p>
        </w:tc>
      </w:tr>
      <w:tr w:rsidR="00415AED" w:rsidRPr="00EC5379" w14:paraId="48B08DDA" w14:textId="77777777" w:rsidTr="00337958">
        <w:trPr>
          <w:trHeight w:val="1273"/>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59445A39" w14:textId="44E4C6ED" w:rsidR="00415AED" w:rsidRPr="00EC5379" w:rsidRDefault="00415AED" w:rsidP="006C3958">
            <w:pPr>
              <w:spacing w:before="100" w:beforeAutospacing="1"/>
              <w:rPr>
                <w:rFonts w:ascii="Arial" w:hAnsi="Arial" w:cs="Arial"/>
              </w:rPr>
            </w:pPr>
            <w:r>
              <w:rPr>
                <w:rFonts w:ascii="Arial" w:hAnsi="Arial" w:cs="Arial"/>
              </w:rPr>
              <w:t>Option 1 – Improve clarity around the application of the predominance test</w:t>
            </w:r>
          </w:p>
        </w:tc>
        <w:tc>
          <w:tcPr>
            <w:tcW w:w="1304" w:type="dxa"/>
            <w:tcBorders>
              <w:left w:val="single" w:sz="4" w:space="0" w:color="auto"/>
              <w:right w:val="nil"/>
            </w:tcBorders>
            <w:shd w:val="clear" w:color="auto" w:fill="DEEAF6" w:themeFill="accent1" w:themeFillTint="33"/>
            <w:vAlign w:val="center"/>
          </w:tcPr>
          <w:p w14:paraId="2E46265B" w14:textId="1817F66E" w:rsidR="00415AED" w:rsidRPr="00EC5379" w:rsidRDefault="00415AED" w:rsidP="00337958">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543A4F3E" w14:textId="0CB65C84" w:rsidR="00415AED" w:rsidRPr="00EC5379" w:rsidRDefault="00415AED" w:rsidP="00337958">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41055B24" w14:textId="033028BD" w:rsidR="00415AED" w:rsidRPr="00EC5379" w:rsidRDefault="00415AED" w:rsidP="00337958">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5BFEE3B9" w14:textId="4B07EFAC" w:rsidR="00415AED" w:rsidRPr="00EC5379" w:rsidRDefault="00415AED" w:rsidP="00337958">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5C73271E" w14:textId="0A826A69" w:rsidR="00415AED" w:rsidRPr="00EC5379" w:rsidRDefault="00415AED" w:rsidP="00337958">
            <w:pPr>
              <w:keepNext/>
              <w:jc w:val="center"/>
              <w:rPr>
                <w:rFonts w:ascii="Arial" w:hAnsi="Arial" w:cs="Arial"/>
                <w:b/>
              </w:rPr>
            </w:pPr>
            <w:r>
              <w:rPr>
                <w:rFonts w:ascii="Arial" w:hAnsi="Arial" w:cs="Arial"/>
                <w:b/>
              </w:rPr>
              <w:t>0.6</w:t>
            </w:r>
          </w:p>
        </w:tc>
      </w:tr>
      <w:tr w:rsidR="00415AED" w:rsidRPr="00EC5379" w14:paraId="253BCA8E" w14:textId="77777777" w:rsidTr="00337958">
        <w:trPr>
          <w:trHeight w:val="966"/>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383EC9E0" w14:textId="79962C65" w:rsidR="00415AED" w:rsidRPr="00EC5379" w:rsidRDefault="00415AED" w:rsidP="006C3958">
            <w:pPr>
              <w:spacing w:before="100" w:beforeAutospacing="1"/>
              <w:rPr>
                <w:rFonts w:ascii="Arial" w:hAnsi="Arial" w:cs="Arial"/>
              </w:rPr>
            </w:pPr>
            <w:r>
              <w:rPr>
                <w:rFonts w:ascii="Arial" w:hAnsi="Arial" w:cs="Arial"/>
              </w:rPr>
              <w:t>Option 2</w:t>
            </w:r>
            <w:r w:rsidRPr="00EC5379">
              <w:rPr>
                <w:rFonts w:ascii="Arial" w:hAnsi="Arial" w:cs="Arial"/>
              </w:rPr>
              <w:t xml:space="preserve"> – </w:t>
            </w:r>
            <w:r>
              <w:rPr>
                <w:rFonts w:ascii="Arial" w:hAnsi="Arial" w:cs="Arial"/>
              </w:rPr>
              <w:t>Abolish the employer predominance test</w:t>
            </w:r>
          </w:p>
        </w:tc>
        <w:tc>
          <w:tcPr>
            <w:tcW w:w="1304" w:type="dxa"/>
            <w:tcBorders>
              <w:left w:val="single" w:sz="4" w:space="0" w:color="auto"/>
              <w:right w:val="nil"/>
            </w:tcBorders>
            <w:shd w:val="clear" w:color="auto" w:fill="DEEAF6" w:themeFill="accent1" w:themeFillTint="33"/>
            <w:vAlign w:val="center"/>
          </w:tcPr>
          <w:p w14:paraId="5BD35C82" w14:textId="6A558D22" w:rsidR="00415AED" w:rsidRPr="00EC5379" w:rsidRDefault="00415AED" w:rsidP="00337958">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5690C1AA" w14:textId="4838F837" w:rsidR="00415AED" w:rsidRPr="00EC5379" w:rsidRDefault="00415AED" w:rsidP="00337958">
            <w:pPr>
              <w:keepNext/>
              <w:jc w:val="center"/>
              <w:rPr>
                <w:rFonts w:ascii="Arial" w:hAnsi="Arial" w:cs="Arial"/>
              </w:rPr>
            </w:pPr>
            <w:r>
              <w:rPr>
                <w:rFonts w:ascii="Arial" w:hAnsi="Arial" w:cs="Arial"/>
              </w:rPr>
              <w:t>-2</w:t>
            </w:r>
          </w:p>
        </w:tc>
        <w:tc>
          <w:tcPr>
            <w:tcW w:w="1304" w:type="dxa"/>
            <w:tcBorders>
              <w:left w:val="single" w:sz="4" w:space="0" w:color="auto"/>
              <w:right w:val="nil"/>
            </w:tcBorders>
            <w:shd w:val="clear" w:color="auto" w:fill="DEEAF6" w:themeFill="accent1" w:themeFillTint="33"/>
            <w:vAlign w:val="center"/>
          </w:tcPr>
          <w:p w14:paraId="34C8B7E4" w14:textId="699789DD" w:rsidR="00415AED" w:rsidRPr="00EC5379" w:rsidRDefault="00415AED" w:rsidP="00337958">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0A6279D1" w14:textId="2BD8BC9E" w:rsidR="00415AED" w:rsidRPr="00EC5379" w:rsidRDefault="00415AED" w:rsidP="00337958">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7EE7FF58" w14:textId="4C97270D" w:rsidR="00415AED" w:rsidRPr="00EC5379" w:rsidRDefault="00415AED" w:rsidP="00337958">
            <w:pPr>
              <w:keepNext/>
              <w:jc w:val="center"/>
              <w:rPr>
                <w:rFonts w:ascii="Arial" w:hAnsi="Arial" w:cs="Arial"/>
                <w:b/>
              </w:rPr>
            </w:pPr>
            <w:r>
              <w:rPr>
                <w:rFonts w:ascii="Arial" w:hAnsi="Arial" w:cs="Arial"/>
                <w:b/>
              </w:rPr>
              <w:t>2.0</w:t>
            </w:r>
          </w:p>
        </w:tc>
      </w:tr>
    </w:tbl>
    <w:p w14:paraId="01D67F88" w14:textId="77777777" w:rsidR="00807495" w:rsidRPr="00EC5379" w:rsidRDefault="00807495" w:rsidP="00807495">
      <w:pPr>
        <w:spacing w:before="240"/>
        <w:rPr>
          <w:rFonts w:ascii="Arial" w:hAnsi="Arial" w:cs="Arial"/>
        </w:rPr>
      </w:pPr>
      <w:r w:rsidRPr="00EC5379">
        <w:rPr>
          <w:rFonts w:ascii="Arial" w:hAnsi="Arial" w:cs="Arial"/>
        </w:rPr>
        <w:t>The rationale for these scores is summarised for each option in the following sub-sections.</w:t>
      </w:r>
    </w:p>
    <w:p w14:paraId="3A98E589" w14:textId="5DC20C17" w:rsidR="006E6E42" w:rsidRPr="00CE3DED" w:rsidRDefault="006E6E42" w:rsidP="00337958">
      <w:pPr>
        <w:keepNext/>
        <w:rPr>
          <w:rFonts w:ascii="Arial" w:hAnsi="Arial"/>
        </w:rPr>
      </w:pPr>
      <w:r w:rsidRPr="00337958">
        <w:rPr>
          <w:rFonts w:ascii="Arial" w:hAnsi="Arial"/>
          <w:b/>
        </w:rPr>
        <w:lastRenderedPageBreak/>
        <w:t xml:space="preserve">Analysis of the </w:t>
      </w:r>
      <w:r w:rsidR="0013418B">
        <w:rPr>
          <w:rFonts w:ascii="Arial" w:hAnsi="Arial"/>
          <w:b/>
        </w:rPr>
        <w:t>status quo</w:t>
      </w:r>
    </w:p>
    <w:p w14:paraId="3A2E1360" w14:textId="79DD7694" w:rsidR="0089060C" w:rsidRDefault="00C17C3F" w:rsidP="0089060C">
      <w:pPr>
        <w:rPr>
          <w:rFonts w:ascii="Arial" w:hAnsi="Arial" w:cs="Arial"/>
        </w:rPr>
      </w:pPr>
      <w:r w:rsidRPr="00EC5379">
        <w:rPr>
          <w:rFonts w:ascii="Arial" w:hAnsi="Arial" w:cs="Arial"/>
        </w:rPr>
        <w:t xml:space="preserve">The </w:t>
      </w:r>
      <w:r w:rsidR="0013418B">
        <w:rPr>
          <w:rFonts w:ascii="Arial" w:hAnsi="Arial" w:cs="Arial"/>
        </w:rPr>
        <w:t>status quo</w:t>
      </w:r>
      <w:r w:rsidRPr="00EC5379">
        <w:rPr>
          <w:rFonts w:ascii="Arial" w:hAnsi="Arial" w:cs="Arial"/>
        </w:rPr>
        <w:t xml:space="preserve"> is analysed to provide a point of comparison for the options which follow.</w:t>
      </w:r>
      <w:r w:rsidR="00C266DA">
        <w:rPr>
          <w:rFonts w:ascii="Arial" w:hAnsi="Arial" w:cs="Arial"/>
        </w:rPr>
        <w:t xml:space="preserve"> T</w:t>
      </w:r>
      <w:r w:rsidRPr="00EC5379">
        <w:rPr>
          <w:rFonts w:ascii="Arial" w:hAnsi="Arial" w:cs="Arial"/>
        </w:rPr>
        <w:t xml:space="preserve">he </w:t>
      </w:r>
      <w:r w:rsidR="0013418B">
        <w:rPr>
          <w:rFonts w:ascii="Arial" w:hAnsi="Arial" w:cs="Arial"/>
        </w:rPr>
        <w:t>status quo</w:t>
      </w:r>
      <w:r w:rsidRPr="00EC5379">
        <w:rPr>
          <w:rFonts w:ascii="Arial" w:hAnsi="Arial" w:cs="Arial"/>
        </w:rPr>
        <w:t xml:space="preserve"> </w:t>
      </w:r>
      <w:r w:rsidR="00807495" w:rsidRPr="00EC5379">
        <w:rPr>
          <w:rFonts w:ascii="Arial" w:hAnsi="Arial" w:cs="Arial"/>
        </w:rPr>
        <w:t xml:space="preserve">would leave the </w:t>
      </w:r>
      <w:r w:rsidR="00205270">
        <w:rPr>
          <w:rFonts w:ascii="Arial" w:hAnsi="Arial" w:cs="Arial"/>
        </w:rPr>
        <w:t>employer predominance test</w:t>
      </w:r>
      <w:r w:rsidR="00763CD5">
        <w:rPr>
          <w:rFonts w:ascii="Arial" w:hAnsi="Arial" w:cs="Arial"/>
        </w:rPr>
        <w:t xml:space="preserve"> </w:t>
      </w:r>
      <w:r w:rsidR="00807495" w:rsidRPr="00EC5379">
        <w:rPr>
          <w:rFonts w:ascii="Arial" w:hAnsi="Arial" w:cs="Arial"/>
        </w:rPr>
        <w:t>as it currently stands in the Interim Regulations</w:t>
      </w:r>
      <w:r w:rsidR="00205270">
        <w:rPr>
          <w:rFonts w:ascii="Arial" w:hAnsi="Arial" w:cs="Arial"/>
        </w:rPr>
        <w:t xml:space="preserve"> unchanged</w:t>
      </w:r>
      <w:r w:rsidR="00807495" w:rsidRPr="00EC5379">
        <w:rPr>
          <w:rFonts w:ascii="Arial" w:hAnsi="Arial" w:cs="Arial"/>
        </w:rPr>
        <w:t xml:space="preserve">. </w:t>
      </w:r>
      <w:r w:rsidR="00205270" w:rsidRPr="0089060C">
        <w:rPr>
          <w:rFonts w:ascii="Arial" w:hAnsi="Arial" w:cs="Arial"/>
        </w:rPr>
        <w:t xml:space="preserve">Leaving the current employer predominance test unchanged means employers, employees and the Authority would lack clarity as to who is </w:t>
      </w:r>
      <w:r w:rsidR="00DF2E27" w:rsidRPr="0089060C">
        <w:rPr>
          <w:rFonts w:ascii="Arial" w:hAnsi="Arial" w:cs="Arial"/>
        </w:rPr>
        <w:t xml:space="preserve">not </w:t>
      </w:r>
      <w:r w:rsidR="002A50A9">
        <w:rPr>
          <w:rFonts w:ascii="Arial" w:hAnsi="Arial" w:cs="Arial"/>
          <w:color w:val="auto"/>
        </w:rPr>
        <w:t xml:space="preserve">regarded as </w:t>
      </w:r>
      <w:r w:rsidR="00205270" w:rsidRPr="0089060C">
        <w:rPr>
          <w:rFonts w:ascii="Arial" w:hAnsi="Arial" w:cs="Arial"/>
        </w:rPr>
        <w:t>an employer in the community services sector</w:t>
      </w:r>
      <w:r w:rsidR="00B44A89">
        <w:rPr>
          <w:rFonts w:ascii="Arial" w:hAnsi="Arial" w:cs="Arial"/>
        </w:rPr>
        <w:t>.</w:t>
      </w:r>
    </w:p>
    <w:p w14:paraId="653C3160" w14:textId="4B56B78D" w:rsidR="0089060C" w:rsidRDefault="0089060C" w:rsidP="00337958">
      <w:pPr>
        <w:pStyle w:val="ListParagraph"/>
        <w:numPr>
          <w:ilvl w:val="0"/>
          <w:numId w:val="64"/>
        </w:numPr>
        <w:contextualSpacing w:val="0"/>
        <w:rPr>
          <w:rFonts w:ascii="Arial" w:hAnsi="Arial" w:cs="Arial"/>
        </w:rPr>
      </w:pPr>
      <w:r>
        <w:rPr>
          <w:rFonts w:ascii="Arial" w:hAnsi="Arial" w:cs="Arial"/>
        </w:rPr>
        <w:t>Community sector e</w:t>
      </w:r>
      <w:r w:rsidRPr="00A40F39">
        <w:rPr>
          <w:rFonts w:ascii="Arial" w:hAnsi="Arial" w:cs="Arial"/>
        </w:rPr>
        <w:t>mployees of employers that predomina</w:t>
      </w:r>
      <w:r w:rsidR="0060532D">
        <w:rPr>
          <w:rFonts w:ascii="Arial" w:hAnsi="Arial" w:cs="Arial"/>
        </w:rPr>
        <w:t>n</w:t>
      </w:r>
      <w:r w:rsidRPr="00A40F39">
        <w:rPr>
          <w:rFonts w:ascii="Arial" w:hAnsi="Arial" w:cs="Arial"/>
        </w:rPr>
        <w:t>tly deliver health or aged care services would continue to be denied access to portable long service benefits regardless of the fact that they undertake community service work</w:t>
      </w:r>
      <w:r w:rsidR="006F20B1">
        <w:rPr>
          <w:rFonts w:ascii="Arial" w:hAnsi="Arial" w:cs="Arial"/>
        </w:rPr>
        <w:t>;</w:t>
      </w:r>
    </w:p>
    <w:p w14:paraId="7E86538F" w14:textId="1CB47595" w:rsidR="0089060C" w:rsidRDefault="00205270" w:rsidP="00337958">
      <w:pPr>
        <w:pStyle w:val="ListParagraph"/>
        <w:numPr>
          <w:ilvl w:val="0"/>
          <w:numId w:val="64"/>
        </w:numPr>
        <w:contextualSpacing w:val="0"/>
        <w:rPr>
          <w:rFonts w:ascii="Arial" w:hAnsi="Arial" w:cs="Arial"/>
        </w:rPr>
      </w:pPr>
      <w:r w:rsidRPr="00337958">
        <w:rPr>
          <w:rFonts w:ascii="Arial" w:hAnsi="Arial" w:cs="Arial"/>
        </w:rPr>
        <w:t>Employers would continue to be impacted by the administrative burden of applying an unclear test</w:t>
      </w:r>
      <w:r w:rsidR="007249DB" w:rsidRPr="00337958">
        <w:rPr>
          <w:rFonts w:ascii="Arial" w:hAnsi="Arial" w:cs="Arial"/>
        </w:rPr>
        <w:t xml:space="preserve"> to determine what sha</w:t>
      </w:r>
      <w:r w:rsidR="00DF2E27" w:rsidRPr="00337958">
        <w:rPr>
          <w:rFonts w:ascii="Arial" w:hAnsi="Arial" w:cs="Arial"/>
        </w:rPr>
        <w:t>re of their work is delivering health or related work</w:t>
      </w:r>
      <w:r w:rsidR="006F20B1">
        <w:rPr>
          <w:rFonts w:ascii="Arial" w:hAnsi="Arial" w:cs="Arial"/>
        </w:rPr>
        <w:t>; and</w:t>
      </w:r>
      <w:r w:rsidRPr="00337958">
        <w:rPr>
          <w:rFonts w:ascii="Arial" w:hAnsi="Arial" w:cs="Arial"/>
        </w:rPr>
        <w:t xml:space="preserve"> </w:t>
      </w:r>
    </w:p>
    <w:p w14:paraId="72D9E287" w14:textId="77777777" w:rsidR="008708C4" w:rsidRPr="00F0572E" w:rsidRDefault="008708C4" w:rsidP="008708C4">
      <w:pPr>
        <w:pStyle w:val="ListParagraph"/>
        <w:numPr>
          <w:ilvl w:val="0"/>
          <w:numId w:val="64"/>
        </w:numPr>
        <w:contextualSpacing w:val="0"/>
        <w:rPr>
          <w:rFonts w:ascii="Arial" w:hAnsi="Arial" w:cs="Arial"/>
        </w:rPr>
      </w:pPr>
      <w:r w:rsidRPr="00F0572E">
        <w:rPr>
          <w:rFonts w:ascii="Arial" w:hAnsi="Arial" w:cs="Arial"/>
        </w:rPr>
        <w:t xml:space="preserve">The Authority would </w:t>
      </w:r>
      <w:r>
        <w:rPr>
          <w:rFonts w:ascii="Arial" w:hAnsi="Arial" w:cs="Arial"/>
        </w:rPr>
        <w:t xml:space="preserve">continue to have difficulties </w:t>
      </w:r>
      <w:r w:rsidRPr="00F0572E">
        <w:rPr>
          <w:rFonts w:ascii="Arial" w:hAnsi="Arial" w:cs="Arial"/>
        </w:rPr>
        <w:t>provid</w:t>
      </w:r>
      <w:r>
        <w:rPr>
          <w:rFonts w:ascii="Arial" w:hAnsi="Arial" w:cs="Arial"/>
        </w:rPr>
        <w:t>ing</w:t>
      </w:r>
      <w:r w:rsidRPr="00F0572E">
        <w:rPr>
          <w:rFonts w:ascii="Arial" w:hAnsi="Arial" w:cs="Arial"/>
        </w:rPr>
        <w:t xml:space="preserve"> clear advice to employers about whether they are required to register with the Scheme. </w:t>
      </w:r>
    </w:p>
    <w:p w14:paraId="0068BD02" w14:textId="5CEBA313" w:rsidR="00DB5824" w:rsidRPr="00CE3DED" w:rsidRDefault="00DB5824" w:rsidP="00FF0A98">
      <w:pPr>
        <w:pStyle w:val="Heading6"/>
      </w:pPr>
      <w:r w:rsidRPr="00337958">
        <w:t>Option 1 – Improve clarity around the application of the employer predominance test</w:t>
      </w:r>
    </w:p>
    <w:p w14:paraId="7FCB6783" w14:textId="77777777" w:rsidR="004F2CB5" w:rsidRPr="00866686" w:rsidRDefault="004F2CB5" w:rsidP="00FF0A98">
      <w:pPr>
        <w:pStyle w:val="Heading7"/>
      </w:pPr>
      <w:r w:rsidRPr="00866686">
        <w:t>Equity</w:t>
      </w:r>
      <w:r>
        <w:t xml:space="preserve"> for employees</w:t>
      </w:r>
    </w:p>
    <w:p w14:paraId="70001563" w14:textId="0ABB561E" w:rsidR="0089060C" w:rsidRDefault="00B44A89" w:rsidP="003152EB">
      <w:pPr>
        <w:pStyle w:val="BodyText"/>
        <w:rPr>
          <w:rFonts w:cs="Arial"/>
          <w:color w:val="auto"/>
        </w:rPr>
      </w:pPr>
      <w:r>
        <w:rPr>
          <w:rFonts w:cs="Arial"/>
          <w:color w:val="auto"/>
        </w:rPr>
        <w:t xml:space="preserve">The option is </w:t>
      </w:r>
      <w:r w:rsidR="00F87691">
        <w:rPr>
          <w:rFonts w:cs="Arial"/>
          <w:color w:val="auto"/>
        </w:rPr>
        <w:t>somewhat</w:t>
      </w:r>
      <w:r>
        <w:rPr>
          <w:rFonts w:cs="Arial"/>
          <w:color w:val="auto"/>
        </w:rPr>
        <w:t xml:space="preserve"> </w:t>
      </w:r>
      <w:r w:rsidR="00F87691">
        <w:rPr>
          <w:rFonts w:cs="Arial"/>
          <w:color w:val="auto"/>
        </w:rPr>
        <w:t xml:space="preserve">more aligned </w:t>
      </w:r>
      <w:r>
        <w:rPr>
          <w:rFonts w:cs="Arial"/>
          <w:color w:val="auto"/>
        </w:rPr>
        <w:t xml:space="preserve">with the </w:t>
      </w:r>
      <w:r w:rsidR="000B4581">
        <w:rPr>
          <w:rFonts w:cs="Arial"/>
          <w:color w:val="auto"/>
        </w:rPr>
        <w:t>criterion</w:t>
      </w:r>
      <w:r w:rsidR="00F87691">
        <w:rPr>
          <w:rFonts w:cs="Arial"/>
          <w:color w:val="auto"/>
        </w:rPr>
        <w:t xml:space="preserve"> compared to the status quo</w:t>
      </w:r>
      <w:r>
        <w:rPr>
          <w:rFonts w:cs="Arial"/>
          <w:color w:val="auto"/>
        </w:rPr>
        <w:t xml:space="preserve">. </w:t>
      </w:r>
      <w:r w:rsidR="0089060C">
        <w:rPr>
          <w:rFonts w:cs="Arial"/>
          <w:color w:val="auto"/>
        </w:rPr>
        <w:t xml:space="preserve">Compared to the status quo under the Interim Regulations, </w:t>
      </w:r>
      <w:r w:rsidR="00E45BC8">
        <w:rPr>
          <w:rFonts w:cs="Arial"/>
          <w:color w:val="auto"/>
        </w:rPr>
        <w:t xml:space="preserve">clearer </w:t>
      </w:r>
      <w:r w:rsidR="003152EB" w:rsidRPr="004B3C99">
        <w:rPr>
          <w:rFonts w:cs="Arial"/>
          <w:color w:val="auto"/>
        </w:rPr>
        <w:t>guidance would reduce the opportunities for employers to</w:t>
      </w:r>
      <w:r w:rsidR="00C266DA">
        <w:rPr>
          <w:rFonts w:cs="Arial"/>
          <w:color w:val="auto"/>
        </w:rPr>
        <w:t xml:space="preserve"> misunderstand their requirements or</w:t>
      </w:r>
      <w:r w:rsidR="003152EB" w:rsidRPr="004B3C99">
        <w:rPr>
          <w:rFonts w:cs="Arial"/>
          <w:color w:val="auto"/>
        </w:rPr>
        <w:t xml:space="preserve"> </w:t>
      </w:r>
      <w:r w:rsidR="00FF0A98">
        <w:rPr>
          <w:rFonts w:cs="Arial"/>
          <w:color w:val="auto"/>
        </w:rPr>
        <w:t xml:space="preserve">inconsistently </w:t>
      </w:r>
      <w:r w:rsidR="003152EB" w:rsidRPr="004B3C99">
        <w:rPr>
          <w:rFonts w:cs="Arial"/>
          <w:color w:val="auto"/>
        </w:rPr>
        <w:t xml:space="preserve">apply the predominance test to the detriment of their </w:t>
      </w:r>
      <w:r w:rsidR="00C266DA">
        <w:rPr>
          <w:rFonts w:cs="Arial"/>
          <w:color w:val="auto"/>
        </w:rPr>
        <w:t>employees</w:t>
      </w:r>
      <w:r w:rsidR="0089060C">
        <w:rPr>
          <w:rFonts w:cs="Arial"/>
          <w:color w:val="auto"/>
        </w:rPr>
        <w:t xml:space="preserve">, ensuring </w:t>
      </w:r>
      <w:r>
        <w:rPr>
          <w:rFonts w:cs="Arial"/>
          <w:color w:val="auto"/>
        </w:rPr>
        <w:t xml:space="preserve">that the test is applied </w:t>
      </w:r>
      <w:r w:rsidR="008708C4">
        <w:rPr>
          <w:rFonts w:cs="Arial"/>
          <w:color w:val="auto"/>
        </w:rPr>
        <w:t xml:space="preserve">consistently </w:t>
      </w:r>
      <w:r>
        <w:rPr>
          <w:rFonts w:cs="Arial"/>
          <w:color w:val="auto"/>
        </w:rPr>
        <w:t>across the sector.</w:t>
      </w:r>
      <w:r w:rsidR="00C266DA">
        <w:rPr>
          <w:rFonts w:cs="Arial"/>
          <w:color w:val="auto"/>
        </w:rPr>
        <w:t xml:space="preserve"> This would ensure more employees who were intended to be within scope of the Scheme can access portable long service benefits. </w:t>
      </w:r>
    </w:p>
    <w:p w14:paraId="06FB15BE" w14:textId="4FE36223" w:rsidR="003152EB" w:rsidRPr="004B3C99" w:rsidRDefault="003152EB" w:rsidP="003152EB">
      <w:pPr>
        <w:pStyle w:val="BodyText"/>
        <w:rPr>
          <w:color w:val="auto"/>
        </w:rPr>
      </w:pPr>
      <w:r w:rsidRPr="004B3C99">
        <w:rPr>
          <w:rFonts w:cs="Arial"/>
          <w:color w:val="auto"/>
        </w:rPr>
        <w:t xml:space="preserve">However, </w:t>
      </w:r>
      <w:r w:rsidR="0089060C">
        <w:rPr>
          <w:rFonts w:cs="Arial"/>
          <w:color w:val="auto"/>
        </w:rPr>
        <w:t>s</w:t>
      </w:r>
      <w:r w:rsidRPr="004B3C99">
        <w:rPr>
          <w:rFonts w:cs="Arial"/>
          <w:color w:val="auto"/>
        </w:rPr>
        <w:t>ome employees who perform community service work will continue to be denied access to portable long service benefits because their employer is not a covered employer for the purposes of the Scheme</w:t>
      </w:r>
      <w:r w:rsidR="00E61DE9">
        <w:rPr>
          <w:rFonts w:cs="Arial"/>
          <w:color w:val="auto"/>
        </w:rPr>
        <w:t xml:space="preserve"> as the employer predomina</w:t>
      </w:r>
      <w:r w:rsidR="0060532D">
        <w:rPr>
          <w:rFonts w:cs="Arial"/>
          <w:color w:val="auto"/>
        </w:rPr>
        <w:t>n</w:t>
      </w:r>
      <w:r w:rsidR="00E61DE9">
        <w:rPr>
          <w:rFonts w:cs="Arial"/>
          <w:color w:val="auto"/>
        </w:rPr>
        <w:t>tly performs health or aged care work</w:t>
      </w:r>
      <w:r w:rsidRPr="004B3C99">
        <w:rPr>
          <w:rFonts w:cs="Arial"/>
          <w:color w:val="auto"/>
        </w:rPr>
        <w:t>.</w:t>
      </w:r>
      <w:r w:rsidR="0089060C">
        <w:rPr>
          <w:rFonts w:cs="Arial"/>
          <w:color w:val="auto"/>
        </w:rPr>
        <w:t xml:space="preserve"> </w:t>
      </w:r>
      <w:r w:rsidR="00C266DA">
        <w:rPr>
          <w:rFonts w:cs="Arial"/>
          <w:color w:val="auto"/>
        </w:rPr>
        <w:t xml:space="preserve">Denying a community service </w:t>
      </w:r>
      <w:r w:rsidR="0089060C">
        <w:rPr>
          <w:rFonts w:cs="Arial"/>
          <w:color w:val="auto"/>
        </w:rPr>
        <w:t>employee</w:t>
      </w:r>
      <w:r w:rsidR="00C266DA">
        <w:rPr>
          <w:rFonts w:cs="Arial"/>
          <w:color w:val="auto"/>
        </w:rPr>
        <w:t xml:space="preserve"> </w:t>
      </w:r>
      <w:r w:rsidR="0089060C">
        <w:rPr>
          <w:rFonts w:cs="Arial"/>
          <w:color w:val="auto"/>
        </w:rPr>
        <w:t>coverage because of the nature of the</w:t>
      </w:r>
      <w:r w:rsidR="00C266DA">
        <w:rPr>
          <w:rFonts w:cs="Arial"/>
          <w:color w:val="auto"/>
        </w:rPr>
        <w:t>ir employer’s</w:t>
      </w:r>
      <w:r w:rsidR="0089060C">
        <w:rPr>
          <w:rFonts w:cs="Arial"/>
          <w:color w:val="auto"/>
        </w:rPr>
        <w:t xml:space="preserve"> work undermines equity within the Scheme.</w:t>
      </w:r>
    </w:p>
    <w:p w14:paraId="79951C98" w14:textId="3F72EB00" w:rsidR="0047133F" w:rsidRDefault="004F2CB5" w:rsidP="00FF0A98">
      <w:pPr>
        <w:pStyle w:val="Heading7"/>
      </w:pPr>
      <w:r>
        <w:t>I</w:t>
      </w:r>
      <w:r w:rsidR="0047133F" w:rsidRPr="00866686">
        <w:t xml:space="preserve">mpact on </w:t>
      </w:r>
      <w:r w:rsidR="00DB01D9">
        <w:t>employers</w:t>
      </w:r>
      <w:r w:rsidR="000F3D3C">
        <w:t xml:space="preserve"> –</w:t>
      </w:r>
      <w:r w:rsidR="00D85311">
        <w:t xml:space="preserve"> financial cost</w:t>
      </w:r>
    </w:p>
    <w:p w14:paraId="46C550C9" w14:textId="2BD9D4F7" w:rsidR="00C266DA" w:rsidRPr="00337958" w:rsidRDefault="00C266DA" w:rsidP="0047133F">
      <w:pPr>
        <w:pStyle w:val="BodyText"/>
        <w:rPr>
          <w:rFonts w:cs="Arial"/>
          <w:color w:val="auto"/>
        </w:rPr>
      </w:pPr>
      <w:r>
        <w:rPr>
          <w:rFonts w:cs="Arial"/>
          <w:color w:val="auto"/>
        </w:rPr>
        <w:t>Th</w:t>
      </w:r>
      <w:r w:rsidR="00FF0A98">
        <w:rPr>
          <w:rFonts w:cs="Arial"/>
          <w:color w:val="auto"/>
        </w:rPr>
        <w:t>is</w:t>
      </w:r>
      <w:r>
        <w:rPr>
          <w:rFonts w:cs="Arial"/>
          <w:color w:val="auto"/>
        </w:rPr>
        <w:t xml:space="preserve"> option is </w:t>
      </w:r>
      <w:r w:rsidR="00F87691">
        <w:rPr>
          <w:rFonts w:cs="Arial"/>
          <w:color w:val="auto"/>
        </w:rPr>
        <w:t>somewhat less aligned</w:t>
      </w:r>
      <w:r>
        <w:rPr>
          <w:rFonts w:cs="Arial"/>
          <w:color w:val="auto"/>
        </w:rPr>
        <w:t xml:space="preserve"> with the </w:t>
      </w:r>
      <w:r w:rsidR="000B4581">
        <w:rPr>
          <w:rFonts w:cs="Arial"/>
          <w:color w:val="auto"/>
        </w:rPr>
        <w:t>criterion</w:t>
      </w:r>
      <w:r w:rsidR="00F87691">
        <w:rPr>
          <w:rFonts w:cs="Arial"/>
          <w:color w:val="auto"/>
        </w:rPr>
        <w:t xml:space="preserve"> compared to the status quo</w:t>
      </w:r>
      <w:r>
        <w:rPr>
          <w:rFonts w:cs="Arial"/>
          <w:color w:val="auto"/>
        </w:rPr>
        <w:t xml:space="preserve">. Providing greater clarity around the application of the employer predominance test </w:t>
      </w:r>
      <w:r w:rsidR="00633793">
        <w:rPr>
          <w:rFonts w:cs="Arial"/>
          <w:color w:val="auto"/>
        </w:rPr>
        <w:t>would likely result in m</w:t>
      </w:r>
      <w:r>
        <w:rPr>
          <w:rFonts w:cs="Arial"/>
          <w:color w:val="auto"/>
        </w:rPr>
        <w:t>arginally more employers</w:t>
      </w:r>
      <w:r w:rsidR="00633793">
        <w:rPr>
          <w:rFonts w:cs="Arial"/>
          <w:color w:val="auto"/>
        </w:rPr>
        <w:t xml:space="preserve"> being </w:t>
      </w:r>
      <w:r>
        <w:rPr>
          <w:rFonts w:cs="Arial"/>
          <w:color w:val="auto"/>
        </w:rPr>
        <w:t>within</w:t>
      </w:r>
      <w:r w:rsidR="00633793">
        <w:rPr>
          <w:rFonts w:cs="Arial"/>
          <w:color w:val="auto"/>
        </w:rPr>
        <w:t xml:space="preserve"> the</w:t>
      </w:r>
      <w:r>
        <w:rPr>
          <w:rFonts w:cs="Arial"/>
          <w:color w:val="auto"/>
        </w:rPr>
        <w:t xml:space="preserve"> scope of the Scheme compared to the status quo. </w:t>
      </w:r>
      <w:r w:rsidR="00637FC2">
        <w:rPr>
          <w:rFonts w:cs="Arial"/>
          <w:color w:val="auto"/>
        </w:rPr>
        <w:t>These employers were always intended to be included within the scope of the Scheme. However, t</w:t>
      </w:r>
      <w:r>
        <w:rPr>
          <w:rFonts w:cs="Arial"/>
          <w:color w:val="auto"/>
        </w:rPr>
        <w:t>his w</w:t>
      </w:r>
      <w:r w:rsidR="00637FC2">
        <w:rPr>
          <w:rFonts w:cs="Arial"/>
          <w:color w:val="auto"/>
        </w:rPr>
        <w:t>ould</w:t>
      </w:r>
      <w:r>
        <w:rPr>
          <w:rFonts w:cs="Arial"/>
          <w:color w:val="auto"/>
        </w:rPr>
        <w:t xml:space="preserve"> have a cost impact on the newly </w:t>
      </w:r>
      <w:r w:rsidR="00A931F0">
        <w:rPr>
          <w:rFonts w:cs="Arial"/>
          <w:color w:val="auto"/>
        </w:rPr>
        <w:t xml:space="preserve">covered </w:t>
      </w:r>
      <w:r>
        <w:rPr>
          <w:rFonts w:cs="Arial"/>
          <w:color w:val="auto"/>
        </w:rPr>
        <w:t xml:space="preserve">employers, who will now </w:t>
      </w:r>
      <w:r w:rsidR="005A3ACE">
        <w:rPr>
          <w:rFonts w:cs="Arial"/>
          <w:color w:val="auto"/>
        </w:rPr>
        <w:t xml:space="preserve">be required </w:t>
      </w:r>
      <w:r>
        <w:rPr>
          <w:rFonts w:cs="Arial"/>
          <w:color w:val="auto"/>
        </w:rPr>
        <w:t>to pay levies to the Authority on behalf of their eligible employees. This cost is not possible to quantify</w:t>
      </w:r>
      <w:r w:rsidR="00637FC2">
        <w:rPr>
          <w:rFonts w:cs="Arial"/>
          <w:color w:val="auto"/>
        </w:rPr>
        <w:t xml:space="preserve"> as it depends on the number of employers who have incorrectly applied the predominance test and the number of eligible employees in each </w:t>
      </w:r>
      <w:r w:rsidR="00B82CEE">
        <w:rPr>
          <w:rFonts w:cs="Arial"/>
          <w:color w:val="auto"/>
        </w:rPr>
        <w:t>employer</w:t>
      </w:r>
      <w:r w:rsidR="00637FC2">
        <w:rPr>
          <w:rFonts w:cs="Arial"/>
          <w:color w:val="auto"/>
        </w:rPr>
        <w:t>.</w:t>
      </w:r>
    </w:p>
    <w:p w14:paraId="669C8A83" w14:textId="2D13A654" w:rsidR="00330ABB" w:rsidRDefault="00330ABB" w:rsidP="00276037">
      <w:pPr>
        <w:pStyle w:val="Heading7"/>
      </w:pPr>
      <w:r>
        <w:t>I</w:t>
      </w:r>
      <w:r w:rsidRPr="00866686">
        <w:t xml:space="preserve">mpact on </w:t>
      </w:r>
      <w:r w:rsidR="00DB01D9">
        <w:t>employers</w:t>
      </w:r>
      <w:r>
        <w:t xml:space="preserve"> – cost of uncertainty and administration</w:t>
      </w:r>
      <w:r w:rsidRPr="004B3C99" w:rsidDel="00B44A89">
        <w:t xml:space="preserve"> </w:t>
      </w:r>
    </w:p>
    <w:p w14:paraId="07C1B1E6" w14:textId="4CD06446" w:rsidR="000F3D3C" w:rsidRPr="004B3C99" w:rsidRDefault="00C266DA" w:rsidP="0047133F">
      <w:pPr>
        <w:pStyle w:val="BodyText"/>
        <w:rPr>
          <w:rFonts w:cs="Arial"/>
          <w:color w:val="auto"/>
        </w:rPr>
      </w:pPr>
      <w:r>
        <w:rPr>
          <w:rFonts w:cs="Arial"/>
          <w:color w:val="auto"/>
        </w:rPr>
        <w:t>Th</w:t>
      </w:r>
      <w:r w:rsidR="00276037">
        <w:rPr>
          <w:rFonts w:cs="Arial"/>
          <w:color w:val="auto"/>
        </w:rPr>
        <w:t>is</w:t>
      </w:r>
      <w:r>
        <w:rPr>
          <w:rFonts w:cs="Arial"/>
          <w:color w:val="auto"/>
        </w:rPr>
        <w:t xml:space="preserve"> option is </w:t>
      </w:r>
      <w:r w:rsidR="00F87691">
        <w:rPr>
          <w:rFonts w:cs="Arial"/>
          <w:color w:val="auto"/>
        </w:rPr>
        <w:t>somewhat more</w:t>
      </w:r>
      <w:r>
        <w:rPr>
          <w:rFonts w:cs="Arial"/>
          <w:color w:val="auto"/>
        </w:rPr>
        <w:t xml:space="preserve"> aligned with the </w:t>
      </w:r>
      <w:r w:rsidR="000B4581">
        <w:rPr>
          <w:rFonts w:cs="Arial"/>
          <w:color w:val="auto"/>
        </w:rPr>
        <w:t>criterion</w:t>
      </w:r>
      <w:r w:rsidR="00F87691">
        <w:rPr>
          <w:rFonts w:cs="Arial"/>
          <w:color w:val="auto"/>
        </w:rPr>
        <w:t xml:space="preserve"> compared to the status quo</w:t>
      </w:r>
      <w:r>
        <w:rPr>
          <w:rFonts w:cs="Arial"/>
          <w:color w:val="auto"/>
        </w:rPr>
        <w:t xml:space="preserve">. </w:t>
      </w:r>
      <w:r w:rsidR="00406179">
        <w:rPr>
          <w:rFonts w:cs="Arial"/>
          <w:color w:val="auto"/>
        </w:rPr>
        <w:t>P</w:t>
      </w:r>
      <w:r w:rsidRPr="004B3C99">
        <w:rPr>
          <w:rFonts w:cs="Arial"/>
          <w:color w:val="auto"/>
        </w:rPr>
        <w:t>roviding additional guidance on meas</w:t>
      </w:r>
      <w:r w:rsidR="00406179">
        <w:rPr>
          <w:rFonts w:cs="Arial"/>
          <w:color w:val="auto"/>
        </w:rPr>
        <w:t>uring predominance would make the test</w:t>
      </w:r>
      <w:r w:rsidRPr="004B3C99">
        <w:rPr>
          <w:rFonts w:cs="Arial"/>
          <w:color w:val="auto"/>
        </w:rPr>
        <w:t xml:space="preserve"> </w:t>
      </w:r>
      <w:r>
        <w:rPr>
          <w:rFonts w:cs="Arial"/>
          <w:color w:val="auto"/>
        </w:rPr>
        <w:t>marginally less burdensome</w:t>
      </w:r>
      <w:r w:rsidRPr="004B3C99">
        <w:rPr>
          <w:rFonts w:cs="Arial"/>
          <w:color w:val="auto"/>
        </w:rPr>
        <w:t xml:space="preserve"> for employers to apply the</w:t>
      </w:r>
      <w:r>
        <w:rPr>
          <w:rFonts w:cs="Arial"/>
          <w:color w:val="auto"/>
        </w:rPr>
        <w:t xml:space="preserve"> employer predominance</w:t>
      </w:r>
      <w:r w:rsidRPr="004B3C99">
        <w:rPr>
          <w:rFonts w:cs="Arial"/>
          <w:color w:val="auto"/>
        </w:rPr>
        <w:t xml:space="preserve"> test. However, </w:t>
      </w:r>
      <w:r>
        <w:rPr>
          <w:rFonts w:cs="Arial"/>
          <w:color w:val="auto"/>
        </w:rPr>
        <w:t xml:space="preserve">employers </w:t>
      </w:r>
      <w:r w:rsidRPr="004B3C99">
        <w:rPr>
          <w:rFonts w:cs="Arial"/>
          <w:color w:val="auto"/>
        </w:rPr>
        <w:t xml:space="preserve">would </w:t>
      </w:r>
      <w:r>
        <w:rPr>
          <w:rFonts w:cs="Arial"/>
          <w:color w:val="auto"/>
        </w:rPr>
        <w:t>continue to be</w:t>
      </w:r>
      <w:r w:rsidRPr="004B3C99">
        <w:rPr>
          <w:rFonts w:cs="Arial"/>
          <w:color w:val="auto"/>
        </w:rPr>
        <w:t xml:space="preserve"> required to undertake an assessment on the share of their workforce that undertakes community </w:t>
      </w:r>
      <w:r>
        <w:rPr>
          <w:rFonts w:cs="Arial"/>
          <w:color w:val="auto"/>
        </w:rPr>
        <w:t xml:space="preserve">service </w:t>
      </w:r>
      <w:r w:rsidRPr="004B3C99">
        <w:rPr>
          <w:rFonts w:cs="Arial"/>
          <w:color w:val="auto"/>
        </w:rPr>
        <w:t xml:space="preserve">work to determine whether they are required to register with the Authority. </w:t>
      </w:r>
      <w:r w:rsidR="00637FC2">
        <w:rPr>
          <w:rFonts w:cs="Arial"/>
          <w:color w:val="auto"/>
        </w:rPr>
        <w:t>S</w:t>
      </w:r>
      <w:r>
        <w:rPr>
          <w:rFonts w:cs="Arial"/>
          <w:color w:val="auto"/>
        </w:rPr>
        <w:t xml:space="preserve">takeholders have reported that this task is quite burdensome </w:t>
      </w:r>
      <w:r>
        <w:rPr>
          <w:rFonts w:cs="Arial"/>
          <w:color w:val="auto"/>
        </w:rPr>
        <w:lastRenderedPageBreak/>
        <w:t>– although this burden would be reduced under this option compared to the status quo. The challenge in measuring predominance is greater in the community services sector than the contract cleaning or security sectors because the workforce undertakes more varied work.</w:t>
      </w:r>
      <w:r w:rsidR="005C010A">
        <w:rPr>
          <w:rFonts w:cs="Arial"/>
          <w:color w:val="auto"/>
        </w:rPr>
        <w:t xml:space="preserve"> </w:t>
      </w:r>
      <w:r w:rsidR="00906998">
        <w:rPr>
          <w:rFonts w:cs="Arial"/>
          <w:color w:val="auto"/>
        </w:rPr>
        <w:t>I</w:t>
      </w:r>
      <w:r w:rsidR="005C010A">
        <w:rPr>
          <w:rFonts w:cs="Arial"/>
          <w:color w:val="auto"/>
        </w:rPr>
        <w:t>t is not easy to differentiate between employees directly delivering community services and employees supporting the delivery of community service work through administrative or managerial roles. These activities are often indivisible in the sector and were intended to be within scope of the Scheme.</w:t>
      </w:r>
    </w:p>
    <w:p w14:paraId="6876DF43" w14:textId="77777777" w:rsidR="0047133F" w:rsidRPr="00866686" w:rsidRDefault="0047133F" w:rsidP="00276037">
      <w:pPr>
        <w:pStyle w:val="Heading7"/>
      </w:pPr>
      <w:r w:rsidRPr="00866686">
        <w:t>Impact on the Authority</w:t>
      </w:r>
    </w:p>
    <w:p w14:paraId="488C3AA4" w14:textId="2F52E337" w:rsidR="00B44A89" w:rsidRDefault="00B44A89" w:rsidP="002A2B8D">
      <w:pPr>
        <w:pStyle w:val="BodyText"/>
        <w:rPr>
          <w:rFonts w:cs="Arial"/>
          <w:color w:val="auto"/>
        </w:rPr>
      </w:pPr>
      <w:r>
        <w:rPr>
          <w:rFonts w:cs="Arial"/>
          <w:color w:val="auto"/>
        </w:rPr>
        <w:t>Th</w:t>
      </w:r>
      <w:r w:rsidR="00276037">
        <w:rPr>
          <w:rFonts w:cs="Arial"/>
          <w:color w:val="auto"/>
        </w:rPr>
        <w:t>is</w:t>
      </w:r>
      <w:r>
        <w:rPr>
          <w:rFonts w:cs="Arial"/>
          <w:color w:val="auto"/>
        </w:rPr>
        <w:t xml:space="preserve"> option is </w:t>
      </w:r>
      <w:r w:rsidR="00F87691">
        <w:rPr>
          <w:rFonts w:cs="Arial"/>
          <w:color w:val="auto"/>
        </w:rPr>
        <w:t>somewhat more</w:t>
      </w:r>
      <w:r>
        <w:rPr>
          <w:rFonts w:cs="Arial"/>
          <w:color w:val="auto"/>
        </w:rPr>
        <w:t xml:space="preserve"> aligned with the </w:t>
      </w:r>
      <w:r w:rsidR="000B4581">
        <w:rPr>
          <w:rFonts w:cs="Arial"/>
          <w:color w:val="auto"/>
        </w:rPr>
        <w:t>criterion</w:t>
      </w:r>
      <w:r w:rsidR="00F87691">
        <w:rPr>
          <w:rFonts w:cs="Arial"/>
          <w:color w:val="auto"/>
        </w:rPr>
        <w:t xml:space="preserve"> compared to the status quo</w:t>
      </w:r>
      <w:r>
        <w:rPr>
          <w:rFonts w:cs="Arial"/>
          <w:color w:val="auto"/>
        </w:rPr>
        <w:t>. A</w:t>
      </w:r>
      <w:r w:rsidR="002A2B8D" w:rsidRPr="004B3C99">
        <w:rPr>
          <w:rFonts w:cs="Arial"/>
          <w:color w:val="auto"/>
        </w:rPr>
        <w:t>dditional clarity around the application of the employer predominance test in the Regulations would assist the Authority provide clearer guidance to the sector</w:t>
      </w:r>
      <w:r>
        <w:rPr>
          <w:rFonts w:cs="Arial"/>
          <w:color w:val="auto"/>
        </w:rPr>
        <w:t xml:space="preserve"> compared to the status quo</w:t>
      </w:r>
      <w:r w:rsidR="002A2B8D" w:rsidRPr="004B3C99">
        <w:rPr>
          <w:rFonts w:cs="Arial"/>
          <w:color w:val="auto"/>
        </w:rPr>
        <w:t xml:space="preserve">. </w:t>
      </w:r>
      <w:r w:rsidR="00637FC2">
        <w:rPr>
          <w:rFonts w:cs="Arial"/>
          <w:color w:val="auto"/>
        </w:rPr>
        <w:t>The</w:t>
      </w:r>
      <w:r w:rsidR="00637FC2" w:rsidRPr="004B3C99">
        <w:rPr>
          <w:rFonts w:cs="Arial"/>
          <w:color w:val="auto"/>
        </w:rPr>
        <w:t xml:space="preserve"> Authority</w:t>
      </w:r>
      <w:r w:rsidR="00637FC2">
        <w:rPr>
          <w:rFonts w:cs="Arial"/>
          <w:color w:val="auto"/>
        </w:rPr>
        <w:t xml:space="preserve"> would be required</w:t>
      </w:r>
      <w:r w:rsidR="00637FC2" w:rsidRPr="004B3C99">
        <w:rPr>
          <w:rFonts w:cs="Arial"/>
          <w:color w:val="auto"/>
        </w:rPr>
        <w:t xml:space="preserve"> to update their guidance </w:t>
      </w:r>
      <w:r w:rsidR="00637FC2">
        <w:rPr>
          <w:rFonts w:cs="Arial"/>
          <w:color w:val="auto"/>
        </w:rPr>
        <w:t xml:space="preserve">notes </w:t>
      </w:r>
      <w:r w:rsidR="00637FC2" w:rsidRPr="004B3C99">
        <w:rPr>
          <w:rFonts w:cs="Arial"/>
          <w:color w:val="auto"/>
        </w:rPr>
        <w:t>to the sector.</w:t>
      </w:r>
    </w:p>
    <w:p w14:paraId="72678D15" w14:textId="1A3FC0D7" w:rsidR="00637FC2" w:rsidRDefault="00637FC2" w:rsidP="002A2B8D">
      <w:pPr>
        <w:pStyle w:val="BodyText"/>
        <w:rPr>
          <w:rFonts w:cs="Arial"/>
          <w:color w:val="auto"/>
        </w:rPr>
      </w:pPr>
      <w:r>
        <w:rPr>
          <w:rFonts w:cs="Arial"/>
          <w:color w:val="auto"/>
        </w:rPr>
        <w:t xml:space="preserve">While there would be an overall reduction in pressure on the Authority compared to the status quo, the Authority would still </w:t>
      </w:r>
      <w:r w:rsidR="00A931F0">
        <w:rPr>
          <w:rFonts w:cs="Arial"/>
          <w:color w:val="auto"/>
        </w:rPr>
        <w:t xml:space="preserve">be </w:t>
      </w:r>
      <w:r>
        <w:rPr>
          <w:rFonts w:cs="Arial"/>
          <w:color w:val="auto"/>
        </w:rPr>
        <w:t>expect</w:t>
      </w:r>
      <w:r w:rsidR="00A931F0">
        <w:rPr>
          <w:rFonts w:cs="Arial"/>
          <w:color w:val="auto"/>
        </w:rPr>
        <w:t>ed</w:t>
      </w:r>
      <w:r>
        <w:rPr>
          <w:rFonts w:cs="Arial"/>
          <w:color w:val="auto"/>
        </w:rPr>
        <w:t xml:space="preserve"> to field a large number of </w:t>
      </w:r>
      <w:r w:rsidR="005C010A">
        <w:rPr>
          <w:rFonts w:cs="Arial"/>
          <w:color w:val="auto"/>
        </w:rPr>
        <w:t>enquiries</w:t>
      </w:r>
      <w:r>
        <w:rPr>
          <w:rFonts w:cs="Arial"/>
          <w:color w:val="auto"/>
        </w:rPr>
        <w:t xml:space="preserve"> from employers seeking</w:t>
      </w:r>
      <w:r w:rsidRPr="004B3C99">
        <w:rPr>
          <w:rFonts w:cs="Arial"/>
          <w:color w:val="auto"/>
        </w:rPr>
        <w:t xml:space="preserve"> assistance </w:t>
      </w:r>
      <w:r>
        <w:rPr>
          <w:rFonts w:cs="Arial"/>
          <w:color w:val="auto"/>
        </w:rPr>
        <w:t>with measuring predominance under the test. This</w:t>
      </w:r>
      <w:r w:rsidRPr="004B3C99">
        <w:rPr>
          <w:rFonts w:cs="Arial"/>
          <w:color w:val="auto"/>
        </w:rPr>
        <w:t xml:space="preserve"> is burdensome for the Authority as it is the </w:t>
      </w:r>
      <w:r w:rsidR="000742E1" w:rsidRPr="004B3C99">
        <w:rPr>
          <w:rFonts w:cs="Arial"/>
          <w:color w:val="auto"/>
        </w:rPr>
        <w:t>responsibi</w:t>
      </w:r>
      <w:r w:rsidR="000742E1">
        <w:rPr>
          <w:rFonts w:cs="Arial"/>
          <w:color w:val="auto"/>
        </w:rPr>
        <w:t>lity</w:t>
      </w:r>
      <w:r w:rsidRPr="004B3C99">
        <w:rPr>
          <w:rFonts w:cs="Arial"/>
          <w:color w:val="auto"/>
        </w:rPr>
        <w:t xml:space="preserve"> of the employer to apply the test.</w:t>
      </w:r>
    </w:p>
    <w:p w14:paraId="01B64D61" w14:textId="68B1605F" w:rsidR="00364563" w:rsidRPr="00CF0C6E" w:rsidRDefault="00DB5824" w:rsidP="00DB3ADD">
      <w:pPr>
        <w:rPr>
          <w:rFonts w:ascii="Arial" w:hAnsi="Arial"/>
          <w:color w:val="auto"/>
        </w:rPr>
      </w:pPr>
      <w:r w:rsidRPr="00DB3ADD">
        <w:rPr>
          <w:rFonts w:ascii="Arial" w:hAnsi="Arial"/>
          <w:b/>
          <w:color w:val="auto"/>
        </w:rPr>
        <w:t>Option 2</w:t>
      </w:r>
      <w:r w:rsidR="00364563" w:rsidRPr="00DB3ADD">
        <w:rPr>
          <w:rFonts w:ascii="Arial" w:hAnsi="Arial"/>
          <w:b/>
          <w:color w:val="auto"/>
        </w:rPr>
        <w:t xml:space="preserve"> – Abolish the employer predominance test </w:t>
      </w:r>
      <w:r w:rsidR="00AA2BBF" w:rsidRPr="00131734">
        <w:rPr>
          <w:rFonts w:ascii="Arial" w:hAnsi="Arial" w:cs="Arial"/>
          <w:b/>
          <w:color w:val="auto"/>
        </w:rPr>
        <w:t>that applies to health or related services</w:t>
      </w:r>
    </w:p>
    <w:p w14:paraId="068CE3D4" w14:textId="7D77ACD0" w:rsidR="0047133F" w:rsidRPr="00866686" w:rsidRDefault="0047133F" w:rsidP="00276037">
      <w:pPr>
        <w:pStyle w:val="Heading7"/>
      </w:pPr>
      <w:r w:rsidRPr="00866686">
        <w:t>Equity</w:t>
      </w:r>
      <w:r w:rsidR="004F2CB5">
        <w:t xml:space="preserve"> for employees</w:t>
      </w:r>
    </w:p>
    <w:p w14:paraId="3200E95A" w14:textId="69426C47" w:rsidR="00BE3FAC" w:rsidRPr="004B3C99" w:rsidRDefault="00EB735B" w:rsidP="00BE3FAC">
      <w:pPr>
        <w:pStyle w:val="BodyText"/>
        <w:rPr>
          <w:rFonts w:cs="Arial"/>
          <w:color w:val="auto"/>
        </w:rPr>
      </w:pPr>
      <w:r>
        <w:rPr>
          <w:rFonts w:cs="Arial"/>
          <w:color w:val="auto"/>
        </w:rPr>
        <w:t>Th</w:t>
      </w:r>
      <w:r w:rsidR="00276037">
        <w:rPr>
          <w:rFonts w:cs="Arial"/>
          <w:color w:val="auto"/>
        </w:rPr>
        <w:t>is</w:t>
      </w:r>
      <w:r>
        <w:rPr>
          <w:rFonts w:cs="Arial"/>
          <w:color w:val="auto"/>
        </w:rPr>
        <w:t xml:space="preserve"> option is </w:t>
      </w:r>
      <w:r w:rsidR="00F87691">
        <w:rPr>
          <w:rFonts w:cs="Arial"/>
          <w:color w:val="auto"/>
        </w:rPr>
        <w:t>much more</w:t>
      </w:r>
      <w:r>
        <w:rPr>
          <w:rFonts w:cs="Arial"/>
          <w:color w:val="auto"/>
        </w:rPr>
        <w:t xml:space="preserve"> aligned with the </w:t>
      </w:r>
      <w:r w:rsidR="000B4581">
        <w:rPr>
          <w:rFonts w:cs="Arial"/>
          <w:color w:val="auto"/>
        </w:rPr>
        <w:t>criterion</w:t>
      </w:r>
      <w:r w:rsidR="00F87691">
        <w:rPr>
          <w:rFonts w:cs="Arial"/>
          <w:color w:val="auto"/>
        </w:rPr>
        <w:t xml:space="preserve"> compared to the status quo</w:t>
      </w:r>
      <w:r>
        <w:rPr>
          <w:rFonts w:cs="Arial"/>
          <w:color w:val="auto"/>
        </w:rPr>
        <w:t xml:space="preserve">. </w:t>
      </w:r>
      <w:r w:rsidR="00BE3FAC" w:rsidRPr="004B3C99">
        <w:rPr>
          <w:rFonts w:cs="Arial"/>
          <w:color w:val="auto"/>
        </w:rPr>
        <w:t xml:space="preserve">Eligible </w:t>
      </w:r>
      <w:r w:rsidR="00BA4E89">
        <w:rPr>
          <w:rFonts w:cs="Arial"/>
          <w:color w:val="auto"/>
        </w:rPr>
        <w:t>employee</w:t>
      </w:r>
      <w:r w:rsidR="00BE3FAC" w:rsidRPr="004B3C99">
        <w:rPr>
          <w:rFonts w:cs="Arial"/>
          <w:color w:val="auto"/>
        </w:rPr>
        <w:t xml:space="preserve">s who deliver community service work </w:t>
      </w:r>
      <w:r w:rsidR="0014274A">
        <w:rPr>
          <w:rFonts w:cs="Arial"/>
          <w:color w:val="auto"/>
        </w:rPr>
        <w:t xml:space="preserve">would </w:t>
      </w:r>
      <w:r w:rsidR="00BE3FAC" w:rsidRPr="004B3C99">
        <w:rPr>
          <w:rFonts w:cs="Arial"/>
          <w:color w:val="auto"/>
        </w:rPr>
        <w:t xml:space="preserve">be covered by the Scheme, regardless of whether their employer undertakes community service work as their predominant activity. </w:t>
      </w:r>
      <w:r>
        <w:rPr>
          <w:rFonts w:cs="Arial"/>
          <w:color w:val="auto"/>
        </w:rPr>
        <w:t xml:space="preserve">Compared to the status quo, </w:t>
      </w:r>
      <w:r w:rsidR="0014274A">
        <w:rPr>
          <w:rFonts w:cs="Arial"/>
          <w:color w:val="auto"/>
        </w:rPr>
        <w:t xml:space="preserve">this would ensure that no </w:t>
      </w:r>
      <w:r w:rsidR="00BA4E89">
        <w:rPr>
          <w:rFonts w:cs="Arial"/>
          <w:color w:val="auto"/>
        </w:rPr>
        <w:t>employee</w:t>
      </w:r>
      <w:r w:rsidR="0014274A">
        <w:rPr>
          <w:rFonts w:cs="Arial"/>
          <w:color w:val="auto"/>
        </w:rPr>
        <w:t xml:space="preserve"> in the sector is excluded because their employer predominantly performs health or aged care work</w:t>
      </w:r>
      <w:r>
        <w:rPr>
          <w:rFonts w:cs="Arial"/>
          <w:color w:val="auto"/>
        </w:rPr>
        <w:t>, promoting</w:t>
      </w:r>
      <w:r w:rsidRPr="004B3C99">
        <w:rPr>
          <w:rFonts w:cs="Arial"/>
          <w:color w:val="auto"/>
        </w:rPr>
        <w:t xml:space="preserve"> equity of long service entitlements within the sector.</w:t>
      </w:r>
    </w:p>
    <w:p w14:paraId="1711C300" w14:textId="1633643A" w:rsidR="0014274A" w:rsidRDefault="0014274A" w:rsidP="00276037">
      <w:pPr>
        <w:pStyle w:val="Heading7"/>
      </w:pPr>
      <w:r>
        <w:t>I</w:t>
      </w:r>
      <w:r w:rsidRPr="00866686">
        <w:t xml:space="preserve">mpact on </w:t>
      </w:r>
      <w:r w:rsidR="00DB01D9">
        <w:t>employers</w:t>
      </w:r>
      <w:r w:rsidR="00D85311">
        <w:t xml:space="preserve"> – financial cost</w:t>
      </w:r>
    </w:p>
    <w:p w14:paraId="73329BE2" w14:textId="4CB11A26" w:rsidR="0020555D" w:rsidRPr="004B3C99" w:rsidRDefault="0014274A">
      <w:pPr>
        <w:pStyle w:val="BodyText"/>
        <w:rPr>
          <w:rFonts w:cs="Arial"/>
          <w:color w:val="auto"/>
        </w:rPr>
      </w:pPr>
      <w:r w:rsidRPr="00337958">
        <w:rPr>
          <w:rFonts w:cs="Arial"/>
          <w:color w:val="auto"/>
        </w:rPr>
        <w:t xml:space="preserve">This option is </w:t>
      </w:r>
      <w:r w:rsidR="000B4581">
        <w:rPr>
          <w:rFonts w:cs="Arial"/>
          <w:color w:val="auto"/>
        </w:rPr>
        <w:t>less aligned</w:t>
      </w:r>
      <w:r w:rsidRPr="00337958">
        <w:rPr>
          <w:rFonts w:cs="Arial"/>
          <w:color w:val="auto"/>
        </w:rPr>
        <w:t xml:space="preserve"> with the </w:t>
      </w:r>
      <w:r w:rsidR="000B4581">
        <w:rPr>
          <w:rFonts w:cs="Arial"/>
          <w:color w:val="auto"/>
        </w:rPr>
        <w:t>criterion</w:t>
      </w:r>
      <w:r w:rsidR="00A97688">
        <w:rPr>
          <w:rFonts w:cs="Arial"/>
          <w:color w:val="auto"/>
        </w:rPr>
        <w:t xml:space="preserve"> compared to the status quo</w:t>
      </w:r>
      <w:r w:rsidRPr="00337958">
        <w:rPr>
          <w:rFonts w:cs="Arial"/>
          <w:color w:val="auto"/>
        </w:rPr>
        <w:t xml:space="preserve">. </w:t>
      </w:r>
      <w:r w:rsidR="00406179">
        <w:rPr>
          <w:rFonts w:cs="Arial"/>
          <w:color w:val="auto"/>
        </w:rPr>
        <w:t>Stakeholders</w:t>
      </w:r>
      <w:r w:rsidR="00BE3FAC" w:rsidRPr="004B3C99">
        <w:rPr>
          <w:rFonts w:cs="Arial"/>
          <w:color w:val="auto"/>
        </w:rPr>
        <w:t xml:space="preserve"> have reported that this option would increase the number of </w:t>
      </w:r>
      <w:r w:rsidR="00BA4E89">
        <w:rPr>
          <w:rFonts w:cs="Arial"/>
          <w:color w:val="auto"/>
        </w:rPr>
        <w:t>employee</w:t>
      </w:r>
      <w:r w:rsidR="00BE3FAC" w:rsidRPr="004B3C99">
        <w:rPr>
          <w:rFonts w:cs="Arial"/>
          <w:color w:val="auto"/>
        </w:rPr>
        <w:t xml:space="preserve">s covered by the Scheme. Entities with a small proportion of their workforce undertaking community service work </w:t>
      </w:r>
      <w:r w:rsidR="00A24F51">
        <w:rPr>
          <w:rFonts w:cs="Arial"/>
          <w:color w:val="auto"/>
        </w:rPr>
        <w:t xml:space="preserve">who were previously excluded under the employer predominance test </w:t>
      </w:r>
      <w:r w:rsidR="00BE3FAC" w:rsidRPr="004B3C99">
        <w:rPr>
          <w:rFonts w:cs="Arial"/>
          <w:color w:val="auto"/>
        </w:rPr>
        <w:t xml:space="preserve">will now be in scope. These employers would be subject to the additional financial cost of paying levies on behalf of eligible employees to the Authority on their behalf. </w:t>
      </w:r>
      <w:r>
        <w:rPr>
          <w:rFonts w:cs="Arial"/>
          <w:color w:val="auto"/>
        </w:rPr>
        <w:t>This cost is not possible to quantify as stakeholders were not able to estimate the number of employers and employees who are currently excluded from the Scheme because of the employer predominance test. However, it is not expected to impact the majority of employers in the sector.</w:t>
      </w:r>
    </w:p>
    <w:p w14:paraId="6BB9A739" w14:textId="1BBE4F95" w:rsidR="00330ABB" w:rsidRDefault="00330ABB" w:rsidP="00276037">
      <w:pPr>
        <w:pStyle w:val="Heading7"/>
      </w:pPr>
      <w:r>
        <w:t>I</w:t>
      </w:r>
      <w:r w:rsidRPr="00866686">
        <w:t xml:space="preserve">mpact on </w:t>
      </w:r>
      <w:r w:rsidR="00DB01D9">
        <w:t>employers</w:t>
      </w:r>
      <w:r>
        <w:t xml:space="preserve"> – cost of uncertainty and administration </w:t>
      </w:r>
    </w:p>
    <w:p w14:paraId="410AB22C" w14:textId="1133388D" w:rsidR="0014274A" w:rsidRPr="00337958" w:rsidRDefault="0014274A" w:rsidP="0014274A">
      <w:pPr>
        <w:pStyle w:val="BodyText"/>
        <w:rPr>
          <w:rFonts w:cs="Arial"/>
          <w:color w:val="auto"/>
        </w:rPr>
      </w:pPr>
      <w:r>
        <w:rPr>
          <w:rFonts w:cs="Arial"/>
          <w:color w:val="auto"/>
        </w:rPr>
        <w:t>Th</w:t>
      </w:r>
      <w:r w:rsidR="00276037">
        <w:rPr>
          <w:rFonts w:cs="Arial"/>
          <w:color w:val="auto"/>
        </w:rPr>
        <w:t>is</w:t>
      </w:r>
      <w:r>
        <w:rPr>
          <w:rFonts w:cs="Arial"/>
          <w:color w:val="auto"/>
        </w:rPr>
        <w:t xml:space="preserve"> option is </w:t>
      </w:r>
      <w:r w:rsidR="00A97688">
        <w:rPr>
          <w:rFonts w:cs="Arial"/>
          <w:color w:val="auto"/>
        </w:rPr>
        <w:t>much more</w:t>
      </w:r>
      <w:r>
        <w:rPr>
          <w:rFonts w:cs="Arial"/>
          <w:color w:val="auto"/>
        </w:rPr>
        <w:t xml:space="preserve"> aligned with the </w:t>
      </w:r>
      <w:r w:rsidR="000B4581">
        <w:rPr>
          <w:rFonts w:cs="Arial"/>
          <w:color w:val="auto"/>
        </w:rPr>
        <w:t>criterion</w:t>
      </w:r>
      <w:r w:rsidR="00A97688">
        <w:rPr>
          <w:rFonts w:cs="Arial"/>
          <w:color w:val="auto"/>
        </w:rPr>
        <w:t xml:space="preserve"> compared to the status quo</w:t>
      </w:r>
      <w:r>
        <w:rPr>
          <w:rFonts w:cs="Arial"/>
          <w:color w:val="auto"/>
        </w:rPr>
        <w:t xml:space="preserve">. </w:t>
      </w:r>
      <w:r w:rsidRPr="004B3C99">
        <w:rPr>
          <w:rFonts w:cs="Arial"/>
          <w:color w:val="auto"/>
        </w:rPr>
        <w:t>Abolishing the employer predominance test would reduce the administrative burden</w:t>
      </w:r>
      <w:r>
        <w:rPr>
          <w:rFonts w:cs="Arial"/>
          <w:color w:val="auto"/>
        </w:rPr>
        <w:t xml:space="preserve"> of, and the uncertainty associated with, employers measuring their predominant activity to </w:t>
      </w:r>
      <w:r w:rsidRPr="004B3C99">
        <w:rPr>
          <w:rFonts w:cs="Arial"/>
          <w:color w:val="auto"/>
        </w:rPr>
        <w:t xml:space="preserve">determine whether they are a covered employer under the Scheme. Instead, employers will only need to determine whether any of their employees deliver community service work for the purposes of the Scheme. </w:t>
      </w:r>
      <w:r>
        <w:rPr>
          <w:rFonts w:cs="Arial"/>
          <w:color w:val="auto"/>
        </w:rPr>
        <w:t xml:space="preserve">This benefit would be sector-wide. </w:t>
      </w:r>
    </w:p>
    <w:p w14:paraId="1877D005" w14:textId="77777777" w:rsidR="0047133F" w:rsidRPr="00866686" w:rsidRDefault="0047133F" w:rsidP="00276037">
      <w:pPr>
        <w:pStyle w:val="Heading7"/>
      </w:pPr>
      <w:r w:rsidRPr="00866686">
        <w:lastRenderedPageBreak/>
        <w:t>Impact on the Authority</w:t>
      </w:r>
    </w:p>
    <w:p w14:paraId="4D98A495" w14:textId="195E13D3" w:rsidR="00D85311" w:rsidRPr="004B3C99" w:rsidRDefault="00A97688" w:rsidP="0047133F">
      <w:pPr>
        <w:pStyle w:val="BodyText"/>
        <w:rPr>
          <w:rFonts w:cs="Arial"/>
          <w:color w:val="auto"/>
        </w:rPr>
      </w:pPr>
      <w:r>
        <w:rPr>
          <w:rFonts w:cs="Arial"/>
          <w:color w:val="auto"/>
        </w:rPr>
        <w:t>Th</w:t>
      </w:r>
      <w:r w:rsidR="00276037">
        <w:rPr>
          <w:rFonts w:cs="Arial"/>
          <w:color w:val="auto"/>
        </w:rPr>
        <w:t>is</w:t>
      </w:r>
      <w:r>
        <w:rPr>
          <w:rFonts w:cs="Arial"/>
          <w:color w:val="auto"/>
        </w:rPr>
        <w:t xml:space="preserve"> option is much more aligned with the </w:t>
      </w:r>
      <w:r w:rsidR="000B4581">
        <w:rPr>
          <w:rFonts w:cs="Arial"/>
          <w:color w:val="auto"/>
        </w:rPr>
        <w:t>criterion</w:t>
      </w:r>
      <w:r>
        <w:rPr>
          <w:rFonts w:cs="Arial"/>
          <w:color w:val="auto"/>
        </w:rPr>
        <w:t xml:space="preserve"> compared to the status quo. </w:t>
      </w:r>
      <w:r w:rsidR="00EB735B">
        <w:rPr>
          <w:rFonts w:cs="Arial"/>
          <w:color w:val="auto"/>
        </w:rPr>
        <w:t>R</w:t>
      </w:r>
      <w:r w:rsidR="00BE3FAC" w:rsidRPr="004B3C99">
        <w:rPr>
          <w:rFonts w:cs="Arial"/>
          <w:color w:val="auto"/>
        </w:rPr>
        <w:t>emoving the employer predominance test would simplify the multi-factorial test of eligibil</w:t>
      </w:r>
      <w:r w:rsidR="000B48D6">
        <w:rPr>
          <w:rFonts w:cs="Arial"/>
          <w:color w:val="auto"/>
        </w:rPr>
        <w:t xml:space="preserve">ity and assist the Authority </w:t>
      </w:r>
      <w:r w:rsidR="00BE3FAC" w:rsidRPr="004B3C99">
        <w:rPr>
          <w:rFonts w:cs="Arial"/>
          <w:color w:val="auto"/>
        </w:rPr>
        <w:t>impleme</w:t>
      </w:r>
      <w:r w:rsidR="000B48D6">
        <w:rPr>
          <w:rFonts w:cs="Arial"/>
          <w:color w:val="auto"/>
        </w:rPr>
        <w:t>nt</w:t>
      </w:r>
      <w:r w:rsidR="00BE3FAC" w:rsidRPr="004B3C99">
        <w:rPr>
          <w:rFonts w:cs="Arial"/>
          <w:color w:val="auto"/>
        </w:rPr>
        <w:t xml:space="preserve"> the Scheme, register eligible employers and provide clearer guidance to the sector.</w:t>
      </w:r>
      <w:r w:rsidR="00EB735B">
        <w:rPr>
          <w:rFonts w:cs="Arial"/>
          <w:color w:val="auto"/>
        </w:rPr>
        <w:t xml:space="preserve"> </w:t>
      </w:r>
    </w:p>
    <w:tbl>
      <w:tblPr>
        <w:tblStyle w:val="TableGrid"/>
        <w:tblW w:w="9026" w:type="dxa"/>
        <w:tblLook w:val="04A0" w:firstRow="1" w:lastRow="0" w:firstColumn="1" w:lastColumn="0" w:noHBand="0" w:noVBand="1"/>
      </w:tblPr>
      <w:tblGrid>
        <w:gridCol w:w="9026"/>
      </w:tblGrid>
      <w:tr w:rsidR="008B594A" w:rsidRPr="00F738AD" w14:paraId="5DB852EC" w14:textId="77777777" w:rsidTr="008A0359">
        <w:trPr>
          <w:tblHeader/>
        </w:trPr>
        <w:tc>
          <w:tcPr>
            <w:tcW w:w="9026" w:type="dxa"/>
            <w:tcBorders>
              <w:left w:val="nil"/>
            </w:tcBorders>
            <w:shd w:val="clear" w:color="auto" w:fill="002060"/>
          </w:tcPr>
          <w:p w14:paraId="1AD7A3EC" w14:textId="77777777" w:rsidR="008B594A" w:rsidRPr="00F738AD" w:rsidRDefault="008B594A" w:rsidP="008A0359">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8B594A" w:rsidRPr="00EC5379" w14:paraId="007443A4" w14:textId="77777777" w:rsidTr="00DB3ADD">
        <w:trPr>
          <w:trHeight w:val="575"/>
        </w:trPr>
        <w:tc>
          <w:tcPr>
            <w:tcW w:w="9026" w:type="dxa"/>
            <w:tcBorders>
              <w:left w:val="nil"/>
            </w:tcBorders>
            <w:shd w:val="clear" w:color="auto" w:fill="DEEAF6" w:themeFill="accent1" w:themeFillTint="33"/>
          </w:tcPr>
          <w:p w14:paraId="348F60CA" w14:textId="1E578954" w:rsidR="0014274A" w:rsidRDefault="00DF2E27">
            <w:pPr>
              <w:pStyle w:val="BodyText"/>
              <w:ind w:left="601" w:hanging="567"/>
              <w:rPr>
                <w:rFonts w:cs="Arial"/>
              </w:rPr>
            </w:pPr>
            <w:r>
              <w:rPr>
                <w:rFonts w:cs="Arial"/>
                <w:b/>
              </w:rPr>
              <w:t>S.1</w:t>
            </w:r>
            <w:r w:rsidR="00D50857">
              <w:rPr>
                <w:rFonts w:cs="Arial"/>
                <w:b/>
              </w:rPr>
              <w:t>0</w:t>
            </w:r>
            <w:r w:rsidR="0055008B">
              <w:rPr>
                <w:rFonts w:cs="Arial"/>
                <w:b/>
              </w:rPr>
              <w:t xml:space="preserve"> </w:t>
            </w:r>
            <w:r w:rsidR="00276037">
              <w:rPr>
                <w:rFonts w:cs="Arial"/>
                <w:b/>
              </w:rPr>
              <w:tab/>
            </w:r>
            <w:r w:rsidR="008B594A">
              <w:rPr>
                <w:rFonts w:cs="Arial"/>
              </w:rPr>
              <w:t xml:space="preserve">What </w:t>
            </w:r>
            <w:r w:rsidR="00276037">
              <w:rPr>
                <w:rFonts w:cs="Arial"/>
              </w:rPr>
              <w:t xml:space="preserve">type </w:t>
            </w:r>
            <w:r w:rsidR="00A931F0">
              <w:rPr>
                <w:rFonts w:cs="Arial"/>
              </w:rPr>
              <w:t>of</w:t>
            </w:r>
            <w:r w:rsidR="0014274A">
              <w:rPr>
                <w:rFonts w:cs="Arial"/>
              </w:rPr>
              <w:t xml:space="preserve"> employers</w:t>
            </w:r>
            <w:r w:rsidR="00A931F0">
              <w:rPr>
                <w:rFonts w:cs="Arial"/>
              </w:rPr>
              <w:t xml:space="preserve"> (and how many)</w:t>
            </w:r>
            <w:r w:rsidR="0014274A">
              <w:rPr>
                <w:rFonts w:cs="Arial"/>
              </w:rPr>
              <w:t xml:space="preserve"> </w:t>
            </w:r>
            <w:r w:rsidR="008B594A">
              <w:rPr>
                <w:rFonts w:cs="Arial"/>
              </w:rPr>
              <w:t xml:space="preserve">would be brought within the scope of the Scheme if the employer predominance test was abolished? </w:t>
            </w:r>
          </w:p>
          <w:p w14:paraId="505666C6" w14:textId="3BAC112C" w:rsidR="005C010A" w:rsidRDefault="005C010A">
            <w:pPr>
              <w:pStyle w:val="BodyText"/>
              <w:ind w:left="601" w:hanging="567"/>
              <w:rPr>
                <w:rFonts w:cs="Arial"/>
              </w:rPr>
            </w:pPr>
            <w:r>
              <w:rPr>
                <w:rFonts w:cs="Arial"/>
                <w:b/>
              </w:rPr>
              <w:t>S.1</w:t>
            </w:r>
            <w:r w:rsidR="00D50857">
              <w:rPr>
                <w:rFonts w:cs="Arial"/>
                <w:b/>
              </w:rPr>
              <w:t>1</w:t>
            </w:r>
            <w:r w:rsidR="0055008B">
              <w:rPr>
                <w:rFonts w:cs="Arial"/>
                <w:b/>
              </w:rPr>
              <w:t xml:space="preserve"> </w:t>
            </w:r>
            <w:r w:rsidR="00276037">
              <w:rPr>
                <w:rFonts w:cs="Arial"/>
                <w:b/>
              </w:rPr>
              <w:tab/>
            </w:r>
            <w:r>
              <w:rPr>
                <w:rFonts w:cs="Arial"/>
              </w:rPr>
              <w:t>Are there any additional impacts on employers and employees of the options that are no</w:t>
            </w:r>
            <w:r w:rsidR="00FB2269">
              <w:rPr>
                <w:rFonts w:cs="Arial"/>
              </w:rPr>
              <w:t>t</w:t>
            </w:r>
            <w:r>
              <w:rPr>
                <w:rFonts w:cs="Arial"/>
              </w:rPr>
              <w:t xml:space="preserve"> reflected in this analysis? </w:t>
            </w:r>
          </w:p>
          <w:p w14:paraId="03521ECD" w14:textId="531BA1F8" w:rsidR="006D166D" w:rsidRPr="005C010A" w:rsidRDefault="00D50857" w:rsidP="00D50857">
            <w:pPr>
              <w:pStyle w:val="BodyText"/>
              <w:ind w:left="601" w:hanging="567"/>
              <w:rPr>
                <w:rFonts w:cs="Arial"/>
              </w:rPr>
            </w:pPr>
            <w:r>
              <w:rPr>
                <w:rFonts w:cs="Arial"/>
                <w:b/>
              </w:rPr>
              <w:t>S.12</w:t>
            </w:r>
            <w:r w:rsidR="006D166D">
              <w:rPr>
                <w:rFonts w:cs="Arial"/>
              </w:rPr>
              <w:t xml:space="preserve"> </w:t>
            </w:r>
            <w:r w:rsidR="00276037">
              <w:rPr>
                <w:rFonts w:cs="Arial"/>
              </w:rPr>
              <w:tab/>
            </w:r>
            <w:r w:rsidR="006D166D">
              <w:rPr>
                <w:rFonts w:cs="Arial"/>
              </w:rPr>
              <w:t>Which option best ensures that employees across the community services sector have fair and equitable access to the Scheme?</w:t>
            </w:r>
          </w:p>
        </w:tc>
      </w:tr>
    </w:tbl>
    <w:p w14:paraId="69BDDFD6" w14:textId="1F3C28C5" w:rsidR="004D21B4" w:rsidRPr="008D7140" w:rsidRDefault="004D21B4" w:rsidP="004D21B4">
      <w:pPr>
        <w:pStyle w:val="Heading4"/>
        <w:ind w:left="709"/>
        <w:rPr>
          <w:rFonts w:ascii="Arial" w:hAnsi="Arial" w:cs="Arial"/>
          <w:sz w:val="20"/>
          <w:szCs w:val="20"/>
        </w:rPr>
      </w:pPr>
      <w:bookmarkStart w:id="116" w:name="_Ref35259599"/>
      <w:bookmarkStart w:id="117" w:name="_Ref36805626"/>
      <w:r>
        <w:rPr>
          <w:rFonts w:ascii="Arial" w:hAnsi="Arial" w:cs="Arial"/>
          <w:sz w:val="20"/>
          <w:szCs w:val="20"/>
        </w:rPr>
        <w:t xml:space="preserve">Community and </w:t>
      </w:r>
      <w:r w:rsidR="0072722B">
        <w:rPr>
          <w:rFonts w:ascii="Arial" w:hAnsi="Arial" w:cs="Arial"/>
          <w:sz w:val="20"/>
          <w:szCs w:val="20"/>
        </w:rPr>
        <w:t>Women’s Health Centre</w:t>
      </w:r>
      <w:r>
        <w:rPr>
          <w:rFonts w:ascii="Arial" w:hAnsi="Arial" w:cs="Arial"/>
          <w:sz w:val="20"/>
          <w:szCs w:val="20"/>
        </w:rPr>
        <w:t>s</w:t>
      </w:r>
      <w:bookmarkStart w:id="118" w:name="resume"/>
      <w:bookmarkEnd w:id="116"/>
      <w:bookmarkEnd w:id="117"/>
      <w:bookmarkEnd w:id="118"/>
    </w:p>
    <w:p w14:paraId="34410330" w14:textId="0FF5BC51" w:rsidR="004D21B4" w:rsidRPr="00EC5379" w:rsidRDefault="004D21B4" w:rsidP="004D21B4">
      <w:pPr>
        <w:pStyle w:val="BodyText"/>
        <w:rPr>
          <w:rFonts w:cs="Arial"/>
        </w:rPr>
      </w:pPr>
      <w:r w:rsidRPr="00EC5379">
        <w:rPr>
          <w:rFonts w:cs="Arial"/>
        </w:rPr>
        <w:t xml:space="preserve">A summary of the options for determining who is </w:t>
      </w:r>
      <w:r w:rsidR="0071726F">
        <w:rPr>
          <w:rFonts w:cs="Arial"/>
          <w:color w:val="auto"/>
        </w:rPr>
        <w:t xml:space="preserve">regarded as </w:t>
      </w:r>
      <w:r w:rsidRPr="00EC5379">
        <w:rPr>
          <w:rFonts w:cs="Arial"/>
        </w:rPr>
        <w:t>an employer in the community services sector</w:t>
      </w:r>
      <w:r>
        <w:rPr>
          <w:rFonts w:cs="Arial"/>
        </w:rPr>
        <w:t xml:space="preserve"> in relation to </w:t>
      </w:r>
      <w:r w:rsidR="0072722B">
        <w:rPr>
          <w:rFonts w:cs="Arial"/>
        </w:rPr>
        <w:t>Community Health</w:t>
      </w:r>
      <w:r>
        <w:rPr>
          <w:rFonts w:cs="Arial"/>
        </w:rPr>
        <w:t xml:space="preserve"> and </w:t>
      </w:r>
      <w:r w:rsidR="0072722B">
        <w:rPr>
          <w:rFonts w:cs="Arial"/>
        </w:rPr>
        <w:t>Women’s Health Centre</w:t>
      </w:r>
      <w:r>
        <w:rPr>
          <w:rFonts w:cs="Arial"/>
        </w:rPr>
        <w:t>s</w:t>
      </w:r>
      <w:r w:rsidR="00276037">
        <w:rPr>
          <w:rFonts w:cs="Arial"/>
        </w:rPr>
        <w:t>,</w:t>
      </w:r>
      <w:r>
        <w:rPr>
          <w:rFonts w:cs="Arial"/>
        </w:rPr>
        <w:t xml:space="preserve"> </w:t>
      </w:r>
      <w:r w:rsidRPr="00EC5379">
        <w:rPr>
          <w:rFonts w:cs="Arial"/>
        </w:rPr>
        <w:t xml:space="preserve">along with their relative scores compared to the </w:t>
      </w:r>
      <w:r w:rsidR="0013418B">
        <w:rPr>
          <w:rFonts w:cs="Arial"/>
        </w:rPr>
        <w:t>status quo</w:t>
      </w:r>
      <w:r w:rsidRPr="00EC5379">
        <w:rPr>
          <w:rFonts w:cs="Arial"/>
        </w:rPr>
        <w:t>, is as follows:</w:t>
      </w:r>
    </w:p>
    <w:p w14:paraId="2CFB7D5C" w14:textId="614624FF" w:rsidR="0014274A" w:rsidRDefault="004D21B4" w:rsidP="00337958">
      <w:pPr>
        <w:pStyle w:val="Caption"/>
      </w:pPr>
      <w:r w:rsidRPr="00EC5379">
        <w:rPr>
          <w:rFonts w:ascii="Arial" w:hAnsi="Arial" w:cs="Arial"/>
        </w:rPr>
        <w:t xml:space="preserve">Table </w:t>
      </w:r>
      <w:r w:rsidRPr="00EC5379">
        <w:rPr>
          <w:rFonts w:ascii="Arial" w:hAnsi="Arial" w:cs="Arial"/>
          <w:i w:val="0"/>
          <w:iCs w:val="0"/>
          <w:noProof/>
        </w:rPr>
        <w:fldChar w:fldCharType="begin"/>
      </w:r>
      <w:r w:rsidRPr="00EC5379">
        <w:rPr>
          <w:rFonts w:ascii="Arial" w:hAnsi="Arial" w:cs="Arial"/>
          <w:noProof/>
        </w:rPr>
        <w:instrText xml:space="preserve"> SEQ Table \* ARABIC </w:instrText>
      </w:r>
      <w:r w:rsidRPr="00EC5379">
        <w:rPr>
          <w:rFonts w:ascii="Arial" w:hAnsi="Arial" w:cs="Arial"/>
          <w:i w:val="0"/>
          <w:iCs w:val="0"/>
          <w:noProof/>
        </w:rPr>
        <w:fldChar w:fldCharType="separate"/>
      </w:r>
      <w:r w:rsidR="00EB4037">
        <w:rPr>
          <w:rFonts w:ascii="Arial" w:hAnsi="Arial" w:cs="Arial"/>
          <w:noProof/>
        </w:rPr>
        <w:t>8</w:t>
      </w:r>
      <w:r w:rsidRPr="00EC5379">
        <w:rPr>
          <w:rFonts w:ascii="Arial" w:hAnsi="Arial" w:cs="Arial"/>
          <w:i w:val="0"/>
          <w:iCs w:val="0"/>
          <w:noProof/>
        </w:rPr>
        <w:fldChar w:fldCharType="end"/>
      </w:r>
      <w:r w:rsidRPr="00EC5379">
        <w:rPr>
          <w:rFonts w:ascii="Arial" w:hAnsi="Arial" w:cs="Arial"/>
        </w:rPr>
        <w:t xml:space="preserve">: Summary of </w:t>
      </w:r>
      <w:r w:rsidR="00DF2E27">
        <w:rPr>
          <w:rFonts w:ascii="Arial" w:hAnsi="Arial" w:cs="Arial"/>
        </w:rPr>
        <w:t xml:space="preserve">community and </w:t>
      </w:r>
      <w:r w:rsidR="0072722B">
        <w:rPr>
          <w:rFonts w:ascii="Arial" w:hAnsi="Arial" w:cs="Arial"/>
        </w:rPr>
        <w:t>Women’s Health Centre</w:t>
      </w:r>
      <w:r w:rsidR="00DF2E27">
        <w:rPr>
          <w:rFonts w:ascii="Arial" w:hAnsi="Arial" w:cs="Arial"/>
        </w:rPr>
        <w:t>s</w:t>
      </w:r>
      <w:r>
        <w:rPr>
          <w:rFonts w:ascii="Arial" w:hAnsi="Arial" w:cs="Arial"/>
        </w:rPr>
        <w:t xml:space="preserve"> </w:t>
      </w:r>
      <w:r w:rsidRPr="00EC5379">
        <w:rPr>
          <w:rFonts w:ascii="Arial" w:hAnsi="Arial" w:cs="Arial"/>
        </w:rPr>
        <w:t>impact analysis</w:t>
      </w:r>
    </w:p>
    <w:tbl>
      <w:tblPr>
        <w:tblStyle w:val="TableGrid"/>
        <w:tblW w:w="9072" w:type="dxa"/>
        <w:tblLayout w:type="fixed"/>
        <w:tblLook w:val="04A0" w:firstRow="1" w:lastRow="0" w:firstColumn="1" w:lastColumn="0" w:noHBand="0" w:noVBand="1"/>
      </w:tblPr>
      <w:tblGrid>
        <w:gridCol w:w="2552"/>
        <w:gridCol w:w="1304"/>
        <w:gridCol w:w="1304"/>
        <w:gridCol w:w="1304"/>
        <w:gridCol w:w="1304"/>
        <w:gridCol w:w="1304"/>
      </w:tblGrid>
      <w:tr w:rsidR="0014274A" w:rsidRPr="00F738AD" w14:paraId="707B1BA9" w14:textId="77777777" w:rsidTr="00F87691">
        <w:trPr>
          <w:trHeight w:val="442"/>
        </w:trPr>
        <w:tc>
          <w:tcPr>
            <w:tcW w:w="2552" w:type="dxa"/>
            <w:vMerge w:val="restart"/>
            <w:tcBorders>
              <w:top w:val="single" w:sz="4" w:space="0" w:color="auto"/>
              <w:left w:val="nil"/>
              <w:right w:val="single" w:sz="4" w:space="0" w:color="auto"/>
            </w:tcBorders>
            <w:shd w:val="clear" w:color="auto" w:fill="002060"/>
            <w:vAlign w:val="center"/>
          </w:tcPr>
          <w:p w14:paraId="73B668C7" w14:textId="77777777" w:rsidR="0014274A" w:rsidRPr="00F738AD" w:rsidRDefault="0014274A" w:rsidP="00F87691">
            <w:pPr>
              <w:keepNext/>
              <w:rPr>
                <w:rFonts w:ascii="Arial" w:hAnsi="Arial" w:cs="Arial"/>
                <w:b/>
                <w:color w:val="FFFFFF" w:themeColor="background1"/>
              </w:rPr>
            </w:pPr>
            <w:r w:rsidRPr="00F738AD">
              <w:rPr>
                <w:rFonts w:ascii="Arial" w:hAnsi="Arial" w:cs="Arial"/>
                <w:b/>
                <w:color w:val="FFFFFF" w:themeColor="background1"/>
              </w:rPr>
              <w:t>Option</w:t>
            </w:r>
          </w:p>
        </w:tc>
        <w:tc>
          <w:tcPr>
            <w:tcW w:w="6520" w:type="dxa"/>
            <w:gridSpan w:val="5"/>
            <w:tcBorders>
              <w:top w:val="single" w:sz="4" w:space="0" w:color="auto"/>
              <w:left w:val="single" w:sz="4" w:space="0" w:color="auto"/>
              <w:right w:val="nil"/>
            </w:tcBorders>
            <w:shd w:val="clear" w:color="auto" w:fill="002060"/>
            <w:vAlign w:val="center"/>
          </w:tcPr>
          <w:p w14:paraId="37DE915B" w14:textId="77777777" w:rsidR="0014274A" w:rsidRPr="00F738AD" w:rsidRDefault="0014274A" w:rsidP="00F87691">
            <w:pPr>
              <w:keepNext/>
              <w:jc w:val="center"/>
              <w:rPr>
                <w:rFonts w:ascii="Arial" w:hAnsi="Arial" w:cs="Arial"/>
                <w:b/>
                <w:color w:val="FFFFFF" w:themeColor="background1"/>
              </w:rPr>
            </w:pPr>
            <w:r w:rsidRPr="00F738AD">
              <w:rPr>
                <w:rFonts w:ascii="Arial" w:hAnsi="Arial" w:cs="Arial"/>
                <w:b/>
                <w:color w:val="FFFFFF" w:themeColor="background1"/>
              </w:rPr>
              <w:t>Scores</w:t>
            </w:r>
          </w:p>
        </w:tc>
      </w:tr>
      <w:tr w:rsidR="0014274A" w:rsidRPr="00F738AD" w14:paraId="7A1F4F38" w14:textId="77777777" w:rsidTr="00F87691">
        <w:trPr>
          <w:trHeight w:val="924"/>
        </w:trPr>
        <w:tc>
          <w:tcPr>
            <w:tcW w:w="2552" w:type="dxa"/>
            <w:vMerge/>
            <w:tcBorders>
              <w:left w:val="nil"/>
              <w:bottom w:val="single" w:sz="4" w:space="0" w:color="auto"/>
              <w:right w:val="single" w:sz="4" w:space="0" w:color="auto"/>
            </w:tcBorders>
            <w:shd w:val="clear" w:color="auto" w:fill="002060"/>
          </w:tcPr>
          <w:p w14:paraId="3DE106CD" w14:textId="77777777" w:rsidR="0014274A" w:rsidRPr="00F738AD" w:rsidRDefault="0014274A" w:rsidP="00F87691">
            <w:pPr>
              <w:pStyle w:val="Tableheading"/>
              <w:keepNext/>
              <w:rPr>
                <w:rFonts w:ascii="Arial" w:hAnsi="Arial" w:cs="Arial"/>
              </w:rPr>
            </w:pPr>
          </w:p>
        </w:tc>
        <w:tc>
          <w:tcPr>
            <w:tcW w:w="1304" w:type="dxa"/>
            <w:tcBorders>
              <w:top w:val="single" w:sz="4" w:space="0" w:color="auto"/>
              <w:left w:val="single" w:sz="4" w:space="0" w:color="auto"/>
              <w:right w:val="nil"/>
            </w:tcBorders>
            <w:shd w:val="clear" w:color="auto" w:fill="002060"/>
            <w:vAlign w:val="center"/>
          </w:tcPr>
          <w:p w14:paraId="7CCEA93B" w14:textId="77777777" w:rsidR="0014274A" w:rsidRPr="00F738AD" w:rsidRDefault="0014274A" w:rsidP="00F87691">
            <w:pPr>
              <w:keepNext/>
              <w:jc w:val="center"/>
              <w:rPr>
                <w:rFonts w:ascii="Arial" w:hAnsi="Arial" w:cs="Arial"/>
                <w:color w:val="FFFFFF" w:themeColor="background1"/>
              </w:rPr>
            </w:pPr>
            <w:r w:rsidRPr="00F738AD">
              <w:rPr>
                <w:rFonts w:ascii="Arial" w:hAnsi="Arial" w:cs="Arial"/>
                <w:color w:val="FFFFFF" w:themeColor="background1"/>
              </w:rPr>
              <w:t>E</w:t>
            </w:r>
            <w:r>
              <w:rPr>
                <w:rFonts w:ascii="Arial" w:hAnsi="Arial" w:cs="Arial"/>
                <w:color w:val="FFFFFF" w:themeColor="background1"/>
              </w:rPr>
              <w:t>mployee e</w:t>
            </w:r>
            <w:r w:rsidRPr="00F738AD">
              <w:rPr>
                <w:rFonts w:ascii="Arial" w:hAnsi="Arial" w:cs="Arial"/>
                <w:color w:val="FFFFFF" w:themeColor="background1"/>
              </w:rPr>
              <w:t>quity (50%)</w:t>
            </w:r>
          </w:p>
        </w:tc>
        <w:tc>
          <w:tcPr>
            <w:tcW w:w="1304" w:type="dxa"/>
            <w:tcBorders>
              <w:top w:val="single" w:sz="4" w:space="0" w:color="auto"/>
              <w:left w:val="single" w:sz="4" w:space="0" w:color="auto"/>
              <w:right w:val="nil"/>
            </w:tcBorders>
            <w:shd w:val="clear" w:color="auto" w:fill="002060"/>
            <w:vAlign w:val="center"/>
          </w:tcPr>
          <w:p w14:paraId="1F3F3692" w14:textId="3A29B533" w:rsidR="0014274A" w:rsidRPr="00F738AD" w:rsidRDefault="00B82CEE" w:rsidP="00F87691">
            <w:pPr>
              <w:keepNext/>
              <w:jc w:val="center"/>
              <w:rPr>
                <w:rFonts w:ascii="Arial" w:hAnsi="Arial" w:cs="Arial"/>
                <w:b/>
                <w:color w:val="FFFFFF" w:themeColor="background1"/>
              </w:rPr>
            </w:pPr>
            <w:r>
              <w:rPr>
                <w:rFonts w:ascii="Arial" w:hAnsi="Arial" w:cs="Arial"/>
                <w:color w:val="FFFFFF" w:themeColor="background1"/>
              </w:rPr>
              <w:t>Employer</w:t>
            </w:r>
            <w:r w:rsidR="0014274A">
              <w:rPr>
                <w:rFonts w:ascii="Arial" w:hAnsi="Arial" w:cs="Arial"/>
                <w:color w:val="FFFFFF" w:themeColor="background1"/>
              </w:rPr>
              <w:t xml:space="preserve"> financial cost </w:t>
            </w:r>
            <w:r w:rsidR="0014274A" w:rsidRPr="00F738AD">
              <w:rPr>
                <w:rFonts w:ascii="Arial" w:hAnsi="Arial" w:cs="Arial"/>
                <w:color w:val="FFFFFF" w:themeColor="background1"/>
              </w:rPr>
              <w:t>(2</w:t>
            </w:r>
            <w:r w:rsidR="0014274A">
              <w:rPr>
                <w:rFonts w:ascii="Arial" w:hAnsi="Arial" w:cs="Arial"/>
                <w:color w:val="FFFFFF" w:themeColor="background1"/>
              </w:rPr>
              <w:t>0</w:t>
            </w:r>
            <w:r w:rsidR="0014274A" w:rsidRPr="00F738AD">
              <w:rPr>
                <w:rFonts w:ascii="Arial" w:hAnsi="Arial" w:cs="Arial"/>
                <w:color w:val="FFFFFF" w:themeColor="background1"/>
              </w:rPr>
              <w:t>%)</w:t>
            </w:r>
          </w:p>
        </w:tc>
        <w:tc>
          <w:tcPr>
            <w:tcW w:w="1304" w:type="dxa"/>
            <w:tcBorders>
              <w:top w:val="single" w:sz="4" w:space="0" w:color="auto"/>
              <w:left w:val="single" w:sz="4" w:space="0" w:color="auto"/>
              <w:right w:val="nil"/>
            </w:tcBorders>
            <w:shd w:val="clear" w:color="auto" w:fill="002060"/>
            <w:vAlign w:val="center"/>
          </w:tcPr>
          <w:p w14:paraId="571D3583" w14:textId="6D193AB8" w:rsidR="0014274A" w:rsidRPr="0074738D" w:rsidRDefault="00B82CEE" w:rsidP="00F87691">
            <w:pPr>
              <w:keepNext/>
              <w:jc w:val="center"/>
              <w:rPr>
                <w:rFonts w:ascii="Arial" w:hAnsi="Arial" w:cs="Arial"/>
                <w:color w:val="FFFFFF" w:themeColor="background1"/>
              </w:rPr>
            </w:pPr>
            <w:r>
              <w:rPr>
                <w:rFonts w:ascii="Arial" w:hAnsi="Arial" w:cs="Arial"/>
                <w:color w:val="FFFFFF" w:themeColor="background1"/>
              </w:rPr>
              <w:t>Employer</w:t>
            </w:r>
            <w:r w:rsidR="0014274A" w:rsidRPr="0074738D">
              <w:rPr>
                <w:rFonts w:ascii="Arial" w:hAnsi="Arial" w:cs="Arial"/>
                <w:color w:val="FFFFFF" w:themeColor="background1"/>
              </w:rPr>
              <w:t xml:space="preserve"> uncertainty</w:t>
            </w:r>
            <w:r w:rsidR="0014274A">
              <w:rPr>
                <w:rFonts w:ascii="Arial" w:hAnsi="Arial" w:cs="Arial"/>
                <w:color w:val="FFFFFF" w:themeColor="background1"/>
              </w:rPr>
              <w:t xml:space="preserve"> cost</w:t>
            </w:r>
            <w:r w:rsidR="0014274A" w:rsidRPr="0074738D">
              <w:rPr>
                <w:rFonts w:ascii="Arial" w:hAnsi="Arial" w:cs="Arial"/>
                <w:color w:val="FFFFFF" w:themeColor="background1"/>
              </w:rPr>
              <w:t xml:space="preserve"> (20%)</w:t>
            </w:r>
          </w:p>
        </w:tc>
        <w:tc>
          <w:tcPr>
            <w:tcW w:w="1304" w:type="dxa"/>
            <w:tcBorders>
              <w:top w:val="single" w:sz="4" w:space="0" w:color="auto"/>
              <w:left w:val="single" w:sz="4" w:space="0" w:color="auto"/>
              <w:right w:val="nil"/>
            </w:tcBorders>
            <w:shd w:val="clear" w:color="auto" w:fill="002060"/>
            <w:vAlign w:val="center"/>
          </w:tcPr>
          <w:p w14:paraId="169ABE74" w14:textId="77777777" w:rsidR="0014274A" w:rsidRPr="00F738AD" w:rsidRDefault="0014274A" w:rsidP="00F87691">
            <w:pPr>
              <w:keepNext/>
              <w:jc w:val="center"/>
              <w:rPr>
                <w:rFonts w:ascii="Arial" w:hAnsi="Arial" w:cs="Arial"/>
                <w:color w:val="FFFFFF" w:themeColor="background1"/>
              </w:rPr>
            </w:pPr>
            <w:r>
              <w:rPr>
                <w:rFonts w:ascii="Arial" w:hAnsi="Arial" w:cs="Arial"/>
                <w:color w:val="FFFFFF" w:themeColor="background1"/>
              </w:rPr>
              <w:t>Impact on Authority</w:t>
            </w:r>
          </w:p>
          <w:p w14:paraId="49893624" w14:textId="77777777" w:rsidR="0014274A" w:rsidRPr="00F738AD" w:rsidRDefault="0014274A" w:rsidP="00F87691">
            <w:pPr>
              <w:keepNext/>
              <w:jc w:val="center"/>
              <w:rPr>
                <w:rFonts w:ascii="Arial" w:hAnsi="Arial" w:cs="Arial"/>
                <w:color w:val="FFFFFF" w:themeColor="background1"/>
              </w:rPr>
            </w:pPr>
            <w:r w:rsidRPr="00F738AD">
              <w:rPr>
                <w:rFonts w:ascii="Arial" w:hAnsi="Arial" w:cs="Arial"/>
                <w:color w:val="FFFFFF" w:themeColor="background1"/>
              </w:rPr>
              <w:t>(</w:t>
            </w:r>
            <w:r>
              <w:rPr>
                <w:rFonts w:ascii="Arial" w:hAnsi="Arial" w:cs="Arial"/>
                <w:color w:val="FFFFFF" w:themeColor="background1"/>
              </w:rPr>
              <w:t>10</w:t>
            </w:r>
            <w:r w:rsidRPr="00F738AD">
              <w:rPr>
                <w:rFonts w:ascii="Arial" w:hAnsi="Arial" w:cs="Arial"/>
                <w:color w:val="FFFFFF" w:themeColor="background1"/>
              </w:rPr>
              <w:t>%)</w:t>
            </w:r>
          </w:p>
        </w:tc>
        <w:tc>
          <w:tcPr>
            <w:tcW w:w="1304" w:type="dxa"/>
            <w:tcBorders>
              <w:top w:val="single" w:sz="4" w:space="0" w:color="auto"/>
              <w:left w:val="single" w:sz="4" w:space="0" w:color="auto"/>
              <w:right w:val="nil"/>
            </w:tcBorders>
            <w:shd w:val="clear" w:color="auto" w:fill="002060"/>
            <w:vAlign w:val="center"/>
          </w:tcPr>
          <w:p w14:paraId="2FEEE04A" w14:textId="77777777" w:rsidR="0014274A" w:rsidRPr="00F738AD" w:rsidRDefault="0014274A" w:rsidP="00F87691">
            <w:pPr>
              <w:keepNext/>
              <w:jc w:val="center"/>
              <w:rPr>
                <w:rFonts w:ascii="Arial" w:hAnsi="Arial" w:cs="Arial"/>
                <w:b/>
                <w:color w:val="FFFFFF" w:themeColor="background1"/>
              </w:rPr>
            </w:pPr>
            <w:r w:rsidRPr="00F738AD">
              <w:rPr>
                <w:rFonts w:ascii="Arial" w:hAnsi="Arial" w:cs="Arial"/>
                <w:b/>
                <w:color w:val="FFFFFF" w:themeColor="background1"/>
              </w:rPr>
              <w:t>Weighted score</w:t>
            </w:r>
          </w:p>
        </w:tc>
      </w:tr>
      <w:tr w:rsidR="0014274A" w:rsidRPr="00EC5379" w14:paraId="397DE6EF" w14:textId="77777777" w:rsidTr="00F87691">
        <w:trPr>
          <w:trHeight w:val="696"/>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1E2F1D78" w14:textId="77777777" w:rsidR="0014274A" w:rsidRPr="00EC5379" w:rsidRDefault="0014274A" w:rsidP="006C3958">
            <w:pPr>
              <w:spacing w:before="100" w:beforeAutospacing="1"/>
              <w:rPr>
                <w:rFonts w:ascii="Arial" w:hAnsi="Arial" w:cs="Arial"/>
              </w:rPr>
            </w:pPr>
            <w:r>
              <w:rPr>
                <w:rFonts w:ascii="Arial" w:hAnsi="Arial" w:cs="Arial"/>
              </w:rPr>
              <w:t>Status</w:t>
            </w:r>
            <w:r w:rsidRPr="00EC5379">
              <w:rPr>
                <w:rFonts w:ascii="Arial" w:hAnsi="Arial" w:cs="Arial"/>
              </w:rPr>
              <w:t xml:space="preserve"> quo under the Interim Regulations</w:t>
            </w:r>
          </w:p>
        </w:tc>
        <w:tc>
          <w:tcPr>
            <w:tcW w:w="1304" w:type="dxa"/>
            <w:tcBorders>
              <w:left w:val="single" w:sz="4" w:space="0" w:color="auto"/>
              <w:right w:val="nil"/>
            </w:tcBorders>
            <w:shd w:val="clear" w:color="auto" w:fill="DEEAF6" w:themeFill="accent1" w:themeFillTint="33"/>
            <w:vAlign w:val="center"/>
          </w:tcPr>
          <w:p w14:paraId="108A3D78" w14:textId="77777777" w:rsidR="0014274A" w:rsidRPr="00EC5379" w:rsidRDefault="0014274A" w:rsidP="00F87691">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2264D2E7" w14:textId="77777777" w:rsidR="0014274A" w:rsidRPr="00EC5379" w:rsidRDefault="0014274A" w:rsidP="00F87691">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10FBA523" w14:textId="77777777" w:rsidR="0014274A" w:rsidRPr="00EC5379" w:rsidRDefault="0014274A" w:rsidP="00F87691">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20FAF28E" w14:textId="77777777" w:rsidR="0014274A" w:rsidRPr="00EC5379" w:rsidRDefault="0014274A" w:rsidP="00F87691">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5637E5F6" w14:textId="77777777" w:rsidR="0014274A" w:rsidRPr="00EC5379" w:rsidRDefault="0014274A" w:rsidP="00F87691">
            <w:pPr>
              <w:keepNext/>
              <w:jc w:val="center"/>
              <w:rPr>
                <w:rFonts w:ascii="Arial" w:hAnsi="Arial" w:cs="Arial"/>
                <w:b/>
              </w:rPr>
            </w:pPr>
            <w:r>
              <w:rPr>
                <w:rFonts w:ascii="Arial" w:hAnsi="Arial" w:cs="Arial"/>
                <w:b/>
              </w:rPr>
              <w:t>0</w:t>
            </w:r>
          </w:p>
        </w:tc>
      </w:tr>
      <w:tr w:rsidR="0014274A" w:rsidRPr="00EC5379" w14:paraId="63EEECD7" w14:textId="77777777" w:rsidTr="00337958">
        <w:trPr>
          <w:trHeight w:val="1234"/>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2E112D20" w14:textId="1AB71430" w:rsidR="0014274A" w:rsidRPr="00EC5379" w:rsidRDefault="0014274A" w:rsidP="006C3958">
            <w:pPr>
              <w:spacing w:before="100" w:beforeAutospacing="1"/>
              <w:rPr>
                <w:rFonts w:ascii="Arial" w:hAnsi="Arial" w:cs="Arial"/>
              </w:rPr>
            </w:pPr>
            <w:r>
              <w:rPr>
                <w:rFonts w:ascii="Arial" w:hAnsi="Arial" w:cs="Arial"/>
              </w:rPr>
              <w:t xml:space="preserve">Option 1 – Include </w:t>
            </w:r>
            <w:r w:rsidR="0072722B">
              <w:rPr>
                <w:rFonts w:ascii="Arial" w:hAnsi="Arial" w:cs="Arial"/>
              </w:rPr>
              <w:t>Community Health</w:t>
            </w:r>
            <w:r>
              <w:rPr>
                <w:rFonts w:ascii="Arial" w:hAnsi="Arial" w:cs="Arial"/>
              </w:rPr>
              <w:t xml:space="preserve"> and </w:t>
            </w:r>
            <w:r w:rsidR="0072722B">
              <w:rPr>
                <w:rFonts w:ascii="Arial" w:hAnsi="Arial" w:cs="Arial"/>
              </w:rPr>
              <w:t>Women’s Health Centre</w:t>
            </w:r>
            <w:r>
              <w:rPr>
                <w:rFonts w:ascii="Arial" w:hAnsi="Arial" w:cs="Arial"/>
              </w:rPr>
              <w:t>s in the Scheme</w:t>
            </w:r>
          </w:p>
        </w:tc>
        <w:tc>
          <w:tcPr>
            <w:tcW w:w="1304" w:type="dxa"/>
            <w:tcBorders>
              <w:left w:val="single" w:sz="4" w:space="0" w:color="auto"/>
              <w:right w:val="nil"/>
            </w:tcBorders>
            <w:shd w:val="clear" w:color="auto" w:fill="DEEAF6" w:themeFill="accent1" w:themeFillTint="33"/>
            <w:vAlign w:val="center"/>
          </w:tcPr>
          <w:p w14:paraId="63FCF758" w14:textId="5A5AD43B" w:rsidR="0014274A" w:rsidRPr="00EC5379" w:rsidRDefault="0014274A" w:rsidP="0014274A">
            <w:pPr>
              <w:keepNext/>
              <w:jc w:val="center"/>
              <w:rPr>
                <w:rFonts w:ascii="Arial" w:hAnsi="Arial" w:cs="Arial"/>
              </w:rPr>
            </w:pPr>
            <w:r>
              <w:rPr>
                <w:rFonts w:ascii="Arial" w:hAnsi="Arial" w:cs="Arial"/>
              </w:rPr>
              <w:t>2</w:t>
            </w:r>
          </w:p>
        </w:tc>
        <w:tc>
          <w:tcPr>
            <w:tcW w:w="1304" w:type="dxa"/>
            <w:tcBorders>
              <w:left w:val="single" w:sz="4" w:space="0" w:color="auto"/>
              <w:right w:val="nil"/>
            </w:tcBorders>
            <w:shd w:val="clear" w:color="auto" w:fill="DEEAF6" w:themeFill="accent1" w:themeFillTint="33"/>
            <w:vAlign w:val="center"/>
          </w:tcPr>
          <w:p w14:paraId="7AA9D92F" w14:textId="7A2D4CB1" w:rsidR="0014274A" w:rsidRPr="00EC5379" w:rsidRDefault="0014274A" w:rsidP="0014274A">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60FDE7B1" w14:textId="7C8E27C9" w:rsidR="0014274A" w:rsidRPr="00EC5379" w:rsidRDefault="00D73984" w:rsidP="0014274A">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07AE68D1" w14:textId="6ECB7185" w:rsidR="0014274A" w:rsidRPr="00EC5379" w:rsidRDefault="0014274A" w:rsidP="0014274A">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48F7C289" w14:textId="74994C9E" w:rsidR="0014274A" w:rsidRPr="00EC5379" w:rsidRDefault="0014274A" w:rsidP="0014274A">
            <w:pPr>
              <w:keepNext/>
              <w:jc w:val="center"/>
              <w:rPr>
                <w:rFonts w:ascii="Arial" w:hAnsi="Arial" w:cs="Arial"/>
                <w:b/>
              </w:rPr>
            </w:pPr>
            <w:r>
              <w:rPr>
                <w:rFonts w:ascii="Arial" w:hAnsi="Arial" w:cs="Arial"/>
                <w:b/>
              </w:rPr>
              <w:t>1.</w:t>
            </w:r>
            <w:r w:rsidR="00D73984">
              <w:rPr>
                <w:rFonts w:ascii="Arial" w:hAnsi="Arial" w:cs="Arial"/>
                <w:b/>
              </w:rPr>
              <w:t>3</w:t>
            </w:r>
          </w:p>
        </w:tc>
      </w:tr>
      <w:tr w:rsidR="0014274A" w:rsidRPr="00EC5379" w14:paraId="7C62B183" w14:textId="77777777" w:rsidTr="00337958">
        <w:trPr>
          <w:trHeight w:val="1252"/>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6000E399" w14:textId="54530513" w:rsidR="0014274A" w:rsidRPr="00EC5379" w:rsidRDefault="0014274A" w:rsidP="006C3958">
            <w:pPr>
              <w:spacing w:before="100" w:beforeAutospacing="1"/>
              <w:rPr>
                <w:rFonts w:ascii="Arial" w:hAnsi="Arial" w:cs="Arial"/>
              </w:rPr>
            </w:pPr>
            <w:r>
              <w:rPr>
                <w:rFonts w:ascii="Arial" w:hAnsi="Arial" w:cs="Arial"/>
              </w:rPr>
              <w:t>Option 2</w:t>
            </w:r>
            <w:r w:rsidRPr="00EC5379">
              <w:rPr>
                <w:rFonts w:ascii="Arial" w:hAnsi="Arial" w:cs="Arial"/>
              </w:rPr>
              <w:t xml:space="preserve"> – </w:t>
            </w:r>
            <w:r>
              <w:rPr>
                <w:rFonts w:ascii="Arial" w:hAnsi="Arial" w:cs="Arial"/>
              </w:rPr>
              <w:t xml:space="preserve">Exclude </w:t>
            </w:r>
            <w:r w:rsidR="0072722B">
              <w:rPr>
                <w:rFonts w:ascii="Arial" w:hAnsi="Arial" w:cs="Arial"/>
              </w:rPr>
              <w:t>Community Health</w:t>
            </w:r>
            <w:r>
              <w:rPr>
                <w:rFonts w:ascii="Arial" w:hAnsi="Arial" w:cs="Arial"/>
              </w:rPr>
              <w:t xml:space="preserve"> and </w:t>
            </w:r>
            <w:r w:rsidR="0072722B">
              <w:rPr>
                <w:rFonts w:ascii="Arial" w:hAnsi="Arial" w:cs="Arial"/>
              </w:rPr>
              <w:t>Women’s Health Centre</w:t>
            </w:r>
            <w:r>
              <w:rPr>
                <w:rFonts w:ascii="Arial" w:hAnsi="Arial" w:cs="Arial"/>
              </w:rPr>
              <w:t>s from the Scheme</w:t>
            </w:r>
          </w:p>
        </w:tc>
        <w:tc>
          <w:tcPr>
            <w:tcW w:w="1304" w:type="dxa"/>
            <w:tcBorders>
              <w:left w:val="single" w:sz="4" w:space="0" w:color="auto"/>
              <w:right w:val="nil"/>
            </w:tcBorders>
            <w:shd w:val="clear" w:color="auto" w:fill="DEEAF6" w:themeFill="accent1" w:themeFillTint="33"/>
            <w:vAlign w:val="center"/>
          </w:tcPr>
          <w:p w14:paraId="1D284937" w14:textId="0BAE9883" w:rsidR="0014274A" w:rsidRPr="00EC5379" w:rsidRDefault="005C010A" w:rsidP="0014274A">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2D8D7449" w14:textId="3FB35494" w:rsidR="0014274A" w:rsidRPr="00EC5379" w:rsidRDefault="005C010A" w:rsidP="0014274A">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26B2DBEE" w14:textId="0FF686F7" w:rsidR="0014274A" w:rsidRPr="00EC5379" w:rsidRDefault="00D73984" w:rsidP="0014274A">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36ABF0E9" w14:textId="77777777" w:rsidR="0014274A" w:rsidRPr="00EC5379" w:rsidRDefault="0014274A" w:rsidP="0014274A">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7D45DE00" w14:textId="643B0C5A" w:rsidR="0014274A" w:rsidRPr="00EC5379" w:rsidRDefault="005C010A" w:rsidP="0014274A">
            <w:pPr>
              <w:keepNext/>
              <w:jc w:val="center"/>
              <w:rPr>
                <w:rFonts w:ascii="Arial" w:hAnsi="Arial" w:cs="Arial"/>
                <w:b/>
              </w:rPr>
            </w:pPr>
            <w:r>
              <w:rPr>
                <w:rFonts w:ascii="Arial" w:hAnsi="Arial" w:cs="Arial"/>
                <w:b/>
              </w:rPr>
              <w:t>0.</w:t>
            </w:r>
            <w:r w:rsidR="00D73984">
              <w:rPr>
                <w:rFonts w:ascii="Arial" w:hAnsi="Arial" w:cs="Arial"/>
                <w:b/>
              </w:rPr>
              <w:t>6</w:t>
            </w:r>
          </w:p>
        </w:tc>
      </w:tr>
    </w:tbl>
    <w:p w14:paraId="7B7CCA2C" w14:textId="77777777" w:rsidR="004D21B4" w:rsidRPr="00EC5379" w:rsidRDefault="004D21B4" w:rsidP="004D21B4">
      <w:pPr>
        <w:spacing w:before="240"/>
        <w:rPr>
          <w:rFonts w:ascii="Arial" w:hAnsi="Arial" w:cs="Arial"/>
        </w:rPr>
      </w:pPr>
      <w:r w:rsidRPr="00EC5379">
        <w:rPr>
          <w:rFonts w:ascii="Arial" w:hAnsi="Arial" w:cs="Arial"/>
        </w:rPr>
        <w:t>The rationale for these scores is summarised for each option in the following sub-sections.</w:t>
      </w:r>
    </w:p>
    <w:p w14:paraId="7D64E368" w14:textId="0148B714" w:rsidR="004D21B4" w:rsidRPr="00CE3DED" w:rsidRDefault="004D21B4" w:rsidP="00276037">
      <w:pPr>
        <w:pStyle w:val="Heading6"/>
      </w:pPr>
      <w:r w:rsidRPr="00337958">
        <w:t xml:space="preserve">Analysis of the </w:t>
      </w:r>
      <w:r w:rsidR="0013418B">
        <w:t>status quo</w:t>
      </w:r>
    </w:p>
    <w:p w14:paraId="7F3CDD07" w14:textId="4C5A34CE" w:rsidR="006F20B1" w:rsidRDefault="004D21B4" w:rsidP="004D21B4">
      <w:pPr>
        <w:pStyle w:val="BodyText"/>
        <w:rPr>
          <w:rFonts w:cs="Arial"/>
        </w:rPr>
      </w:pPr>
      <w:r w:rsidRPr="00EC5379">
        <w:rPr>
          <w:rFonts w:cs="Arial"/>
        </w:rPr>
        <w:t xml:space="preserve">The </w:t>
      </w:r>
      <w:r w:rsidR="0013418B">
        <w:rPr>
          <w:rFonts w:cs="Arial"/>
        </w:rPr>
        <w:t>status quo</w:t>
      </w:r>
      <w:r w:rsidRPr="00EC5379">
        <w:rPr>
          <w:rFonts w:cs="Arial"/>
        </w:rPr>
        <w:t xml:space="preserve"> is analysed to provide a point of comparison for the options which follow. </w:t>
      </w:r>
      <w:r w:rsidR="00D85311">
        <w:rPr>
          <w:rFonts w:cs="Arial"/>
        </w:rPr>
        <w:t>T</w:t>
      </w:r>
      <w:r w:rsidRPr="00EC5379">
        <w:rPr>
          <w:rFonts w:cs="Arial"/>
        </w:rPr>
        <w:t xml:space="preserve">he </w:t>
      </w:r>
      <w:r w:rsidR="0013418B">
        <w:rPr>
          <w:rFonts w:cs="Arial"/>
        </w:rPr>
        <w:t>status quo</w:t>
      </w:r>
      <w:r w:rsidRPr="00EC5379">
        <w:rPr>
          <w:rFonts w:cs="Arial"/>
        </w:rPr>
        <w:t xml:space="preserve"> would leave the definition </w:t>
      </w:r>
      <w:r w:rsidR="00DF2E27">
        <w:rPr>
          <w:rFonts w:cs="Arial"/>
        </w:rPr>
        <w:t xml:space="preserve">of who is not </w:t>
      </w:r>
      <w:r w:rsidR="002A50A9">
        <w:rPr>
          <w:rFonts w:cs="Arial"/>
          <w:color w:val="auto"/>
        </w:rPr>
        <w:t xml:space="preserve">regarded as </w:t>
      </w:r>
      <w:r w:rsidR="00DF2E27">
        <w:rPr>
          <w:rFonts w:cs="Arial"/>
        </w:rPr>
        <w:t>an</w:t>
      </w:r>
      <w:r>
        <w:rPr>
          <w:rFonts w:cs="Arial"/>
        </w:rPr>
        <w:t xml:space="preserve"> employer in the community services sector</w:t>
      </w:r>
      <w:r w:rsidRPr="00EC5379">
        <w:rPr>
          <w:rFonts w:cs="Arial"/>
        </w:rPr>
        <w:t xml:space="preserve"> as it currently sta</w:t>
      </w:r>
      <w:r w:rsidR="00FE3ECF">
        <w:rPr>
          <w:rFonts w:cs="Arial"/>
        </w:rPr>
        <w:t>nds in the Interim Regulations.</w:t>
      </w:r>
    </w:p>
    <w:p w14:paraId="24972606" w14:textId="1B5B7BAF" w:rsidR="006F20B1" w:rsidRDefault="006F20B1">
      <w:pPr>
        <w:pStyle w:val="BodyText"/>
        <w:numPr>
          <w:ilvl w:val="0"/>
          <w:numId w:val="65"/>
        </w:numPr>
        <w:rPr>
          <w:rFonts w:cs="Arial"/>
        </w:rPr>
      </w:pPr>
      <w:r>
        <w:rPr>
          <w:rFonts w:cs="Arial"/>
          <w:color w:val="auto"/>
        </w:rPr>
        <w:t>E</w:t>
      </w:r>
      <w:r w:rsidRPr="004B6A2E">
        <w:rPr>
          <w:rFonts w:cs="Arial"/>
          <w:color w:val="auto"/>
        </w:rPr>
        <w:t xml:space="preserve">mployees </w:t>
      </w:r>
      <w:r>
        <w:rPr>
          <w:rFonts w:cs="Arial"/>
          <w:color w:val="auto"/>
        </w:rPr>
        <w:t xml:space="preserve">undertaking community service work within a </w:t>
      </w:r>
      <w:r w:rsidR="0072722B">
        <w:rPr>
          <w:rFonts w:cs="Arial"/>
          <w:color w:val="auto"/>
        </w:rPr>
        <w:t>Community Health</w:t>
      </w:r>
      <w:r>
        <w:rPr>
          <w:rFonts w:cs="Arial"/>
          <w:color w:val="auto"/>
        </w:rPr>
        <w:t xml:space="preserve"> or </w:t>
      </w:r>
      <w:r w:rsidR="0072722B">
        <w:rPr>
          <w:rFonts w:cs="Arial"/>
          <w:color w:val="auto"/>
        </w:rPr>
        <w:t>Women’s Health Centre</w:t>
      </w:r>
      <w:r>
        <w:rPr>
          <w:rFonts w:cs="Arial"/>
          <w:color w:val="auto"/>
        </w:rPr>
        <w:t xml:space="preserve"> </w:t>
      </w:r>
      <w:r w:rsidRPr="004B6A2E">
        <w:rPr>
          <w:rFonts w:cs="Arial"/>
          <w:color w:val="auto"/>
        </w:rPr>
        <w:t xml:space="preserve">may be disadvantaged if </w:t>
      </w:r>
      <w:r>
        <w:rPr>
          <w:rFonts w:cs="Arial"/>
          <w:color w:val="auto"/>
        </w:rPr>
        <w:t xml:space="preserve">a </w:t>
      </w:r>
      <w:r w:rsidRPr="004B6A2E">
        <w:rPr>
          <w:rFonts w:cs="Arial"/>
          <w:color w:val="auto"/>
        </w:rPr>
        <w:t>lack of clarity around their eligibility to participate in the Scheme precludes them from accessing – or otherwise limiting the value of – a long service benefit</w:t>
      </w:r>
      <w:r>
        <w:rPr>
          <w:rFonts w:cs="Arial"/>
          <w:color w:val="auto"/>
        </w:rPr>
        <w:t>;</w:t>
      </w:r>
    </w:p>
    <w:p w14:paraId="7BAF720C" w14:textId="2472A9B0" w:rsidR="006F20B1" w:rsidRDefault="0072722B" w:rsidP="00337958">
      <w:pPr>
        <w:pStyle w:val="BodyText"/>
        <w:numPr>
          <w:ilvl w:val="0"/>
          <w:numId w:val="65"/>
        </w:numPr>
        <w:rPr>
          <w:rFonts w:cs="Arial"/>
        </w:rPr>
      </w:pPr>
      <w:r>
        <w:rPr>
          <w:rFonts w:cs="Arial"/>
        </w:rPr>
        <w:lastRenderedPageBreak/>
        <w:t>Community Health</w:t>
      </w:r>
      <w:r w:rsidR="00DF2E27" w:rsidRPr="006F20B1">
        <w:rPr>
          <w:rFonts w:cs="Arial"/>
        </w:rPr>
        <w:t xml:space="preserve"> and </w:t>
      </w:r>
      <w:r>
        <w:rPr>
          <w:rFonts w:cs="Arial"/>
        </w:rPr>
        <w:t>Women’s Health Centre</w:t>
      </w:r>
      <w:r w:rsidR="00DF2E27" w:rsidRPr="006F20B1">
        <w:rPr>
          <w:rFonts w:cs="Arial"/>
        </w:rPr>
        <w:t>s would continue to lack certainty as to whether they are within scope of the Scheme</w:t>
      </w:r>
      <w:r w:rsidR="006F20B1">
        <w:rPr>
          <w:rFonts w:cs="Arial"/>
        </w:rPr>
        <w:t>, which is administratively burdensome; and</w:t>
      </w:r>
    </w:p>
    <w:p w14:paraId="46C168B4" w14:textId="01E1D726" w:rsidR="005C1413" w:rsidRDefault="006F20B1" w:rsidP="00337958">
      <w:pPr>
        <w:pStyle w:val="BodyText"/>
        <w:numPr>
          <w:ilvl w:val="0"/>
          <w:numId w:val="65"/>
        </w:numPr>
        <w:rPr>
          <w:rFonts w:cs="Arial"/>
        </w:rPr>
      </w:pPr>
      <w:r>
        <w:rPr>
          <w:rFonts w:cs="Arial"/>
        </w:rPr>
        <w:t>The Authority would continue to be burdened by questions from the sector and be in n</w:t>
      </w:r>
      <w:r w:rsidR="00FF631A">
        <w:rPr>
          <w:rFonts w:cs="Arial"/>
        </w:rPr>
        <w:t>o</w:t>
      </w:r>
      <w:r>
        <w:rPr>
          <w:rFonts w:cs="Arial"/>
        </w:rPr>
        <w:t xml:space="preserve"> better position to provide clear guidance.</w:t>
      </w:r>
    </w:p>
    <w:p w14:paraId="1250AF8C" w14:textId="083CA109" w:rsidR="004D21B4" w:rsidRPr="00337958" w:rsidRDefault="004D21B4" w:rsidP="00AD518C">
      <w:pPr>
        <w:keepNext/>
        <w:rPr>
          <w:rFonts w:ascii="Arial" w:hAnsi="Arial" w:cs="Arial"/>
          <w:b/>
        </w:rPr>
      </w:pPr>
      <w:r w:rsidRPr="00337958">
        <w:rPr>
          <w:rFonts w:ascii="Arial" w:hAnsi="Arial"/>
          <w:b/>
        </w:rPr>
        <w:t xml:space="preserve">Option 1 – Include </w:t>
      </w:r>
      <w:r w:rsidR="0072722B">
        <w:rPr>
          <w:rFonts w:ascii="Arial" w:hAnsi="Arial"/>
          <w:b/>
        </w:rPr>
        <w:t>Community Health</w:t>
      </w:r>
      <w:r w:rsidR="007A2E2F">
        <w:rPr>
          <w:rFonts w:ascii="Arial" w:hAnsi="Arial"/>
          <w:b/>
        </w:rPr>
        <w:t xml:space="preserve"> </w:t>
      </w:r>
      <w:r w:rsidRPr="00337958">
        <w:rPr>
          <w:rFonts w:ascii="Arial" w:hAnsi="Arial"/>
          <w:b/>
        </w:rPr>
        <w:t xml:space="preserve">and </w:t>
      </w:r>
      <w:r w:rsidR="0072722B">
        <w:rPr>
          <w:rFonts w:ascii="Arial" w:hAnsi="Arial"/>
          <w:b/>
        </w:rPr>
        <w:t>Women’s Health Centre</w:t>
      </w:r>
      <w:r w:rsidRPr="00337958">
        <w:rPr>
          <w:rFonts w:ascii="Arial" w:hAnsi="Arial"/>
          <w:b/>
        </w:rPr>
        <w:t>s as eligible employers under the Scheme</w:t>
      </w:r>
    </w:p>
    <w:p w14:paraId="280F607A" w14:textId="77777777" w:rsidR="004F2CB5" w:rsidRPr="00866686" w:rsidRDefault="004F2CB5" w:rsidP="00276037">
      <w:pPr>
        <w:pStyle w:val="Heading7"/>
      </w:pPr>
      <w:r w:rsidRPr="00866686">
        <w:t>Equity</w:t>
      </w:r>
      <w:r>
        <w:t xml:space="preserve"> for employees</w:t>
      </w:r>
    </w:p>
    <w:p w14:paraId="7A822824" w14:textId="1BC24AE1" w:rsidR="00196FDC" w:rsidRDefault="006F20B1" w:rsidP="00374CBB">
      <w:pPr>
        <w:pStyle w:val="BodyText"/>
        <w:rPr>
          <w:rFonts w:cs="Arial"/>
          <w:color w:val="auto"/>
        </w:rPr>
      </w:pPr>
      <w:r>
        <w:rPr>
          <w:rFonts w:cs="Arial"/>
          <w:color w:val="auto"/>
        </w:rPr>
        <w:t>Th</w:t>
      </w:r>
      <w:r w:rsidR="00276037">
        <w:rPr>
          <w:rFonts w:cs="Arial"/>
          <w:color w:val="auto"/>
        </w:rPr>
        <w:t>is</w:t>
      </w:r>
      <w:r>
        <w:rPr>
          <w:rFonts w:cs="Arial"/>
          <w:color w:val="auto"/>
        </w:rPr>
        <w:t xml:space="preserve"> option is m</w:t>
      </w:r>
      <w:r w:rsidR="0051279A">
        <w:rPr>
          <w:rFonts w:cs="Arial"/>
          <w:color w:val="auto"/>
        </w:rPr>
        <w:t>ore</w:t>
      </w:r>
      <w:r>
        <w:rPr>
          <w:rFonts w:cs="Arial"/>
          <w:color w:val="auto"/>
        </w:rPr>
        <w:t xml:space="preserve"> aligned with the </w:t>
      </w:r>
      <w:r w:rsidR="000B4581">
        <w:rPr>
          <w:rFonts w:cs="Arial"/>
          <w:color w:val="auto"/>
        </w:rPr>
        <w:t>criterion</w:t>
      </w:r>
      <w:r w:rsidR="0051279A">
        <w:rPr>
          <w:rFonts w:cs="Arial"/>
          <w:color w:val="auto"/>
        </w:rPr>
        <w:t xml:space="preserve"> compared to the status quo.</w:t>
      </w:r>
      <w:r>
        <w:rPr>
          <w:rFonts w:cs="Arial"/>
          <w:color w:val="auto"/>
        </w:rPr>
        <w:t xml:space="preserve"> </w:t>
      </w:r>
      <w:r w:rsidR="00406179">
        <w:rPr>
          <w:rFonts w:cs="Arial"/>
          <w:color w:val="auto"/>
        </w:rPr>
        <w:t>E</w:t>
      </w:r>
      <w:r w:rsidR="00394DEA" w:rsidRPr="00394DEA">
        <w:rPr>
          <w:rFonts w:cs="Arial"/>
          <w:color w:val="auto"/>
        </w:rPr>
        <w:t>mployees</w:t>
      </w:r>
      <w:r w:rsidR="00796342">
        <w:rPr>
          <w:rFonts w:cs="Arial"/>
          <w:color w:val="auto"/>
        </w:rPr>
        <w:t xml:space="preserve"> undertaking community service work</w:t>
      </w:r>
      <w:r w:rsidR="00394DEA" w:rsidRPr="00394DEA">
        <w:rPr>
          <w:rFonts w:cs="Arial"/>
          <w:color w:val="auto"/>
        </w:rPr>
        <w:t xml:space="preserve"> in </w:t>
      </w:r>
      <w:r w:rsidR="0072722B">
        <w:rPr>
          <w:rFonts w:cs="Arial"/>
          <w:color w:val="auto"/>
        </w:rPr>
        <w:t>Community Health Centre</w:t>
      </w:r>
      <w:r w:rsidR="00394DEA" w:rsidRPr="00394DEA">
        <w:rPr>
          <w:rFonts w:cs="Arial"/>
          <w:color w:val="auto"/>
        </w:rPr>
        <w:t xml:space="preserve">s and </w:t>
      </w:r>
      <w:r w:rsidR="0072722B">
        <w:rPr>
          <w:rFonts w:cs="Arial"/>
          <w:color w:val="auto"/>
        </w:rPr>
        <w:t>Women’s Health Centre</w:t>
      </w:r>
      <w:r w:rsidR="00394DEA" w:rsidRPr="00394DEA">
        <w:rPr>
          <w:rFonts w:cs="Arial"/>
          <w:color w:val="auto"/>
        </w:rPr>
        <w:t>s w</w:t>
      </w:r>
      <w:r w:rsidR="00406179">
        <w:rPr>
          <w:rFonts w:cs="Arial"/>
          <w:color w:val="auto"/>
        </w:rPr>
        <w:t>ou</w:t>
      </w:r>
      <w:r w:rsidR="00394DEA" w:rsidRPr="00394DEA">
        <w:rPr>
          <w:rFonts w:cs="Arial"/>
          <w:color w:val="auto"/>
        </w:rPr>
        <w:t>l</w:t>
      </w:r>
      <w:r w:rsidR="00406179">
        <w:rPr>
          <w:rFonts w:cs="Arial"/>
          <w:color w:val="auto"/>
        </w:rPr>
        <w:t>d</w:t>
      </w:r>
      <w:r w:rsidR="00394DEA" w:rsidRPr="00394DEA">
        <w:rPr>
          <w:rFonts w:cs="Arial"/>
          <w:color w:val="auto"/>
        </w:rPr>
        <w:t xml:space="preserve"> have certainty that they can access portable long service benefits under the Scheme. </w:t>
      </w:r>
      <w:r w:rsidR="00847DD1">
        <w:rPr>
          <w:rFonts w:cs="Arial"/>
          <w:color w:val="auto"/>
        </w:rPr>
        <w:t xml:space="preserve">This includes </w:t>
      </w:r>
      <w:r w:rsidR="0072722B">
        <w:rPr>
          <w:rFonts w:cs="Arial"/>
          <w:color w:val="auto"/>
        </w:rPr>
        <w:t>Community Health</w:t>
      </w:r>
      <w:r w:rsidR="00847DD1">
        <w:rPr>
          <w:rFonts w:cs="Arial"/>
          <w:color w:val="auto"/>
        </w:rPr>
        <w:t xml:space="preserve"> employees performing disability services under the NDIS (comparable NDIS entities were brought within scope of the Scheme from 1 January 2020). </w:t>
      </w:r>
      <w:r w:rsidR="00394DEA">
        <w:rPr>
          <w:rFonts w:cs="Arial"/>
          <w:color w:val="auto"/>
        </w:rPr>
        <w:t xml:space="preserve">Community service </w:t>
      </w:r>
      <w:r w:rsidR="00B05C45">
        <w:rPr>
          <w:rFonts w:cs="Arial"/>
          <w:color w:val="auto"/>
        </w:rPr>
        <w:t xml:space="preserve">employees </w:t>
      </w:r>
      <w:r w:rsidR="00394DEA">
        <w:rPr>
          <w:rFonts w:cs="Arial"/>
          <w:color w:val="auto"/>
        </w:rPr>
        <w:t xml:space="preserve">would be able to move throughout the broader community services sector without losing their long service benefits. </w:t>
      </w:r>
      <w:r w:rsidR="00406179">
        <w:rPr>
          <w:rFonts w:cs="Arial"/>
          <w:color w:val="auto"/>
        </w:rPr>
        <w:t>Under the status quo, these employees have not been given certainty that they can access the Scheme.</w:t>
      </w:r>
    </w:p>
    <w:p w14:paraId="44559E4A" w14:textId="1689C5AA" w:rsidR="00796342" w:rsidRDefault="00796342" w:rsidP="00374CBB">
      <w:pPr>
        <w:pStyle w:val="BodyText"/>
        <w:rPr>
          <w:rFonts w:cs="Arial"/>
          <w:color w:val="auto"/>
        </w:rPr>
      </w:pPr>
      <w:r>
        <w:rPr>
          <w:rFonts w:cs="Arial"/>
          <w:color w:val="auto"/>
        </w:rPr>
        <w:t xml:space="preserve">The impact on the </w:t>
      </w:r>
      <w:r w:rsidR="0072722B">
        <w:rPr>
          <w:rFonts w:cs="Arial"/>
          <w:color w:val="auto"/>
        </w:rPr>
        <w:t>Community Health</w:t>
      </w:r>
      <w:r w:rsidR="00BB41A4">
        <w:rPr>
          <w:rFonts w:cs="Arial"/>
          <w:color w:val="auto"/>
        </w:rPr>
        <w:t xml:space="preserve"> </w:t>
      </w:r>
      <w:r w:rsidR="002106A3">
        <w:rPr>
          <w:rFonts w:cs="Arial"/>
          <w:color w:val="auto"/>
        </w:rPr>
        <w:t>sub</w:t>
      </w:r>
      <w:r w:rsidR="002106A3">
        <w:rPr>
          <w:rFonts w:cs="Arial"/>
          <w:color w:val="auto"/>
        </w:rPr>
        <w:noBreakHyphen/>
        <w:t>sector</w:t>
      </w:r>
      <w:r>
        <w:rPr>
          <w:rFonts w:cs="Arial"/>
          <w:color w:val="auto"/>
        </w:rPr>
        <w:t xml:space="preserve"> and </w:t>
      </w:r>
      <w:r w:rsidR="0072722B">
        <w:rPr>
          <w:rFonts w:cs="Arial"/>
          <w:color w:val="auto"/>
        </w:rPr>
        <w:t>Women’s Health</w:t>
      </w:r>
      <w:r>
        <w:rPr>
          <w:rFonts w:cs="Arial"/>
          <w:color w:val="auto"/>
        </w:rPr>
        <w:t xml:space="preserve"> </w:t>
      </w:r>
      <w:r w:rsidR="002106A3">
        <w:rPr>
          <w:rFonts w:cs="Arial"/>
          <w:color w:val="auto"/>
        </w:rPr>
        <w:t>sub</w:t>
      </w:r>
      <w:r w:rsidR="002106A3">
        <w:rPr>
          <w:rFonts w:cs="Arial"/>
          <w:color w:val="auto"/>
        </w:rPr>
        <w:noBreakHyphen/>
        <w:t>sector</w:t>
      </w:r>
      <w:r>
        <w:rPr>
          <w:rFonts w:cs="Arial"/>
          <w:color w:val="auto"/>
        </w:rPr>
        <w:t xml:space="preserve"> are separately discussed</w:t>
      </w:r>
      <w:r w:rsidR="005C4A7E">
        <w:rPr>
          <w:rFonts w:cs="Arial"/>
          <w:color w:val="auto"/>
        </w:rPr>
        <w:t xml:space="preserve"> below</w:t>
      </w:r>
      <w:r>
        <w:rPr>
          <w:rFonts w:cs="Arial"/>
          <w:color w:val="auto"/>
        </w:rPr>
        <w:t xml:space="preserve">. </w:t>
      </w:r>
    </w:p>
    <w:p w14:paraId="4B1BF94D" w14:textId="3E70CE0B" w:rsidR="00196FDC" w:rsidRPr="00337958" w:rsidRDefault="0072722B" w:rsidP="00337958">
      <w:pPr>
        <w:pStyle w:val="BodyText"/>
        <w:keepNext/>
        <w:rPr>
          <w:rFonts w:cs="Arial"/>
          <w:b/>
          <w:i/>
          <w:color w:val="auto"/>
        </w:rPr>
      </w:pPr>
      <w:r>
        <w:rPr>
          <w:rFonts w:cs="Arial"/>
          <w:b/>
          <w:i/>
          <w:color w:val="auto"/>
        </w:rPr>
        <w:t>Community Health Centre</w:t>
      </w:r>
      <w:r w:rsidR="00196FDC" w:rsidRPr="00337958">
        <w:rPr>
          <w:rFonts w:cs="Arial"/>
          <w:b/>
          <w:i/>
          <w:color w:val="auto"/>
        </w:rPr>
        <w:t>s</w:t>
      </w:r>
      <w:bookmarkStart w:id="119" w:name="start2"/>
      <w:bookmarkEnd w:id="119"/>
    </w:p>
    <w:p w14:paraId="25C8689A" w14:textId="72FB448A" w:rsidR="00394DEA" w:rsidRDefault="00C11CBB" w:rsidP="00374CBB">
      <w:pPr>
        <w:pStyle w:val="BodyText"/>
        <w:rPr>
          <w:rFonts w:cs="Arial"/>
          <w:color w:val="auto"/>
        </w:rPr>
      </w:pPr>
      <w:r>
        <w:rPr>
          <w:rFonts w:cs="Arial"/>
          <w:color w:val="auto"/>
        </w:rPr>
        <w:t>Compared to the status quo, e</w:t>
      </w:r>
      <w:r w:rsidR="00196FDC">
        <w:rPr>
          <w:rFonts w:cs="Arial"/>
          <w:color w:val="auto"/>
        </w:rPr>
        <w:t>mployees</w:t>
      </w:r>
      <w:r w:rsidR="00394DEA">
        <w:rPr>
          <w:rFonts w:cs="Arial"/>
          <w:color w:val="auto"/>
        </w:rPr>
        <w:t xml:space="preserve"> moving into or out of the </w:t>
      </w:r>
      <w:r w:rsidR="0072722B">
        <w:rPr>
          <w:rFonts w:cs="Arial"/>
          <w:color w:val="auto"/>
        </w:rPr>
        <w:t>Community Health</w:t>
      </w:r>
      <w:r w:rsidR="00BB41A4">
        <w:rPr>
          <w:rFonts w:cs="Arial"/>
          <w:color w:val="auto"/>
        </w:rPr>
        <w:t xml:space="preserve"> sub</w:t>
      </w:r>
      <w:r w:rsidR="002106A3">
        <w:rPr>
          <w:rFonts w:cs="Arial"/>
          <w:color w:val="auto"/>
        </w:rPr>
        <w:noBreakHyphen/>
      </w:r>
      <w:r w:rsidR="00BB41A4">
        <w:rPr>
          <w:rFonts w:cs="Arial"/>
          <w:color w:val="auto"/>
        </w:rPr>
        <w:t>sector</w:t>
      </w:r>
      <w:r w:rsidR="00394DEA">
        <w:rPr>
          <w:rFonts w:cs="Arial"/>
          <w:color w:val="auto"/>
        </w:rPr>
        <w:t xml:space="preserve"> would </w:t>
      </w:r>
      <w:r>
        <w:rPr>
          <w:rFonts w:cs="Arial"/>
          <w:color w:val="auto"/>
        </w:rPr>
        <w:t xml:space="preserve">now </w:t>
      </w:r>
      <w:r w:rsidR="00394DEA">
        <w:rPr>
          <w:rFonts w:cs="Arial"/>
          <w:color w:val="auto"/>
        </w:rPr>
        <w:t xml:space="preserve">have their service within the sector recognised. Under the existing multiple-employer portability entitlements within the </w:t>
      </w:r>
      <w:r w:rsidR="0072722B">
        <w:rPr>
          <w:rFonts w:cs="Arial"/>
          <w:color w:val="auto"/>
        </w:rPr>
        <w:t>Community Health</w:t>
      </w:r>
      <w:r w:rsidR="00BB41A4">
        <w:rPr>
          <w:rFonts w:cs="Arial"/>
          <w:color w:val="auto"/>
        </w:rPr>
        <w:t xml:space="preserve"> </w:t>
      </w:r>
      <w:r w:rsidR="002106A3">
        <w:rPr>
          <w:rFonts w:cs="Arial"/>
          <w:color w:val="auto"/>
        </w:rPr>
        <w:t>sub</w:t>
      </w:r>
      <w:r w:rsidR="002106A3">
        <w:rPr>
          <w:rFonts w:cs="Arial"/>
          <w:color w:val="auto"/>
        </w:rPr>
        <w:noBreakHyphen/>
        <w:t>sector</w:t>
      </w:r>
      <w:r w:rsidR="00394DEA">
        <w:rPr>
          <w:rFonts w:cs="Arial"/>
          <w:color w:val="auto"/>
        </w:rPr>
        <w:t xml:space="preserve">, employees need to remain with the </w:t>
      </w:r>
      <w:r w:rsidR="0072722B">
        <w:rPr>
          <w:rFonts w:cs="Arial"/>
          <w:color w:val="auto"/>
        </w:rPr>
        <w:t>Community Health</w:t>
      </w:r>
      <w:r w:rsidR="00394DEA">
        <w:rPr>
          <w:rFonts w:cs="Arial"/>
          <w:color w:val="auto"/>
        </w:rPr>
        <w:t xml:space="preserve"> or public health sector to have their service recognised. </w:t>
      </w:r>
    </w:p>
    <w:p w14:paraId="654C6592" w14:textId="2C8147F6" w:rsidR="00B05C45" w:rsidRDefault="00B05C45" w:rsidP="00B05C45">
      <w:pPr>
        <w:pStyle w:val="BodyText"/>
        <w:rPr>
          <w:rFonts w:cs="Arial"/>
          <w:color w:val="auto"/>
        </w:rPr>
      </w:pPr>
      <w:r>
        <w:rPr>
          <w:rFonts w:cs="Arial"/>
          <w:color w:val="auto"/>
        </w:rPr>
        <w:t>Stakeholders</w:t>
      </w:r>
      <w:r w:rsidRPr="00EE1D8A">
        <w:rPr>
          <w:rFonts w:cs="Arial"/>
          <w:color w:val="auto"/>
        </w:rPr>
        <w:t xml:space="preserve"> were not able to provide a</w:t>
      </w:r>
      <w:r>
        <w:rPr>
          <w:rFonts w:cs="Arial"/>
          <w:color w:val="auto"/>
        </w:rPr>
        <w:t xml:space="preserve">n estimate of the share of the </w:t>
      </w:r>
      <w:r w:rsidR="0072722B">
        <w:rPr>
          <w:rFonts w:cs="Arial"/>
          <w:color w:val="auto"/>
        </w:rPr>
        <w:t>Community Health</w:t>
      </w:r>
      <w:r w:rsidRPr="00EE1D8A">
        <w:rPr>
          <w:rFonts w:cs="Arial"/>
          <w:color w:val="auto"/>
        </w:rPr>
        <w:t xml:space="preserve"> workforce that moves in and out of the broader community services sector</w:t>
      </w:r>
      <w:r>
        <w:rPr>
          <w:rFonts w:cs="Arial"/>
          <w:color w:val="auto"/>
        </w:rPr>
        <w:t xml:space="preserve"> and </w:t>
      </w:r>
      <w:r w:rsidR="002106A3">
        <w:rPr>
          <w:rFonts w:cs="Arial"/>
          <w:color w:val="auto"/>
        </w:rPr>
        <w:t xml:space="preserve">who </w:t>
      </w:r>
      <w:r>
        <w:rPr>
          <w:rFonts w:cs="Arial"/>
          <w:color w:val="auto"/>
        </w:rPr>
        <w:t>would therefore benefit under this option</w:t>
      </w:r>
      <w:r w:rsidRPr="00EE1D8A">
        <w:rPr>
          <w:rFonts w:cs="Arial"/>
          <w:color w:val="auto"/>
        </w:rPr>
        <w:t xml:space="preserve">. </w:t>
      </w:r>
      <w:r>
        <w:rPr>
          <w:rFonts w:cs="Arial"/>
          <w:color w:val="auto"/>
        </w:rPr>
        <w:t>Service p</w:t>
      </w:r>
      <w:r w:rsidRPr="00EE1D8A">
        <w:rPr>
          <w:rFonts w:cs="Arial"/>
          <w:color w:val="auto"/>
        </w:rPr>
        <w:t>roviders expected it would be a small proportion and noted that it is the employee’s choice to move to a different employer</w:t>
      </w:r>
      <w:r w:rsidR="00037AD6">
        <w:rPr>
          <w:rFonts w:cs="Arial"/>
          <w:color w:val="auto"/>
        </w:rPr>
        <w:t xml:space="preserve"> with potentially different entitlements</w:t>
      </w:r>
      <w:r w:rsidRPr="00EE1D8A">
        <w:rPr>
          <w:rFonts w:cs="Arial"/>
          <w:color w:val="auto"/>
        </w:rPr>
        <w:t xml:space="preserve">. </w:t>
      </w:r>
      <w:r>
        <w:rPr>
          <w:rFonts w:cs="Arial"/>
          <w:color w:val="auto"/>
        </w:rPr>
        <w:t xml:space="preserve">Union and employee groups suggested the share </w:t>
      </w:r>
      <w:r w:rsidR="001A238C">
        <w:rPr>
          <w:rFonts w:cs="Arial"/>
          <w:color w:val="auto"/>
        </w:rPr>
        <w:t>would not be insignificant</w:t>
      </w:r>
      <w:r>
        <w:rPr>
          <w:rFonts w:cs="Arial"/>
          <w:color w:val="auto"/>
        </w:rPr>
        <w:t xml:space="preserve">, although they did not provide an estimate. </w:t>
      </w:r>
    </w:p>
    <w:p w14:paraId="74D9FBA8" w14:textId="70701EF7" w:rsidR="00196FDC" w:rsidRDefault="00196FDC" w:rsidP="00B05C45">
      <w:pPr>
        <w:pStyle w:val="BodyText"/>
        <w:rPr>
          <w:rFonts w:cs="Arial"/>
          <w:color w:val="auto"/>
        </w:rPr>
      </w:pPr>
      <w:r>
        <w:rPr>
          <w:rFonts w:cs="Arial"/>
          <w:color w:val="auto"/>
        </w:rPr>
        <w:t>The long service benefits under the Scheme are less generous tha</w:t>
      </w:r>
      <w:r w:rsidR="00651F61">
        <w:rPr>
          <w:rFonts w:cs="Arial"/>
          <w:color w:val="auto"/>
        </w:rPr>
        <w:t>n</w:t>
      </w:r>
      <w:r>
        <w:rPr>
          <w:rFonts w:cs="Arial"/>
          <w:color w:val="auto"/>
        </w:rPr>
        <w:t xml:space="preserve"> the benefits available under the existing multiple-employer portability entitlements. However, employees would be able to access long service leave benefits under the Scheme after seven years, whereas they need to wait </w:t>
      </w:r>
      <w:r w:rsidR="002106A3">
        <w:rPr>
          <w:rFonts w:cs="Arial"/>
          <w:color w:val="auto"/>
        </w:rPr>
        <w:t xml:space="preserve">10 </w:t>
      </w:r>
      <w:r>
        <w:rPr>
          <w:rFonts w:cs="Arial"/>
          <w:color w:val="auto"/>
        </w:rPr>
        <w:t xml:space="preserve">years to access benefits under the multiple-employer scheme. </w:t>
      </w:r>
      <w:r w:rsidR="0072722B">
        <w:rPr>
          <w:rFonts w:cs="Arial"/>
          <w:color w:val="auto"/>
        </w:rPr>
        <w:t>Community Health</w:t>
      </w:r>
      <w:r>
        <w:rPr>
          <w:rFonts w:cs="Arial"/>
          <w:color w:val="auto"/>
        </w:rPr>
        <w:t xml:space="preserve"> service providers stated that their inclusion in the Scheme would cause them to look at removing the existing multiple-employer portability entitlements during the next round of enterprise </w:t>
      </w:r>
      <w:r w:rsidR="00651F61">
        <w:rPr>
          <w:rFonts w:cs="Arial"/>
          <w:color w:val="auto"/>
        </w:rPr>
        <w:t>bargaining</w:t>
      </w:r>
      <w:r>
        <w:rPr>
          <w:rFonts w:cs="Arial"/>
          <w:color w:val="auto"/>
        </w:rPr>
        <w:t xml:space="preserve">, which </w:t>
      </w:r>
      <w:r w:rsidR="00037AD6">
        <w:rPr>
          <w:rFonts w:cs="Arial"/>
          <w:color w:val="auto"/>
        </w:rPr>
        <w:t xml:space="preserve">may </w:t>
      </w:r>
      <w:r>
        <w:rPr>
          <w:rFonts w:cs="Arial"/>
          <w:color w:val="auto"/>
        </w:rPr>
        <w:t xml:space="preserve">detrimentally impact </w:t>
      </w:r>
      <w:r w:rsidR="001A238C">
        <w:rPr>
          <w:rFonts w:cs="Arial"/>
          <w:color w:val="auto"/>
        </w:rPr>
        <w:t xml:space="preserve">all staff within the </w:t>
      </w:r>
      <w:r w:rsidR="0072722B">
        <w:rPr>
          <w:rFonts w:cs="Arial"/>
          <w:color w:val="auto"/>
        </w:rPr>
        <w:t>Community Health</w:t>
      </w:r>
      <w:r w:rsidR="00BB41A4">
        <w:rPr>
          <w:rFonts w:cs="Arial"/>
          <w:color w:val="auto"/>
        </w:rPr>
        <w:t xml:space="preserve"> </w:t>
      </w:r>
      <w:r w:rsidR="002106A3">
        <w:rPr>
          <w:rFonts w:cs="Arial"/>
          <w:color w:val="auto"/>
        </w:rPr>
        <w:t>sub</w:t>
      </w:r>
      <w:r w:rsidR="002106A3">
        <w:rPr>
          <w:rFonts w:cs="Arial"/>
          <w:color w:val="auto"/>
        </w:rPr>
        <w:noBreakHyphen/>
        <w:t>sector</w:t>
      </w:r>
      <w:r w:rsidR="001A238C">
        <w:rPr>
          <w:rFonts w:cs="Arial"/>
          <w:color w:val="auto"/>
        </w:rPr>
        <w:t xml:space="preserve"> if less generous benefits are introduced. </w:t>
      </w:r>
      <w:r w:rsidR="005C1413">
        <w:rPr>
          <w:rFonts w:cs="Arial"/>
          <w:color w:val="auto"/>
        </w:rPr>
        <w:t>It is not possible to estimate the likelihood of this occurring as it would depend on individual arrangements within each workplace and the final outcome negotiated between employers</w:t>
      </w:r>
      <w:r w:rsidR="00A931F0">
        <w:rPr>
          <w:rFonts w:cs="Arial"/>
          <w:color w:val="auto"/>
        </w:rPr>
        <w:t>,</w:t>
      </w:r>
      <w:r w:rsidR="005C1413">
        <w:rPr>
          <w:rFonts w:cs="Arial"/>
          <w:color w:val="auto"/>
        </w:rPr>
        <w:t xml:space="preserve"> employees</w:t>
      </w:r>
      <w:r w:rsidR="00A931F0">
        <w:rPr>
          <w:rFonts w:cs="Arial"/>
          <w:color w:val="auto"/>
        </w:rPr>
        <w:t xml:space="preserve"> and relevant unions</w:t>
      </w:r>
      <w:r w:rsidR="005C1413">
        <w:rPr>
          <w:rFonts w:cs="Arial"/>
          <w:color w:val="auto"/>
        </w:rPr>
        <w:t>.</w:t>
      </w:r>
    </w:p>
    <w:tbl>
      <w:tblPr>
        <w:tblStyle w:val="TableGrid"/>
        <w:tblW w:w="9026" w:type="dxa"/>
        <w:tblLook w:val="04A0" w:firstRow="1" w:lastRow="0" w:firstColumn="1" w:lastColumn="0" w:noHBand="0" w:noVBand="1"/>
      </w:tblPr>
      <w:tblGrid>
        <w:gridCol w:w="9026"/>
      </w:tblGrid>
      <w:tr w:rsidR="007A2E2F" w:rsidRPr="00F738AD" w14:paraId="66B33D97" w14:textId="77777777" w:rsidTr="00F87691">
        <w:trPr>
          <w:tblHeader/>
        </w:trPr>
        <w:tc>
          <w:tcPr>
            <w:tcW w:w="9026" w:type="dxa"/>
            <w:tcBorders>
              <w:left w:val="nil"/>
            </w:tcBorders>
            <w:shd w:val="clear" w:color="auto" w:fill="002060"/>
          </w:tcPr>
          <w:p w14:paraId="321EE7E6" w14:textId="77777777" w:rsidR="007A2E2F" w:rsidRPr="00F738AD" w:rsidRDefault="007A2E2F" w:rsidP="00F87691">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7A2E2F" w:rsidRPr="00EC5379" w14:paraId="16E054D2" w14:textId="77777777" w:rsidTr="00AD518C">
        <w:trPr>
          <w:trHeight w:val="293"/>
        </w:trPr>
        <w:tc>
          <w:tcPr>
            <w:tcW w:w="9026" w:type="dxa"/>
            <w:tcBorders>
              <w:left w:val="nil"/>
            </w:tcBorders>
            <w:shd w:val="clear" w:color="auto" w:fill="DEEAF6" w:themeFill="accent1" w:themeFillTint="33"/>
          </w:tcPr>
          <w:p w14:paraId="38E7276D" w14:textId="1860D2B5" w:rsidR="007A2E2F" w:rsidRPr="00F5772B" w:rsidRDefault="007A2E2F">
            <w:pPr>
              <w:pStyle w:val="BodyText"/>
              <w:ind w:left="601" w:hanging="601"/>
              <w:rPr>
                <w:rFonts w:cs="Arial"/>
              </w:rPr>
            </w:pPr>
            <w:r>
              <w:rPr>
                <w:rFonts w:cs="Arial"/>
                <w:b/>
              </w:rPr>
              <w:t>S.1</w:t>
            </w:r>
            <w:r w:rsidR="00D50857">
              <w:rPr>
                <w:rFonts w:cs="Arial"/>
                <w:b/>
              </w:rPr>
              <w:t>3</w:t>
            </w:r>
            <w:r w:rsidR="0055008B">
              <w:rPr>
                <w:rFonts w:cs="Arial"/>
                <w:b/>
              </w:rPr>
              <w:t xml:space="preserve"> </w:t>
            </w:r>
            <w:r w:rsidR="006C3958">
              <w:rPr>
                <w:rFonts w:cs="Arial"/>
                <w:b/>
              </w:rPr>
              <w:tab/>
            </w:r>
            <w:r>
              <w:rPr>
                <w:rFonts w:cs="Arial"/>
              </w:rPr>
              <w:t xml:space="preserve">What share of the </w:t>
            </w:r>
            <w:r w:rsidR="0072722B">
              <w:rPr>
                <w:rFonts w:cs="Arial"/>
              </w:rPr>
              <w:t>Community Health</w:t>
            </w:r>
            <w:r>
              <w:rPr>
                <w:rFonts w:cs="Arial"/>
              </w:rPr>
              <w:t xml:space="preserve"> workforce move into and out of the broader community services sector?</w:t>
            </w:r>
          </w:p>
        </w:tc>
      </w:tr>
    </w:tbl>
    <w:p w14:paraId="09B4DCAA" w14:textId="31B1524B" w:rsidR="00196FDC" w:rsidRPr="00337958" w:rsidRDefault="0072722B" w:rsidP="004A514D">
      <w:pPr>
        <w:pStyle w:val="Heading6"/>
      </w:pPr>
      <w:r>
        <w:lastRenderedPageBreak/>
        <w:t>Women’s Health Centre</w:t>
      </w:r>
      <w:r w:rsidR="00196FDC" w:rsidRPr="00337958">
        <w:t>s</w:t>
      </w:r>
    </w:p>
    <w:p w14:paraId="3E8825D1" w14:textId="1EA093BD" w:rsidR="00242914" w:rsidRDefault="00B05C45" w:rsidP="00337958">
      <w:pPr>
        <w:pStyle w:val="BodyText"/>
        <w:spacing w:after="0"/>
        <w:rPr>
          <w:rFonts w:cs="Arial"/>
          <w:color w:val="auto"/>
          <w:u w:val="single"/>
        </w:rPr>
      </w:pPr>
      <w:r>
        <w:rPr>
          <w:rFonts w:cs="Arial"/>
          <w:color w:val="auto"/>
        </w:rPr>
        <w:t>Although</w:t>
      </w:r>
      <w:r w:rsidR="00602003">
        <w:rPr>
          <w:rFonts w:cs="Arial"/>
          <w:color w:val="auto"/>
        </w:rPr>
        <w:t xml:space="preserve"> the majority of</w:t>
      </w:r>
      <w:r>
        <w:rPr>
          <w:rFonts w:cs="Arial"/>
          <w:color w:val="auto"/>
        </w:rPr>
        <w:t xml:space="preserve"> </w:t>
      </w:r>
      <w:r w:rsidR="0072722B">
        <w:rPr>
          <w:rFonts w:cs="Arial"/>
          <w:color w:val="auto"/>
        </w:rPr>
        <w:t>Women’s Health Centre</w:t>
      </w:r>
      <w:r>
        <w:rPr>
          <w:rFonts w:cs="Arial"/>
          <w:color w:val="auto"/>
        </w:rPr>
        <w:t>s have already registered with the Authority</w:t>
      </w:r>
      <w:r w:rsidR="00602003">
        <w:rPr>
          <w:rFonts w:cs="Arial"/>
          <w:color w:val="auto"/>
        </w:rPr>
        <w:t xml:space="preserve"> (</w:t>
      </w:r>
      <w:r w:rsidR="002106A3">
        <w:rPr>
          <w:rFonts w:cs="Arial"/>
          <w:color w:val="auto"/>
        </w:rPr>
        <w:t xml:space="preserve">noting that </w:t>
      </w:r>
      <w:r w:rsidR="00602003">
        <w:rPr>
          <w:rFonts w:cs="Arial"/>
          <w:color w:val="auto"/>
        </w:rPr>
        <w:t>their</w:t>
      </w:r>
      <w:r w:rsidR="00A931F0">
        <w:rPr>
          <w:rFonts w:cs="Arial"/>
          <w:color w:val="auto"/>
        </w:rPr>
        <w:t xml:space="preserve"> entire</w:t>
      </w:r>
      <w:r w:rsidR="00602003">
        <w:rPr>
          <w:rFonts w:cs="Arial"/>
          <w:color w:val="auto"/>
        </w:rPr>
        <w:t xml:space="preserve"> workforce is </w:t>
      </w:r>
      <w:r w:rsidR="00A931F0">
        <w:rPr>
          <w:rFonts w:cs="Arial"/>
          <w:color w:val="auto"/>
        </w:rPr>
        <w:t xml:space="preserve">not </w:t>
      </w:r>
      <w:r w:rsidR="00602003">
        <w:rPr>
          <w:rFonts w:cs="Arial"/>
          <w:color w:val="auto"/>
        </w:rPr>
        <w:t>currently covered)</w:t>
      </w:r>
      <w:r>
        <w:rPr>
          <w:rFonts w:cs="Arial"/>
          <w:color w:val="auto"/>
        </w:rPr>
        <w:t xml:space="preserve">, this option would </w:t>
      </w:r>
      <w:r w:rsidR="00C11CBB">
        <w:rPr>
          <w:rFonts w:cs="Arial"/>
          <w:color w:val="auto"/>
        </w:rPr>
        <w:t xml:space="preserve">provide </w:t>
      </w:r>
      <w:r w:rsidR="002106A3">
        <w:rPr>
          <w:rFonts w:cs="Arial"/>
          <w:color w:val="auto"/>
        </w:rPr>
        <w:t xml:space="preserve">certainty </w:t>
      </w:r>
      <w:r w:rsidR="00C11CBB">
        <w:rPr>
          <w:rFonts w:cs="Arial"/>
          <w:color w:val="auto"/>
        </w:rPr>
        <w:t xml:space="preserve">that </w:t>
      </w:r>
      <w:r>
        <w:rPr>
          <w:rFonts w:cs="Arial"/>
          <w:color w:val="auto"/>
        </w:rPr>
        <w:t>the</w:t>
      </w:r>
      <w:r w:rsidR="00B5498C">
        <w:rPr>
          <w:rFonts w:cs="Arial"/>
          <w:color w:val="auto"/>
        </w:rPr>
        <w:t xml:space="preserve"> estimated</w:t>
      </w:r>
      <w:r>
        <w:rPr>
          <w:rFonts w:cs="Arial"/>
          <w:color w:val="auto"/>
        </w:rPr>
        <w:t xml:space="preserve"> </w:t>
      </w:r>
      <w:r w:rsidR="00602003">
        <w:rPr>
          <w:rFonts w:cs="Arial"/>
          <w:color w:val="auto"/>
        </w:rPr>
        <w:t>150</w:t>
      </w:r>
      <w:r w:rsidR="002106A3">
        <w:rPr>
          <w:rFonts w:cs="Arial"/>
          <w:color w:val="auto"/>
        </w:rPr>
        <w:noBreakHyphen/>
      </w:r>
      <w:r w:rsidR="00602003">
        <w:rPr>
          <w:rFonts w:cs="Arial"/>
          <w:color w:val="auto"/>
        </w:rPr>
        <w:t>2</w:t>
      </w:r>
      <w:r>
        <w:rPr>
          <w:rFonts w:cs="Arial"/>
          <w:color w:val="auto"/>
        </w:rPr>
        <w:t xml:space="preserve">00 eligible employees in the </w:t>
      </w:r>
      <w:r w:rsidR="0072722B">
        <w:rPr>
          <w:rFonts w:cs="Arial"/>
          <w:color w:val="auto"/>
        </w:rPr>
        <w:t>Women’s Health</w:t>
      </w:r>
      <w:r>
        <w:rPr>
          <w:rFonts w:cs="Arial"/>
          <w:color w:val="auto"/>
        </w:rPr>
        <w:t xml:space="preserve"> </w:t>
      </w:r>
      <w:r w:rsidR="002106A3">
        <w:rPr>
          <w:rFonts w:cs="Arial"/>
          <w:color w:val="auto"/>
        </w:rPr>
        <w:t>sub</w:t>
      </w:r>
      <w:r w:rsidR="002106A3">
        <w:rPr>
          <w:rFonts w:cs="Arial"/>
          <w:color w:val="auto"/>
        </w:rPr>
        <w:noBreakHyphen/>
        <w:t>sector</w:t>
      </w:r>
      <w:r>
        <w:rPr>
          <w:rFonts w:cs="Arial"/>
          <w:color w:val="auto"/>
        </w:rPr>
        <w:t xml:space="preserve"> </w:t>
      </w:r>
      <w:r w:rsidR="00C11CBB">
        <w:rPr>
          <w:rFonts w:cs="Arial"/>
          <w:color w:val="auto"/>
        </w:rPr>
        <w:t xml:space="preserve">can </w:t>
      </w:r>
      <w:r>
        <w:rPr>
          <w:rFonts w:cs="Arial"/>
          <w:color w:val="auto"/>
        </w:rPr>
        <w:t xml:space="preserve">access portable long service benefits under the Scheme. </w:t>
      </w:r>
      <w:r w:rsidR="00C11CBB">
        <w:rPr>
          <w:rFonts w:cs="Arial"/>
          <w:color w:val="auto"/>
        </w:rPr>
        <w:t xml:space="preserve">Compared to the status quo, </w:t>
      </w:r>
      <w:r w:rsidR="00C11CBB">
        <w:rPr>
          <w:rFonts w:cs="Arial"/>
        </w:rPr>
        <w:t xml:space="preserve">this would ensure </w:t>
      </w:r>
      <w:r w:rsidR="002106A3">
        <w:rPr>
          <w:rFonts w:cs="Arial"/>
        </w:rPr>
        <w:t xml:space="preserve">that </w:t>
      </w:r>
      <w:r w:rsidR="00BA4E89">
        <w:rPr>
          <w:rFonts w:cs="Arial"/>
        </w:rPr>
        <w:t>employee</w:t>
      </w:r>
      <w:r w:rsidR="00C11CBB">
        <w:rPr>
          <w:rFonts w:cs="Arial"/>
        </w:rPr>
        <w:t>s who were intended to be covered by the Scheme are covered.</w:t>
      </w:r>
    </w:p>
    <w:p w14:paraId="3C0E2768" w14:textId="072B7BF1" w:rsidR="007A2E2F" w:rsidRDefault="007A2E2F" w:rsidP="00186BE4">
      <w:pPr>
        <w:pStyle w:val="Heading7"/>
      </w:pPr>
      <w:r>
        <w:t>I</w:t>
      </w:r>
      <w:r w:rsidRPr="00866686">
        <w:t xml:space="preserve">mpact on </w:t>
      </w:r>
      <w:r w:rsidR="00DB01D9">
        <w:t>employers</w:t>
      </w:r>
      <w:r>
        <w:t xml:space="preserve"> – financial cost</w:t>
      </w:r>
    </w:p>
    <w:p w14:paraId="0751F2A4" w14:textId="2F2125C2" w:rsidR="00D33208" w:rsidRDefault="004F2CB5" w:rsidP="00337958">
      <w:pPr>
        <w:pStyle w:val="BodyText"/>
        <w:rPr>
          <w:rFonts w:cs="Arial"/>
          <w:color w:val="auto"/>
        </w:rPr>
      </w:pPr>
      <w:r>
        <w:rPr>
          <w:rFonts w:cs="Arial"/>
          <w:color w:val="auto"/>
        </w:rPr>
        <w:t>Th</w:t>
      </w:r>
      <w:r w:rsidR="002106A3">
        <w:rPr>
          <w:rFonts w:cs="Arial"/>
          <w:color w:val="auto"/>
        </w:rPr>
        <w:t>is</w:t>
      </w:r>
      <w:r>
        <w:rPr>
          <w:rFonts w:cs="Arial"/>
          <w:color w:val="auto"/>
        </w:rPr>
        <w:t xml:space="preserve"> option is </w:t>
      </w:r>
      <w:r w:rsidR="0051279A">
        <w:rPr>
          <w:rFonts w:cs="Arial"/>
          <w:color w:val="auto"/>
        </w:rPr>
        <w:t xml:space="preserve">much </w:t>
      </w:r>
      <w:r w:rsidR="000B4581">
        <w:rPr>
          <w:rFonts w:cs="Arial"/>
          <w:color w:val="auto"/>
        </w:rPr>
        <w:t>less aligned</w:t>
      </w:r>
      <w:r>
        <w:rPr>
          <w:rFonts w:cs="Arial"/>
          <w:color w:val="auto"/>
        </w:rPr>
        <w:t xml:space="preserve"> with the </w:t>
      </w:r>
      <w:r w:rsidR="000B4581">
        <w:rPr>
          <w:rFonts w:cs="Arial"/>
          <w:color w:val="auto"/>
        </w:rPr>
        <w:t>criterion</w:t>
      </w:r>
      <w:r w:rsidR="0051279A">
        <w:rPr>
          <w:rFonts w:cs="Arial"/>
          <w:color w:val="auto"/>
        </w:rPr>
        <w:t xml:space="preserve"> compared to the status quo</w:t>
      </w:r>
      <w:r>
        <w:rPr>
          <w:rFonts w:cs="Arial"/>
          <w:color w:val="auto"/>
        </w:rPr>
        <w:t>.</w:t>
      </w:r>
      <w:r w:rsidR="005C1413">
        <w:rPr>
          <w:rFonts w:cs="Arial"/>
          <w:color w:val="auto"/>
        </w:rPr>
        <w:t xml:space="preserve"> It</w:t>
      </w:r>
      <w:r>
        <w:rPr>
          <w:rFonts w:cs="Arial"/>
          <w:color w:val="auto"/>
        </w:rPr>
        <w:t xml:space="preserve"> </w:t>
      </w:r>
      <w:r w:rsidR="00CE0F9F" w:rsidRPr="003105E2">
        <w:rPr>
          <w:rFonts w:cs="Arial"/>
          <w:color w:val="auto"/>
        </w:rPr>
        <w:t xml:space="preserve">would have a </w:t>
      </w:r>
      <w:r w:rsidR="005C1413">
        <w:rPr>
          <w:rFonts w:cs="Arial"/>
          <w:color w:val="auto"/>
        </w:rPr>
        <w:t xml:space="preserve">much greater </w:t>
      </w:r>
      <w:r w:rsidR="00CE0F9F" w:rsidRPr="003105E2">
        <w:rPr>
          <w:rFonts w:cs="Arial"/>
          <w:color w:val="auto"/>
        </w:rPr>
        <w:t xml:space="preserve">financial impact on </w:t>
      </w:r>
      <w:r w:rsidR="0072722B">
        <w:rPr>
          <w:rFonts w:cs="Arial"/>
          <w:color w:val="auto"/>
        </w:rPr>
        <w:t>Community Health</w:t>
      </w:r>
      <w:r w:rsidR="00CE0F9F" w:rsidRPr="003105E2">
        <w:rPr>
          <w:rFonts w:cs="Arial"/>
          <w:color w:val="auto"/>
        </w:rPr>
        <w:t xml:space="preserve"> and </w:t>
      </w:r>
      <w:r w:rsidR="0072722B">
        <w:rPr>
          <w:rFonts w:cs="Arial"/>
          <w:color w:val="auto"/>
        </w:rPr>
        <w:t>Women’s Health Centre</w:t>
      </w:r>
      <w:r w:rsidR="00CE0F9F" w:rsidRPr="003105E2">
        <w:rPr>
          <w:rFonts w:cs="Arial"/>
          <w:color w:val="auto"/>
        </w:rPr>
        <w:t>s</w:t>
      </w:r>
      <w:r w:rsidR="002523FE">
        <w:rPr>
          <w:rFonts w:cs="Arial"/>
          <w:color w:val="auto"/>
        </w:rPr>
        <w:t xml:space="preserve"> compared to the status quo</w:t>
      </w:r>
      <w:r w:rsidR="005C1413">
        <w:rPr>
          <w:rFonts w:cs="Arial"/>
          <w:color w:val="auto"/>
        </w:rPr>
        <w:t xml:space="preserve"> as it would now be clear that they are required to register with the Authority and pay </w:t>
      </w:r>
      <w:r w:rsidR="00F35678">
        <w:rPr>
          <w:rFonts w:cs="Arial"/>
          <w:color w:val="auto"/>
        </w:rPr>
        <w:t>levie</w:t>
      </w:r>
      <w:r w:rsidR="005C1413">
        <w:rPr>
          <w:rFonts w:cs="Arial"/>
          <w:color w:val="auto"/>
        </w:rPr>
        <w:t>s on behalf of their eligible employees</w:t>
      </w:r>
      <w:r w:rsidR="00CE0F9F" w:rsidRPr="003105E2">
        <w:rPr>
          <w:rFonts w:cs="Arial"/>
          <w:color w:val="auto"/>
        </w:rPr>
        <w:t xml:space="preserve">. The impact will vary greatly between </w:t>
      </w:r>
      <w:r w:rsidR="00D8578C">
        <w:rPr>
          <w:rFonts w:cs="Arial"/>
          <w:color w:val="auto"/>
        </w:rPr>
        <w:t>employers</w:t>
      </w:r>
      <w:r w:rsidR="00CE0F9F" w:rsidRPr="003105E2">
        <w:rPr>
          <w:rFonts w:cs="Arial"/>
          <w:color w:val="auto"/>
        </w:rPr>
        <w:t>, depending on the size</w:t>
      </w:r>
      <w:r w:rsidR="00AF2C39" w:rsidRPr="003105E2">
        <w:rPr>
          <w:rFonts w:cs="Arial"/>
          <w:color w:val="auto"/>
        </w:rPr>
        <w:t xml:space="preserve"> and share</w:t>
      </w:r>
      <w:r w:rsidR="00CE0F9F" w:rsidRPr="003105E2">
        <w:rPr>
          <w:rFonts w:cs="Arial"/>
          <w:color w:val="auto"/>
        </w:rPr>
        <w:t xml:space="preserve"> of the workforce undertaking community service work, </w:t>
      </w:r>
      <w:r w:rsidR="00AF2C39" w:rsidRPr="003105E2">
        <w:rPr>
          <w:rFonts w:cs="Arial"/>
          <w:color w:val="auto"/>
        </w:rPr>
        <w:t xml:space="preserve">and the salary costs of the eligible workforce undertaking community service work. </w:t>
      </w:r>
    </w:p>
    <w:p w14:paraId="4286EDBF" w14:textId="5AEF109F" w:rsidR="00242914" w:rsidRDefault="00B45010" w:rsidP="00DF2E27">
      <w:pPr>
        <w:pStyle w:val="BodyText"/>
        <w:rPr>
          <w:rFonts w:cs="Arial"/>
          <w:color w:val="auto"/>
        </w:rPr>
      </w:pPr>
      <w:r>
        <w:rPr>
          <w:rFonts w:cs="Arial"/>
        </w:rPr>
        <w:t xml:space="preserve">While some employees in the </w:t>
      </w:r>
      <w:r w:rsidR="0072722B">
        <w:rPr>
          <w:rFonts w:cs="Arial"/>
        </w:rPr>
        <w:t>Women’s Health</w:t>
      </w:r>
      <w:r>
        <w:rPr>
          <w:rFonts w:cs="Arial"/>
        </w:rPr>
        <w:t xml:space="preserve"> </w:t>
      </w:r>
      <w:r w:rsidR="002106A3">
        <w:rPr>
          <w:rFonts w:cs="Arial"/>
        </w:rPr>
        <w:t>sub</w:t>
      </w:r>
      <w:r w:rsidR="002106A3">
        <w:rPr>
          <w:rFonts w:cs="Arial"/>
        </w:rPr>
        <w:noBreakHyphen/>
        <w:t>sector</w:t>
      </w:r>
      <w:r>
        <w:rPr>
          <w:rFonts w:cs="Arial"/>
        </w:rPr>
        <w:t xml:space="preserve"> are currently covered by the Scheme</w:t>
      </w:r>
      <w:r w:rsidR="00242914">
        <w:rPr>
          <w:rFonts w:cs="Arial"/>
        </w:rPr>
        <w:t xml:space="preserve">; for the purposes of estimating the cost impact of this option, it is assumed that </w:t>
      </w:r>
      <w:r w:rsidR="0072722B">
        <w:rPr>
          <w:rFonts w:cs="Arial"/>
        </w:rPr>
        <w:t>Community Health</w:t>
      </w:r>
      <w:r w:rsidR="00242914">
        <w:rPr>
          <w:rFonts w:cs="Arial"/>
        </w:rPr>
        <w:t xml:space="preserve"> providers and </w:t>
      </w:r>
      <w:r w:rsidR="0072722B">
        <w:rPr>
          <w:rFonts w:cs="Arial"/>
        </w:rPr>
        <w:t>Women’s Health</w:t>
      </w:r>
      <w:r w:rsidR="00242914">
        <w:rPr>
          <w:rFonts w:cs="Arial"/>
        </w:rPr>
        <w:t xml:space="preserve"> providers are currently not within scope of the Scheme.</w:t>
      </w:r>
      <w:r>
        <w:rPr>
          <w:rFonts w:cs="Arial"/>
        </w:rPr>
        <w:t xml:space="preserve"> This assumption is not carried through into the assessment against other criteria.</w:t>
      </w:r>
      <w:r w:rsidR="00242914">
        <w:rPr>
          <w:rFonts w:cs="Arial"/>
        </w:rPr>
        <w:t xml:space="preserve"> It</w:t>
      </w:r>
      <w:r w:rsidR="00A931F0">
        <w:rPr>
          <w:rFonts w:cs="Arial"/>
        </w:rPr>
        <w:t xml:space="preserve"> is</w:t>
      </w:r>
      <w:r w:rsidR="006C3958">
        <w:rPr>
          <w:rFonts w:cs="Arial"/>
        </w:rPr>
        <w:t xml:space="preserve"> </w:t>
      </w:r>
      <w:r w:rsidR="00242914">
        <w:rPr>
          <w:rFonts w:cs="Arial"/>
        </w:rPr>
        <w:t xml:space="preserve">also </w:t>
      </w:r>
      <w:r w:rsidR="00D33208">
        <w:rPr>
          <w:rFonts w:cs="Arial"/>
          <w:color w:val="auto"/>
        </w:rPr>
        <w:t>assumed that the employer predominance test has been abolished (</w:t>
      </w:r>
      <w:r w:rsidR="00ED3939">
        <w:rPr>
          <w:rFonts w:cs="Arial"/>
          <w:color w:val="auto"/>
        </w:rPr>
        <w:t xml:space="preserve">which is the preferred option based on the analysis in section </w:t>
      </w:r>
      <w:r w:rsidR="008A3887">
        <w:rPr>
          <w:rFonts w:cs="Arial"/>
          <w:color w:val="auto"/>
        </w:rPr>
        <w:fldChar w:fldCharType="begin"/>
      </w:r>
      <w:r w:rsidR="008A3887">
        <w:rPr>
          <w:rFonts w:cs="Arial"/>
          <w:color w:val="auto"/>
        </w:rPr>
        <w:instrText xml:space="preserve"> REF _Ref35436849 \r \h </w:instrText>
      </w:r>
      <w:r w:rsidR="008A3887">
        <w:rPr>
          <w:rFonts w:cs="Arial"/>
          <w:color w:val="auto"/>
        </w:rPr>
      </w:r>
      <w:r w:rsidR="008A3887">
        <w:rPr>
          <w:rFonts w:cs="Arial"/>
          <w:color w:val="auto"/>
        </w:rPr>
        <w:fldChar w:fldCharType="separate"/>
      </w:r>
      <w:r w:rsidR="008A3887">
        <w:rPr>
          <w:rFonts w:cs="Arial"/>
          <w:color w:val="auto"/>
        </w:rPr>
        <w:t>5.2.2.1</w:t>
      </w:r>
      <w:r w:rsidR="008A3887">
        <w:rPr>
          <w:rFonts w:cs="Arial"/>
          <w:color w:val="auto"/>
        </w:rPr>
        <w:fldChar w:fldCharType="end"/>
      </w:r>
      <w:r w:rsidR="00D33208">
        <w:rPr>
          <w:rFonts w:cs="Arial"/>
          <w:color w:val="auto"/>
        </w:rPr>
        <w:t xml:space="preserve">), and that all providers within the </w:t>
      </w:r>
      <w:r w:rsidR="0072722B">
        <w:rPr>
          <w:rFonts w:cs="Arial"/>
          <w:color w:val="auto"/>
        </w:rPr>
        <w:t>Community Health</w:t>
      </w:r>
      <w:r w:rsidR="00D33208">
        <w:rPr>
          <w:rFonts w:cs="Arial"/>
          <w:color w:val="auto"/>
        </w:rPr>
        <w:t xml:space="preserve"> and </w:t>
      </w:r>
      <w:r w:rsidR="0072722B">
        <w:rPr>
          <w:rFonts w:cs="Arial"/>
          <w:color w:val="auto"/>
        </w:rPr>
        <w:t>Women’s Health</w:t>
      </w:r>
      <w:r w:rsidR="00D33208">
        <w:rPr>
          <w:rFonts w:cs="Arial"/>
          <w:color w:val="auto"/>
        </w:rPr>
        <w:t xml:space="preserve"> </w:t>
      </w:r>
      <w:r w:rsidR="002106A3">
        <w:rPr>
          <w:rFonts w:cs="Arial"/>
          <w:color w:val="auto"/>
        </w:rPr>
        <w:t>sub</w:t>
      </w:r>
      <w:r w:rsidR="002106A3">
        <w:rPr>
          <w:rFonts w:cs="Arial"/>
          <w:color w:val="auto"/>
        </w:rPr>
        <w:noBreakHyphen/>
        <w:t>sector</w:t>
      </w:r>
      <w:r w:rsidR="00D33208">
        <w:rPr>
          <w:rFonts w:cs="Arial"/>
          <w:color w:val="auto"/>
        </w:rPr>
        <w:t>s would be within scope of the Scheme</w:t>
      </w:r>
      <w:r w:rsidR="00ED3939">
        <w:rPr>
          <w:rFonts w:cs="Arial"/>
          <w:color w:val="auto"/>
        </w:rPr>
        <w:t xml:space="preserve"> regardless of the share of health or health related work they undertake</w:t>
      </w:r>
      <w:r w:rsidR="00D33208">
        <w:rPr>
          <w:rFonts w:cs="Arial"/>
          <w:color w:val="auto"/>
        </w:rPr>
        <w:t>.</w:t>
      </w:r>
    </w:p>
    <w:p w14:paraId="6687A0C6" w14:textId="2BB6185D" w:rsidR="00472EEF" w:rsidRDefault="00472EEF" w:rsidP="00DF2E27">
      <w:pPr>
        <w:pStyle w:val="BodyText"/>
        <w:rPr>
          <w:rFonts w:cs="Arial"/>
          <w:color w:val="auto"/>
        </w:rPr>
      </w:pPr>
      <w:r>
        <w:rPr>
          <w:rFonts w:cs="Arial"/>
          <w:color w:val="auto"/>
        </w:rPr>
        <w:t>T</w:t>
      </w:r>
      <w:r w:rsidR="00B01E4B">
        <w:rPr>
          <w:rFonts w:cs="Arial"/>
          <w:color w:val="auto"/>
        </w:rPr>
        <w:t xml:space="preserve">his analysis estimates two </w:t>
      </w:r>
      <w:r w:rsidR="00D8578C">
        <w:rPr>
          <w:rFonts w:cs="Arial"/>
          <w:color w:val="auto"/>
        </w:rPr>
        <w:t xml:space="preserve">financial </w:t>
      </w:r>
      <w:r w:rsidR="00B01E4B">
        <w:rPr>
          <w:rFonts w:cs="Arial"/>
          <w:color w:val="auto"/>
        </w:rPr>
        <w:t>cost impacts</w:t>
      </w:r>
      <w:r>
        <w:rPr>
          <w:rFonts w:cs="Arial"/>
          <w:color w:val="auto"/>
        </w:rPr>
        <w:t xml:space="preserve"> associated with the Scheme:</w:t>
      </w:r>
    </w:p>
    <w:p w14:paraId="061FC2C6" w14:textId="56A900C2" w:rsidR="00472EEF" w:rsidRDefault="00472EEF" w:rsidP="00337958">
      <w:pPr>
        <w:pStyle w:val="BodyText"/>
        <w:numPr>
          <w:ilvl w:val="0"/>
          <w:numId w:val="73"/>
        </w:numPr>
        <w:rPr>
          <w:rFonts w:cs="Arial"/>
          <w:color w:val="auto"/>
        </w:rPr>
      </w:pPr>
      <w:r w:rsidRPr="001A238C">
        <w:rPr>
          <w:rFonts w:cs="Arial"/>
          <w:b/>
          <w:color w:val="auto"/>
        </w:rPr>
        <w:t xml:space="preserve">Estimated </w:t>
      </w:r>
      <w:r w:rsidR="00B01E4B" w:rsidRPr="001A238C">
        <w:rPr>
          <w:rFonts w:cs="Arial"/>
          <w:b/>
          <w:color w:val="auto"/>
        </w:rPr>
        <w:t xml:space="preserve">annual </w:t>
      </w:r>
      <w:r w:rsidRPr="001A238C">
        <w:rPr>
          <w:rFonts w:cs="Arial"/>
          <w:b/>
          <w:color w:val="auto"/>
        </w:rPr>
        <w:t>direct levy cost</w:t>
      </w:r>
      <w:r w:rsidR="00B01E4B">
        <w:rPr>
          <w:rFonts w:cs="Arial"/>
          <w:color w:val="auto"/>
        </w:rPr>
        <w:t xml:space="preserve"> – th</w:t>
      </w:r>
      <w:r w:rsidR="002106A3">
        <w:rPr>
          <w:rFonts w:cs="Arial"/>
          <w:color w:val="auto"/>
        </w:rPr>
        <w:t>is is the</w:t>
      </w:r>
      <w:r w:rsidR="00B01E4B">
        <w:rPr>
          <w:rFonts w:cs="Arial"/>
          <w:color w:val="auto"/>
        </w:rPr>
        <w:t xml:space="preserve"> cost to the employer of paying the 1.65</w:t>
      </w:r>
      <w:r w:rsidR="002106A3">
        <w:rPr>
          <w:rFonts w:cs="Arial"/>
          <w:color w:val="auto"/>
        </w:rPr>
        <w:t> </w:t>
      </w:r>
      <w:r w:rsidR="00B01E4B">
        <w:rPr>
          <w:rFonts w:cs="Arial"/>
          <w:color w:val="auto"/>
        </w:rPr>
        <w:t xml:space="preserve">percent levy </w:t>
      </w:r>
      <w:r w:rsidR="00B5498C">
        <w:rPr>
          <w:rFonts w:cs="Arial"/>
          <w:color w:val="auto"/>
        </w:rPr>
        <w:t xml:space="preserve">of ordinary wages </w:t>
      </w:r>
      <w:r w:rsidR="00B01E4B">
        <w:rPr>
          <w:rFonts w:cs="Arial"/>
          <w:color w:val="auto"/>
        </w:rPr>
        <w:t>to the Authority each year for their employees engaged in community service work</w:t>
      </w:r>
      <w:r w:rsidR="00B5498C">
        <w:rPr>
          <w:rFonts w:cs="Arial"/>
          <w:color w:val="auto"/>
        </w:rPr>
        <w:t xml:space="preserve">. This cost is the direct financial cost associated with being covered by the </w:t>
      </w:r>
      <w:r w:rsidR="001A238C">
        <w:rPr>
          <w:rFonts w:cs="Arial"/>
          <w:color w:val="auto"/>
        </w:rPr>
        <w:t>S</w:t>
      </w:r>
      <w:r w:rsidR="00847DD1">
        <w:rPr>
          <w:rFonts w:cs="Arial"/>
          <w:color w:val="auto"/>
        </w:rPr>
        <w:t>cheme</w:t>
      </w:r>
      <w:r w:rsidR="00255071">
        <w:rPr>
          <w:rFonts w:cs="Arial"/>
          <w:color w:val="auto"/>
        </w:rPr>
        <w:t xml:space="preserve"> and paying </w:t>
      </w:r>
      <w:r w:rsidR="00F35678">
        <w:rPr>
          <w:rFonts w:cs="Arial"/>
          <w:color w:val="auto"/>
        </w:rPr>
        <w:t>levie</w:t>
      </w:r>
      <w:r w:rsidR="00255071">
        <w:rPr>
          <w:rFonts w:cs="Arial"/>
          <w:color w:val="auto"/>
        </w:rPr>
        <w:t>s to the Authority each year</w:t>
      </w:r>
      <w:r w:rsidR="00847DD1">
        <w:rPr>
          <w:rFonts w:cs="Arial"/>
          <w:color w:val="auto"/>
        </w:rPr>
        <w:t>.</w:t>
      </w:r>
    </w:p>
    <w:p w14:paraId="42580026" w14:textId="2D236D50" w:rsidR="00B75252" w:rsidRDefault="00B01E4B" w:rsidP="00337958">
      <w:pPr>
        <w:pStyle w:val="BodyText"/>
        <w:numPr>
          <w:ilvl w:val="0"/>
          <w:numId w:val="73"/>
        </w:numPr>
        <w:rPr>
          <w:rFonts w:cs="Arial"/>
          <w:color w:val="auto"/>
        </w:rPr>
      </w:pPr>
      <w:r w:rsidRPr="001A238C">
        <w:rPr>
          <w:rFonts w:cs="Arial"/>
          <w:b/>
          <w:color w:val="auto"/>
        </w:rPr>
        <w:t xml:space="preserve">Estimated </w:t>
      </w:r>
      <w:r w:rsidR="00986C45" w:rsidRPr="001A238C">
        <w:rPr>
          <w:rFonts w:cs="Arial"/>
          <w:b/>
          <w:color w:val="auto"/>
        </w:rPr>
        <w:t xml:space="preserve">annual </w:t>
      </w:r>
      <w:r w:rsidR="00B5498C">
        <w:rPr>
          <w:rFonts w:cs="Arial"/>
          <w:b/>
          <w:color w:val="auto"/>
        </w:rPr>
        <w:t>net</w:t>
      </w:r>
      <w:r w:rsidR="001A238C">
        <w:rPr>
          <w:rFonts w:cs="Arial"/>
          <w:b/>
          <w:color w:val="auto"/>
        </w:rPr>
        <w:t xml:space="preserve"> </w:t>
      </w:r>
      <w:r w:rsidR="00472EEF" w:rsidRPr="001A238C">
        <w:rPr>
          <w:rFonts w:cs="Arial"/>
          <w:b/>
          <w:color w:val="auto"/>
        </w:rPr>
        <w:t>cost</w:t>
      </w:r>
      <w:r w:rsidR="00D73984">
        <w:rPr>
          <w:rFonts w:cs="Arial"/>
          <w:b/>
          <w:color w:val="auto"/>
        </w:rPr>
        <w:t xml:space="preserve"> impact</w:t>
      </w:r>
      <w:r w:rsidR="00472EEF">
        <w:rPr>
          <w:rFonts w:cs="Arial"/>
          <w:color w:val="auto"/>
        </w:rPr>
        <w:t xml:space="preserve"> </w:t>
      </w:r>
      <w:r>
        <w:rPr>
          <w:rFonts w:cs="Arial"/>
          <w:color w:val="auto"/>
        </w:rPr>
        <w:t>–</w:t>
      </w:r>
      <w:r w:rsidR="001A238C">
        <w:rPr>
          <w:rFonts w:cs="Arial"/>
          <w:color w:val="auto"/>
        </w:rPr>
        <w:t xml:space="preserve"> </w:t>
      </w:r>
      <w:r w:rsidRPr="00EE73E1">
        <w:rPr>
          <w:rFonts w:cs="Arial"/>
          <w:color w:val="auto"/>
        </w:rPr>
        <w:t xml:space="preserve">actuarial modelling determined </w:t>
      </w:r>
      <w:r w:rsidRPr="00B01E4B">
        <w:rPr>
          <w:rFonts w:cs="Arial"/>
          <w:color w:val="auto"/>
        </w:rPr>
        <w:t xml:space="preserve">that the </w:t>
      </w:r>
      <w:r w:rsidR="00B45010">
        <w:rPr>
          <w:rFonts w:cs="Arial"/>
          <w:color w:val="auto"/>
        </w:rPr>
        <w:t xml:space="preserve">annual </w:t>
      </w:r>
      <w:r w:rsidRPr="00B01E4B">
        <w:rPr>
          <w:rFonts w:cs="Arial"/>
          <w:color w:val="auto"/>
        </w:rPr>
        <w:t xml:space="preserve">net cost impact for the community services sector </w:t>
      </w:r>
      <w:r w:rsidR="004F2CB5">
        <w:rPr>
          <w:rFonts w:cs="Arial"/>
          <w:color w:val="auto"/>
        </w:rPr>
        <w:t xml:space="preserve">as a whole </w:t>
      </w:r>
      <w:r w:rsidRPr="00B01E4B">
        <w:rPr>
          <w:rFonts w:cs="Arial"/>
          <w:color w:val="auto"/>
        </w:rPr>
        <w:t>is 0.</w:t>
      </w:r>
      <w:r w:rsidR="00A4585B">
        <w:rPr>
          <w:rFonts w:cs="Arial"/>
          <w:color w:val="auto"/>
        </w:rPr>
        <w:t>45</w:t>
      </w:r>
      <w:r w:rsidRPr="00B01E4B">
        <w:rPr>
          <w:rFonts w:cs="Arial"/>
          <w:color w:val="auto"/>
        </w:rPr>
        <w:t xml:space="preserve"> percent of</w:t>
      </w:r>
      <w:r w:rsidR="00B5498C">
        <w:rPr>
          <w:rFonts w:cs="Arial"/>
          <w:color w:val="auto"/>
        </w:rPr>
        <w:t xml:space="preserve"> ordinary</w:t>
      </w:r>
      <w:r w:rsidRPr="00B01E4B">
        <w:rPr>
          <w:rFonts w:cs="Arial"/>
          <w:color w:val="auto"/>
        </w:rPr>
        <w:t xml:space="preserve"> salary costs</w:t>
      </w:r>
      <w:r>
        <w:rPr>
          <w:rFonts w:cs="Arial"/>
          <w:color w:val="auto"/>
        </w:rPr>
        <w:t xml:space="preserve"> for those employees engaged in community service work</w:t>
      </w:r>
      <w:r w:rsidRPr="00B01E4B">
        <w:rPr>
          <w:rFonts w:cs="Arial"/>
          <w:color w:val="auto"/>
        </w:rPr>
        <w:t>.</w:t>
      </w:r>
      <w:r>
        <w:rPr>
          <w:rFonts w:cs="Arial"/>
          <w:color w:val="auto"/>
        </w:rPr>
        <w:t xml:space="preserve"> </w:t>
      </w:r>
      <w:r w:rsidR="004F2CB5">
        <w:rPr>
          <w:rFonts w:cs="Arial"/>
          <w:color w:val="auto"/>
        </w:rPr>
        <w:t>This has t</w:t>
      </w:r>
      <w:r w:rsidR="00A931F0">
        <w:rPr>
          <w:rFonts w:cs="Arial"/>
          <w:color w:val="auto"/>
        </w:rPr>
        <w:t>he</w:t>
      </w:r>
      <w:r w:rsidR="004F2CB5">
        <w:rPr>
          <w:rFonts w:cs="Arial"/>
          <w:color w:val="auto"/>
        </w:rPr>
        <w:t xml:space="preserve"> potential to increase to 0.85 percent of ordinary salary costs </w:t>
      </w:r>
      <w:r w:rsidR="00255071">
        <w:rPr>
          <w:rFonts w:cs="Arial"/>
          <w:color w:val="auto"/>
        </w:rPr>
        <w:t xml:space="preserve">for the </w:t>
      </w:r>
      <w:r w:rsidR="0072722B">
        <w:rPr>
          <w:rFonts w:cs="Arial"/>
          <w:color w:val="auto"/>
        </w:rPr>
        <w:t>Community Health</w:t>
      </w:r>
      <w:r w:rsidR="00255071">
        <w:rPr>
          <w:rFonts w:cs="Arial"/>
          <w:color w:val="auto"/>
        </w:rPr>
        <w:t xml:space="preserve"> </w:t>
      </w:r>
      <w:r w:rsidR="002106A3">
        <w:rPr>
          <w:rFonts w:cs="Arial"/>
          <w:color w:val="auto"/>
        </w:rPr>
        <w:t>sub</w:t>
      </w:r>
      <w:r w:rsidR="002106A3">
        <w:rPr>
          <w:rFonts w:cs="Arial"/>
          <w:color w:val="auto"/>
        </w:rPr>
        <w:noBreakHyphen/>
        <w:t>sector</w:t>
      </w:r>
      <w:r w:rsidR="00B45010">
        <w:rPr>
          <w:rFonts w:cs="Arial"/>
          <w:color w:val="auto"/>
        </w:rPr>
        <w:t xml:space="preserve"> because of a higher turnover rate</w:t>
      </w:r>
      <w:r w:rsidR="00255071">
        <w:rPr>
          <w:rFonts w:cs="Arial"/>
          <w:color w:val="auto"/>
        </w:rPr>
        <w:t>.</w:t>
      </w:r>
    </w:p>
    <w:p w14:paraId="71B4CAC7" w14:textId="083054F4" w:rsidR="006F4B35" w:rsidRPr="006C3958" w:rsidRDefault="00A4585B" w:rsidP="006C3958">
      <w:pPr>
        <w:pStyle w:val="BodyText"/>
      </w:pPr>
      <w:r>
        <w:t xml:space="preserve">The annual net cost </w:t>
      </w:r>
      <w:r w:rsidR="00B45010">
        <w:t xml:space="preserve">impact </w:t>
      </w:r>
      <w:r>
        <w:t xml:space="preserve">is lower than the direct levy cost </w:t>
      </w:r>
      <w:r w:rsidR="002106A3">
        <w:t xml:space="preserve">due to the fact that </w:t>
      </w:r>
      <w:r w:rsidR="00B01E4B" w:rsidRPr="00EE73E1">
        <w:t xml:space="preserve">employers already need to </w:t>
      </w:r>
      <w:r w:rsidR="00651F61">
        <w:t>account</w:t>
      </w:r>
      <w:r w:rsidR="00651F61" w:rsidRPr="00EE73E1">
        <w:t xml:space="preserve"> </w:t>
      </w:r>
      <w:r w:rsidR="00B01E4B" w:rsidRPr="00EE73E1">
        <w:t>for their employees</w:t>
      </w:r>
      <w:r w:rsidR="002106A3">
        <w:t>’</w:t>
      </w:r>
      <w:r w:rsidR="00B01E4B" w:rsidRPr="00EE73E1">
        <w:t xml:space="preserve"> long service entitlements</w:t>
      </w:r>
      <w:r w:rsidR="00B01E4B">
        <w:t xml:space="preserve">. </w:t>
      </w:r>
      <w:r w:rsidR="00B5498C">
        <w:t>This is the difference between what organisations would already be accounting for and the direct levy costs payable</w:t>
      </w:r>
      <w:r w:rsidR="00255071">
        <w:t xml:space="preserve"> to the Authority</w:t>
      </w:r>
      <w:r w:rsidR="00B5498C">
        <w:t>.</w:t>
      </w:r>
      <w:r>
        <w:t xml:space="preserve"> </w:t>
      </w:r>
      <w:r w:rsidRPr="00F5772B">
        <w:fldChar w:fldCharType="begin"/>
      </w:r>
      <w:r w:rsidRPr="00A4585B">
        <w:instrText xml:space="preserve"> REF _Ref36543873 \h </w:instrText>
      </w:r>
      <w:r>
        <w:instrText xml:space="preserve"> \* MERGEFORMAT </w:instrText>
      </w:r>
      <w:r w:rsidRPr="00F5772B">
        <w:fldChar w:fldCharType="separate"/>
      </w:r>
      <w:r w:rsidRPr="00337958">
        <w:t>Figure 3</w:t>
      </w:r>
      <w:r w:rsidRPr="00F5772B">
        <w:fldChar w:fldCharType="end"/>
      </w:r>
      <w:r>
        <w:t xml:space="preserve"> </w:t>
      </w:r>
      <w:r w:rsidR="00D33208">
        <w:t xml:space="preserve">below </w:t>
      </w:r>
      <w:r>
        <w:t>provides a summary of how the net cost impact was determined.</w:t>
      </w:r>
    </w:p>
    <w:p w14:paraId="02793922" w14:textId="4137D2FB" w:rsidR="00A4585B" w:rsidRPr="0051279A" w:rsidRDefault="00A4585B" w:rsidP="00337958">
      <w:pPr>
        <w:pStyle w:val="Caption"/>
        <w:spacing w:before="0" w:after="0" w:line="360" w:lineRule="auto"/>
        <w:rPr>
          <w:rFonts w:ascii="Arial" w:hAnsi="Arial" w:cs="Arial"/>
          <w:b/>
          <w:color w:val="auto"/>
        </w:rPr>
      </w:pPr>
      <w:bookmarkStart w:id="120" w:name="_Ref36543873"/>
      <w:bookmarkStart w:id="121" w:name="_Ref37409112"/>
      <w:r w:rsidRPr="00337958">
        <w:rPr>
          <w:rFonts w:ascii="Arial" w:hAnsi="Arial" w:cs="Arial"/>
        </w:rPr>
        <w:t xml:space="preserve">Figure </w:t>
      </w:r>
      <w:r w:rsidRPr="00337958">
        <w:rPr>
          <w:rFonts w:ascii="Arial" w:hAnsi="Arial" w:cs="Arial"/>
        </w:rPr>
        <w:fldChar w:fldCharType="begin"/>
      </w:r>
      <w:r w:rsidRPr="00337958">
        <w:rPr>
          <w:rFonts w:ascii="Arial" w:hAnsi="Arial" w:cs="Arial"/>
        </w:rPr>
        <w:instrText xml:space="preserve"> SEQ Figure \* ARABIC </w:instrText>
      </w:r>
      <w:r w:rsidRPr="00337958">
        <w:rPr>
          <w:rFonts w:ascii="Arial" w:hAnsi="Arial" w:cs="Arial"/>
        </w:rPr>
        <w:fldChar w:fldCharType="separate"/>
      </w:r>
      <w:r w:rsidR="00AD518C">
        <w:rPr>
          <w:rFonts w:ascii="Arial" w:hAnsi="Arial" w:cs="Arial"/>
          <w:noProof/>
        </w:rPr>
        <w:t>3</w:t>
      </w:r>
      <w:r w:rsidRPr="00337958">
        <w:rPr>
          <w:rFonts w:ascii="Arial" w:hAnsi="Arial" w:cs="Arial"/>
        </w:rPr>
        <w:fldChar w:fldCharType="end"/>
      </w:r>
      <w:bookmarkEnd w:id="120"/>
      <w:r w:rsidRPr="00CE3DED">
        <w:rPr>
          <w:rFonts w:ascii="Arial" w:hAnsi="Arial" w:cs="Arial"/>
        </w:rPr>
        <w:t xml:space="preserve">: </w:t>
      </w:r>
      <w:r w:rsidRPr="00F5772B">
        <w:rPr>
          <w:rFonts w:ascii="Arial" w:hAnsi="Arial" w:cs="Arial"/>
        </w:rPr>
        <w:t>Methodology</w:t>
      </w:r>
      <w:r w:rsidRPr="00F87691">
        <w:rPr>
          <w:rFonts w:ascii="Arial" w:hAnsi="Arial" w:cs="Arial"/>
        </w:rPr>
        <w:t xml:space="preserve"> for determining the </w:t>
      </w:r>
      <w:r w:rsidR="00B45010">
        <w:rPr>
          <w:rFonts w:ascii="Arial" w:hAnsi="Arial" w:cs="Arial"/>
        </w:rPr>
        <w:t>annual</w:t>
      </w:r>
      <w:r w:rsidR="00B45010" w:rsidRPr="00F87691">
        <w:rPr>
          <w:rFonts w:ascii="Arial" w:hAnsi="Arial" w:cs="Arial"/>
        </w:rPr>
        <w:t xml:space="preserve"> </w:t>
      </w:r>
      <w:r w:rsidRPr="00F87691">
        <w:rPr>
          <w:rFonts w:ascii="Arial" w:hAnsi="Arial" w:cs="Arial"/>
        </w:rPr>
        <w:t>net cost impact of the levy</w:t>
      </w:r>
      <w:r w:rsidR="002523FE" w:rsidRPr="00F87691">
        <w:rPr>
          <w:rFonts w:ascii="Arial" w:hAnsi="Arial" w:cs="Arial"/>
        </w:rPr>
        <w:t xml:space="preserve"> on employers</w:t>
      </w:r>
      <w:bookmarkEnd w:id="121"/>
    </w:p>
    <w:tbl>
      <w:tblPr>
        <w:tblStyle w:val="TableGrid"/>
        <w:tblW w:w="0" w:type="auto"/>
        <w:tblBorders>
          <w:left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9016"/>
      </w:tblGrid>
      <w:tr w:rsidR="00A4585B" w:rsidRPr="00F738AD" w14:paraId="4BBB9577" w14:textId="77777777" w:rsidTr="0057203A">
        <w:tc>
          <w:tcPr>
            <w:tcW w:w="9016" w:type="dxa"/>
            <w:shd w:val="clear" w:color="auto" w:fill="DEEAF6" w:themeFill="accent1" w:themeFillTint="33"/>
          </w:tcPr>
          <w:p w14:paraId="0536D0A9" w14:textId="15A5C5D2" w:rsidR="002523FE" w:rsidRDefault="002523FE" w:rsidP="00330061">
            <w:pPr>
              <w:rPr>
                <w:rFonts w:ascii="Arial" w:hAnsi="Arial" w:cs="Arial"/>
                <w:color w:val="auto"/>
              </w:rPr>
            </w:pPr>
            <w:r w:rsidRPr="00337958">
              <w:rPr>
                <w:rFonts w:ascii="Arial" w:hAnsi="Arial" w:cs="Arial"/>
                <w:color w:val="auto"/>
              </w:rPr>
              <w:t xml:space="preserve">In 2018, </w:t>
            </w:r>
            <w:r w:rsidR="0076452B">
              <w:rPr>
                <w:rFonts w:ascii="Arial" w:hAnsi="Arial" w:cs="Arial"/>
                <w:color w:val="auto"/>
              </w:rPr>
              <w:t xml:space="preserve">as a part of a Department of Health and Human Services commissioned study, </w:t>
            </w:r>
            <w:r w:rsidRPr="00337958">
              <w:rPr>
                <w:rFonts w:ascii="Arial" w:hAnsi="Arial" w:cs="Arial"/>
                <w:color w:val="auto"/>
              </w:rPr>
              <w:t>KPMG consulted employers</w:t>
            </w:r>
            <w:r w:rsidR="0076452B">
              <w:rPr>
                <w:rFonts w:ascii="Arial" w:hAnsi="Arial" w:cs="Arial"/>
                <w:color w:val="auto"/>
              </w:rPr>
              <w:t xml:space="preserve"> in the community services sector</w:t>
            </w:r>
            <w:r w:rsidRPr="00337958">
              <w:rPr>
                <w:rFonts w:ascii="Arial" w:hAnsi="Arial" w:cs="Arial"/>
                <w:color w:val="auto"/>
              </w:rPr>
              <w:t xml:space="preserve"> to identify the potential cost impacts </w:t>
            </w:r>
            <w:r w:rsidR="002106A3">
              <w:rPr>
                <w:rFonts w:ascii="Arial" w:hAnsi="Arial" w:cs="Arial"/>
                <w:color w:val="auto"/>
              </w:rPr>
              <w:t>they would incur due to</w:t>
            </w:r>
            <w:r w:rsidR="002106A3" w:rsidRPr="00337958">
              <w:rPr>
                <w:rFonts w:ascii="Arial" w:hAnsi="Arial" w:cs="Arial"/>
                <w:color w:val="auto"/>
              </w:rPr>
              <w:t xml:space="preserve"> </w:t>
            </w:r>
            <w:r w:rsidRPr="00337958">
              <w:rPr>
                <w:rFonts w:ascii="Arial" w:hAnsi="Arial" w:cs="Arial"/>
                <w:color w:val="auto"/>
              </w:rPr>
              <w:t xml:space="preserve">the introduction of the </w:t>
            </w:r>
            <w:r w:rsidR="007957FB">
              <w:rPr>
                <w:rFonts w:ascii="Arial" w:hAnsi="Arial" w:cs="Arial"/>
                <w:color w:val="auto"/>
              </w:rPr>
              <w:t>Scheme.</w:t>
            </w:r>
            <w:r w:rsidRPr="00337958">
              <w:rPr>
                <w:rFonts w:ascii="Arial" w:hAnsi="Arial" w:cs="Arial"/>
                <w:color w:val="auto"/>
              </w:rPr>
              <w:t xml:space="preserve"> A sample of organisations across the </w:t>
            </w:r>
            <w:r>
              <w:rPr>
                <w:rFonts w:ascii="Arial" w:hAnsi="Arial" w:cs="Arial"/>
                <w:color w:val="auto"/>
              </w:rPr>
              <w:t xml:space="preserve">community services sector </w:t>
            </w:r>
            <w:r w:rsidRPr="00337958">
              <w:rPr>
                <w:rFonts w:ascii="Arial" w:hAnsi="Arial" w:cs="Arial"/>
                <w:color w:val="auto"/>
              </w:rPr>
              <w:t xml:space="preserve">with different characteristics and employee compositions were consulted. A cash flow projection model was then built in accordance with actuarial principles, based on the information gathered from consultations. </w:t>
            </w:r>
          </w:p>
          <w:p w14:paraId="3715C027" w14:textId="75693B68" w:rsidR="002523FE" w:rsidRPr="00337958" w:rsidRDefault="002523FE" w:rsidP="00337958">
            <w:pPr>
              <w:spacing w:before="240"/>
              <w:rPr>
                <w:rFonts w:ascii="Arial" w:hAnsi="Arial" w:cs="Arial"/>
                <w:color w:val="auto"/>
              </w:rPr>
            </w:pPr>
            <w:r w:rsidRPr="00337958">
              <w:rPr>
                <w:rFonts w:ascii="Arial" w:hAnsi="Arial" w:cs="Arial"/>
                <w:color w:val="auto"/>
              </w:rPr>
              <w:lastRenderedPageBreak/>
              <w:t>Key input</w:t>
            </w:r>
            <w:r>
              <w:rPr>
                <w:rFonts w:ascii="Arial" w:hAnsi="Arial" w:cs="Arial"/>
                <w:color w:val="auto"/>
              </w:rPr>
              <w:t>s for determining the cost of long service</w:t>
            </w:r>
            <w:r w:rsidRPr="00337958">
              <w:rPr>
                <w:rFonts w:ascii="Arial" w:hAnsi="Arial" w:cs="Arial"/>
                <w:color w:val="auto"/>
              </w:rPr>
              <w:t xml:space="preserve"> under </w:t>
            </w:r>
            <w:r>
              <w:rPr>
                <w:rFonts w:ascii="Arial" w:hAnsi="Arial" w:cs="Arial"/>
                <w:color w:val="auto"/>
              </w:rPr>
              <w:t xml:space="preserve">existing long service leave entitlements </w:t>
            </w:r>
            <w:r w:rsidR="007957FB">
              <w:rPr>
                <w:rFonts w:ascii="Arial" w:hAnsi="Arial" w:cs="Arial"/>
                <w:color w:val="auto"/>
              </w:rPr>
              <w:t>(</w:t>
            </w:r>
            <w:r>
              <w:rPr>
                <w:rFonts w:ascii="Arial" w:hAnsi="Arial" w:cs="Arial"/>
                <w:color w:val="auto"/>
              </w:rPr>
              <w:t>prior to the introduction of the Scheme</w:t>
            </w:r>
            <w:r w:rsidR="007957FB">
              <w:rPr>
                <w:rFonts w:ascii="Arial" w:hAnsi="Arial" w:cs="Arial"/>
                <w:color w:val="auto"/>
              </w:rPr>
              <w:t>)</w:t>
            </w:r>
            <w:r>
              <w:rPr>
                <w:rFonts w:ascii="Arial" w:hAnsi="Arial" w:cs="Arial"/>
                <w:color w:val="auto"/>
              </w:rPr>
              <w:t xml:space="preserve"> include</w:t>
            </w:r>
            <w:r w:rsidR="007957FB">
              <w:rPr>
                <w:rFonts w:ascii="Arial" w:hAnsi="Arial" w:cs="Arial"/>
                <w:color w:val="auto"/>
              </w:rPr>
              <w:t>d</w:t>
            </w:r>
            <w:r w:rsidR="0076452B">
              <w:rPr>
                <w:rFonts w:ascii="Arial" w:hAnsi="Arial" w:cs="Arial"/>
                <w:color w:val="auto"/>
              </w:rPr>
              <w:t xml:space="preserve"> information such as e</w:t>
            </w:r>
            <w:r w:rsidRPr="00337958">
              <w:rPr>
                <w:rFonts w:ascii="Arial" w:hAnsi="Arial" w:cs="Arial"/>
                <w:color w:val="auto"/>
              </w:rPr>
              <w:t>xpected salary increases</w:t>
            </w:r>
            <w:r w:rsidR="0076452B">
              <w:rPr>
                <w:rFonts w:ascii="Arial" w:hAnsi="Arial" w:cs="Arial"/>
                <w:color w:val="auto"/>
              </w:rPr>
              <w:t>, l</w:t>
            </w:r>
            <w:r w:rsidRPr="00337958">
              <w:rPr>
                <w:rFonts w:ascii="Arial" w:hAnsi="Arial" w:cs="Arial"/>
                <w:color w:val="auto"/>
              </w:rPr>
              <w:t>ong service leave taking behaviour</w:t>
            </w:r>
            <w:r w:rsidR="0076452B">
              <w:rPr>
                <w:rFonts w:ascii="Arial" w:hAnsi="Arial" w:cs="Arial"/>
                <w:color w:val="auto"/>
              </w:rPr>
              <w:t>, staff t</w:t>
            </w:r>
            <w:r w:rsidRPr="00337958">
              <w:rPr>
                <w:rFonts w:ascii="Arial" w:hAnsi="Arial" w:cs="Arial"/>
                <w:color w:val="auto"/>
              </w:rPr>
              <w:t>urnover rates</w:t>
            </w:r>
            <w:r w:rsidR="0076452B">
              <w:rPr>
                <w:rFonts w:ascii="Arial" w:hAnsi="Arial" w:cs="Arial"/>
                <w:color w:val="auto"/>
              </w:rPr>
              <w:t>, a</w:t>
            </w:r>
            <w:r w:rsidRPr="00337958">
              <w:rPr>
                <w:rFonts w:ascii="Arial" w:hAnsi="Arial" w:cs="Arial"/>
                <w:color w:val="auto"/>
              </w:rPr>
              <w:t>ccrual rates</w:t>
            </w:r>
            <w:r w:rsidR="0076452B">
              <w:rPr>
                <w:rFonts w:ascii="Arial" w:hAnsi="Arial" w:cs="Arial"/>
                <w:color w:val="auto"/>
              </w:rPr>
              <w:t>, empl</w:t>
            </w:r>
            <w:r w:rsidRPr="00337958">
              <w:rPr>
                <w:rFonts w:ascii="Arial" w:hAnsi="Arial" w:cs="Arial"/>
                <w:color w:val="auto"/>
              </w:rPr>
              <w:t>oyee profiles</w:t>
            </w:r>
            <w:r w:rsidR="0076452B">
              <w:rPr>
                <w:rFonts w:ascii="Arial" w:hAnsi="Arial" w:cs="Arial"/>
                <w:color w:val="auto"/>
              </w:rPr>
              <w:t xml:space="preserve"> and existing longer service benefits. </w:t>
            </w:r>
          </w:p>
          <w:p w14:paraId="11EC8BB1" w14:textId="13A2CC94" w:rsidR="00D33208" w:rsidRDefault="002523FE" w:rsidP="00337958">
            <w:pPr>
              <w:pStyle w:val="BodyText"/>
              <w:spacing w:before="240" w:after="160"/>
              <w:rPr>
                <w:rFonts w:cs="Arial"/>
                <w:color w:val="auto"/>
              </w:rPr>
            </w:pPr>
            <w:r>
              <w:rPr>
                <w:rFonts w:cs="Arial"/>
                <w:color w:val="auto"/>
              </w:rPr>
              <w:t>KPMG analysis found that</w:t>
            </w:r>
            <w:r w:rsidR="002106A3">
              <w:rPr>
                <w:rFonts w:cs="Arial"/>
                <w:color w:val="auto"/>
              </w:rPr>
              <w:t>,</w:t>
            </w:r>
            <w:r>
              <w:rPr>
                <w:rFonts w:cs="Arial"/>
                <w:color w:val="auto"/>
              </w:rPr>
              <w:t xml:space="preserve"> on average</w:t>
            </w:r>
            <w:r w:rsidR="002106A3">
              <w:rPr>
                <w:rFonts w:cs="Arial"/>
                <w:color w:val="auto"/>
              </w:rPr>
              <w:t>,</w:t>
            </w:r>
            <w:r>
              <w:rPr>
                <w:rFonts w:cs="Arial"/>
                <w:color w:val="auto"/>
              </w:rPr>
              <w:t xml:space="preserve"> </w:t>
            </w:r>
            <w:r w:rsidRPr="00051AC7">
              <w:rPr>
                <w:rFonts w:cs="Arial"/>
                <w:color w:val="auto"/>
              </w:rPr>
              <w:t>organisations</w:t>
            </w:r>
            <w:r w:rsidR="0076452B">
              <w:rPr>
                <w:rFonts w:cs="Arial"/>
                <w:color w:val="auto"/>
              </w:rPr>
              <w:t xml:space="preserve"> (across the community service sector)</w:t>
            </w:r>
            <w:r w:rsidRPr="00051AC7">
              <w:rPr>
                <w:rFonts w:cs="Arial"/>
                <w:color w:val="auto"/>
              </w:rPr>
              <w:t xml:space="preserve"> set aside</w:t>
            </w:r>
            <w:r w:rsidR="0076452B">
              <w:rPr>
                <w:rFonts w:cs="Arial"/>
                <w:color w:val="auto"/>
              </w:rPr>
              <w:t xml:space="preserve"> </w:t>
            </w:r>
            <w:r w:rsidR="00D33208" w:rsidRPr="00051AC7">
              <w:rPr>
                <w:rFonts w:cs="Arial"/>
                <w:color w:val="auto"/>
              </w:rPr>
              <w:t>approximately</w:t>
            </w:r>
            <w:r w:rsidR="00330061">
              <w:rPr>
                <w:rFonts w:cs="Arial"/>
                <w:color w:val="auto"/>
              </w:rPr>
              <w:t xml:space="preserve"> </w:t>
            </w:r>
            <w:r w:rsidRPr="00051AC7">
              <w:rPr>
                <w:rFonts w:cs="Arial"/>
                <w:color w:val="auto"/>
              </w:rPr>
              <w:t>1.2 percent of salary costs</w:t>
            </w:r>
            <w:r w:rsidR="00255071">
              <w:rPr>
                <w:rFonts w:cs="Arial"/>
                <w:color w:val="auto"/>
              </w:rPr>
              <w:t xml:space="preserve"> each year</w:t>
            </w:r>
            <w:r w:rsidRPr="00051AC7">
              <w:rPr>
                <w:rFonts w:cs="Arial"/>
                <w:color w:val="auto"/>
              </w:rPr>
              <w:t xml:space="preserve"> to account for their existing long service provisions.</w:t>
            </w:r>
            <w:r w:rsidR="00330061">
              <w:rPr>
                <w:rFonts w:cs="Arial"/>
                <w:color w:val="auto"/>
              </w:rPr>
              <w:t xml:space="preserve"> </w:t>
            </w:r>
            <w:r w:rsidRPr="00337958">
              <w:rPr>
                <w:rFonts w:cs="Arial"/>
                <w:color w:val="auto"/>
              </w:rPr>
              <w:t xml:space="preserve">Costs were demonstrated at an individual and aggregate level. </w:t>
            </w:r>
          </w:p>
          <w:p w14:paraId="03B28A78" w14:textId="59462636" w:rsidR="00A4585B" w:rsidRDefault="002523FE" w:rsidP="00337958">
            <w:pPr>
              <w:pStyle w:val="BodyText"/>
              <w:spacing w:before="240" w:after="160"/>
              <w:rPr>
                <w:rFonts w:cs="Arial"/>
                <w:color w:val="auto"/>
              </w:rPr>
            </w:pPr>
            <w:r w:rsidRPr="00337958">
              <w:rPr>
                <w:rFonts w:cs="Arial"/>
                <w:color w:val="auto"/>
              </w:rPr>
              <w:t>The modelling de</w:t>
            </w:r>
            <w:r>
              <w:rPr>
                <w:rFonts w:cs="Arial"/>
                <w:color w:val="auto"/>
              </w:rPr>
              <w:t xml:space="preserve">termined that, for the community </w:t>
            </w:r>
            <w:r w:rsidR="00A931F0">
              <w:rPr>
                <w:rFonts w:cs="Arial"/>
                <w:color w:val="auto"/>
              </w:rPr>
              <w:t xml:space="preserve">services </w:t>
            </w:r>
            <w:r>
              <w:rPr>
                <w:rFonts w:cs="Arial"/>
                <w:color w:val="auto"/>
              </w:rPr>
              <w:t>sector</w:t>
            </w:r>
            <w:r w:rsidRPr="00337958">
              <w:rPr>
                <w:rFonts w:cs="Arial"/>
                <w:color w:val="auto"/>
              </w:rPr>
              <w:t xml:space="preserve"> as a whole, the </w:t>
            </w:r>
            <w:r>
              <w:rPr>
                <w:rFonts w:cs="Arial"/>
                <w:color w:val="auto"/>
              </w:rPr>
              <w:t>Scheme would increase overall costs by 0.45 per</w:t>
            </w:r>
            <w:r w:rsidRPr="00337958">
              <w:rPr>
                <w:rFonts w:cs="Arial"/>
                <w:color w:val="auto"/>
              </w:rPr>
              <w:t>cent of salary costs</w:t>
            </w:r>
            <w:r>
              <w:rPr>
                <w:rFonts w:cs="Arial"/>
                <w:color w:val="auto"/>
              </w:rPr>
              <w:t xml:space="preserve"> (</w:t>
            </w:r>
            <w:r w:rsidR="00EB72A9">
              <w:rPr>
                <w:rFonts w:cs="Arial"/>
                <w:color w:val="auto"/>
              </w:rPr>
              <w:t>under a</w:t>
            </w:r>
            <w:r w:rsidR="002106A3">
              <w:rPr>
                <w:rFonts w:cs="Arial"/>
                <w:color w:val="auto"/>
              </w:rPr>
              <w:t xml:space="preserve"> levy rate of 1.65 </w:t>
            </w:r>
            <w:r>
              <w:rPr>
                <w:rFonts w:cs="Arial"/>
                <w:color w:val="auto"/>
              </w:rPr>
              <w:t xml:space="preserve">percent for the sector). </w:t>
            </w:r>
            <w:r w:rsidRPr="00337958">
              <w:rPr>
                <w:rFonts w:cs="Arial"/>
                <w:b/>
                <w:color w:val="auto"/>
              </w:rPr>
              <w:t xml:space="preserve">For the purposes of the subsequent analysis, it is assumed that </w:t>
            </w:r>
            <w:r>
              <w:rPr>
                <w:rFonts w:cs="Arial"/>
                <w:b/>
                <w:color w:val="auto"/>
              </w:rPr>
              <w:t>a cost increase of 0.45 percent is</w:t>
            </w:r>
            <w:r w:rsidRPr="00337958">
              <w:rPr>
                <w:rFonts w:cs="Arial"/>
                <w:b/>
                <w:color w:val="auto"/>
              </w:rPr>
              <w:t xml:space="preserve"> representative of the </w:t>
            </w:r>
            <w:r w:rsidR="00B45010">
              <w:rPr>
                <w:rFonts w:cs="Arial"/>
                <w:b/>
                <w:color w:val="auto"/>
              </w:rPr>
              <w:t>annual</w:t>
            </w:r>
            <w:r w:rsidR="00B45010" w:rsidRPr="00337958">
              <w:rPr>
                <w:rFonts w:cs="Arial"/>
                <w:b/>
                <w:color w:val="auto"/>
              </w:rPr>
              <w:t xml:space="preserve"> </w:t>
            </w:r>
            <w:r w:rsidRPr="00337958">
              <w:rPr>
                <w:rFonts w:cs="Arial"/>
                <w:b/>
                <w:color w:val="auto"/>
              </w:rPr>
              <w:t xml:space="preserve">net cost </w:t>
            </w:r>
            <w:r w:rsidR="00B45010">
              <w:rPr>
                <w:rFonts w:cs="Arial"/>
                <w:b/>
                <w:color w:val="auto"/>
              </w:rPr>
              <w:t>impact on</w:t>
            </w:r>
            <w:r w:rsidRPr="00337958">
              <w:rPr>
                <w:rFonts w:cs="Arial"/>
                <w:b/>
                <w:color w:val="auto"/>
              </w:rPr>
              <w:t xml:space="preserve"> the </w:t>
            </w:r>
            <w:r w:rsidR="0072722B">
              <w:rPr>
                <w:rFonts w:cs="Arial"/>
                <w:b/>
                <w:color w:val="auto"/>
              </w:rPr>
              <w:t>Women’s Health</w:t>
            </w:r>
            <w:r w:rsidRPr="00337958">
              <w:rPr>
                <w:rFonts w:cs="Arial"/>
                <w:b/>
                <w:color w:val="auto"/>
              </w:rPr>
              <w:t xml:space="preserve"> </w:t>
            </w:r>
            <w:r w:rsidR="002106A3">
              <w:rPr>
                <w:rFonts w:cs="Arial"/>
                <w:b/>
                <w:color w:val="auto"/>
              </w:rPr>
              <w:t>sub</w:t>
            </w:r>
            <w:r w:rsidR="002106A3">
              <w:rPr>
                <w:rFonts w:cs="Arial"/>
                <w:b/>
                <w:color w:val="auto"/>
              </w:rPr>
              <w:noBreakHyphen/>
              <w:t>sector</w:t>
            </w:r>
            <w:r w:rsidRPr="00337958">
              <w:rPr>
                <w:rFonts w:cs="Arial"/>
                <w:b/>
                <w:color w:val="auto"/>
              </w:rPr>
              <w:t>.</w:t>
            </w:r>
          </w:p>
          <w:p w14:paraId="54048051" w14:textId="55C7BC34" w:rsidR="00330061" w:rsidRPr="00337958" w:rsidRDefault="002523FE">
            <w:pPr>
              <w:pStyle w:val="BodyText"/>
              <w:spacing w:before="240"/>
              <w:rPr>
                <w:rFonts w:cs="Arial"/>
                <w:b/>
                <w:color w:val="auto"/>
              </w:rPr>
            </w:pPr>
            <w:r>
              <w:rPr>
                <w:rFonts w:cs="Arial"/>
                <w:color w:val="auto"/>
              </w:rPr>
              <w:t xml:space="preserve">Data collected from </w:t>
            </w:r>
            <w:r w:rsidR="0072722B">
              <w:rPr>
                <w:rFonts w:cs="Arial"/>
                <w:color w:val="auto"/>
              </w:rPr>
              <w:t>Community Health Centre</w:t>
            </w:r>
            <w:r>
              <w:rPr>
                <w:rFonts w:cs="Arial"/>
                <w:color w:val="auto"/>
              </w:rPr>
              <w:t xml:space="preserve">s, suggested </w:t>
            </w:r>
            <w:r w:rsidRPr="00A40F39">
              <w:rPr>
                <w:rFonts w:cs="Arial"/>
                <w:color w:val="auto"/>
              </w:rPr>
              <w:t xml:space="preserve">the </w:t>
            </w:r>
            <w:r>
              <w:rPr>
                <w:rFonts w:cs="Arial"/>
                <w:color w:val="auto"/>
              </w:rPr>
              <w:t>Scheme would</w:t>
            </w:r>
            <w:r w:rsidRPr="00A40F39">
              <w:rPr>
                <w:rFonts w:cs="Arial"/>
                <w:color w:val="auto"/>
              </w:rPr>
              <w:t xml:space="preserve"> increase overall costs by 0.</w:t>
            </w:r>
            <w:r>
              <w:rPr>
                <w:rFonts w:cs="Arial"/>
                <w:color w:val="auto"/>
              </w:rPr>
              <w:t>8</w:t>
            </w:r>
            <w:r w:rsidRPr="00A40F39">
              <w:rPr>
                <w:rFonts w:cs="Arial"/>
                <w:color w:val="auto"/>
              </w:rPr>
              <w:t>5 </w:t>
            </w:r>
            <w:r>
              <w:rPr>
                <w:rFonts w:cs="Arial"/>
                <w:color w:val="auto"/>
              </w:rPr>
              <w:t>per</w:t>
            </w:r>
            <w:r w:rsidRPr="00A40F39">
              <w:rPr>
                <w:rFonts w:cs="Arial"/>
                <w:color w:val="auto"/>
              </w:rPr>
              <w:t>cent of salary costs</w:t>
            </w:r>
            <w:r w:rsidR="00EB72A9">
              <w:rPr>
                <w:rFonts w:cs="Arial"/>
                <w:color w:val="auto"/>
              </w:rPr>
              <w:t xml:space="preserve"> (under a levy rate of 1.65 percent for the sector)</w:t>
            </w:r>
            <w:r>
              <w:rPr>
                <w:rFonts w:cs="Arial"/>
                <w:color w:val="auto"/>
              </w:rPr>
              <w:t xml:space="preserve">. </w:t>
            </w:r>
            <w:r w:rsidRPr="00337958">
              <w:rPr>
                <w:rFonts w:cs="Arial"/>
                <w:b/>
                <w:color w:val="auto"/>
              </w:rPr>
              <w:t xml:space="preserve">For the purposes of the subsequent analysis, it is assumed that the </w:t>
            </w:r>
            <w:r w:rsidR="00B45010">
              <w:rPr>
                <w:rFonts w:cs="Arial"/>
                <w:b/>
                <w:color w:val="auto"/>
              </w:rPr>
              <w:t xml:space="preserve">annual </w:t>
            </w:r>
            <w:r w:rsidRPr="00337958">
              <w:rPr>
                <w:rFonts w:cs="Arial"/>
                <w:b/>
                <w:color w:val="auto"/>
              </w:rPr>
              <w:t>net cost</w:t>
            </w:r>
            <w:r w:rsidR="00B45010">
              <w:rPr>
                <w:rFonts w:cs="Arial"/>
                <w:b/>
                <w:color w:val="auto"/>
              </w:rPr>
              <w:t xml:space="preserve"> impact</w:t>
            </w:r>
            <w:r w:rsidRPr="00337958">
              <w:rPr>
                <w:rFonts w:cs="Arial"/>
                <w:b/>
                <w:color w:val="auto"/>
              </w:rPr>
              <w:t xml:space="preserve"> </w:t>
            </w:r>
            <w:r w:rsidR="00B45010">
              <w:rPr>
                <w:rFonts w:cs="Arial"/>
                <w:b/>
                <w:color w:val="auto"/>
              </w:rPr>
              <w:t>on</w:t>
            </w:r>
            <w:r w:rsidRPr="00337958">
              <w:rPr>
                <w:rFonts w:cs="Arial"/>
                <w:b/>
                <w:color w:val="auto"/>
              </w:rPr>
              <w:t xml:space="preserve"> the </w:t>
            </w:r>
            <w:r w:rsidR="0072722B">
              <w:rPr>
                <w:rFonts w:cs="Arial"/>
                <w:b/>
                <w:color w:val="auto"/>
              </w:rPr>
              <w:t>Community Health</w:t>
            </w:r>
            <w:r w:rsidRPr="00337958">
              <w:rPr>
                <w:rFonts w:cs="Arial"/>
                <w:b/>
                <w:color w:val="auto"/>
              </w:rPr>
              <w:t xml:space="preserve"> </w:t>
            </w:r>
            <w:r w:rsidR="002106A3">
              <w:rPr>
                <w:rFonts w:cs="Arial"/>
                <w:b/>
                <w:color w:val="auto"/>
              </w:rPr>
              <w:t>sub</w:t>
            </w:r>
            <w:r w:rsidR="002106A3">
              <w:rPr>
                <w:rFonts w:cs="Arial"/>
                <w:b/>
                <w:color w:val="auto"/>
              </w:rPr>
              <w:noBreakHyphen/>
              <w:t>sector</w:t>
            </w:r>
            <w:r w:rsidRPr="00337958">
              <w:rPr>
                <w:rFonts w:cs="Arial"/>
                <w:b/>
                <w:color w:val="auto"/>
              </w:rPr>
              <w:t xml:space="preserve"> would be between 0.45 and 0.85 percent of salary costs.</w:t>
            </w:r>
          </w:p>
        </w:tc>
      </w:tr>
    </w:tbl>
    <w:p w14:paraId="7849E63B" w14:textId="15430BBF" w:rsidR="00D85311" w:rsidRPr="0057203A" w:rsidRDefault="00735824" w:rsidP="006C3958">
      <w:pPr>
        <w:pStyle w:val="BodyText"/>
        <w:spacing w:before="120"/>
        <w:rPr>
          <w:rFonts w:cs="Arial"/>
          <w:color w:val="auto"/>
        </w:rPr>
      </w:pPr>
      <w:r>
        <w:rPr>
          <w:rFonts w:cs="Arial"/>
          <w:color w:val="auto"/>
        </w:rPr>
        <w:lastRenderedPageBreak/>
        <w:t xml:space="preserve">The impact on the </w:t>
      </w:r>
      <w:r w:rsidR="0072722B">
        <w:rPr>
          <w:rFonts w:cs="Arial"/>
          <w:color w:val="auto"/>
        </w:rPr>
        <w:t>Community Health</w:t>
      </w:r>
      <w:r w:rsidR="00BB41A4">
        <w:rPr>
          <w:rFonts w:cs="Arial"/>
          <w:color w:val="auto"/>
        </w:rPr>
        <w:t xml:space="preserve"> </w:t>
      </w:r>
      <w:r w:rsidR="002106A3">
        <w:rPr>
          <w:rFonts w:cs="Arial"/>
          <w:color w:val="auto"/>
        </w:rPr>
        <w:t>sub</w:t>
      </w:r>
      <w:r w:rsidR="002106A3">
        <w:rPr>
          <w:rFonts w:cs="Arial"/>
          <w:color w:val="auto"/>
        </w:rPr>
        <w:noBreakHyphen/>
        <w:t>sector</w:t>
      </w:r>
      <w:r>
        <w:rPr>
          <w:rFonts w:cs="Arial"/>
          <w:color w:val="auto"/>
        </w:rPr>
        <w:t xml:space="preserve"> and </w:t>
      </w:r>
      <w:r w:rsidR="0072722B">
        <w:rPr>
          <w:rFonts w:cs="Arial"/>
          <w:color w:val="auto"/>
        </w:rPr>
        <w:t>Women’s Health</w:t>
      </w:r>
      <w:r>
        <w:rPr>
          <w:rFonts w:cs="Arial"/>
          <w:color w:val="auto"/>
        </w:rPr>
        <w:t xml:space="preserve"> </w:t>
      </w:r>
      <w:r w:rsidR="002106A3">
        <w:rPr>
          <w:rFonts w:cs="Arial"/>
          <w:color w:val="auto"/>
        </w:rPr>
        <w:t>sub</w:t>
      </w:r>
      <w:r w:rsidR="002106A3">
        <w:rPr>
          <w:rFonts w:cs="Arial"/>
          <w:color w:val="auto"/>
        </w:rPr>
        <w:noBreakHyphen/>
        <w:t>sector</w:t>
      </w:r>
      <w:r w:rsidR="005C4A7E">
        <w:rPr>
          <w:rFonts w:cs="Arial"/>
          <w:color w:val="auto"/>
        </w:rPr>
        <w:t>s</w:t>
      </w:r>
      <w:r>
        <w:rPr>
          <w:rFonts w:cs="Arial"/>
          <w:color w:val="auto"/>
        </w:rPr>
        <w:t xml:space="preserve"> are separately </w:t>
      </w:r>
      <w:r w:rsidR="005C4A7E">
        <w:rPr>
          <w:rFonts w:cs="Arial"/>
          <w:color w:val="auto"/>
        </w:rPr>
        <w:t>discussed below</w:t>
      </w:r>
      <w:r>
        <w:rPr>
          <w:rFonts w:cs="Arial"/>
          <w:color w:val="auto"/>
        </w:rPr>
        <w:t xml:space="preserve">. </w:t>
      </w:r>
    </w:p>
    <w:p w14:paraId="2880E502" w14:textId="48266232" w:rsidR="007952B8" w:rsidRPr="00337958" w:rsidRDefault="0072722B" w:rsidP="001A238C">
      <w:pPr>
        <w:pStyle w:val="BodyText"/>
        <w:keepNext/>
        <w:rPr>
          <w:rFonts w:cs="Arial"/>
          <w:b/>
          <w:i/>
          <w:color w:val="auto"/>
        </w:rPr>
      </w:pPr>
      <w:r>
        <w:rPr>
          <w:rFonts w:cs="Arial"/>
          <w:b/>
          <w:i/>
          <w:color w:val="auto"/>
        </w:rPr>
        <w:t>Community Health Centre</w:t>
      </w:r>
      <w:r w:rsidR="007952B8" w:rsidRPr="00337958">
        <w:rPr>
          <w:rFonts w:cs="Arial"/>
          <w:b/>
          <w:i/>
          <w:color w:val="auto"/>
        </w:rPr>
        <w:t>s</w:t>
      </w:r>
      <w:r w:rsidR="00866686" w:rsidRPr="00337958">
        <w:rPr>
          <w:rFonts w:cs="Arial"/>
          <w:b/>
          <w:i/>
          <w:color w:val="auto"/>
        </w:rPr>
        <w:t xml:space="preserve"> – sector-wide impacts</w:t>
      </w:r>
    </w:p>
    <w:p w14:paraId="04294082" w14:textId="5304C91E" w:rsidR="005C4A7E" w:rsidRDefault="005C4A7E" w:rsidP="00DF2E27">
      <w:pPr>
        <w:pStyle w:val="BodyText"/>
        <w:rPr>
          <w:rFonts w:cs="Arial"/>
          <w:color w:val="auto"/>
        </w:rPr>
      </w:pPr>
      <w:r>
        <w:rPr>
          <w:rFonts w:cs="Arial"/>
          <w:color w:val="auto"/>
        </w:rPr>
        <w:t xml:space="preserve">The sector-wide impacts of including </w:t>
      </w:r>
      <w:r w:rsidR="0072722B">
        <w:rPr>
          <w:rFonts w:cs="Arial"/>
          <w:color w:val="auto"/>
        </w:rPr>
        <w:t>Community Health Centre</w:t>
      </w:r>
      <w:r>
        <w:rPr>
          <w:rFonts w:cs="Arial"/>
          <w:color w:val="auto"/>
        </w:rPr>
        <w:t>s in the Scheme</w:t>
      </w:r>
      <w:r w:rsidR="002A6619">
        <w:rPr>
          <w:rFonts w:cs="Arial"/>
          <w:color w:val="auto"/>
        </w:rPr>
        <w:t xml:space="preserve"> were estimated using feedback from stakeholders </w:t>
      </w:r>
      <w:r w:rsidR="00B11047" w:rsidRPr="003105E2">
        <w:rPr>
          <w:rFonts w:cs="Arial"/>
          <w:color w:val="auto"/>
        </w:rPr>
        <w:t xml:space="preserve">and data collected from annual reports </w:t>
      </w:r>
      <w:r w:rsidR="002A6619">
        <w:rPr>
          <w:rFonts w:cs="Arial"/>
          <w:color w:val="auto"/>
        </w:rPr>
        <w:t xml:space="preserve">relating to the number of employees working in the </w:t>
      </w:r>
      <w:r w:rsidR="002106A3">
        <w:rPr>
          <w:rFonts w:cs="Arial"/>
          <w:color w:val="auto"/>
        </w:rPr>
        <w:t>sub</w:t>
      </w:r>
      <w:r w:rsidR="002106A3">
        <w:rPr>
          <w:rFonts w:cs="Arial"/>
          <w:color w:val="auto"/>
        </w:rPr>
        <w:noBreakHyphen/>
        <w:t>sector</w:t>
      </w:r>
      <w:r w:rsidR="002A6619">
        <w:rPr>
          <w:rFonts w:cs="Arial"/>
          <w:color w:val="auto"/>
        </w:rPr>
        <w:t>, the average full</w:t>
      </w:r>
      <w:r w:rsidR="00A931F0">
        <w:rPr>
          <w:rFonts w:cs="Arial"/>
          <w:color w:val="auto"/>
        </w:rPr>
        <w:t>-</w:t>
      </w:r>
      <w:r w:rsidR="002A6619">
        <w:rPr>
          <w:rFonts w:cs="Arial"/>
          <w:color w:val="auto"/>
        </w:rPr>
        <w:t xml:space="preserve">time salary for the </w:t>
      </w:r>
      <w:r w:rsidR="002106A3">
        <w:rPr>
          <w:rFonts w:cs="Arial"/>
          <w:color w:val="auto"/>
        </w:rPr>
        <w:t>sub</w:t>
      </w:r>
      <w:r w:rsidR="002106A3">
        <w:rPr>
          <w:rFonts w:cs="Arial"/>
          <w:color w:val="auto"/>
        </w:rPr>
        <w:noBreakHyphen/>
        <w:t>sector</w:t>
      </w:r>
      <w:r w:rsidR="002A6619">
        <w:rPr>
          <w:rFonts w:cs="Arial"/>
          <w:color w:val="auto"/>
        </w:rPr>
        <w:t xml:space="preserve">, and the estimated </w:t>
      </w:r>
      <w:r w:rsidR="002A6619" w:rsidRPr="003105E2">
        <w:rPr>
          <w:rFonts w:cs="Arial"/>
          <w:color w:val="auto"/>
        </w:rPr>
        <w:t>share of this workforce undertaking community service work</w:t>
      </w:r>
      <w:r w:rsidR="002A6619">
        <w:rPr>
          <w:rFonts w:cs="Arial"/>
          <w:color w:val="auto"/>
        </w:rPr>
        <w:t>.</w:t>
      </w:r>
    </w:p>
    <w:p w14:paraId="0551D59E" w14:textId="1B276857" w:rsidR="002A6619" w:rsidRDefault="00FC006E" w:rsidP="00337958">
      <w:pPr>
        <w:pStyle w:val="BodyText"/>
        <w:numPr>
          <w:ilvl w:val="0"/>
          <w:numId w:val="66"/>
        </w:numPr>
        <w:rPr>
          <w:rFonts w:cs="Arial"/>
          <w:color w:val="auto"/>
        </w:rPr>
      </w:pPr>
      <w:r>
        <w:rPr>
          <w:rFonts w:cs="Arial"/>
          <w:color w:val="auto"/>
        </w:rPr>
        <w:t>Reporting to the Australian Charities and No</w:t>
      </w:r>
      <w:r w:rsidR="002106A3">
        <w:rPr>
          <w:rFonts w:cs="Arial"/>
          <w:color w:val="auto"/>
        </w:rPr>
        <w:t>t</w:t>
      </w:r>
      <w:r>
        <w:rPr>
          <w:rFonts w:cs="Arial"/>
          <w:color w:val="auto"/>
        </w:rPr>
        <w:t>-</w:t>
      </w:r>
      <w:r w:rsidR="00D36BC6">
        <w:rPr>
          <w:rFonts w:cs="Arial"/>
          <w:color w:val="auto"/>
        </w:rPr>
        <w:t>for</w:t>
      </w:r>
      <w:r w:rsidR="00D36BC6">
        <w:rPr>
          <w:rFonts w:cs="Arial"/>
          <w:color w:val="auto"/>
        </w:rPr>
        <w:noBreakHyphen/>
        <w:t>profit</w:t>
      </w:r>
      <w:r>
        <w:rPr>
          <w:rFonts w:cs="Arial"/>
          <w:color w:val="auto"/>
        </w:rPr>
        <w:t>s Commission in June 2019 lists</w:t>
      </w:r>
      <w:r w:rsidR="004E646F">
        <w:rPr>
          <w:rFonts w:cs="Arial"/>
          <w:color w:val="auto"/>
        </w:rPr>
        <w:t xml:space="preserve"> </w:t>
      </w:r>
      <w:r>
        <w:rPr>
          <w:rFonts w:cs="Arial"/>
          <w:color w:val="auto"/>
        </w:rPr>
        <w:t xml:space="preserve">10,191 staff as permanent, part-time and casual employees in the </w:t>
      </w:r>
      <w:r w:rsidR="0072722B">
        <w:rPr>
          <w:rFonts w:cs="Arial"/>
          <w:color w:val="auto"/>
        </w:rPr>
        <w:t>Community Health</w:t>
      </w:r>
      <w:r w:rsidR="00BB41A4">
        <w:rPr>
          <w:rFonts w:cs="Arial"/>
          <w:color w:val="auto"/>
        </w:rPr>
        <w:t xml:space="preserve"> </w:t>
      </w:r>
      <w:r w:rsidR="002106A3">
        <w:rPr>
          <w:rFonts w:cs="Arial"/>
          <w:color w:val="auto"/>
        </w:rPr>
        <w:t>sub</w:t>
      </w:r>
      <w:r w:rsidR="002106A3">
        <w:rPr>
          <w:rFonts w:cs="Arial"/>
          <w:color w:val="auto"/>
        </w:rPr>
        <w:noBreakHyphen/>
        <w:t>sector</w:t>
      </w:r>
      <w:r>
        <w:rPr>
          <w:rFonts w:cs="Arial"/>
          <w:color w:val="auto"/>
        </w:rPr>
        <w:t xml:space="preserve"> in Victoria. The </w:t>
      </w:r>
      <w:r w:rsidRPr="00FC006E">
        <w:rPr>
          <w:rFonts w:cs="Arial"/>
          <w:color w:val="auto"/>
        </w:rPr>
        <w:t xml:space="preserve">Victorian Healthcare Association estimates that </w:t>
      </w:r>
      <w:r>
        <w:rPr>
          <w:rFonts w:cs="Arial"/>
          <w:color w:val="auto"/>
        </w:rPr>
        <w:t>the number of staff would now be</w:t>
      </w:r>
      <w:r w:rsidRPr="00FC006E">
        <w:rPr>
          <w:rFonts w:cs="Arial"/>
          <w:color w:val="auto"/>
        </w:rPr>
        <w:t xml:space="preserve"> approaching 10,500 staff employed across the 28 registered </w:t>
      </w:r>
      <w:r w:rsidR="0072722B">
        <w:rPr>
          <w:rFonts w:cs="Arial"/>
          <w:color w:val="auto"/>
        </w:rPr>
        <w:t>Community Health</w:t>
      </w:r>
      <w:r w:rsidRPr="00FC006E">
        <w:rPr>
          <w:rFonts w:cs="Arial"/>
          <w:color w:val="auto"/>
        </w:rPr>
        <w:t xml:space="preserve"> services in V</w:t>
      </w:r>
      <w:r>
        <w:rPr>
          <w:rFonts w:cs="Arial"/>
          <w:color w:val="auto"/>
        </w:rPr>
        <w:t>ictori</w:t>
      </w:r>
      <w:r w:rsidRPr="00FC006E">
        <w:rPr>
          <w:rFonts w:cs="Arial"/>
          <w:color w:val="auto"/>
        </w:rPr>
        <w:t>a.</w:t>
      </w:r>
      <w:r w:rsidR="003A3F67" w:rsidRPr="00FC006E">
        <w:rPr>
          <w:rStyle w:val="FootnoteReference"/>
          <w:rFonts w:cs="Arial"/>
          <w:color w:val="auto"/>
        </w:rPr>
        <w:footnoteReference w:id="27"/>
      </w:r>
      <w:r w:rsidR="00AF2C39" w:rsidRPr="003105E2">
        <w:rPr>
          <w:rFonts w:cs="Arial"/>
          <w:color w:val="auto"/>
        </w:rPr>
        <w:t xml:space="preserve"> </w:t>
      </w:r>
      <w:r>
        <w:rPr>
          <w:rFonts w:cs="Arial"/>
          <w:color w:val="auto"/>
        </w:rPr>
        <w:t>Feedback from stakeholders suggests that this headcount would roughly equate to an estimated 6</w:t>
      </w:r>
      <w:r w:rsidR="001A238C">
        <w:rPr>
          <w:rFonts w:cs="Arial"/>
          <w:color w:val="auto"/>
        </w:rPr>
        <w:t>,</w:t>
      </w:r>
      <w:r>
        <w:rPr>
          <w:rFonts w:cs="Arial"/>
          <w:color w:val="auto"/>
        </w:rPr>
        <w:t>80</w:t>
      </w:r>
      <w:r w:rsidR="001A238C">
        <w:rPr>
          <w:rFonts w:cs="Arial"/>
          <w:color w:val="auto"/>
        </w:rPr>
        <w:t>0</w:t>
      </w:r>
      <w:r>
        <w:rPr>
          <w:rFonts w:cs="Arial"/>
          <w:color w:val="auto"/>
        </w:rPr>
        <w:t xml:space="preserve"> FTE employees in the sector (assuming 0.65 FTE employee = 1 headcount employee). </w:t>
      </w:r>
    </w:p>
    <w:p w14:paraId="232C5E9C" w14:textId="4C0170D2" w:rsidR="00222C41" w:rsidRDefault="00222C41" w:rsidP="00337958">
      <w:pPr>
        <w:pStyle w:val="BodyText"/>
        <w:numPr>
          <w:ilvl w:val="0"/>
          <w:numId w:val="66"/>
        </w:numPr>
        <w:rPr>
          <w:rFonts w:cs="Arial"/>
          <w:color w:val="auto"/>
        </w:rPr>
      </w:pPr>
      <w:r>
        <w:rPr>
          <w:rFonts w:cs="Arial"/>
          <w:color w:val="auto"/>
        </w:rPr>
        <w:t xml:space="preserve">Based on feedback from </w:t>
      </w:r>
      <w:r w:rsidR="0072722B">
        <w:rPr>
          <w:rFonts w:cs="Arial"/>
          <w:color w:val="auto"/>
        </w:rPr>
        <w:t>Community Health Centre</w:t>
      </w:r>
      <w:r>
        <w:rPr>
          <w:rFonts w:cs="Arial"/>
          <w:color w:val="auto"/>
        </w:rPr>
        <w:t>s, the</w:t>
      </w:r>
      <w:r w:rsidRPr="003105E2">
        <w:rPr>
          <w:rFonts w:cs="Arial"/>
          <w:color w:val="auto"/>
        </w:rPr>
        <w:t xml:space="preserve"> average </w:t>
      </w:r>
      <w:r>
        <w:rPr>
          <w:rFonts w:cs="Arial"/>
          <w:color w:val="auto"/>
        </w:rPr>
        <w:t xml:space="preserve">ordinary full time </w:t>
      </w:r>
      <w:r w:rsidRPr="003105E2">
        <w:rPr>
          <w:rFonts w:cs="Arial"/>
          <w:color w:val="auto"/>
        </w:rPr>
        <w:t xml:space="preserve">salary for the </w:t>
      </w:r>
      <w:r w:rsidR="0072722B">
        <w:rPr>
          <w:rFonts w:cs="Arial"/>
          <w:color w:val="auto"/>
        </w:rPr>
        <w:t>Community Health</w:t>
      </w:r>
      <w:r w:rsidR="00BB41A4">
        <w:rPr>
          <w:rFonts w:cs="Arial"/>
          <w:color w:val="auto"/>
        </w:rPr>
        <w:t xml:space="preserve"> </w:t>
      </w:r>
      <w:r w:rsidR="002106A3">
        <w:rPr>
          <w:rFonts w:cs="Arial"/>
          <w:color w:val="auto"/>
        </w:rPr>
        <w:t>sub</w:t>
      </w:r>
      <w:r w:rsidR="002106A3">
        <w:rPr>
          <w:rFonts w:cs="Arial"/>
          <w:color w:val="auto"/>
        </w:rPr>
        <w:noBreakHyphen/>
        <w:t>sector</w:t>
      </w:r>
      <w:r w:rsidRPr="003105E2">
        <w:rPr>
          <w:rFonts w:cs="Arial"/>
          <w:color w:val="auto"/>
        </w:rPr>
        <w:t xml:space="preserve"> </w:t>
      </w:r>
      <w:r>
        <w:rPr>
          <w:rFonts w:cs="Arial"/>
          <w:color w:val="auto"/>
        </w:rPr>
        <w:t>is estimated to be approximately $70,000 per annum</w:t>
      </w:r>
      <w:r w:rsidR="0055008B">
        <w:rPr>
          <w:rFonts w:cs="Arial"/>
          <w:color w:val="auto"/>
        </w:rPr>
        <w:t xml:space="preserve">. </w:t>
      </w:r>
    </w:p>
    <w:p w14:paraId="637A46EF" w14:textId="6E51FE74" w:rsidR="00CE0F9F" w:rsidRDefault="00222C41" w:rsidP="00337958">
      <w:pPr>
        <w:pStyle w:val="BodyText"/>
        <w:numPr>
          <w:ilvl w:val="0"/>
          <w:numId w:val="66"/>
        </w:numPr>
        <w:rPr>
          <w:rFonts w:cs="Arial"/>
          <w:color w:val="auto"/>
        </w:rPr>
      </w:pPr>
      <w:r>
        <w:rPr>
          <w:rFonts w:cs="Arial"/>
          <w:color w:val="auto"/>
        </w:rPr>
        <w:t>Based on</w:t>
      </w:r>
      <w:r w:rsidR="00B5498C">
        <w:rPr>
          <w:rFonts w:cs="Arial"/>
          <w:color w:val="auto"/>
        </w:rPr>
        <w:t xml:space="preserve"> stakeholder engagement, the estimated </w:t>
      </w:r>
      <w:r w:rsidR="00AF2C39" w:rsidRPr="003105E2">
        <w:rPr>
          <w:rFonts w:cs="Arial"/>
          <w:color w:val="auto"/>
        </w:rPr>
        <w:t>share of this workforce undertaking community service work is estimated to be between 10 percent</w:t>
      </w:r>
      <w:r w:rsidR="007952B8">
        <w:rPr>
          <w:rFonts w:cs="Arial"/>
          <w:color w:val="auto"/>
        </w:rPr>
        <w:t xml:space="preserve"> (low workforce share scenario)</w:t>
      </w:r>
      <w:r w:rsidR="005D630B">
        <w:rPr>
          <w:rFonts w:cs="Arial"/>
          <w:color w:val="auto"/>
        </w:rPr>
        <w:t xml:space="preserve"> and 5</w:t>
      </w:r>
      <w:r w:rsidR="00AF2C39" w:rsidRPr="003105E2">
        <w:rPr>
          <w:rFonts w:cs="Arial"/>
          <w:color w:val="auto"/>
        </w:rPr>
        <w:t>0 percent</w:t>
      </w:r>
      <w:r w:rsidR="007952B8">
        <w:rPr>
          <w:rFonts w:cs="Arial"/>
          <w:color w:val="auto"/>
        </w:rPr>
        <w:t xml:space="preserve"> (high workforce share scenario)</w:t>
      </w:r>
      <w:r w:rsidR="00AF2C39" w:rsidRPr="003105E2">
        <w:rPr>
          <w:rFonts w:cs="Arial"/>
          <w:color w:val="auto"/>
        </w:rPr>
        <w:t xml:space="preserve">. </w:t>
      </w:r>
      <w:r>
        <w:rPr>
          <w:rFonts w:cs="Arial"/>
          <w:color w:val="auto"/>
        </w:rPr>
        <w:t xml:space="preserve">Not all </w:t>
      </w:r>
      <w:r w:rsidR="0072722B">
        <w:rPr>
          <w:rFonts w:cs="Arial"/>
          <w:color w:val="auto"/>
        </w:rPr>
        <w:t>Community Health</w:t>
      </w:r>
      <w:r>
        <w:rPr>
          <w:rFonts w:cs="Arial"/>
          <w:color w:val="auto"/>
        </w:rPr>
        <w:t xml:space="preserve"> service providers interviewed were able to provide an estimate based on the current definition of an employee under the Interim Regulations. Many providers suggested that </w:t>
      </w:r>
      <w:r>
        <w:rPr>
          <w:rFonts w:cs="Arial"/>
          <w:color w:val="auto"/>
        </w:rPr>
        <w:lastRenderedPageBreak/>
        <w:t xml:space="preserve">all their workforce would be deemed to be undertaking health work, and therefore would be excluded from the Scheme. </w:t>
      </w:r>
    </w:p>
    <w:p w14:paraId="3D535F8B" w14:textId="33FFAB58" w:rsidR="00AD518C" w:rsidRDefault="00222C41" w:rsidP="006C3958">
      <w:pPr>
        <w:pStyle w:val="BodyText"/>
      </w:pPr>
      <w:r>
        <w:t xml:space="preserve">As summarised in </w:t>
      </w:r>
      <w:r w:rsidR="003409BC">
        <w:fldChar w:fldCharType="begin"/>
      </w:r>
      <w:r w:rsidR="003409BC">
        <w:instrText xml:space="preserve"> REF _Ref35941655 \h </w:instrText>
      </w:r>
      <w:r w:rsidR="003409BC">
        <w:fldChar w:fldCharType="separate"/>
      </w:r>
      <w:r w:rsidR="003409BC" w:rsidRPr="004D669C">
        <w:t xml:space="preserve">Table </w:t>
      </w:r>
      <w:r w:rsidR="003409BC">
        <w:rPr>
          <w:noProof/>
        </w:rPr>
        <w:t>9</w:t>
      </w:r>
      <w:r w:rsidR="003409BC">
        <w:fldChar w:fldCharType="end"/>
      </w:r>
      <w:r>
        <w:t>, the</w:t>
      </w:r>
      <w:r w:rsidR="00C20417" w:rsidRPr="00592BAB">
        <w:t xml:space="preserve"> </w:t>
      </w:r>
      <w:r w:rsidR="00472EEF" w:rsidRPr="00592BAB">
        <w:t>annual estimated direct levy cost</w:t>
      </w:r>
      <w:r w:rsidR="00C20417" w:rsidRPr="00592BAB">
        <w:t xml:space="preserve"> </w:t>
      </w:r>
      <w:r w:rsidR="00B01E4B" w:rsidRPr="00592BAB">
        <w:t xml:space="preserve">to the </w:t>
      </w:r>
      <w:r w:rsidR="0072722B">
        <w:t>Community Health</w:t>
      </w:r>
      <w:r w:rsidR="004A514D">
        <w:t xml:space="preserve"> </w:t>
      </w:r>
      <w:r w:rsidR="002106A3">
        <w:t>sub</w:t>
      </w:r>
      <w:r w:rsidR="002106A3">
        <w:noBreakHyphen/>
        <w:t>sector</w:t>
      </w:r>
      <w:r w:rsidR="00C20417" w:rsidRPr="00592BAB">
        <w:t xml:space="preserve"> is expected to be between </w:t>
      </w:r>
      <w:r w:rsidR="00786F76">
        <w:t>$</w:t>
      </w:r>
      <w:r w:rsidR="00D87919">
        <w:t xml:space="preserve">788,000 </w:t>
      </w:r>
      <w:r w:rsidR="00804512" w:rsidRPr="00592BAB">
        <w:t xml:space="preserve">(low workforce share scenario) </w:t>
      </w:r>
      <w:r w:rsidR="00D87919">
        <w:t>and $3.9</w:t>
      </w:r>
      <w:r w:rsidR="006C3958">
        <w:t> </w:t>
      </w:r>
      <w:r w:rsidR="00EE73E1" w:rsidRPr="00592BAB">
        <w:t>million a year</w:t>
      </w:r>
      <w:r w:rsidR="00804512" w:rsidRPr="00592BAB">
        <w:t xml:space="preserve"> (high workforce share scenario)</w:t>
      </w:r>
      <w:r w:rsidR="00EE73E1" w:rsidRPr="00592BAB">
        <w:t xml:space="preserve">. </w:t>
      </w:r>
      <w:r w:rsidR="00D33208">
        <w:t>Taking into account</w:t>
      </w:r>
      <w:r w:rsidR="00346ABD">
        <w:t xml:space="preserve"> that </w:t>
      </w:r>
      <w:r w:rsidR="00D33208">
        <w:t>employer</w:t>
      </w:r>
      <w:r w:rsidR="00346ABD">
        <w:t xml:space="preserve">s already </w:t>
      </w:r>
      <w:r w:rsidR="00D33208">
        <w:t>provision for long service leave</w:t>
      </w:r>
      <w:r w:rsidR="00346ABD">
        <w:t xml:space="preserve"> (as well as provision for high</w:t>
      </w:r>
      <w:r w:rsidR="00A931F0">
        <w:t>er</w:t>
      </w:r>
      <w:r w:rsidR="00346ABD">
        <w:t xml:space="preserve"> benefits tha</w:t>
      </w:r>
      <w:r w:rsidR="00A931F0">
        <w:t>n</w:t>
      </w:r>
      <w:r w:rsidR="00346ABD">
        <w:t xml:space="preserve"> is provided for in the Scheme)</w:t>
      </w:r>
      <w:r w:rsidR="00D33208">
        <w:t>, the</w:t>
      </w:r>
      <w:r w:rsidR="00C20417" w:rsidRPr="00592BAB">
        <w:t xml:space="preserve"> average</w:t>
      </w:r>
      <w:r w:rsidR="00B01E4B" w:rsidRPr="00592BAB">
        <w:t xml:space="preserve"> net</w:t>
      </w:r>
      <w:r w:rsidR="00C20417" w:rsidRPr="00592BAB">
        <w:t xml:space="preserve"> cost impact</w:t>
      </w:r>
      <w:r w:rsidR="006C3958">
        <w:t xml:space="preserve"> for the </w:t>
      </w:r>
      <w:r w:rsidR="0072722B">
        <w:t>Community Health</w:t>
      </w:r>
      <w:r w:rsidR="006C3958">
        <w:t xml:space="preserve"> </w:t>
      </w:r>
      <w:r w:rsidR="002106A3">
        <w:t>sub</w:t>
      </w:r>
      <w:r w:rsidR="002106A3">
        <w:noBreakHyphen/>
        <w:t>sector</w:t>
      </w:r>
      <w:r w:rsidR="00F00E57">
        <w:t xml:space="preserve"> as a whole</w:t>
      </w:r>
      <w:r w:rsidR="00C20417" w:rsidRPr="00592BAB">
        <w:t xml:space="preserve"> </w:t>
      </w:r>
      <w:r w:rsidR="00A931F0">
        <w:t>is</w:t>
      </w:r>
      <w:r w:rsidR="00A931F0" w:rsidRPr="00592BAB">
        <w:t xml:space="preserve"> </w:t>
      </w:r>
      <w:r w:rsidR="00C20417" w:rsidRPr="00592BAB">
        <w:t xml:space="preserve">between </w:t>
      </w:r>
      <w:r w:rsidR="00786F76">
        <w:t>$</w:t>
      </w:r>
      <w:r w:rsidR="002A6619">
        <w:t>215,000 to $406,</w:t>
      </w:r>
      <w:r w:rsidR="00346ABD">
        <w:t>0</w:t>
      </w:r>
      <w:r w:rsidR="002A6619">
        <w:t>00</w:t>
      </w:r>
      <w:r w:rsidR="00804512" w:rsidRPr="00592BAB">
        <w:t xml:space="preserve"> (low workforce share scenario)</w:t>
      </w:r>
      <w:r w:rsidR="00883ED8">
        <w:t xml:space="preserve"> and </w:t>
      </w:r>
      <w:r w:rsidR="002A6619">
        <w:t>$1.1 million and $2.0</w:t>
      </w:r>
      <w:r w:rsidR="003409BC">
        <w:t> </w:t>
      </w:r>
      <w:r w:rsidR="002A6619">
        <w:t>million</w:t>
      </w:r>
      <w:r w:rsidR="00883ED8">
        <w:t xml:space="preserve"> </w:t>
      </w:r>
      <w:r w:rsidR="00C20417" w:rsidRPr="00592BAB">
        <w:t>a year</w:t>
      </w:r>
      <w:r w:rsidR="00804512" w:rsidRPr="00592BAB">
        <w:t xml:space="preserve"> (high workforce</w:t>
      </w:r>
      <w:r w:rsidR="00804512" w:rsidRPr="00337958">
        <w:rPr>
          <w:b/>
        </w:rPr>
        <w:t xml:space="preserve"> </w:t>
      </w:r>
      <w:r w:rsidR="00804512" w:rsidRPr="00592BAB">
        <w:t>share scenario)</w:t>
      </w:r>
      <w:r w:rsidR="00F00E57">
        <w:t>.</w:t>
      </w:r>
    </w:p>
    <w:p w14:paraId="417F0385" w14:textId="40ABE03F" w:rsidR="002A6619" w:rsidRPr="006C3958" w:rsidRDefault="00AD518C" w:rsidP="006C3958">
      <w:pPr>
        <w:pStyle w:val="BodyText"/>
      </w:pPr>
      <w:r>
        <w:fldChar w:fldCharType="begin"/>
      </w:r>
      <w:r>
        <w:instrText xml:space="preserve"> REF _Ref37361433 \h </w:instrText>
      </w:r>
      <w:r>
        <w:fldChar w:fldCharType="separate"/>
      </w:r>
      <w:r>
        <w:t xml:space="preserve">Figure </w:t>
      </w:r>
      <w:r>
        <w:rPr>
          <w:noProof/>
        </w:rPr>
        <w:t>4</w:t>
      </w:r>
      <w:r>
        <w:fldChar w:fldCharType="end"/>
      </w:r>
      <w:r>
        <w:t xml:space="preserve"> provides an overview of the assumptions reflected in the estimated impacts. </w:t>
      </w:r>
      <w:r w:rsidR="00804512" w:rsidRPr="00592BAB">
        <w:t xml:space="preserve"> </w:t>
      </w:r>
    </w:p>
    <w:p w14:paraId="3B309CF6" w14:textId="725D1D44" w:rsidR="00FF0260" w:rsidRDefault="004D669C" w:rsidP="00337958">
      <w:pPr>
        <w:pStyle w:val="Caption"/>
        <w:spacing w:before="0"/>
        <w:rPr>
          <w:rFonts w:ascii="Arial" w:hAnsi="Arial" w:cs="Arial"/>
        </w:rPr>
      </w:pPr>
      <w:bookmarkStart w:id="122" w:name="_Ref35941655"/>
      <w:bookmarkStart w:id="123" w:name="_Ref36802376"/>
      <w:r w:rsidRPr="004D669C">
        <w:rPr>
          <w:rFonts w:ascii="Arial" w:hAnsi="Arial" w:cs="Arial"/>
        </w:rPr>
        <w:t xml:space="preserve">Table </w:t>
      </w:r>
      <w:r w:rsidRPr="004D669C">
        <w:rPr>
          <w:rFonts w:ascii="Arial" w:hAnsi="Arial" w:cs="Arial"/>
        </w:rPr>
        <w:fldChar w:fldCharType="begin"/>
      </w:r>
      <w:r w:rsidRPr="004D669C">
        <w:rPr>
          <w:rFonts w:ascii="Arial" w:hAnsi="Arial" w:cs="Arial"/>
        </w:rPr>
        <w:instrText xml:space="preserve"> SEQ Table \* ARABIC </w:instrText>
      </w:r>
      <w:r w:rsidRPr="004D669C">
        <w:rPr>
          <w:rFonts w:ascii="Arial" w:hAnsi="Arial" w:cs="Arial"/>
        </w:rPr>
        <w:fldChar w:fldCharType="separate"/>
      </w:r>
      <w:r w:rsidR="00EB4037">
        <w:rPr>
          <w:rFonts w:ascii="Arial" w:hAnsi="Arial" w:cs="Arial"/>
          <w:noProof/>
        </w:rPr>
        <w:t>9</w:t>
      </w:r>
      <w:r w:rsidRPr="004D669C">
        <w:rPr>
          <w:rFonts w:ascii="Arial" w:hAnsi="Arial" w:cs="Arial"/>
        </w:rPr>
        <w:fldChar w:fldCharType="end"/>
      </w:r>
      <w:bookmarkEnd w:id="122"/>
      <w:r w:rsidRPr="004D669C">
        <w:rPr>
          <w:rFonts w:ascii="Arial" w:hAnsi="Arial" w:cs="Arial"/>
        </w:rPr>
        <w:t xml:space="preserve">: </w:t>
      </w:r>
      <w:r w:rsidR="00FF0260" w:rsidRPr="004D669C">
        <w:rPr>
          <w:rFonts w:ascii="Arial" w:hAnsi="Arial" w:cs="Arial"/>
        </w:rPr>
        <w:t>Estimated</w:t>
      </w:r>
      <w:r w:rsidR="00FF0260">
        <w:rPr>
          <w:rFonts w:ascii="Arial" w:hAnsi="Arial" w:cs="Arial"/>
        </w:rPr>
        <w:t xml:space="preserve"> </w:t>
      </w:r>
      <w:r w:rsidR="00222C41">
        <w:rPr>
          <w:rFonts w:ascii="Arial" w:hAnsi="Arial" w:cs="Arial"/>
        </w:rPr>
        <w:t xml:space="preserve">sector-wide </w:t>
      </w:r>
      <w:r w:rsidR="00FF0260">
        <w:rPr>
          <w:rFonts w:ascii="Arial" w:hAnsi="Arial" w:cs="Arial"/>
        </w:rPr>
        <w:t xml:space="preserve">financial impact on </w:t>
      </w:r>
      <w:r w:rsidR="00222C41">
        <w:rPr>
          <w:rFonts w:ascii="Arial" w:hAnsi="Arial" w:cs="Arial"/>
        </w:rPr>
        <w:t xml:space="preserve">the </w:t>
      </w:r>
      <w:r w:rsidR="0072722B">
        <w:rPr>
          <w:rFonts w:ascii="Arial" w:hAnsi="Arial" w:cs="Arial"/>
        </w:rPr>
        <w:t>Community Health</w:t>
      </w:r>
      <w:r w:rsidR="00BB41A4">
        <w:rPr>
          <w:rFonts w:ascii="Arial" w:hAnsi="Arial" w:cs="Arial"/>
        </w:rPr>
        <w:t xml:space="preserve"> </w:t>
      </w:r>
      <w:r w:rsidR="002106A3">
        <w:rPr>
          <w:rFonts w:ascii="Arial" w:hAnsi="Arial" w:cs="Arial"/>
        </w:rPr>
        <w:t>sub</w:t>
      </w:r>
      <w:r w:rsidR="002106A3">
        <w:rPr>
          <w:rFonts w:ascii="Arial" w:hAnsi="Arial" w:cs="Arial"/>
        </w:rPr>
        <w:noBreakHyphen/>
        <w:t>sector</w:t>
      </w:r>
      <w:bookmarkEnd w:id="123"/>
    </w:p>
    <w:tbl>
      <w:tblPr>
        <w:tblW w:w="8813" w:type="dxa"/>
        <w:tblLook w:val="04A0" w:firstRow="1" w:lastRow="0" w:firstColumn="1" w:lastColumn="0" w:noHBand="0" w:noVBand="1"/>
      </w:tblPr>
      <w:tblGrid>
        <w:gridCol w:w="5954"/>
        <w:gridCol w:w="2859"/>
      </w:tblGrid>
      <w:tr w:rsidR="00FF0260" w:rsidRPr="00423F3A" w14:paraId="1A773E87" w14:textId="77777777" w:rsidTr="00222C41">
        <w:trPr>
          <w:trHeight w:val="454"/>
        </w:trPr>
        <w:tc>
          <w:tcPr>
            <w:tcW w:w="8813" w:type="dxa"/>
            <w:gridSpan w:val="2"/>
            <w:tcBorders>
              <w:top w:val="nil"/>
              <w:left w:val="nil"/>
              <w:bottom w:val="nil"/>
              <w:right w:val="single" w:sz="8" w:space="0" w:color="auto"/>
            </w:tcBorders>
            <w:shd w:val="clear" w:color="auto" w:fill="002060"/>
            <w:vAlign w:val="center"/>
          </w:tcPr>
          <w:p w14:paraId="53024E00" w14:textId="7938B2C9" w:rsidR="00FF0260" w:rsidRPr="00423F3A" w:rsidRDefault="00FF0260" w:rsidP="00BE1862">
            <w:pPr>
              <w:keepNext/>
              <w:spacing w:after="0" w:line="240" w:lineRule="auto"/>
              <w:rPr>
                <w:rFonts w:ascii="Arial" w:eastAsia="Times New Roman" w:hAnsi="Arial" w:cs="Arial"/>
                <w:b/>
                <w:bCs/>
                <w:color w:val="FFFFFF" w:themeColor="background1"/>
                <w:lang w:eastAsia="en-AU"/>
              </w:rPr>
            </w:pPr>
            <w:r>
              <w:rPr>
                <w:rFonts w:ascii="Arial" w:eastAsia="Times New Roman" w:hAnsi="Arial" w:cs="Arial"/>
                <w:b/>
                <w:bCs/>
                <w:color w:val="FFFFFF" w:themeColor="background1"/>
                <w:lang w:eastAsia="en-AU"/>
              </w:rPr>
              <w:t>Approximate</w:t>
            </w:r>
            <w:r w:rsidR="00222C41">
              <w:rPr>
                <w:rFonts w:ascii="Arial" w:eastAsia="Times New Roman" w:hAnsi="Arial" w:cs="Arial"/>
                <w:b/>
                <w:bCs/>
                <w:color w:val="FFFFFF" w:themeColor="background1"/>
                <w:lang w:eastAsia="en-AU"/>
              </w:rPr>
              <w:t xml:space="preserve"> </w:t>
            </w:r>
            <w:r>
              <w:rPr>
                <w:rFonts w:ascii="Arial" w:eastAsia="Times New Roman" w:hAnsi="Arial" w:cs="Arial"/>
                <w:b/>
                <w:bCs/>
                <w:color w:val="FFFFFF" w:themeColor="background1"/>
                <w:lang w:eastAsia="en-AU"/>
              </w:rPr>
              <w:t>annual cost increase (1.65% levy)</w:t>
            </w:r>
          </w:p>
        </w:tc>
      </w:tr>
      <w:tr w:rsidR="00FF0260" w:rsidRPr="00760E95" w14:paraId="00838A9F" w14:textId="77777777" w:rsidTr="00597FC3">
        <w:trPr>
          <w:trHeight w:val="567"/>
        </w:trPr>
        <w:tc>
          <w:tcPr>
            <w:tcW w:w="5954" w:type="dxa"/>
            <w:tcBorders>
              <w:top w:val="nil"/>
              <w:left w:val="nil"/>
              <w:bottom w:val="nil"/>
              <w:right w:val="single" w:sz="8" w:space="0" w:color="auto"/>
            </w:tcBorders>
            <w:shd w:val="clear" w:color="auto" w:fill="DEEAF6" w:themeFill="accent1" w:themeFillTint="33"/>
            <w:vAlign w:val="center"/>
          </w:tcPr>
          <w:p w14:paraId="6BA6836D" w14:textId="0F2FB73E" w:rsidR="00FF0260" w:rsidRPr="00760E95" w:rsidRDefault="00D73984">
            <w:pPr>
              <w:keepNext/>
              <w:spacing w:after="0" w:line="240" w:lineRule="auto"/>
              <w:rPr>
                <w:rFonts w:ascii="Arial" w:eastAsia="Times New Roman" w:hAnsi="Arial" w:cs="Arial"/>
                <w:color w:val="000000"/>
                <w:lang w:eastAsia="en-AU"/>
              </w:rPr>
            </w:pPr>
            <w:r>
              <w:rPr>
                <w:rFonts w:ascii="Arial" w:eastAsia="Times New Roman" w:hAnsi="Arial" w:cs="Arial"/>
                <w:color w:val="000000"/>
                <w:lang w:eastAsia="en-AU"/>
              </w:rPr>
              <w:t>10% of workforce covered by the Scheme (Low scenario)</w:t>
            </w:r>
          </w:p>
        </w:tc>
        <w:tc>
          <w:tcPr>
            <w:tcW w:w="2859" w:type="dxa"/>
            <w:tcBorders>
              <w:top w:val="nil"/>
              <w:left w:val="single" w:sz="8" w:space="0" w:color="auto"/>
              <w:bottom w:val="nil"/>
              <w:right w:val="nil"/>
            </w:tcBorders>
            <w:shd w:val="clear" w:color="auto" w:fill="DEEAF6" w:themeFill="accent1" w:themeFillTint="33"/>
            <w:vAlign w:val="center"/>
          </w:tcPr>
          <w:p w14:paraId="6E0CEA40" w14:textId="34A51B64" w:rsidR="00FF0260" w:rsidRPr="00150DBF" w:rsidRDefault="00222C41" w:rsidP="00222C41">
            <w:pPr>
              <w:keepNext/>
              <w:spacing w:after="0" w:line="240" w:lineRule="auto"/>
              <w:rPr>
                <w:rFonts w:ascii="Arial" w:eastAsia="Times New Roman" w:hAnsi="Arial" w:cs="Arial"/>
                <w:b/>
                <w:bCs/>
                <w:color w:val="000000"/>
                <w:lang w:eastAsia="en-AU"/>
              </w:rPr>
            </w:pPr>
            <w:r>
              <w:rPr>
                <w:rFonts w:ascii="Arial" w:eastAsia="Times New Roman" w:hAnsi="Arial" w:cs="Arial"/>
                <w:b/>
                <w:bCs/>
                <w:color w:val="000000"/>
                <w:lang w:eastAsia="en-AU"/>
              </w:rPr>
              <w:t>$788,000</w:t>
            </w:r>
          </w:p>
        </w:tc>
      </w:tr>
      <w:tr w:rsidR="00FF0260" w:rsidRPr="00760E95" w14:paraId="747E4812" w14:textId="77777777" w:rsidTr="00597FC3">
        <w:trPr>
          <w:trHeight w:val="567"/>
        </w:trPr>
        <w:tc>
          <w:tcPr>
            <w:tcW w:w="5954" w:type="dxa"/>
            <w:tcBorders>
              <w:top w:val="nil"/>
              <w:left w:val="nil"/>
              <w:bottom w:val="nil"/>
              <w:right w:val="single" w:sz="8" w:space="0" w:color="auto"/>
            </w:tcBorders>
            <w:shd w:val="clear" w:color="auto" w:fill="DEEAF6" w:themeFill="accent1" w:themeFillTint="33"/>
            <w:vAlign w:val="center"/>
          </w:tcPr>
          <w:p w14:paraId="5169A27E" w14:textId="3495807E" w:rsidR="00FF0260" w:rsidRDefault="00D73984" w:rsidP="00222C41">
            <w:pPr>
              <w:keepNext/>
              <w:spacing w:after="0" w:line="240" w:lineRule="auto"/>
              <w:rPr>
                <w:rFonts w:ascii="Arial" w:eastAsia="Times New Roman" w:hAnsi="Arial" w:cs="Arial"/>
                <w:color w:val="000000"/>
                <w:lang w:eastAsia="en-AU"/>
              </w:rPr>
            </w:pPr>
            <w:r>
              <w:rPr>
                <w:rFonts w:ascii="Arial" w:eastAsia="Times New Roman" w:hAnsi="Arial" w:cs="Arial"/>
                <w:color w:val="000000"/>
                <w:lang w:eastAsia="en-AU"/>
              </w:rPr>
              <w:t>50% of workforce covered by the Scheme (High scenario)</w:t>
            </w:r>
          </w:p>
        </w:tc>
        <w:tc>
          <w:tcPr>
            <w:tcW w:w="2859" w:type="dxa"/>
            <w:tcBorders>
              <w:top w:val="nil"/>
              <w:left w:val="single" w:sz="8" w:space="0" w:color="auto"/>
              <w:bottom w:val="nil"/>
              <w:right w:val="nil"/>
            </w:tcBorders>
            <w:shd w:val="clear" w:color="auto" w:fill="DEEAF6" w:themeFill="accent1" w:themeFillTint="33"/>
            <w:vAlign w:val="center"/>
          </w:tcPr>
          <w:p w14:paraId="5C8BA679" w14:textId="3D189E59" w:rsidR="00FF0260" w:rsidRPr="00150DBF" w:rsidRDefault="00222C41" w:rsidP="00222C41">
            <w:pPr>
              <w:keepNext/>
              <w:spacing w:after="0" w:line="240" w:lineRule="auto"/>
              <w:rPr>
                <w:rFonts w:ascii="Arial" w:eastAsia="Times New Roman" w:hAnsi="Arial" w:cs="Arial"/>
                <w:b/>
                <w:bCs/>
                <w:color w:val="000000"/>
                <w:lang w:eastAsia="en-AU"/>
              </w:rPr>
            </w:pPr>
            <w:r>
              <w:rPr>
                <w:rFonts w:ascii="Arial" w:eastAsia="Times New Roman" w:hAnsi="Arial" w:cs="Arial"/>
                <w:b/>
                <w:bCs/>
                <w:color w:val="000000"/>
                <w:lang w:eastAsia="en-AU"/>
              </w:rPr>
              <w:t>$3.9 million</w:t>
            </w:r>
          </w:p>
        </w:tc>
      </w:tr>
      <w:tr w:rsidR="00FF0260" w:rsidRPr="00423F3A" w14:paraId="2C5896A3" w14:textId="77777777" w:rsidTr="00222C41">
        <w:trPr>
          <w:trHeight w:val="454"/>
        </w:trPr>
        <w:tc>
          <w:tcPr>
            <w:tcW w:w="8813" w:type="dxa"/>
            <w:gridSpan w:val="2"/>
            <w:tcBorders>
              <w:top w:val="nil"/>
              <w:left w:val="nil"/>
              <w:bottom w:val="nil"/>
              <w:right w:val="single" w:sz="8" w:space="0" w:color="auto"/>
            </w:tcBorders>
            <w:shd w:val="clear" w:color="auto" w:fill="002060"/>
            <w:vAlign w:val="center"/>
          </w:tcPr>
          <w:p w14:paraId="2B9FCBC2" w14:textId="5406EAF0" w:rsidR="00FF0260" w:rsidRPr="00423F3A" w:rsidRDefault="00FF0260">
            <w:pPr>
              <w:keepNext/>
              <w:spacing w:after="0" w:line="240" w:lineRule="auto"/>
              <w:rPr>
                <w:rFonts w:ascii="Arial" w:eastAsia="Times New Roman" w:hAnsi="Arial" w:cs="Arial"/>
                <w:b/>
                <w:bCs/>
                <w:color w:val="FFFFFF" w:themeColor="background1"/>
                <w:lang w:eastAsia="en-AU"/>
              </w:rPr>
            </w:pPr>
            <w:r>
              <w:rPr>
                <w:rFonts w:ascii="Arial" w:eastAsia="Times New Roman" w:hAnsi="Arial" w:cs="Arial"/>
                <w:b/>
                <w:bCs/>
                <w:color w:val="FFFFFF" w:themeColor="background1"/>
                <w:lang w:eastAsia="en-AU"/>
              </w:rPr>
              <w:t xml:space="preserve">Estimated annual </w:t>
            </w:r>
            <w:r w:rsidR="00B45010">
              <w:rPr>
                <w:rFonts w:ascii="Arial" w:eastAsia="Times New Roman" w:hAnsi="Arial" w:cs="Arial"/>
                <w:b/>
                <w:bCs/>
                <w:color w:val="FFFFFF" w:themeColor="background1"/>
                <w:lang w:eastAsia="en-AU"/>
              </w:rPr>
              <w:t xml:space="preserve">net </w:t>
            </w:r>
            <w:r>
              <w:rPr>
                <w:rFonts w:ascii="Arial" w:eastAsia="Times New Roman" w:hAnsi="Arial" w:cs="Arial"/>
                <w:b/>
                <w:bCs/>
                <w:color w:val="FFFFFF" w:themeColor="background1"/>
                <w:lang w:eastAsia="en-AU"/>
              </w:rPr>
              <w:t>cost increase (0.</w:t>
            </w:r>
            <w:r w:rsidR="002A6619">
              <w:rPr>
                <w:rFonts w:ascii="Arial" w:eastAsia="Times New Roman" w:hAnsi="Arial" w:cs="Arial"/>
                <w:b/>
                <w:bCs/>
                <w:color w:val="FFFFFF" w:themeColor="background1"/>
                <w:lang w:eastAsia="en-AU"/>
              </w:rPr>
              <w:t>45 to 0.85</w:t>
            </w:r>
            <w:r>
              <w:rPr>
                <w:rFonts w:ascii="Arial" w:eastAsia="Times New Roman" w:hAnsi="Arial" w:cs="Arial"/>
                <w:b/>
                <w:bCs/>
                <w:color w:val="FFFFFF" w:themeColor="background1"/>
                <w:lang w:eastAsia="en-AU"/>
              </w:rPr>
              <w:t>% increase)</w:t>
            </w:r>
          </w:p>
        </w:tc>
      </w:tr>
      <w:tr w:rsidR="00222C41" w:rsidRPr="00760E95" w14:paraId="6B3C6437" w14:textId="77777777" w:rsidTr="00597FC3">
        <w:trPr>
          <w:trHeight w:val="567"/>
        </w:trPr>
        <w:tc>
          <w:tcPr>
            <w:tcW w:w="5954" w:type="dxa"/>
            <w:tcBorders>
              <w:top w:val="nil"/>
              <w:left w:val="nil"/>
              <w:bottom w:val="nil"/>
              <w:right w:val="single" w:sz="8" w:space="0" w:color="auto"/>
            </w:tcBorders>
            <w:shd w:val="clear" w:color="auto" w:fill="DEEAF6" w:themeFill="accent1" w:themeFillTint="33"/>
            <w:vAlign w:val="center"/>
          </w:tcPr>
          <w:p w14:paraId="5D97B7CA" w14:textId="286FECE1" w:rsidR="00222C41" w:rsidRPr="00760E95" w:rsidRDefault="00D73984" w:rsidP="00222C41">
            <w:pPr>
              <w:keepNext/>
              <w:spacing w:after="0" w:line="240" w:lineRule="auto"/>
              <w:rPr>
                <w:rFonts w:ascii="Arial" w:eastAsia="Times New Roman" w:hAnsi="Arial" w:cs="Arial"/>
                <w:color w:val="000000"/>
                <w:lang w:eastAsia="en-AU"/>
              </w:rPr>
            </w:pPr>
            <w:r>
              <w:rPr>
                <w:rFonts w:ascii="Arial" w:eastAsia="Times New Roman" w:hAnsi="Arial" w:cs="Arial"/>
                <w:color w:val="000000"/>
                <w:lang w:eastAsia="en-AU"/>
              </w:rPr>
              <w:t>10% of workforce covered by the Scheme (Low scenario)</w:t>
            </w:r>
          </w:p>
        </w:tc>
        <w:tc>
          <w:tcPr>
            <w:tcW w:w="2859" w:type="dxa"/>
            <w:tcBorders>
              <w:top w:val="nil"/>
              <w:left w:val="single" w:sz="8" w:space="0" w:color="auto"/>
              <w:bottom w:val="nil"/>
              <w:right w:val="nil"/>
            </w:tcBorders>
            <w:shd w:val="clear" w:color="auto" w:fill="DEEAF6" w:themeFill="accent1" w:themeFillTint="33"/>
            <w:vAlign w:val="center"/>
          </w:tcPr>
          <w:p w14:paraId="2072B2A7" w14:textId="43DF2170" w:rsidR="00222C41" w:rsidRPr="00150DBF" w:rsidRDefault="00222C41">
            <w:pPr>
              <w:keepNext/>
              <w:spacing w:after="0" w:line="240" w:lineRule="auto"/>
              <w:rPr>
                <w:rFonts w:ascii="Arial" w:eastAsia="Times New Roman" w:hAnsi="Arial" w:cs="Arial"/>
                <w:b/>
                <w:bCs/>
                <w:color w:val="000000"/>
                <w:lang w:eastAsia="en-AU"/>
              </w:rPr>
            </w:pPr>
            <w:r>
              <w:rPr>
                <w:rFonts w:ascii="Arial" w:eastAsia="Times New Roman" w:hAnsi="Arial" w:cs="Arial"/>
                <w:b/>
                <w:bCs/>
                <w:color w:val="000000"/>
                <w:lang w:eastAsia="en-AU"/>
              </w:rPr>
              <w:t>$</w:t>
            </w:r>
            <w:r w:rsidR="002A6619">
              <w:rPr>
                <w:rFonts w:ascii="Arial" w:eastAsia="Times New Roman" w:hAnsi="Arial" w:cs="Arial"/>
                <w:b/>
                <w:bCs/>
                <w:color w:val="000000"/>
                <w:lang w:eastAsia="en-AU"/>
              </w:rPr>
              <w:t>215,000 - $406,</w:t>
            </w:r>
            <w:r w:rsidR="00346ABD">
              <w:rPr>
                <w:rFonts w:ascii="Arial" w:eastAsia="Times New Roman" w:hAnsi="Arial" w:cs="Arial"/>
                <w:b/>
                <w:bCs/>
                <w:color w:val="000000"/>
                <w:lang w:eastAsia="en-AU"/>
              </w:rPr>
              <w:t>0</w:t>
            </w:r>
            <w:r w:rsidR="002A6619">
              <w:rPr>
                <w:rFonts w:ascii="Arial" w:eastAsia="Times New Roman" w:hAnsi="Arial" w:cs="Arial"/>
                <w:b/>
                <w:bCs/>
                <w:color w:val="000000"/>
                <w:lang w:eastAsia="en-AU"/>
              </w:rPr>
              <w:t>00</w:t>
            </w:r>
          </w:p>
        </w:tc>
      </w:tr>
      <w:tr w:rsidR="00222C41" w:rsidRPr="00760E95" w14:paraId="66664865" w14:textId="77777777" w:rsidTr="00597FC3">
        <w:trPr>
          <w:trHeight w:val="567"/>
        </w:trPr>
        <w:tc>
          <w:tcPr>
            <w:tcW w:w="5954" w:type="dxa"/>
            <w:tcBorders>
              <w:top w:val="nil"/>
              <w:left w:val="nil"/>
              <w:bottom w:val="nil"/>
              <w:right w:val="single" w:sz="8" w:space="0" w:color="auto"/>
            </w:tcBorders>
            <w:shd w:val="clear" w:color="auto" w:fill="DEEAF6" w:themeFill="accent1" w:themeFillTint="33"/>
            <w:vAlign w:val="center"/>
          </w:tcPr>
          <w:p w14:paraId="06DD90FD" w14:textId="68DF3898" w:rsidR="00222C41" w:rsidRDefault="00D73984" w:rsidP="00222C41">
            <w:pPr>
              <w:keepNext/>
              <w:spacing w:after="0" w:line="240" w:lineRule="auto"/>
              <w:rPr>
                <w:rFonts w:ascii="Arial" w:eastAsia="Times New Roman" w:hAnsi="Arial" w:cs="Arial"/>
                <w:color w:val="000000"/>
                <w:lang w:eastAsia="en-AU"/>
              </w:rPr>
            </w:pPr>
            <w:r>
              <w:rPr>
                <w:rFonts w:ascii="Arial" w:eastAsia="Times New Roman" w:hAnsi="Arial" w:cs="Arial"/>
                <w:color w:val="000000"/>
                <w:lang w:eastAsia="en-AU"/>
              </w:rPr>
              <w:t>50% of workforce covered by the Scheme (High scenario)</w:t>
            </w:r>
          </w:p>
        </w:tc>
        <w:tc>
          <w:tcPr>
            <w:tcW w:w="2859" w:type="dxa"/>
            <w:tcBorders>
              <w:top w:val="nil"/>
              <w:left w:val="single" w:sz="8" w:space="0" w:color="auto"/>
              <w:bottom w:val="nil"/>
              <w:right w:val="nil"/>
            </w:tcBorders>
            <w:shd w:val="clear" w:color="auto" w:fill="DEEAF6" w:themeFill="accent1" w:themeFillTint="33"/>
            <w:vAlign w:val="center"/>
          </w:tcPr>
          <w:p w14:paraId="7D0FE8E3" w14:textId="6212A5F8" w:rsidR="00222C41" w:rsidRPr="00150DBF" w:rsidRDefault="00222C41">
            <w:pPr>
              <w:keepNext/>
              <w:spacing w:after="0" w:line="240" w:lineRule="auto"/>
              <w:rPr>
                <w:rFonts w:ascii="Arial" w:eastAsia="Times New Roman" w:hAnsi="Arial" w:cs="Arial"/>
                <w:b/>
                <w:bCs/>
                <w:color w:val="000000"/>
                <w:lang w:eastAsia="en-AU"/>
              </w:rPr>
            </w:pPr>
            <w:r>
              <w:rPr>
                <w:rFonts w:ascii="Arial" w:eastAsia="Times New Roman" w:hAnsi="Arial" w:cs="Arial"/>
                <w:b/>
                <w:bCs/>
                <w:color w:val="000000"/>
                <w:lang w:eastAsia="en-AU"/>
              </w:rPr>
              <w:t>$</w:t>
            </w:r>
            <w:r w:rsidR="002A6619">
              <w:rPr>
                <w:rFonts w:ascii="Arial" w:eastAsia="Times New Roman" w:hAnsi="Arial" w:cs="Arial"/>
                <w:b/>
                <w:bCs/>
                <w:color w:val="000000"/>
                <w:lang w:eastAsia="en-AU"/>
              </w:rPr>
              <w:t>1.1 million - $2.0 million</w:t>
            </w:r>
          </w:p>
        </w:tc>
      </w:tr>
    </w:tbl>
    <w:p w14:paraId="1E722234" w14:textId="77777777" w:rsidR="00203494" w:rsidRDefault="00203494" w:rsidP="007B63D7">
      <w:pPr>
        <w:pStyle w:val="BodyText"/>
        <w:spacing w:after="0"/>
      </w:pPr>
    </w:p>
    <w:p w14:paraId="589A9502" w14:textId="0D9D15F0" w:rsidR="00AD518C" w:rsidRPr="00AD518C" w:rsidRDefault="00AD518C" w:rsidP="007B63D7">
      <w:pPr>
        <w:pStyle w:val="Caption"/>
        <w:spacing w:before="0"/>
        <w:rPr>
          <w:rFonts w:ascii="Arial" w:hAnsi="Arial" w:cs="Arial"/>
        </w:rPr>
      </w:pPr>
      <w:bookmarkStart w:id="124" w:name="_Ref37361433"/>
      <w:r w:rsidRPr="00AD518C">
        <w:rPr>
          <w:rFonts w:ascii="Arial" w:hAnsi="Arial" w:cs="Arial"/>
        </w:rPr>
        <w:t xml:space="preserve">Figure </w:t>
      </w:r>
      <w:r w:rsidRPr="00AD518C">
        <w:rPr>
          <w:rFonts w:ascii="Arial" w:hAnsi="Arial" w:cs="Arial"/>
        </w:rPr>
        <w:fldChar w:fldCharType="begin"/>
      </w:r>
      <w:r w:rsidRPr="00AD518C">
        <w:rPr>
          <w:rFonts w:ascii="Arial" w:hAnsi="Arial" w:cs="Arial"/>
        </w:rPr>
        <w:instrText xml:space="preserve"> SEQ Figure \* ARABIC </w:instrText>
      </w:r>
      <w:r w:rsidRPr="00AD518C">
        <w:rPr>
          <w:rFonts w:ascii="Arial" w:hAnsi="Arial" w:cs="Arial"/>
        </w:rPr>
        <w:fldChar w:fldCharType="separate"/>
      </w:r>
      <w:r w:rsidRPr="00AD518C">
        <w:rPr>
          <w:rFonts w:ascii="Arial" w:hAnsi="Arial" w:cs="Arial"/>
          <w:noProof/>
        </w:rPr>
        <w:t>4</w:t>
      </w:r>
      <w:r w:rsidRPr="00AD518C">
        <w:rPr>
          <w:rFonts w:ascii="Arial" w:hAnsi="Arial" w:cs="Arial"/>
        </w:rPr>
        <w:fldChar w:fldCharType="end"/>
      </w:r>
      <w:bookmarkEnd w:id="124"/>
      <w:r>
        <w:rPr>
          <w:rFonts w:ascii="Arial" w:hAnsi="Arial" w:cs="Arial"/>
        </w:rPr>
        <w:t xml:space="preserve">: Assumptions reflected in the estimated impact on </w:t>
      </w:r>
      <w:r w:rsidR="00597FC3">
        <w:rPr>
          <w:rFonts w:ascii="Arial" w:hAnsi="Arial" w:cs="Arial"/>
        </w:rPr>
        <w:t xml:space="preserve">the </w:t>
      </w:r>
      <w:r>
        <w:rPr>
          <w:rFonts w:ascii="Arial" w:hAnsi="Arial" w:cs="Arial"/>
        </w:rPr>
        <w:t xml:space="preserve">Community Health </w:t>
      </w:r>
      <w:r w:rsidR="002106A3">
        <w:rPr>
          <w:rFonts w:ascii="Arial" w:hAnsi="Arial" w:cs="Arial"/>
        </w:rPr>
        <w:t>sub</w:t>
      </w:r>
      <w:r w:rsidR="002106A3">
        <w:rPr>
          <w:rFonts w:ascii="Arial" w:hAnsi="Arial" w:cs="Arial"/>
        </w:rPr>
        <w:noBreakHyphen/>
        <w:t>sector</w:t>
      </w:r>
    </w:p>
    <w:tbl>
      <w:tblPr>
        <w:tblStyle w:val="TableGrid"/>
        <w:tblW w:w="0" w:type="auto"/>
        <w:tblBorders>
          <w:left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9016"/>
      </w:tblGrid>
      <w:tr w:rsidR="00AD518C" w:rsidRPr="00DC0E3D" w14:paraId="2BF74BB8" w14:textId="77777777" w:rsidTr="00DC0E3D">
        <w:tc>
          <w:tcPr>
            <w:tcW w:w="9016" w:type="dxa"/>
            <w:shd w:val="clear" w:color="auto" w:fill="DEEAF6" w:themeFill="accent1" w:themeFillTint="33"/>
          </w:tcPr>
          <w:p w14:paraId="64B28CFF" w14:textId="09A28F75" w:rsidR="00DC0E3D" w:rsidRPr="008A653E" w:rsidRDefault="00DC0E3D" w:rsidP="008A653E">
            <w:pPr>
              <w:pStyle w:val="BodyText"/>
              <w:rPr>
                <w:rFonts w:cs="Arial"/>
                <w:color w:val="auto"/>
                <w:sz w:val="18"/>
                <w:szCs w:val="18"/>
              </w:rPr>
            </w:pPr>
          </w:p>
          <w:p w14:paraId="30D80DF8" w14:textId="568B1CA6" w:rsidR="00AD518C" w:rsidRPr="008A653E" w:rsidRDefault="00046DC8" w:rsidP="008A653E">
            <w:pPr>
              <w:pStyle w:val="BodyText"/>
              <w:rPr>
                <w:rFonts w:cs="Arial"/>
                <w:b/>
                <w:color w:val="auto"/>
                <w:sz w:val="18"/>
                <w:szCs w:val="18"/>
              </w:rPr>
            </w:pPr>
            <w:r>
              <w:rPr>
                <w:rFonts w:cs="Arial"/>
                <w:b/>
                <w:color w:val="auto"/>
                <w:sz w:val="18"/>
                <w:szCs w:val="18"/>
              </w:rPr>
              <w:t>Estimated</w:t>
            </w:r>
            <w:r w:rsidR="00DC0E3D" w:rsidRPr="008A653E">
              <w:rPr>
                <w:rFonts w:cs="Arial"/>
                <w:b/>
                <w:color w:val="auto"/>
                <w:sz w:val="18"/>
                <w:szCs w:val="18"/>
              </w:rPr>
              <w:t xml:space="preserve"> annual cost increase = Number of employees x average salary x levy rate</w:t>
            </w:r>
          </w:p>
          <w:p w14:paraId="16BCCEB4" w14:textId="77777777" w:rsidR="00DC0E3D" w:rsidRPr="007B63D7" w:rsidRDefault="00DC0E3D" w:rsidP="008A653E">
            <w:pPr>
              <w:pStyle w:val="BodyText"/>
              <w:rPr>
                <w:rFonts w:cs="Arial"/>
                <w:color w:val="auto"/>
                <w:sz w:val="10"/>
                <w:szCs w:val="10"/>
              </w:rPr>
            </w:pPr>
          </w:p>
          <w:p w14:paraId="76EB4C40" w14:textId="31D6E8B1" w:rsidR="004F739D" w:rsidRDefault="004F739D" w:rsidP="008A653E">
            <w:pPr>
              <w:pStyle w:val="BodyText"/>
              <w:spacing w:line="276" w:lineRule="auto"/>
              <w:rPr>
                <w:rFonts w:cs="Arial"/>
                <w:color w:val="auto"/>
                <w:sz w:val="18"/>
                <w:szCs w:val="18"/>
              </w:rPr>
            </w:pPr>
            <w:r>
              <w:rPr>
                <w:rFonts w:cs="Arial"/>
                <w:color w:val="auto"/>
                <w:sz w:val="18"/>
                <w:szCs w:val="18"/>
              </w:rPr>
              <w:t xml:space="preserve">Estimated cost increase (Low scenario) = 682 FTE x $70,000 x 1.65% = </w:t>
            </w:r>
            <w:r w:rsidRPr="008A653E">
              <w:rPr>
                <w:rFonts w:cs="Arial"/>
                <w:b/>
                <w:color w:val="auto"/>
                <w:sz w:val="18"/>
                <w:szCs w:val="18"/>
              </w:rPr>
              <w:t xml:space="preserve">$788,000 </w:t>
            </w:r>
          </w:p>
          <w:p w14:paraId="11F5E6E9" w14:textId="1CA9A6B8" w:rsidR="004F739D" w:rsidRPr="008A653E" w:rsidRDefault="004F739D" w:rsidP="008A653E">
            <w:pPr>
              <w:pStyle w:val="BodyText"/>
              <w:rPr>
                <w:rFonts w:cs="Arial"/>
                <w:b/>
                <w:color w:val="auto"/>
                <w:sz w:val="18"/>
                <w:szCs w:val="18"/>
              </w:rPr>
            </w:pPr>
            <w:r>
              <w:rPr>
                <w:rFonts w:cs="Arial"/>
                <w:color w:val="auto"/>
                <w:sz w:val="18"/>
                <w:szCs w:val="18"/>
              </w:rPr>
              <w:t xml:space="preserve">Estimated cost increase (High scenario) = 3,412 FTE x $70,000 x 1.65% = </w:t>
            </w:r>
            <w:r>
              <w:rPr>
                <w:rFonts w:cs="Arial"/>
                <w:b/>
                <w:color w:val="auto"/>
                <w:sz w:val="18"/>
                <w:szCs w:val="18"/>
              </w:rPr>
              <w:t xml:space="preserve">$3.9 million </w:t>
            </w:r>
          </w:p>
          <w:p w14:paraId="3BD91B67" w14:textId="77777777" w:rsidR="004F739D" w:rsidRDefault="004F739D" w:rsidP="008A653E">
            <w:pPr>
              <w:pStyle w:val="BodyText"/>
              <w:rPr>
                <w:rFonts w:cs="Arial"/>
                <w:color w:val="auto"/>
                <w:sz w:val="18"/>
                <w:szCs w:val="18"/>
              </w:rPr>
            </w:pPr>
          </w:p>
          <w:p w14:paraId="522E3A1D" w14:textId="7BA1FF94" w:rsidR="004F739D" w:rsidRDefault="004F739D">
            <w:pPr>
              <w:pStyle w:val="BodyText"/>
              <w:rPr>
                <w:rFonts w:cs="Arial"/>
                <w:b/>
                <w:color w:val="auto"/>
                <w:sz w:val="18"/>
                <w:szCs w:val="18"/>
              </w:rPr>
            </w:pPr>
            <w:r>
              <w:rPr>
                <w:rFonts w:cs="Arial"/>
                <w:b/>
                <w:color w:val="auto"/>
                <w:sz w:val="18"/>
                <w:szCs w:val="18"/>
              </w:rPr>
              <w:t>Estimated annual net cost increase = Number of employees x average salary x net cost increase</w:t>
            </w:r>
          </w:p>
          <w:p w14:paraId="680A2C8B" w14:textId="77777777" w:rsidR="004F739D" w:rsidRPr="007B63D7" w:rsidRDefault="004F739D">
            <w:pPr>
              <w:pStyle w:val="BodyText"/>
              <w:rPr>
                <w:rFonts w:cs="Arial"/>
                <w:b/>
                <w:color w:val="auto"/>
                <w:sz w:val="10"/>
                <w:szCs w:val="10"/>
              </w:rPr>
            </w:pPr>
          </w:p>
          <w:p w14:paraId="695BCC47" w14:textId="0F2C0517" w:rsidR="004F739D" w:rsidRDefault="004F739D" w:rsidP="008A653E">
            <w:pPr>
              <w:pStyle w:val="BodyText"/>
              <w:spacing w:line="276" w:lineRule="auto"/>
              <w:rPr>
                <w:rFonts w:cs="Arial"/>
                <w:color w:val="auto"/>
                <w:sz w:val="18"/>
                <w:szCs w:val="18"/>
              </w:rPr>
            </w:pPr>
            <w:r>
              <w:rPr>
                <w:rFonts w:cs="Arial"/>
                <w:color w:val="auto"/>
                <w:sz w:val="18"/>
                <w:szCs w:val="18"/>
              </w:rPr>
              <w:t xml:space="preserve">Estimate net cost increase (Low) = 682 FTE x $70,000 x (0.45% to 0.85%) = </w:t>
            </w:r>
            <w:r w:rsidRPr="008A653E">
              <w:rPr>
                <w:rFonts w:cs="Arial"/>
                <w:b/>
                <w:color w:val="auto"/>
                <w:sz w:val="18"/>
                <w:szCs w:val="18"/>
              </w:rPr>
              <w:t>$215,000 to $406,000</w:t>
            </w:r>
          </w:p>
          <w:p w14:paraId="752AAB89" w14:textId="26CBFEA0" w:rsidR="004F739D" w:rsidRPr="008A653E" w:rsidRDefault="004F739D" w:rsidP="008A653E">
            <w:pPr>
              <w:pStyle w:val="BodyText"/>
              <w:rPr>
                <w:rFonts w:cs="Arial"/>
                <w:b/>
                <w:color w:val="auto"/>
                <w:sz w:val="18"/>
                <w:szCs w:val="18"/>
              </w:rPr>
            </w:pPr>
            <w:r>
              <w:rPr>
                <w:rFonts w:cs="Arial"/>
                <w:color w:val="auto"/>
                <w:sz w:val="18"/>
                <w:szCs w:val="18"/>
              </w:rPr>
              <w:t xml:space="preserve">Estimated net cost increase (High) = 3,412 FTE x $70,000 x (0.45% to 0.85%) = </w:t>
            </w:r>
            <w:r w:rsidRPr="008A653E">
              <w:rPr>
                <w:rFonts w:cs="Arial"/>
                <w:b/>
                <w:color w:val="auto"/>
                <w:sz w:val="18"/>
                <w:szCs w:val="18"/>
              </w:rPr>
              <w:t>$1.1 million to $2.0 million</w:t>
            </w:r>
          </w:p>
          <w:p w14:paraId="52783CE1" w14:textId="77777777" w:rsidR="004F739D" w:rsidRDefault="004F739D" w:rsidP="008A653E">
            <w:pPr>
              <w:pStyle w:val="BodyText"/>
              <w:rPr>
                <w:rFonts w:cs="Arial"/>
                <w:color w:val="auto"/>
                <w:sz w:val="18"/>
                <w:szCs w:val="18"/>
              </w:rPr>
            </w:pPr>
          </w:p>
          <w:p w14:paraId="29FC5AB1" w14:textId="77589D1A" w:rsidR="00046DC8" w:rsidRPr="008A653E" w:rsidRDefault="00046DC8">
            <w:pPr>
              <w:pStyle w:val="BodyText"/>
              <w:rPr>
                <w:rFonts w:cs="Arial"/>
                <w:color w:val="auto"/>
                <w:sz w:val="18"/>
                <w:szCs w:val="18"/>
                <w:u w:val="single"/>
              </w:rPr>
            </w:pPr>
            <w:r>
              <w:rPr>
                <w:rFonts w:cs="Arial"/>
                <w:color w:val="auto"/>
                <w:sz w:val="18"/>
                <w:szCs w:val="18"/>
                <w:u w:val="single"/>
              </w:rPr>
              <w:t>Number of employees covered</w:t>
            </w:r>
          </w:p>
          <w:p w14:paraId="512FF717" w14:textId="77777777" w:rsidR="00046DC8" w:rsidRDefault="00046DC8">
            <w:pPr>
              <w:pStyle w:val="BodyText"/>
              <w:rPr>
                <w:rFonts w:cs="Arial"/>
                <w:color w:val="auto"/>
                <w:sz w:val="18"/>
                <w:szCs w:val="18"/>
              </w:rPr>
            </w:pPr>
          </w:p>
          <w:p w14:paraId="4B8D5AAA" w14:textId="0BEEA784" w:rsidR="00DC0E3D" w:rsidRDefault="00DC0E3D" w:rsidP="008A653E">
            <w:pPr>
              <w:pStyle w:val="BodyText"/>
              <w:spacing w:line="276" w:lineRule="auto"/>
              <w:rPr>
                <w:rFonts w:cs="Arial"/>
                <w:color w:val="auto"/>
                <w:sz w:val="18"/>
                <w:szCs w:val="18"/>
              </w:rPr>
            </w:pPr>
            <w:r>
              <w:rPr>
                <w:rFonts w:cs="Arial"/>
                <w:color w:val="auto"/>
                <w:sz w:val="18"/>
                <w:szCs w:val="18"/>
              </w:rPr>
              <w:t xml:space="preserve">Total number of employees in the </w:t>
            </w:r>
            <w:r w:rsidR="002106A3">
              <w:rPr>
                <w:rFonts w:cs="Arial"/>
                <w:color w:val="auto"/>
                <w:sz w:val="18"/>
                <w:szCs w:val="18"/>
              </w:rPr>
              <w:t>sub</w:t>
            </w:r>
            <w:r w:rsidR="002106A3">
              <w:rPr>
                <w:rFonts w:cs="Arial"/>
                <w:color w:val="auto"/>
                <w:sz w:val="18"/>
                <w:szCs w:val="18"/>
              </w:rPr>
              <w:noBreakHyphen/>
              <w:t>sector</w:t>
            </w:r>
            <w:r>
              <w:rPr>
                <w:rFonts w:cs="Arial"/>
                <w:color w:val="auto"/>
                <w:sz w:val="18"/>
                <w:szCs w:val="18"/>
              </w:rPr>
              <w:t xml:space="preserve"> = 10,500 headcount = 6</w:t>
            </w:r>
            <w:r w:rsidR="00597FC3">
              <w:rPr>
                <w:rFonts w:cs="Arial"/>
                <w:color w:val="auto"/>
                <w:sz w:val="18"/>
                <w:szCs w:val="18"/>
              </w:rPr>
              <w:t>,</w:t>
            </w:r>
            <w:r>
              <w:rPr>
                <w:rFonts w:cs="Arial"/>
                <w:color w:val="auto"/>
                <w:sz w:val="18"/>
                <w:szCs w:val="18"/>
              </w:rPr>
              <w:t>825 FTE</w:t>
            </w:r>
            <w:r w:rsidR="00046DC8">
              <w:rPr>
                <w:rFonts w:cs="Arial"/>
                <w:color w:val="auto"/>
                <w:sz w:val="18"/>
                <w:szCs w:val="18"/>
              </w:rPr>
              <w:t xml:space="preserve"> (1 headcount = 0.65 FTE)</w:t>
            </w:r>
          </w:p>
          <w:p w14:paraId="27380673" w14:textId="4D8089B5" w:rsidR="00DC0E3D" w:rsidRDefault="00046DC8" w:rsidP="008A653E">
            <w:pPr>
              <w:pStyle w:val="BodyText"/>
              <w:spacing w:line="276" w:lineRule="auto"/>
              <w:rPr>
                <w:rFonts w:cs="Arial"/>
                <w:color w:val="auto"/>
                <w:sz w:val="18"/>
                <w:szCs w:val="18"/>
              </w:rPr>
            </w:pPr>
            <w:r>
              <w:rPr>
                <w:rFonts w:cs="Arial"/>
                <w:color w:val="auto"/>
                <w:sz w:val="18"/>
                <w:szCs w:val="18"/>
              </w:rPr>
              <w:t>Number of e</w:t>
            </w:r>
            <w:r w:rsidR="00DC0E3D">
              <w:rPr>
                <w:rFonts w:cs="Arial"/>
                <w:color w:val="auto"/>
                <w:sz w:val="18"/>
                <w:szCs w:val="18"/>
              </w:rPr>
              <w:t xml:space="preserve">mployees covered under a </w:t>
            </w:r>
            <w:r w:rsidR="00DC0E3D" w:rsidRPr="008A653E">
              <w:rPr>
                <w:rFonts w:cs="Arial"/>
                <w:b/>
                <w:color w:val="auto"/>
                <w:sz w:val="18"/>
                <w:szCs w:val="18"/>
              </w:rPr>
              <w:t>low</w:t>
            </w:r>
            <w:r w:rsidRPr="008A653E">
              <w:rPr>
                <w:rFonts w:cs="Arial"/>
                <w:b/>
                <w:color w:val="auto"/>
                <w:sz w:val="18"/>
                <w:szCs w:val="18"/>
              </w:rPr>
              <w:t xml:space="preserve"> workforce</w:t>
            </w:r>
            <w:r w:rsidR="00DC0E3D" w:rsidRPr="008A653E">
              <w:rPr>
                <w:rFonts w:cs="Arial"/>
                <w:b/>
                <w:color w:val="auto"/>
                <w:sz w:val="18"/>
                <w:szCs w:val="18"/>
              </w:rPr>
              <w:t xml:space="preserve"> share scenario</w:t>
            </w:r>
            <w:r w:rsidR="00DC0E3D">
              <w:rPr>
                <w:rFonts w:cs="Arial"/>
                <w:color w:val="auto"/>
                <w:sz w:val="18"/>
                <w:szCs w:val="18"/>
              </w:rPr>
              <w:t xml:space="preserve"> = 10% of 6</w:t>
            </w:r>
            <w:r>
              <w:rPr>
                <w:rFonts w:cs="Arial"/>
                <w:color w:val="auto"/>
                <w:sz w:val="18"/>
                <w:szCs w:val="18"/>
              </w:rPr>
              <w:t>,</w:t>
            </w:r>
            <w:r w:rsidR="00DC0E3D">
              <w:rPr>
                <w:rFonts w:cs="Arial"/>
                <w:color w:val="auto"/>
                <w:sz w:val="18"/>
                <w:szCs w:val="18"/>
              </w:rPr>
              <w:t>825</w:t>
            </w:r>
            <w:r>
              <w:rPr>
                <w:rFonts w:cs="Arial"/>
                <w:color w:val="auto"/>
                <w:sz w:val="18"/>
                <w:szCs w:val="18"/>
              </w:rPr>
              <w:t xml:space="preserve"> FTE = </w:t>
            </w:r>
            <w:r w:rsidR="004F739D" w:rsidRPr="008A653E">
              <w:rPr>
                <w:rFonts w:cs="Arial"/>
                <w:b/>
                <w:color w:val="auto"/>
                <w:sz w:val="18"/>
                <w:szCs w:val="18"/>
              </w:rPr>
              <w:t>682</w:t>
            </w:r>
            <w:r w:rsidRPr="008A653E">
              <w:rPr>
                <w:rFonts w:cs="Arial"/>
                <w:b/>
                <w:color w:val="auto"/>
                <w:sz w:val="18"/>
                <w:szCs w:val="18"/>
              </w:rPr>
              <w:t xml:space="preserve"> FTE</w:t>
            </w:r>
            <w:r>
              <w:rPr>
                <w:rFonts w:cs="Arial"/>
                <w:color w:val="auto"/>
                <w:sz w:val="18"/>
                <w:szCs w:val="18"/>
              </w:rPr>
              <w:t xml:space="preserve"> </w:t>
            </w:r>
          </w:p>
          <w:p w14:paraId="15EC9AC2" w14:textId="36897388" w:rsidR="00046DC8" w:rsidRDefault="00046DC8" w:rsidP="008A653E">
            <w:pPr>
              <w:pStyle w:val="BodyText"/>
              <w:rPr>
                <w:rFonts w:cs="Arial"/>
                <w:color w:val="auto"/>
                <w:sz w:val="18"/>
                <w:szCs w:val="18"/>
              </w:rPr>
            </w:pPr>
            <w:r>
              <w:rPr>
                <w:rFonts w:cs="Arial"/>
                <w:color w:val="auto"/>
                <w:sz w:val="18"/>
                <w:szCs w:val="18"/>
              </w:rPr>
              <w:t xml:space="preserve">Number of employees covered under a </w:t>
            </w:r>
            <w:r w:rsidRPr="008A653E">
              <w:rPr>
                <w:rFonts w:cs="Arial"/>
                <w:b/>
                <w:color w:val="auto"/>
                <w:sz w:val="18"/>
                <w:szCs w:val="18"/>
              </w:rPr>
              <w:t>high workforce share scenario</w:t>
            </w:r>
            <w:r>
              <w:rPr>
                <w:rFonts w:cs="Arial"/>
                <w:color w:val="auto"/>
                <w:sz w:val="18"/>
                <w:szCs w:val="18"/>
              </w:rPr>
              <w:t xml:space="preserve"> = 50% of 6,825 FTE = </w:t>
            </w:r>
            <w:r w:rsidR="004F739D" w:rsidRPr="008A653E">
              <w:rPr>
                <w:rFonts w:cs="Arial"/>
                <w:b/>
                <w:color w:val="auto"/>
                <w:sz w:val="18"/>
                <w:szCs w:val="18"/>
              </w:rPr>
              <w:t>3</w:t>
            </w:r>
            <w:r w:rsidR="004F739D">
              <w:rPr>
                <w:rFonts w:cs="Arial"/>
                <w:b/>
                <w:color w:val="auto"/>
                <w:sz w:val="18"/>
                <w:szCs w:val="18"/>
              </w:rPr>
              <w:t>,</w:t>
            </w:r>
            <w:r w:rsidR="004F739D" w:rsidRPr="008A653E">
              <w:rPr>
                <w:rFonts w:cs="Arial"/>
                <w:b/>
                <w:color w:val="auto"/>
                <w:sz w:val="18"/>
                <w:szCs w:val="18"/>
              </w:rPr>
              <w:t>412</w:t>
            </w:r>
            <w:r w:rsidRPr="008A653E">
              <w:rPr>
                <w:rFonts w:cs="Arial"/>
                <w:b/>
                <w:color w:val="auto"/>
                <w:sz w:val="18"/>
                <w:szCs w:val="18"/>
              </w:rPr>
              <w:t xml:space="preserve"> FTE</w:t>
            </w:r>
          </w:p>
          <w:p w14:paraId="62B12074" w14:textId="77777777" w:rsidR="00046DC8" w:rsidRDefault="00046DC8" w:rsidP="008A653E">
            <w:pPr>
              <w:pStyle w:val="BodyText"/>
              <w:rPr>
                <w:rFonts w:cs="Arial"/>
                <w:color w:val="auto"/>
                <w:sz w:val="18"/>
                <w:szCs w:val="18"/>
              </w:rPr>
            </w:pPr>
          </w:p>
          <w:p w14:paraId="4036E75E" w14:textId="42637354" w:rsidR="00046DC8" w:rsidRPr="008A653E" w:rsidRDefault="00046DC8" w:rsidP="008A653E">
            <w:pPr>
              <w:pStyle w:val="BodyText"/>
              <w:rPr>
                <w:rFonts w:cs="Arial"/>
                <w:color w:val="auto"/>
                <w:sz w:val="18"/>
                <w:szCs w:val="18"/>
                <w:u w:val="single"/>
              </w:rPr>
            </w:pPr>
            <w:r w:rsidRPr="008A653E">
              <w:rPr>
                <w:rFonts w:cs="Arial"/>
                <w:color w:val="auto"/>
                <w:sz w:val="18"/>
                <w:szCs w:val="18"/>
                <w:u w:val="single"/>
              </w:rPr>
              <w:t>Average salary</w:t>
            </w:r>
          </w:p>
          <w:p w14:paraId="7C4C3E52" w14:textId="77777777" w:rsidR="00046DC8" w:rsidRDefault="00046DC8" w:rsidP="008A653E">
            <w:pPr>
              <w:pStyle w:val="BodyText"/>
              <w:rPr>
                <w:rFonts w:cs="Arial"/>
                <w:color w:val="auto"/>
                <w:sz w:val="18"/>
                <w:szCs w:val="18"/>
              </w:rPr>
            </w:pPr>
          </w:p>
          <w:p w14:paraId="5603AA3B" w14:textId="336DA135" w:rsidR="00046DC8" w:rsidRDefault="0038431F">
            <w:pPr>
              <w:pStyle w:val="BodyText"/>
              <w:rPr>
                <w:rFonts w:cs="Arial"/>
                <w:color w:val="auto"/>
                <w:sz w:val="18"/>
                <w:szCs w:val="18"/>
              </w:rPr>
            </w:pPr>
            <w:r>
              <w:rPr>
                <w:rFonts w:cs="Arial"/>
                <w:color w:val="auto"/>
                <w:sz w:val="18"/>
                <w:szCs w:val="18"/>
              </w:rPr>
              <w:t>The a</w:t>
            </w:r>
            <w:r w:rsidR="00046DC8">
              <w:rPr>
                <w:rFonts w:cs="Arial"/>
                <w:color w:val="auto"/>
                <w:sz w:val="18"/>
                <w:szCs w:val="18"/>
              </w:rPr>
              <w:t xml:space="preserve">verage FTE salary for the </w:t>
            </w:r>
            <w:r w:rsidR="002106A3">
              <w:rPr>
                <w:rFonts w:cs="Arial"/>
                <w:color w:val="auto"/>
                <w:sz w:val="18"/>
                <w:szCs w:val="18"/>
              </w:rPr>
              <w:t>sub</w:t>
            </w:r>
            <w:r w:rsidR="002106A3">
              <w:rPr>
                <w:rFonts w:cs="Arial"/>
                <w:color w:val="auto"/>
                <w:sz w:val="18"/>
                <w:szCs w:val="18"/>
              </w:rPr>
              <w:noBreakHyphen/>
              <w:t>sector</w:t>
            </w:r>
            <w:r w:rsidR="00046DC8">
              <w:rPr>
                <w:rFonts w:cs="Arial"/>
                <w:color w:val="auto"/>
                <w:sz w:val="18"/>
                <w:szCs w:val="18"/>
              </w:rPr>
              <w:t xml:space="preserve"> was assumed to be </w:t>
            </w:r>
            <w:r w:rsidR="00046DC8" w:rsidRPr="008A653E">
              <w:rPr>
                <w:rFonts w:cs="Arial"/>
                <w:b/>
                <w:color w:val="auto"/>
                <w:sz w:val="18"/>
                <w:szCs w:val="18"/>
              </w:rPr>
              <w:t>$70,000 per annum</w:t>
            </w:r>
            <w:r w:rsidRPr="007B63D7">
              <w:rPr>
                <w:rFonts w:cs="Arial"/>
                <w:color w:val="auto"/>
                <w:sz w:val="18"/>
                <w:szCs w:val="18"/>
              </w:rPr>
              <w:t>.</w:t>
            </w:r>
          </w:p>
          <w:p w14:paraId="47FE4006" w14:textId="77777777" w:rsidR="00046DC8" w:rsidRDefault="00046DC8">
            <w:pPr>
              <w:pStyle w:val="BodyText"/>
              <w:rPr>
                <w:rFonts w:cs="Arial"/>
                <w:color w:val="auto"/>
                <w:sz w:val="18"/>
                <w:szCs w:val="18"/>
              </w:rPr>
            </w:pPr>
          </w:p>
          <w:p w14:paraId="755B5243" w14:textId="6A164994" w:rsidR="00046DC8" w:rsidRPr="008A653E" w:rsidRDefault="00046DC8">
            <w:pPr>
              <w:pStyle w:val="BodyText"/>
              <w:rPr>
                <w:rFonts w:cs="Arial"/>
                <w:color w:val="auto"/>
                <w:sz w:val="18"/>
                <w:szCs w:val="18"/>
                <w:u w:val="single"/>
              </w:rPr>
            </w:pPr>
            <w:r w:rsidRPr="008A653E">
              <w:rPr>
                <w:rFonts w:cs="Arial"/>
                <w:color w:val="auto"/>
                <w:sz w:val="18"/>
                <w:szCs w:val="18"/>
                <w:u w:val="single"/>
              </w:rPr>
              <w:t>Levy rate</w:t>
            </w:r>
          </w:p>
          <w:p w14:paraId="7F50AA81" w14:textId="77777777" w:rsidR="00046DC8" w:rsidRDefault="00046DC8">
            <w:pPr>
              <w:pStyle w:val="BodyText"/>
              <w:rPr>
                <w:rFonts w:cs="Arial"/>
                <w:color w:val="auto"/>
                <w:sz w:val="18"/>
                <w:szCs w:val="18"/>
              </w:rPr>
            </w:pPr>
          </w:p>
          <w:p w14:paraId="7EEEA18C" w14:textId="4D4C48CE" w:rsidR="00046DC8" w:rsidRPr="008A653E" w:rsidRDefault="00046DC8">
            <w:pPr>
              <w:pStyle w:val="BodyText"/>
              <w:rPr>
                <w:rFonts w:cs="Arial"/>
                <w:color w:val="auto"/>
                <w:sz w:val="18"/>
                <w:szCs w:val="18"/>
              </w:rPr>
            </w:pPr>
            <w:r>
              <w:rPr>
                <w:rFonts w:cs="Arial"/>
                <w:color w:val="auto"/>
                <w:sz w:val="18"/>
                <w:szCs w:val="18"/>
              </w:rPr>
              <w:t xml:space="preserve">The levy rate for the community services sector is </w:t>
            </w:r>
            <w:r w:rsidRPr="008A653E">
              <w:rPr>
                <w:rFonts w:cs="Arial"/>
                <w:b/>
                <w:color w:val="auto"/>
                <w:sz w:val="18"/>
                <w:szCs w:val="18"/>
              </w:rPr>
              <w:t>1.65% of ordinary wages</w:t>
            </w:r>
            <w:r w:rsidR="0038431F" w:rsidRPr="007B63D7">
              <w:rPr>
                <w:rFonts w:cs="Arial"/>
                <w:color w:val="auto"/>
                <w:sz w:val="18"/>
                <w:szCs w:val="18"/>
              </w:rPr>
              <w:t>.</w:t>
            </w:r>
          </w:p>
          <w:p w14:paraId="0D7E2607" w14:textId="77777777" w:rsidR="00DC0E3D" w:rsidRDefault="00DC0E3D">
            <w:pPr>
              <w:pStyle w:val="BodyText"/>
              <w:rPr>
                <w:rFonts w:cs="Arial"/>
                <w:color w:val="auto"/>
                <w:sz w:val="18"/>
                <w:szCs w:val="18"/>
              </w:rPr>
            </w:pPr>
          </w:p>
          <w:p w14:paraId="3B85949D" w14:textId="430E5C3A" w:rsidR="004F739D" w:rsidRDefault="004F739D">
            <w:pPr>
              <w:pStyle w:val="BodyText"/>
              <w:rPr>
                <w:rFonts w:cs="Arial"/>
                <w:color w:val="auto"/>
                <w:sz w:val="18"/>
                <w:szCs w:val="18"/>
                <w:u w:val="single"/>
              </w:rPr>
            </w:pPr>
            <w:r>
              <w:rPr>
                <w:rFonts w:cs="Arial"/>
                <w:color w:val="auto"/>
                <w:sz w:val="18"/>
                <w:szCs w:val="18"/>
                <w:u w:val="single"/>
              </w:rPr>
              <w:t>Net cost increase</w:t>
            </w:r>
          </w:p>
          <w:p w14:paraId="18F4FD35" w14:textId="77777777" w:rsidR="004F739D" w:rsidRDefault="004F739D">
            <w:pPr>
              <w:pStyle w:val="BodyText"/>
              <w:rPr>
                <w:rFonts w:cs="Arial"/>
                <w:color w:val="auto"/>
                <w:sz w:val="18"/>
                <w:szCs w:val="18"/>
                <w:u w:val="single"/>
              </w:rPr>
            </w:pPr>
          </w:p>
          <w:p w14:paraId="3C662DA2" w14:textId="0291EDB7" w:rsidR="004F739D" w:rsidRPr="008A653E" w:rsidRDefault="004F739D" w:rsidP="008A653E">
            <w:pPr>
              <w:pStyle w:val="BodyText"/>
              <w:rPr>
                <w:rFonts w:cs="Arial"/>
                <w:color w:val="auto"/>
                <w:sz w:val="18"/>
                <w:szCs w:val="18"/>
              </w:rPr>
            </w:pPr>
            <w:r>
              <w:rPr>
                <w:rFonts w:cs="Arial"/>
                <w:color w:val="auto"/>
                <w:sz w:val="18"/>
                <w:szCs w:val="18"/>
              </w:rPr>
              <w:t xml:space="preserve">As </w:t>
            </w:r>
            <w:r w:rsidR="008A653E">
              <w:rPr>
                <w:rFonts w:cs="Arial"/>
                <w:color w:val="auto"/>
                <w:sz w:val="18"/>
                <w:szCs w:val="18"/>
              </w:rPr>
              <w:t>detailed in</w:t>
            </w:r>
            <w:r w:rsidRPr="008A653E">
              <w:rPr>
                <w:rFonts w:cs="Arial"/>
                <w:color w:val="auto"/>
                <w:sz w:val="18"/>
                <w:szCs w:val="18"/>
              </w:rPr>
              <w:t xml:space="preserve"> </w:t>
            </w:r>
            <w:r w:rsidRPr="008A653E">
              <w:rPr>
                <w:rFonts w:cs="Arial"/>
                <w:color w:val="auto"/>
                <w:sz w:val="18"/>
                <w:szCs w:val="18"/>
              </w:rPr>
              <w:fldChar w:fldCharType="begin"/>
            </w:r>
            <w:r w:rsidRPr="008A653E">
              <w:rPr>
                <w:rFonts w:cs="Arial"/>
                <w:color w:val="auto"/>
                <w:sz w:val="18"/>
                <w:szCs w:val="18"/>
              </w:rPr>
              <w:instrText xml:space="preserve"> REF _Ref37409112 \h </w:instrText>
            </w:r>
            <w:r>
              <w:rPr>
                <w:rFonts w:cs="Arial"/>
                <w:color w:val="auto"/>
                <w:sz w:val="18"/>
                <w:szCs w:val="18"/>
              </w:rPr>
              <w:instrText xml:space="preserve"> \* MERGEFORMAT </w:instrText>
            </w:r>
            <w:r w:rsidRPr="008A653E">
              <w:rPr>
                <w:rFonts w:cs="Arial"/>
                <w:color w:val="auto"/>
                <w:sz w:val="18"/>
                <w:szCs w:val="18"/>
              </w:rPr>
            </w:r>
            <w:r w:rsidRPr="008A653E">
              <w:rPr>
                <w:rFonts w:cs="Arial"/>
                <w:color w:val="auto"/>
                <w:sz w:val="18"/>
                <w:szCs w:val="18"/>
              </w:rPr>
              <w:fldChar w:fldCharType="separate"/>
            </w:r>
            <w:r w:rsidRPr="008A653E">
              <w:rPr>
                <w:rFonts w:cs="Arial"/>
                <w:sz w:val="18"/>
                <w:szCs w:val="18"/>
              </w:rPr>
              <w:t xml:space="preserve">Figure </w:t>
            </w:r>
            <w:r w:rsidRPr="008A653E">
              <w:rPr>
                <w:rFonts w:cs="Arial"/>
                <w:noProof/>
                <w:sz w:val="18"/>
                <w:szCs w:val="18"/>
              </w:rPr>
              <w:t>3</w:t>
            </w:r>
            <w:r w:rsidRPr="008A653E">
              <w:rPr>
                <w:rFonts w:cs="Arial"/>
                <w:sz w:val="18"/>
                <w:szCs w:val="18"/>
              </w:rPr>
              <w:t>,</w:t>
            </w:r>
            <w:r w:rsidRPr="008A653E">
              <w:rPr>
                <w:rFonts w:cs="Arial"/>
                <w:color w:val="auto"/>
                <w:sz w:val="18"/>
                <w:szCs w:val="18"/>
              </w:rPr>
              <w:fldChar w:fldCharType="end"/>
            </w:r>
            <w:r>
              <w:rPr>
                <w:rFonts w:cs="Arial"/>
                <w:color w:val="auto"/>
                <w:sz w:val="18"/>
                <w:szCs w:val="18"/>
              </w:rPr>
              <w:t xml:space="preserve"> </w:t>
            </w:r>
            <w:r w:rsidRPr="008A653E">
              <w:rPr>
                <w:rFonts w:cs="Arial"/>
                <w:color w:val="auto"/>
                <w:sz w:val="18"/>
                <w:szCs w:val="18"/>
              </w:rPr>
              <w:t>the</w:t>
            </w:r>
            <w:r>
              <w:rPr>
                <w:rFonts w:cs="Arial"/>
                <w:color w:val="auto"/>
                <w:sz w:val="18"/>
                <w:szCs w:val="18"/>
              </w:rPr>
              <w:t xml:space="preserve"> annual</w:t>
            </w:r>
            <w:r w:rsidRPr="008A653E">
              <w:rPr>
                <w:rFonts w:cs="Arial"/>
                <w:color w:val="auto"/>
                <w:sz w:val="18"/>
                <w:szCs w:val="18"/>
              </w:rPr>
              <w:t xml:space="preserve"> net cost impact for </w:t>
            </w:r>
            <w:r>
              <w:rPr>
                <w:rFonts w:cs="Arial"/>
                <w:color w:val="auto"/>
                <w:sz w:val="18"/>
                <w:szCs w:val="18"/>
              </w:rPr>
              <w:t xml:space="preserve">the </w:t>
            </w:r>
            <w:r w:rsidR="002106A3">
              <w:rPr>
                <w:rFonts w:cs="Arial"/>
                <w:color w:val="auto"/>
                <w:sz w:val="18"/>
                <w:szCs w:val="18"/>
              </w:rPr>
              <w:t>sub</w:t>
            </w:r>
            <w:r w:rsidR="002106A3">
              <w:rPr>
                <w:rFonts w:cs="Arial"/>
                <w:color w:val="auto"/>
                <w:sz w:val="18"/>
                <w:szCs w:val="18"/>
              </w:rPr>
              <w:noBreakHyphen/>
              <w:t>sector</w:t>
            </w:r>
            <w:r>
              <w:rPr>
                <w:rFonts w:cs="Arial"/>
                <w:color w:val="auto"/>
                <w:sz w:val="18"/>
                <w:szCs w:val="18"/>
              </w:rPr>
              <w:t xml:space="preserve"> </w:t>
            </w:r>
            <w:r w:rsidR="008A653E">
              <w:rPr>
                <w:rFonts w:cs="Arial"/>
                <w:color w:val="auto"/>
                <w:sz w:val="18"/>
                <w:szCs w:val="18"/>
              </w:rPr>
              <w:t>is</w:t>
            </w:r>
            <w:r>
              <w:rPr>
                <w:rFonts w:cs="Arial"/>
                <w:color w:val="auto"/>
                <w:sz w:val="18"/>
                <w:szCs w:val="18"/>
              </w:rPr>
              <w:t xml:space="preserve"> </w:t>
            </w:r>
            <w:r w:rsidRPr="008A653E">
              <w:rPr>
                <w:rFonts w:cs="Arial"/>
                <w:b/>
                <w:color w:val="auto"/>
                <w:sz w:val="18"/>
                <w:szCs w:val="18"/>
              </w:rPr>
              <w:t>0.45% to 0.85% of ordinary wages</w:t>
            </w:r>
            <w:r w:rsidR="0038431F" w:rsidRPr="007B63D7">
              <w:rPr>
                <w:rFonts w:cs="Arial"/>
                <w:color w:val="auto"/>
                <w:sz w:val="18"/>
                <w:szCs w:val="18"/>
              </w:rPr>
              <w:t>.</w:t>
            </w:r>
          </w:p>
          <w:p w14:paraId="3BA05733" w14:textId="77777777" w:rsidR="004F739D" w:rsidRDefault="004F739D" w:rsidP="008A653E">
            <w:pPr>
              <w:pStyle w:val="BodyText"/>
              <w:rPr>
                <w:rFonts w:cs="Arial"/>
                <w:color w:val="auto"/>
                <w:sz w:val="18"/>
                <w:szCs w:val="18"/>
              </w:rPr>
            </w:pPr>
          </w:p>
          <w:p w14:paraId="53C4477C" w14:textId="5D9D25D4" w:rsidR="00136B69" w:rsidRPr="00597FC3" w:rsidRDefault="00136B69" w:rsidP="008A653E">
            <w:pPr>
              <w:pStyle w:val="BodyText"/>
              <w:rPr>
                <w:rFonts w:cs="Arial"/>
                <w:i/>
                <w:color w:val="auto"/>
                <w:sz w:val="18"/>
                <w:szCs w:val="18"/>
              </w:rPr>
            </w:pPr>
            <w:r w:rsidRPr="005025AD">
              <w:rPr>
                <w:rFonts w:cs="Arial"/>
                <w:i/>
                <w:color w:val="auto"/>
                <w:sz w:val="18"/>
                <w:szCs w:val="18"/>
              </w:rPr>
              <w:lastRenderedPageBreak/>
              <w:t>Note: all figures are rounded to the nearest 1,000</w:t>
            </w:r>
          </w:p>
        </w:tc>
      </w:tr>
    </w:tbl>
    <w:p w14:paraId="553FA7A0" w14:textId="0FCE4938" w:rsidR="0018208F" w:rsidRPr="00337958" w:rsidRDefault="0072722B" w:rsidP="00337958">
      <w:pPr>
        <w:pStyle w:val="BodyText"/>
        <w:keepNext/>
        <w:rPr>
          <w:rFonts w:cs="Arial"/>
          <w:b/>
          <w:i/>
          <w:color w:val="auto"/>
        </w:rPr>
      </w:pPr>
      <w:r>
        <w:rPr>
          <w:rFonts w:cs="Arial"/>
          <w:b/>
          <w:i/>
          <w:color w:val="auto"/>
        </w:rPr>
        <w:lastRenderedPageBreak/>
        <w:t>Community Health Centre</w:t>
      </w:r>
      <w:r w:rsidR="00866686" w:rsidRPr="00337958">
        <w:rPr>
          <w:rFonts w:cs="Arial"/>
          <w:b/>
          <w:i/>
          <w:color w:val="auto"/>
        </w:rPr>
        <w:t>s – impacts on individual service providers</w:t>
      </w:r>
    </w:p>
    <w:p w14:paraId="313521AC" w14:textId="0AC8171D" w:rsidR="00C20417" w:rsidRDefault="00B75EDC" w:rsidP="00DF2E27">
      <w:pPr>
        <w:pStyle w:val="BodyText"/>
        <w:rPr>
          <w:rFonts w:cs="Arial"/>
          <w:color w:val="auto"/>
        </w:rPr>
      </w:pPr>
      <w:r>
        <w:rPr>
          <w:rFonts w:cs="Arial"/>
          <w:color w:val="auto"/>
        </w:rPr>
        <w:t>T</w:t>
      </w:r>
      <w:r w:rsidR="00EE73E1">
        <w:rPr>
          <w:rFonts w:cs="Arial"/>
          <w:color w:val="auto"/>
        </w:rPr>
        <w:t xml:space="preserve">he size of each </w:t>
      </w:r>
      <w:r w:rsidR="0072722B">
        <w:rPr>
          <w:rFonts w:cs="Arial"/>
          <w:color w:val="auto"/>
        </w:rPr>
        <w:t>Community Health</w:t>
      </w:r>
      <w:r w:rsidR="00EE73E1">
        <w:rPr>
          <w:rFonts w:cs="Arial"/>
          <w:color w:val="auto"/>
        </w:rPr>
        <w:t xml:space="preserve"> provider varies greatly across Victoria.</w:t>
      </w:r>
      <w:r>
        <w:rPr>
          <w:rFonts w:cs="Arial"/>
          <w:color w:val="auto"/>
        </w:rPr>
        <w:t xml:space="preserve"> Therefore, the financial impact on each </w:t>
      </w:r>
      <w:r w:rsidR="0072722B">
        <w:rPr>
          <w:rFonts w:cs="Arial"/>
          <w:color w:val="auto"/>
        </w:rPr>
        <w:t>Community Health Centre</w:t>
      </w:r>
      <w:r>
        <w:rPr>
          <w:rFonts w:cs="Arial"/>
          <w:color w:val="auto"/>
        </w:rPr>
        <w:t xml:space="preserve"> would differ depending on the number of employees.</w:t>
      </w:r>
      <w:r w:rsidR="00EE73E1">
        <w:rPr>
          <w:rFonts w:cs="Arial"/>
          <w:color w:val="auto"/>
        </w:rPr>
        <w:t xml:space="preserve"> </w:t>
      </w:r>
      <w:r w:rsidR="003409BC">
        <w:rPr>
          <w:rFonts w:cs="Arial"/>
          <w:color w:val="auto"/>
        </w:rPr>
        <w:fldChar w:fldCharType="begin"/>
      </w:r>
      <w:r w:rsidR="003409BC">
        <w:rPr>
          <w:rFonts w:cs="Arial"/>
          <w:color w:val="auto"/>
        </w:rPr>
        <w:instrText xml:space="preserve"> REF _Ref35940911 \h </w:instrText>
      </w:r>
      <w:r w:rsidR="003409BC">
        <w:rPr>
          <w:rFonts w:cs="Arial"/>
          <w:color w:val="auto"/>
        </w:rPr>
      </w:r>
      <w:r w:rsidR="003409BC">
        <w:rPr>
          <w:rFonts w:cs="Arial"/>
          <w:color w:val="auto"/>
        </w:rPr>
        <w:fldChar w:fldCharType="separate"/>
      </w:r>
      <w:r w:rsidR="003409BC" w:rsidRPr="0028607F">
        <w:rPr>
          <w:rFonts w:cs="Arial"/>
        </w:rPr>
        <w:t xml:space="preserve">Table </w:t>
      </w:r>
      <w:r w:rsidR="003409BC">
        <w:rPr>
          <w:rFonts w:cs="Arial"/>
          <w:noProof/>
        </w:rPr>
        <w:t>10</w:t>
      </w:r>
      <w:r w:rsidR="003409BC">
        <w:rPr>
          <w:rFonts w:cs="Arial"/>
          <w:color w:val="auto"/>
        </w:rPr>
        <w:fldChar w:fldCharType="end"/>
      </w:r>
      <w:r w:rsidR="003105E2" w:rsidRPr="003105E2">
        <w:rPr>
          <w:rFonts w:cs="Arial"/>
          <w:color w:val="auto"/>
        </w:rPr>
        <w:t xml:space="preserve"> summarises the</w:t>
      </w:r>
      <w:r w:rsidR="00EE73E1">
        <w:rPr>
          <w:rFonts w:cs="Arial"/>
          <w:color w:val="auto"/>
        </w:rPr>
        <w:t xml:space="preserve"> estimated</w:t>
      </w:r>
      <w:r w:rsidR="003105E2" w:rsidRPr="003105E2">
        <w:rPr>
          <w:rFonts w:cs="Arial"/>
          <w:color w:val="auto"/>
        </w:rPr>
        <w:t xml:space="preserve"> cost impact of including </w:t>
      </w:r>
      <w:r w:rsidR="0072722B">
        <w:rPr>
          <w:rFonts w:cs="Arial"/>
          <w:color w:val="auto"/>
        </w:rPr>
        <w:t>Community Health Centre</w:t>
      </w:r>
      <w:r w:rsidR="003105E2" w:rsidRPr="003105E2">
        <w:rPr>
          <w:rFonts w:cs="Arial"/>
          <w:color w:val="auto"/>
        </w:rPr>
        <w:t xml:space="preserve">s as eligible employers </w:t>
      </w:r>
      <w:r w:rsidR="00C20417">
        <w:rPr>
          <w:rFonts w:cs="Arial"/>
          <w:color w:val="auto"/>
        </w:rPr>
        <w:t xml:space="preserve">for a small provider (with a total workforce of 100 </w:t>
      </w:r>
      <w:r w:rsidR="00786F76">
        <w:rPr>
          <w:rFonts w:cs="Arial"/>
          <w:color w:val="auto"/>
        </w:rPr>
        <w:t xml:space="preserve">FTE </w:t>
      </w:r>
      <w:r w:rsidR="00C20417">
        <w:rPr>
          <w:rFonts w:cs="Arial"/>
          <w:color w:val="auto"/>
        </w:rPr>
        <w:t xml:space="preserve">staff), a medium provider (with a total workforce of 500 </w:t>
      </w:r>
      <w:r w:rsidR="00786F76">
        <w:rPr>
          <w:rFonts w:cs="Arial"/>
          <w:color w:val="auto"/>
        </w:rPr>
        <w:t xml:space="preserve">FTE </w:t>
      </w:r>
      <w:r w:rsidR="00C20417">
        <w:rPr>
          <w:rFonts w:cs="Arial"/>
          <w:color w:val="auto"/>
        </w:rPr>
        <w:t xml:space="preserve">staff) and a large provider (with a total workforce of </w:t>
      </w:r>
      <w:r w:rsidR="00786F76">
        <w:rPr>
          <w:rFonts w:cs="Arial"/>
          <w:color w:val="auto"/>
        </w:rPr>
        <w:t>1</w:t>
      </w:r>
      <w:r w:rsidR="00597FC3">
        <w:rPr>
          <w:rFonts w:cs="Arial"/>
          <w:color w:val="auto"/>
        </w:rPr>
        <w:t>,</w:t>
      </w:r>
      <w:r w:rsidR="00786F76">
        <w:rPr>
          <w:rFonts w:cs="Arial"/>
          <w:color w:val="auto"/>
        </w:rPr>
        <w:t>000 FTE</w:t>
      </w:r>
      <w:r w:rsidR="00C20417">
        <w:rPr>
          <w:rFonts w:cs="Arial"/>
          <w:color w:val="auto"/>
        </w:rPr>
        <w:t xml:space="preserve"> staff)</w:t>
      </w:r>
      <w:r w:rsidR="003105E2" w:rsidRPr="003105E2">
        <w:rPr>
          <w:rFonts w:cs="Arial"/>
          <w:color w:val="auto"/>
        </w:rPr>
        <w:t xml:space="preserve">. </w:t>
      </w:r>
      <w:r w:rsidR="009713CE" w:rsidRPr="00D50857">
        <w:rPr>
          <w:rFonts w:cs="Arial"/>
          <w:color w:val="auto"/>
        </w:rPr>
        <w:t>It is possible that some providers do not employ any employees to deliver community service work and</w:t>
      </w:r>
      <w:r w:rsidR="00597FC3">
        <w:rPr>
          <w:rFonts w:cs="Arial"/>
          <w:color w:val="auto"/>
        </w:rPr>
        <w:t>,</w:t>
      </w:r>
      <w:r w:rsidR="009713CE" w:rsidRPr="00D50857">
        <w:rPr>
          <w:rFonts w:cs="Arial"/>
          <w:color w:val="auto"/>
        </w:rPr>
        <w:t xml:space="preserve"> therefore, </w:t>
      </w:r>
      <w:r w:rsidR="00597FC3">
        <w:rPr>
          <w:rFonts w:cs="Arial"/>
          <w:color w:val="auto"/>
        </w:rPr>
        <w:t xml:space="preserve">they </w:t>
      </w:r>
      <w:r w:rsidR="009713CE" w:rsidRPr="00D50857">
        <w:rPr>
          <w:rFonts w:cs="Arial"/>
          <w:color w:val="auto"/>
        </w:rPr>
        <w:t>would not be financially impacted by this option.</w:t>
      </w:r>
    </w:p>
    <w:p w14:paraId="09B37439" w14:textId="7AAA506E" w:rsidR="00AD518C" w:rsidRPr="00AD518C" w:rsidRDefault="00AD518C" w:rsidP="00DF2E27">
      <w:pPr>
        <w:pStyle w:val="BodyText"/>
      </w:pPr>
      <w:r>
        <w:fldChar w:fldCharType="begin"/>
      </w:r>
      <w:r>
        <w:instrText xml:space="preserve"> REF _Ref37361638 \h </w:instrText>
      </w:r>
      <w:r>
        <w:fldChar w:fldCharType="separate"/>
      </w:r>
      <w:r w:rsidRPr="00AD518C">
        <w:rPr>
          <w:rFonts w:cs="Arial"/>
        </w:rPr>
        <w:t xml:space="preserve">Figure </w:t>
      </w:r>
      <w:r w:rsidRPr="00AD518C">
        <w:rPr>
          <w:rFonts w:cs="Arial"/>
          <w:noProof/>
        </w:rPr>
        <w:t>5</w:t>
      </w:r>
      <w:r>
        <w:fldChar w:fldCharType="end"/>
      </w:r>
      <w:r>
        <w:t xml:space="preserve"> provides an overview of the assumptions reflected in the estimated impacts. </w:t>
      </w:r>
      <w:r w:rsidRPr="00592BAB">
        <w:t xml:space="preserve"> </w:t>
      </w:r>
    </w:p>
    <w:p w14:paraId="1010E97B" w14:textId="52943ED2" w:rsidR="00242914" w:rsidRDefault="0018208F" w:rsidP="00DF2E27">
      <w:pPr>
        <w:pStyle w:val="BodyText"/>
        <w:rPr>
          <w:rFonts w:cs="Arial"/>
          <w:color w:val="auto"/>
        </w:rPr>
      </w:pPr>
      <w:r>
        <w:rPr>
          <w:rFonts w:cs="Arial"/>
          <w:color w:val="auto"/>
        </w:rPr>
        <w:t xml:space="preserve">Some </w:t>
      </w:r>
      <w:r w:rsidR="0072722B">
        <w:rPr>
          <w:rFonts w:cs="Arial"/>
          <w:color w:val="auto"/>
        </w:rPr>
        <w:t>Community Health</w:t>
      </w:r>
      <w:r w:rsidR="00D74617">
        <w:rPr>
          <w:rFonts w:cs="Arial"/>
          <w:color w:val="auto"/>
        </w:rPr>
        <w:t xml:space="preserve"> providers consulted stated that </w:t>
      </w:r>
      <w:r w:rsidR="0028607F">
        <w:rPr>
          <w:rFonts w:cs="Arial"/>
          <w:color w:val="auto"/>
        </w:rPr>
        <w:t>the cost impact</w:t>
      </w:r>
      <w:r>
        <w:rPr>
          <w:rFonts w:cs="Arial"/>
          <w:color w:val="auto"/>
        </w:rPr>
        <w:t>s</w:t>
      </w:r>
      <w:r w:rsidR="0028607F">
        <w:rPr>
          <w:rFonts w:cs="Arial"/>
          <w:color w:val="auto"/>
        </w:rPr>
        <w:t xml:space="preserve"> of the Scheme </w:t>
      </w:r>
      <w:r>
        <w:rPr>
          <w:rFonts w:cs="Arial"/>
          <w:color w:val="auto"/>
        </w:rPr>
        <w:t xml:space="preserve">would be </w:t>
      </w:r>
      <w:r w:rsidR="0028607F">
        <w:rPr>
          <w:rFonts w:cs="Arial"/>
          <w:color w:val="auto"/>
        </w:rPr>
        <w:t>equal to many providers’ operating surplus</w:t>
      </w:r>
      <w:r>
        <w:rPr>
          <w:rFonts w:cs="Arial"/>
          <w:color w:val="auto"/>
        </w:rPr>
        <w:t>.</w:t>
      </w:r>
      <w:r w:rsidR="0028607F">
        <w:rPr>
          <w:rFonts w:cs="Arial"/>
          <w:color w:val="auto"/>
        </w:rPr>
        <w:t xml:space="preserve"> </w:t>
      </w:r>
      <w:r w:rsidR="00085952">
        <w:rPr>
          <w:rFonts w:cs="Arial"/>
          <w:color w:val="auto"/>
        </w:rPr>
        <w:t>A number</w:t>
      </w:r>
      <w:r w:rsidR="0028607F">
        <w:rPr>
          <w:rFonts w:cs="Arial"/>
          <w:color w:val="auto"/>
        </w:rPr>
        <w:t xml:space="preserve"> of providers</w:t>
      </w:r>
      <w:r w:rsidR="00085952">
        <w:rPr>
          <w:rFonts w:cs="Arial"/>
          <w:color w:val="auto"/>
        </w:rPr>
        <w:t xml:space="preserve"> interviewed</w:t>
      </w:r>
      <w:r w:rsidR="0028607F">
        <w:rPr>
          <w:rFonts w:cs="Arial"/>
          <w:color w:val="auto"/>
        </w:rPr>
        <w:t xml:space="preserve"> made clear that they would seriously consider merging </w:t>
      </w:r>
      <w:r>
        <w:rPr>
          <w:rFonts w:cs="Arial"/>
          <w:color w:val="auto"/>
        </w:rPr>
        <w:t xml:space="preserve">with a </w:t>
      </w:r>
      <w:r w:rsidR="0028607F">
        <w:rPr>
          <w:rFonts w:cs="Arial"/>
          <w:color w:val="auto"/>
        </w:rPr>
        <w:t xml:space="preserve">state hospital </w:t>
      </w:r>
      <w:r>
        <w:rPr>
          <w:rFonts w:cs="Arial"/>
          <w:color w:val="auto"/>
        </w:rPr>
        <w:t>as a way of en</w:t>
      </w:r>
      <w:r w:rsidR="00757EA2">
        <w:rPr>
          <w:rFonts w:cs="Arial"/>
          <w:color w:val="auto"/>
        </w:rPr>
        <w:t>sur</w:t>
      </w:r>
      <w:r w:rsidR="00682E17">
        <w:rPr>
          <w:rFonts w:cs="Arial"/>
          <w:color w:val="auto"/>
        </w:rPr>
        <w:t>ing</w:t>
      </w:r>
      <w:r w:rsidR="00757EA2">
        <w:rPr>
          <w:rFonts w:cs="Arial"/>
          <w:color w:val="auto"/>
        </w:rPr>
        <w:t xml:space="preserve"> they remained outside the S</w:t>
      </w:r>
      <w:r>
        <w:rPr>
          <w:rFonts w:cs="Arial"/>
          <w:color w:val="auto"/>
        </w:rPr>
        <w:t>cheme and to improve their financial viability.</w:t>
      </w:r>
      <w:r w:rsidR="0028607F">
        <w:rPr>
          <w:rFonts w:cs="Arial"/>
          <w:color w:val="auto"/>
        </w:rPr>
        <w:t xml:space="preserve"> </w:t>
      </w:r>
      <w:r w:rsidR="008E2C49">
        <w:rPr>
          <w:rFonts w:cs="Arial"/>
          <w:color w:val="auto"/>
        </w:rPr>
        <w:t xml:space="preserve">Service providers also stated that they could only afford the additional cost </w:t>
      </w:r>
      <w:r>
        <w:rPr>
          <w:rFonts w:cs="Arial"/>
          <w:color w:val="auto"/>
        </w:rPr>
        <w:t xml:space="preserve">associated with the Scheme </w:t>
      </w:r>
      <w:r w:rsidR="008E2C49">
        <w:rPr>
          <w:rFonts w:cs="Arial"/>
          <w:color w:val="auto"/>
        </w:rPr>
        <w:t>by cutting services or staff.</w:t>
      </w:r>
    </w:p>
    <w:p w14:paraId="6D3F59E3" w14:textId="1C3AD4E9" w:rsidR="0018208F" w:rsidRPr="0028607F" w:rsidRDefault="0018208F" w:rsidP="0018208F">
      <w:pPr>
        <w:pStyle w:val="Caption"/>
        <w:rPr>
          <w:rFonts w:ascii="Arial" w:hAnsi="Arial" w:cs="Arial"/>
        </w:rPr>
      </w:pPr>
      <w:bookmarkStart w:id="125" w:name="_Ref35940911"/>
      <w:r w:rsidRPr="0028607F">
        <w:rPr>
          <w:rFonts w:ascii="Arial" w:hAnsi="Arial" w:cs="Arial"/>
        </w:rPr>
        <w:t xml:space="preserve">Table </w:t>
      </w:r>
      <w:r w:rsidRPr="0028607F">
        <w:rPr>
          <w:rFonts w:ascii="Arial" w:hAnsi="Arial" w:cs="Arial"/>
        </w:rPr>
        <w:fldChar w:fldCharType="begin"/>
      </w:r>
      <w:r w:rsidRPr="0028607F">
        <w:rPr>
          <w:rFonts w:ascii="Arial" w:hAnsi="Arial" w:cs="Arial"/>
        </w:rPr>
        <w:instrText xml:space="preserve"> SEQ Table \* ARABIC </w:instrText>
      </w:r>
      <w:r w:rsidRPr="0028607F">
        <w:rPr>
          <w:rFonts w:ascii="Arial" w:hAnsi="Arial" w:cs="Arial"/>
        </w:rPr>
        <w:fldChar w:fldCharType="separate"/>
      </w:r>
      <w:r w:rsidR="00EB4037">
        <w:rPr>
          <w:rFonts w:ascii="Arial" w:hAnsi="Arial" w:cs="Arial"/>
          <w:noProof/>
        </w:rPr>
        <w:t>10</w:t>
      </w:r>
      <w:r w:rsidRPr="0028607F">
        <w:rPr>
          <w:rFonts w:ascii="Arial" w:hAnsi="Arial" w:cs="Arial"/>
        </w:rPr>
        <w:fldChar w:fldCharType="end"/>
      </w:r>
      <w:bookmarkEnd w:id="125"/>
      <w:r>
        <w:rPr>
          <w:rFonts w:ascii="Arial" w:hAnsi="Arial" w:cs="Arial"/>
        </w:rPr>
        <w:t xml:space="preserve">: Summary of estimated financial impact on </w:t>
      </w:r>
      <w:r w:rsidR="0072722B">
        <w:rPr>
          <w:rFonts w:ascii="Arial" w:hAnsi="Arial" w:cs="Arial"/>
        </w:rPr>
        <w:t>Community Health Centre</w:t>
      </w:r>
      <w:r>
        <w:rPr>
          <w:rFonts w:ascii="Arial" w:hAnsi="Arial" w:cs="Arial"/>
        </w:rPr>
        <w:t>s</w:t>
      </w:r>
    </w:p>
    <w:tbl>
      <w:tblPr>
        <w:tblW w:w="8813" w:type="dxa"/>
        <w:tblLook w:val="04A0" w:firstRow="1" w:lastRow="0" w:firstColumn="1" w:lastColumn="0" w:noHBand="0" w:noVBand="1"/>
      </w:tblPr>
      <w:tblGrid>
        <w:gridCol w:w="1985"/>
        <w:gridCol w:w="2421"/>
        <w:gridCol w:w="1973"/>
        <w:gridCol w:w="2434"/>
      </w:tblGrid>
      <w:tr w:rsidR="0018208F" w14:paraId="660300EF" w14:textId="77777777" w:rsidTr="001A238C">
        <w:trPr>
          <w:trHeight w:val="454"/>
        </w:trPr>
        <w:tc>
          <w:tcPr>
            <w:tcW w:w="8813" w:type="dxa"/>
            <w:gridSpan w:val="4"/>
            <w:tcBorders>
              <w:top w:val="nil"/>
              <w:left w:val="nil"/>
              <w:bottom w:val="nil"/>
              <w:right w:val="single" w:sz="8" w:space="0" w:color="auto"/>
            </w:tcBorders>
            <w:shd w:val="clear" w:color="auto" w:fill="002060"/>
            <w:vAlign w:val="center"/>
          </w:tcPr>
          <w:p w14:paraId="32684A9C" w14:textId="1806A139" w:rsidR="0018208F" w:rsidRPr="00423F3A" w:rsidRDefault="0018208F" w:rsidP="00D215A9">
            <w:pPr>
              <w:keepNext/>
              <w:spacing w:after="0" w:line="240" w:lineRule="auto"/>
              <w:rPr>
                <w:rFonts w:ascii="Arial" w:eastAsia="Times New Roman" w:hAnsi="Arial" w:cs="Arial"/>
                <w:b/>
                <w:bCs/>
                <w:color w:val="FFFFFF" w:themeColor="background1"/>
                <w:lang w:eastAsia="en-AU"/>
              </w:rPr>
            </w:pPr>
            <w:r>
              <w:rPr>
                <w:rFonts w:ascii="Arial" w:eastAsia="Times New Roman" w:hAnsi="Arial" w:cs="Arial"/>
                <w:b/>
                <w:bCs/>
                <w:color w:val="FFFFFF" w:themeColor="background1"/>
                <w:lang w:eastAsia="en-AU"/>
              </w:rPr>
              <w:t>Approximate annual cost increase per provider (1.65% levy)</w:t>
            </w:r>
          </w:p>
        </w:tc>
      </w:tr>
      <w:tr w:rsidR="0018208F" w14:paraId="28C8D78B" w14:textId="77777777" w:rsidTr="001A238C">
        <w:trPr>
          <w:trHeight w:val="567"/>
        </w:trPr>
        <w:tc>
          <w:tcPr>
            <w:tcW w:w="4406" w:type="dxa"/>
            <w:gridSpan w:val="2"/>
            <w:tcBorders>
              <w:top w:val="nil"/>
              <w:left w:val="nil"/>
              <w:bottom w:val="nil"/>
              <w:right w:val="single" w:sz="8" w:space="0" w:color="auto"/>
            </w:tcBorders>
            <w:shd w:val="clear" w:color="auto" w:fill="B4C6E7" w:themeFill="accent5" w:themeFillTint="66"/>
            <w:vAlign w:val="center"/>
          </w:tcPr>
          <w:p w14:paraId="1C47CEDB" w14:textId="68EFDBC5" w:rsidR="0018208F" w:rsidRPr="00760E95" w:rsidRDefault="0018208F">
            <w:pPr>
              <w:keepNext/>
              <w:spacing w:after="0" w:line="240" w:lineRule="auto"/>
              <w:jc w:val="center"/>
              <w:rPr>
                <w:rFonts w:ascii="Arial" w:eastAsia="Times New Roman" w:hAnsi="Arial" w:cs="Arial"/>
                <w:color w:val="000000"/>
                <w:lang w:eastAsia="en-AU"/>
              </w:rPr>
            </w:pPr>
            <w:r>
              <w:rPr>
                <w:rFonts w:ascii="Arial" w:eastAsia="Times New Roman" w:hAnsi="Arial" w:cs="Arial"/>
                <w:color w:val="000000"/>
                <w:lang w:eastAsia="en-AU"/>
              </w:rPr>
              <w:t>10%</w:t>
            </w:r>
            <w:r w:rsidRPr="00760E95">
              <w:rPr>
                <w:rFonts w:ascii="Arial" w:eastAsia="Times New Roman" w:hAnsi="Arial" w:cs="Arial"/>
                <w:color w:val="000000"/>
                <w:lang w:eastAsia="en-AU"/>
              </w:rPr>
              <w:t xml:space="preserve"> </w:t>
            </w:r>
            <w:r w:rsidR="00D73984">
              <w:rPr>
                <w:rFonts w:ascii="Arial" w:eastAsia="Times New Roman" w:hAnsi="Arial" w:cs="Arial"/>
                <w:color w:val="000000"/>
                <w:lang w:eastAsia="en-AU"/>
              </w:rPr>
              <w:t>of workforce covered by the Scheme</w:t>
            </w:r>
          </w:p>
        </w:tc>
        <w:tc>
          <w:tcPr>
            <w:tcW w:w="4407" w:type="dxa"/>
            <w:gridSpan w:val="2"/>
            <w:tcBorders>
              <w:top w:val="nil"/>
              <w:left w:val="single" w:sz="8" w:space="0" w:color="auto"/>
              <w:bottom w:val="nil"/>
              <w:right w:val="nil"/>
            </w:tcBorders>
            <w:shd w:val="clear" w:color="auto" w:fill="B4C6E7" w:themeFill="accent5" w:themeFillTint="66"/>
            <w:vAlign w:val="center"/>
          </w:tcPr>
          <w:p w14:paraId="09D76EF8" w14:textId="54CF0A94" w:rsidR="0018208F" w:rsidRPr="00760E95" w:rsidRDefault="0018208F" w:rsidP="001A238C">
            <w:pPr>
              <w:keepNext/>
              <w:spacing w:after="0" w:line="240" w:lineRule="auto"/>
              <w:jc w:val="center"/>
              <w:rPr>
                <w:rFonts w:ascii="Arial" w:eastAsia="Times New Roman" w:hAnsi="Arial" w:cs="Arial"/>
                <w:bCs/>
                <w:color w:val="000000"/>
                <w:lang w:eastAsia="en-AU"/>
              </w:rPr>
            </w:pPr>
            <w:r>
              <w:rPr>
                <w:rFonts w:ascii="Arial" w:eastAsia="Times New Roman" w:hAnsi="Arial" w:cs="Arial"/>
                <w:bCs/>
                <w:color w:val="000000"/>
                <w:lang w:eastAsia="en-AU"/>
              </w:rPr>
              <w:t>50%</w:t>
            </w:r>
            <w:r w:rsidRPr="00760E95">
              <w:rPr>
                <w:rFonts w:ascii="Arial" w:eastAsia="Times New Roman" w:hAnsi="Arial" w:cs="Arial"/>
                <w:bCs/>
                <w:color w:val="000000"/>
                <w:lang w:eastAsia="en-AU"/>
              </w:rPr>
              <w:t xml:space="preserve"> </w:t>
            </w:r>
            <w:r w:rsidR="00D73984">
              <w:rPr>
                <w:rFonts w:ascii="Arial" w:eastAsia="Times New Roman" w:hAnsi="Arial" w:cs="Arial"/>
                <w:color w:val="000000"/>
                <w:lang w:eastAsia="en-AU"/>
              </w:rPr>
              <w:t>of workforce covered by the Scheme</w:t>
            </w:r>
          </w:p>
        </w:tc>
      </w:tr>
      <w:tr w:rsidR="0018208F" w14:paraId="770EE535" w14:textId="77777777" w:rsidTr="001A238C">
        <w:trPr>
          <w:trHeight w:val="567"/>
        </w:trPr>
        <w:tc>
          <w:tcPr>
            <w:tcW w:w="1985" w:type="dxa"/>
            <w:tcBorders>
              <w:top w:val="nil"/>
              <w:left w:val="nil"/>
              <w:bottom w:val="nil"/>
              <w:right w:val="single" w:sz="4" w:space="0" w:color="000000"/>
            </w:tcBorders>
            <w:shd w:val="clear" w:color="auto" w:fill="DEEAF6" w:themeFill="accent1" w:themeFillTint="33"/>
            <w:vAlign w:val="center"/>
          </w:tcPr>
          <w:p w14:paraId="3C01B2DB" w14:textId="77777777" w:rsidR="0018208F" w:rsidRPr="00C20417" w:rsidRDefault="0018208F" w:rsidP="001A238C">
            <w:pPr>
              <w:keepNext/>
              <w:spacing w:after="0" w:line="240" w:lineRule="auto"/>
              <w:jc w:val="center"/>
              <w:rPr>
                <w:rFonts w:ascii="Arial" w:eastAsia="Times New Roman" w:hAnsi="Arial" w:cs="Arial"/>
                <w:color w:val="000000"/>
                <w:lang w:eastAsia="en-AU"/>
              </w:rPr>
            </w:pPr>
            <w:r w:rsidRPr="00C20417">
              <w:rPr>
                <w:rFonts w:ascii="Arial" w:eastAsia="Times New Roman" w:hAnsi="Arial" w:cs="Arial"/>
                <w:color w:val="000000"/>
                <w:lang w:eastAsia="en-AU"/>
              </w:rPr>
              <w:t>Small</w:t>
            </w:r>
            <w:r>
              <w:rPr>
                <w:rFonts w:ascii="Arial" w:eastAsia="Times New Roman" w:hAnsi="Arial" w:cs="Arial"/>
                <w:color w:val="000000"/>
                <w:lang w:eastAsia="en-AU"/>
              </w:rPr>
              <w:t xml:space="preserve"> provider</w:t>
            </w:r>
          </w:p>
        </w:tc>
        <w:tc>
          <w:tcPr>
            <w:tcW w:w="2421" w:type="dxa"/>
            <w:tcBorders>
              <w:top w:val="nil"/>
              <w:left w:val="single" w:sz="4" w:space="0" w:color="000000"/>
              <w:bottom w:val="nil"/>
              <w:right w:val="single" w:sz="8" w:space="0" w:color="auto"/>
            </w:tcBorders>
            <w:shd w:val="clear" w:color="auto" w:fill="DEEAF6" w:themeFill="accent1" w:themeFillTint="33"/>
            <w:vAlign w:val="center"/>
          </w:tcPr>
          <w:p w14:paraId="283760B7" w14:textId="4620421C" w:rsidR="0018208F" w:rsidRPr="00760E95" w:rsidRDefault="0018208F" w:rsidP="00597FC3">
            <w:pPr>
              <w:keepNext/>
              <w:tabs>
                <w:tab w:val="decimal" w:pos="1325"/>
              </w:tabs>
              <w:spacing w:after="0" w:line="240" w:lineRule="auto"/>
              <w:rPr>
                <w:rFonts w:ascii="Arial" w:eastAsia="Times New Roman" w:hAnsi="Arial" w:cs="Arial"/>
                <w:b/>
                <w:color w:val="000000"/>
                <w:lang w:eastAsia="en-AU"/>
              </w:rPr>
            </w:pPr>
            <w:r>
              <w:rPr>
                <w:rFonts w:ascii="Arial" w:eastAsia="Times New Roman" w:hAnsi="Arial" w:cs="Arial"/>
                <w:b/>
                <w:color w:val="000000"/>
                <w:lang w:eastAsia="en-AU"/>
              </w:rPr>
              <w:t>$1</w:t>
            </w:r>
            <w:r w:rsidR="009B408D">
              <w:rPr>
                <w:rFonts w:ascii="Arial" w:eastAsia="Times New Roman" w:hAnsi="Arial" w:cs="Arial"/>
                <w:b/>
                <w:color w:val="000000"/>
                <w:lang w:eastAsia="en-AU"/>
              </w:rPr>
              <w:t>2</w:t>
            </w:r>
            <w:r>
              <w:rPr>
                <w:rFonts w:ascii="Arial" w:eastAsia="Times New Roman" w:hAnsi="Arial" w:cs="Arial"/>
                <w:b/>
                <w:color w:val="000000"/>
                <w:lang w:eastAsia="en-AU"/>
              </w:rPr>
              <w:t>,</w:t>
            </w:r>
            <w:r w:rsidR="009B408D">
              <w:rPr>
                <w:rFonts w:ascii="Arial" w:eastAsia="Times New Roman" w:hAnsi="Arial" w:cs="Arial"/>
                <w:b/>
                <w:color w:val="000000"/>
                <w:lang w:eastAsia="en-AU"/>
              </w:rPr>
              <w:t>0</w:t>
            </w:r>
            <w:r>
              <w:rPr>
                <w:rFonts w:ascii="Arial" w:eastAsia="Times New Roman" w:hAnsi="Arial" w:cs="Arial"/>
                <w:b/>
                <w:color w:val="000000"/>
                <w:lang w:eastAsia="en-AU"/>
              </w:rPr>
              <w:t>00</w:t>
            </w:r>
          </w:p>
        </w:tc>
        <w:tc>
          <w:tcPr>
            <w:tcW w:w="1973" w:type="dxa"/>
            <w:tcBorders>
              <w:top w:val="nil"/>
              <w:left w:val="single" w:sz="8" w:space="0" w:color="auto"/>
              <w:bottom w:val="nil"/>
              <w:right w:val="single" w:sz="4" w:space="0" w:color="000000"/>
            </w:tcBorders>
            <w:shd w:val="clear" w:color="auto" w:fill="DEEAF6"/>
            <w:vAlign w:val="center"/>
          </w:tcPr>
          <w:p w14:paraId="6F860832" w14:textId="77777777" w:rsidR="0018208F" w:rsidRPr="00C20417" w:rsidRDefault="0018208F" w:rsidP="001A238C">
            <w:pPr>
              <w:keepNext/>
              <w:spacing w:after="0" w:line="240" w:lineRule="auto"/>
              <w:jc w:val="center"/>
              <w:rPr>
                <w:rFonts w:ascii="Arial" w:eastAsia="Times New Roman" w:hAnsi="Arial" w:cs="Arial"/>
                <w:b/>
                <w:bCs/>
                <w:color w:val="000000"/>
                <w:lang w:eastAsia="en-AU"/>
              </w:rPr>
            </w:pPr>
            <w:r w:rsidRPr="00C20417">
              <w:rPr>
                <w:rFonts w:ascii="Arial" w:eastAsia="Times New Roman" w:hAnsi="Arial" w:cs="Arial"/>
                <w:color w:val="000000"/>
                <w:lang w:eastAsia="en-AU"/>
              </w:rPr>
              <w:t>Small</w:t>
            </w:r>
            <w:r>
              <w:rPr>
                <w:rFonts w:ascii="Arial" w:eastAsia="Times New Roman" w:hAnsi="Arial" w:cs="Arial"/>
                <w:color w:val="000000"/>
                <w:lang w:eastAsia="en-AU"/>
              </w:rPr>
              <w:t xml:space="preserve"> provider</w:t>
            </w:r>
          </w:p>
        </w:tc>
        <w:tc>
          <w:tcPr>
            <w:tcW w:w="2434" w:type="dxa"/>
            <w:tcBorders>
              <w:top w:val="nil"/>
              <w:left w:val="single" w:sz="4" w:space="0" w:color="000000"/>
              <w:bottom w:val="nil"/>
              <w:right w:val="nil"/>
            </w:tcBorders>
            <w:shd w:val="clear" w:color="auto" w:fill="DEEAF6"/>
            <w:vAlign w:val="center"/>
          </w:tcPr>
          <w:p w14:paraId="03F55D74" w14:textId="177322FD" w:rsidR="0018208F" w:rsidRPr="00597FC3" w:rsidRDefault="0018208F" w:rsidP="00597FC3">
            <w:pPr>
              <w:keepNext/>
              <w:tabs>
                <w:tab w:val="decimal" w:pos="1325"/>
              </w:tabs>
              <w:spacing w:after="0" w:line="240" w:lineRule="auto"/>
              <w:rPr>
                <w:rFonts w:ascii="Arial" w:eastAsia="Times New Roman" w:hAnsi="Arial" w:cs="Arial"/>
                <w:b/>
                <w:color w:val="000000"/>
                <w:lang w:eastAsia="en-AU"/>
              </w:rPr>
            </w:pPr>
            <w:r w:rsidRPr="00597FC3">
              <w:rPr>
                <w:rFonts w:ascii="Arial" w:eastAsia="Times New Roman" w:hAnsi="Arial" w:cs="Arial"/>
                <w:b/>
                <w:color w:val="000000"/>
                <w:lang w:eastAsia="en-AU"/>
              </w:rPr>
              <w:t>$5</w:t>
            </w:r>
            <w:r w:rsidR="009B408D" w:rsidRPr="00597FC3">
              <w:rPr>
                <w:rFonts w:ascii="Arial" w:eastAsia="Times New Roman" w:hAnsi="Arial" w:cs="Arial"/>
                <w:b/>
                <w:color w:val="000000"/>
                <w:lang w:eastAsia="en-AU"/>
              </w:rPr>
              <w:t>8</w:t>
            </w:r>
            <w:r w:rsidRPr="00597FC3">
              <w:rPr>
                <w:rFonts w:ascii="Arial" w:eastAsia="Times New Roman" w:hAnsi="Arial" w:cs="Arial"/>
                <w:b/>
                <w:color w:val="000000"/>
                <w:lang w:eastAsia="en-AU"/>
              </w:rPr>
              <w:t>,</w:t>
            </w:r>
            <w:r w:rsidR="009B408D" w:rsidRPr="00597FC3">
              <w:rPr>
                <w:rFonts w:ascii="Arial" w:eastAsia="Times New Roman" w:hAnsi="Arial" w:cs="Arial"/>
                <w:b/>
                <w:color w:val="000000"/>
                <w:lang w:eastAsia="en-AU"/>
              </w:rPr>
              <w:t>0</w:t>
            </w:r>
            <w:r w:rsidRPr="00597FC3">
              <w:rPr>
                <w:rFonts w:ascii="Arial" w:eastAsia="Times New Roman" w:hAnsi="Arial" w:cs="Arial"/>
                <w:b/>
                <w:color w:val="000000"/>
                <w:lang w:eastAsia="en-AU"/>
              </w:rPr>
              <w:t>00</w:t>
            </w:r>
          </w:p>
        </w:tc>
      </w:tr>
      <w:tr w:rsidR="0018208F" w14:paraId="58BFB573" w14:textId="77777777" w:rsidTr="001A238C">
        <w:trPr>
          <w:trHeight w:val="567"/>
        </w:trPr>
        <w:tc>
          <w:tcPr>
            <w:tcW w:w="1985" w:type="dxa"/>
            <w:tcBorders>
              <w:top w:val="nil"/>
              <w:left w:val="nil"/>
              <w:bottom w:val="nil"/>
              <w:right w:val="single" w:sz="4" w:space="0" w:color="000000"/>
            </w:tcBorders>
            <w:shd w:val="clear" w:color="auto" w:fill="DEEAF6" w:themeFill="accent1" w:themeFillTint="33"/>
            <w:vAlign w:val="center"/>
          </w:tcPr>
          <w:p w14:paraId="117C19B1" w14:textId="77777777" w:rsidR="0018208F" w:rsidRPr="00C20417" w:rsidRDefault="0018208F" w:rsidP="001A238C">
            <w:pPr>
              <w:keepNext/>
              <w:spacing w:after="0" w:line="240" w:lineRule="auto"/>
              <w:jc w:val="center"/>
              <w:rPr>
                <w:rFonts w:ascii="Arial" w:eastAsia="Times New Roman" w:hAnsi="Arial" w:cs="Arial"/>
                <w:color w:val="000000"/>
                <w:lang w:eastAsia="en-AU"/>
              </w:rPr>
            </w:pPr>
            <w:r w:rsidRPr="00C20417">
              <w:rPr>
                <w:rFonts w:ascii="Arial" w:eastAsia="Times New Roman" w:hAnsi="Arial" w:cs="Arial"/>
                <w:color w:val="000000"/>
                <w:lang w:eastAsia="en-AU"/>
              </w:rPr>
              <w:t>Medium</w:t>
            </w:r>
            <w:r>
              <w:rPr>
                <w:rFonts w:ascii="Arial" w:eastAsia="Times New Roman" w:hAnsi="Arial" w:cs="Arial"/>
                <w:color w:val="000000"/>
                <w:lang w:eastAsia="en-AU"/>
              </w:rPr>
              <w:t xml:space="preserve"> provider </w:t>
            </w:r>
          </w:p>
        </w:tc>
        <w:tc>
          <w:tcPr>
            <w:tcW w:w="2421" w:type="dxa"/>
            <w:tcBorders>
              <w:top w:val="nil"/>
              <w:left w:val="single" w:sz="4" w:space="0" w:color="000000"/>
              <w:bottom w:val="nil"/>
              <w:right w:val="single" w:sz="8" w:space="0" w:color="auto"/>
            </w:tcBorders>
            <w:shd w:val="clear" w:color="auto" w:fill="DEEAF6" w:themeFill="accent1" w:themeFillTint="33"/>
            <w:vAlign w:val="center"/>
          </w:tcPr>
          <w:p w14:paraId="60F26374" w14:textId="469FEA65" w:rsidR="0018208F" w:rsidRDefault="0018208F" w:rsidP="00597FC3">
            <w:pPr>
              <w:keepNext/>
              <w:tabs>
                <w:tab w:val="decimal" w:pos="1325"/>
              </w:tabs>
              <w:spacing w:after="0" w:line="240" w:lineRule="auto"/>
              <w:rPr>
                <w:rFonts w:ascii="Arial" w:eastAsia="Times New Roman" w:hAnsi="Arial" w:cs="Arial"/>
                <w:b/>
                <w:color w:val="000000"/>
                <w:lang w:eastAsia="en-AU"/>
              </w:rPr>
            </w:pPr>
            <w:r>
              <w:rPr>
                <w:rFonts w:ascii="Arial" w:eastAsia="Times New Roman" w:hAnsi="Arial" w:cs="Arial"/>
                <w:b/>
                <w:color w:val="000000"/>
                <w:lang w:eastAsia="en-AU"/>
              </w:rPr>
              <w:t>$5</w:t>
            </w:r>
            <w:r w:rsidR="009B408D">
              <w:rPr>
                <w:rFonts w:ascii="Arial" w:eastAsia="Times New Roman" w:hAnsi="Arial" w:cs="Arial"/>
                <w:b/>
                <w:color w:val="000000"/>
                <w:lang w:eastAsia="en-AU"/>
              </w:rPr>
              <w:t>8</w:t>
            </w:r>
            <w:r>
              <w:rPr>
                <w:rFonts w:ascii="Arial" w:eastAsia="Times New Roman" w:hAnsi="Arial" w:cs="Arial"/>
                <w:b/>
                <w:color w:val="000000"/>
                <w:lang w:eastAsia="en-AU"/>
              </w:rPr>
              <w:t>,</w:t>
            </w:r>
            <w:r w:rsidR="009B408D">
              <w:rPr>
                <w:rFonts w:ascii="Arial" w:eastAsia="Times New Roman" w:hAnsi="Arial" w:cs="Arial"/>
                <w:b/>
                <w:color w:val="000000"/>
                <w:lang w:eastAsia="en-AU"/>
              </w:rPr>
              <w:t>0</w:t>
            </w:r>
            <w:r>
              <w:rPr>
                <w:rFonts w:ascii="Arial" w:eastAsia="Times New Roman" w:hAnsi="Arial" w:cs="Arial"/>
                <w:b/>
                <w:color w:val="000000"/>
                <w:lang w:eastAsia="en-AU"/>
              </w:rPr>
              <w:t>00</w:t>
            </w:r>
          </w:p>
        </w:tc>
        <w:tc>
          <w:tcPr>
            <w:tcW w:w="1973" w:type="dxa"/>
            <w:tcBorders>
              <w:top w:val="nil"/>
              <w:left w:val="single" w:sz="8" w:space="0" w:color="auto"/>
              <w:bottom w:val="nil"/>
              <w:right w:val="single" w:sz="4" w:space="0" w:color="000000"/>
            </w:tcBorders>
            <w:shd w:val="clear" w:color="auto" w:fill="DEEAF6"/>
            <w:vAlign w:val="center"/>
          </w:tcPr>
          <w:p w14:paraId="4DDE5645" w14:textId="77777777" w:rsidR="0018208F" w:rsidRDefault="0018208F" w:rsidP="001A238C">
            <w:pPr>
              <w:keepNext/>
              <w:spacing w:after="0" w:line="240" w:lineRule="auto"/>
              <w:jc w:val="center"/>
              <w:rPr>
                <w:rFonts w:ascii="Arial" w:eastAsia="Times New Roman" w:hAnsi="Arial" w:cs="Arial"/>
                <w:b/>
                <w:bCs/>
                <w:color w:val="000000"/>
                <w:lang w:eastAsia="en-AU"/>
              </w:rPr>
            </w:pPr>
            <w:r w:rsidRPr="00C20417">
              <w:rPr>
                <w:rFonts w:ascii="Arial" w:eastAsia="Times New Roman" w:hAnsi="Arial" w:cs="Arial"/>
                <w:color w:val="000000"/>
                <w:lang w:eastAsia="en-AU"/>
              </w:rPr>
              <w:t>Medium</w:t>
            </w:r>
            <w:r>
              <w:rPr>
                <w:rFonts w:ascii="Arial" w:eastAsia="Times New Roman" w:hAnsi="Arial" w:cs="Arial"/>
                <w:color w:val="000000"/>
                <w:lang w:eastAsia="en-AU"/>
              </w:rPr>
              <w:t xml:space="preserve"> provider </w:t>
            </w:r>
          </w:p>
        </w:tc>
        <w:tc>
          <w:tcPr>
            <w:tcW w:w="2434" w:type="dxa"/>
            <w:tcBorders>
              <w:top w:val="nil"/>
              <w:left w:val="single" w:sz="4" w:space="0" w:color="000000"/>
              <w:bottom w:val="nil"/>
              <w:right w:val="nil"/>
            </w:tcBorders>
            <w:shd w:val="clear" w:color="auto" w:fill="DEEAF6"/>
            <w:vAlign w:val="center"/>
          </w:tcPr>
          <w:p w14:paraId="65A07BF1" w14:textId="37829C5E" w:rsidR="0018208F" w:rsidRPr="00597FC3" w:rsidRDefault="0018208F" w:rsidP="00597FC3">
            <w:pPr>
              <w:keepNext/>
              <w:tabs>
                <w:tab w:val="decimal" w:pos="1325"/>
              </w:tabs>
              <w:spacing w:after="0" w:line="240" w:lineRule="auto"/>
              <w:rPr>
                <w:rFonts w:ascii="Arial" w:eastAsia="Times New Roman" w:hAnsi="Arial" w:cs="Arial"/>
                <w:b/>
                <w:color w:val="000000"/>
                <w:lang w:eastAsia="en-AU"/>
              </w:rPr>
            </w:pPr>
            <w:r w:rsidRPr="00597FC3">
              <w:rPr>
                <w:rFonts w:ascii="Arial" w:eastAsia="Times New Roman" w:hAnsi="Arial" w:cs="Arial"/>
                <w:b/>
                <w:color w:val="000000"/>
                <w:lang w:eastAsia="en-AU"/>
              </w:rPr>
              <w:t>$28</w:t>
            </w:r>
            <w:r w:rsidR="009B408D" w:rsidRPr="00597FC3">
              <w:rPr>
                <w:rFonts w:ascii="Arial" w:eastAsia="Times New Roman" w:hAnsi="Arial" w:cs="Arial"/>
                <w:b/>
                <w:color w:val="000000"/>
                <w:lang w:eastAsia="en-AU"/>
              </w:rPr>
              <w:t>9</w:t>
            </w:r>
            <w:r w:rsidRPr="00597FC3">
              <w:rPr>
                <w:rFonts w:ascii="Arial" w:eastAsia="Times New Roman" w:hAnsi="Arial" w:cs="Arial"/>
                <w:b/>
                <w:color w:val="000000"/>
                <w:lang w:eastAsia="en-AU"/>
              </w:rPr>
              <w:t>,</w:t>
            </w:r>
            <w:r w:rsidR="009B408D" w:rsidRPr="00597FC3">
              <w:rPr>
                <w:rFonts w:ascii="Arial" w:eastAsia="Times New Roman" w:hAnsi="Arial" w:cs="Arial"/>
                <w:b/>
                <w:color w:val="000000"/>
                <w:lang w:eastAsia="en-AU"/>
              </w:rPr>
              <w:t>0</w:t>
            </w:r>
            <w:r w:rsidRPr="00597FC3">
              <w:rPr>
                <w:rFonts w:ascii="Arial" w:eastAsia="Times New Roman" w:hAnsi="Arial" w:cs="Arial"/>
                <w:b/>
                <w:color w:val="000000"/>
                <w:lang w:eastAsia="en-AU"/>
              </w:rPr>
              <w:t>00</w:t>
            </w:r>
          </w:p>
        </w:tc>
      </w:tr>
      <w:tr w:rsidR="0018208F" w14:paraId="193CF7C8" w14:textId="77777777" w:rsidTr="001A238C">
        <w:trPr>
          <w:trHeight w:val="567"/>
        </w:trPr>
        <w:tc>
          <w:tcPr>
            <w:tcW w:w="1985" w:type="dxa"/>
            <w:tcBorders>
              <w:top w:val="nil"/>
              <w:left w:val="nil"/>
              <w:bottom w:val="nil"/>
              <w:right w:val="single" w:sz="4" w:space="0" w:color="000000"/>
            </w:tcBorders>
            <w:shd w:val="clear" w:color="auto" w:fill="DEEAF6" w:themeFill="accent1" w:themeFillTint="33"/>
            <w:vAlign w:val="center"/>
          </w:tcPr>
          <w:p w14:paraId="4DA0E201" w14:textId="77777777" w:rsidR="0018208F" w:rsidRPr="00C20417" w:rsidRDefault="0018208F" w:rsidP="001A238C">
            <w:pPr>
              <w:keepNext/>
              <w:spacing w:after="0" w:line="240" w:lineRule="auto"/>
              <w:jc w:val="center"/>
              <w:rPr>
                <w:rFonts w:ascii="Arial" w:eastAsia="Times New Roman" w:hAnsi="Arial" w:cs="Arial"/>
                <w:color w:val="000000"/>
                <w:lang w:eastAsia="en-AU"/>
              </w:rPr>
            </w:pPr>
            <w:r w:rsidRPr="00C20417">
              <w:rPr>
                <w:rFonts w:ascii="Arial" w:eastAsia="Times New Roman" w:hAnsi="Arial" w:cs="Arial"/>
                <w:color w:val="000000"/>
                <w:lang w:eastAsia="en-AU"/>
              </w:rPr>
              <w:t>Large</w:t>
            </w:r>
            <w:r>
              <w:rPr>
                <w:rFonts w:ascii="Arial" w:eastAsia="Times New Roman" w:hAnsi="Arial" w:cs="Arial"/>
                <w:color w:val="000000"/>
                <w:lang w:eastAsia="en-AU"/>
              </w:rPr>
              <w:t xml:space="preserve"> provider</w:t>
            </w:r>
          </w:p>
        </w:tc>
        <w:tc>
          <w:tcPr>
            <w:tcW w:w="2421" w:type="dxa"/>
            <w:tcBorders>
              <w:top w:val="nil"/>
              <w:left w:val="single" w:sz="4" w:space="0" w:color="000000"/>
              <w:bottom w:val="nil"/>
              <w:right w:val="single" w:sz="8" w:space="0" w:color="auto"/>
            </w:tcBorders>
            <w:shd w:val="clear" w:color="auto" w:fill="DEEAF6" w:themeFill="accent1" w:themeFillTint="33"/>
            <w:vAlign w:val="center"/>
          </w:tcPr>
          <w:p w14:paraId="300B296A" w14:textId="5AFD0145" w:rsidR="0018208F" w:rsidRDefault="0018208F" w:rsidP="00597FC3">
            <w:pPr>
              <w:keepNext/>
              <w:tabs>
                <w:tab w:val="decimal" w:pos="1325"/>
              </w:tabs>
              <w:spacing w:after="0" w:line="240" w:lineRule="auto"/>
              <w:rPr>
                <w:rFonts w:ascii="Arial" w:eastAsia="Times New Roman" w:hAnsi="Arial" w:cs="Arial"/>
                <w:b/>
                <w:color w:val="000000"/>
                <w:lang w:eastAsia="en-AU"/>
              </w:rPr>
            </w:pPr>
            <w:r>
              <w:rPr>
                <w:rFonts w:ascii="Arial" w:eastAsia="Times New Roman" w:hAnsi="Arial" w:cs="Arial"/>
                <w:b/>
                <w:color w:val="000000"/>
                <w:lang w:eastAsia="en-AU"/>
              </w:rPr>
              <w:t>$11</w:t>
            </w:r>
            <w:r w:rsidR="009B408D">
              <w:rPr>
                <w:rFonts w:ascii="Arial" w:eastAsia="Times New Roman" w:hAnsi="Arial" w:cs="Arial"/>
                <w:b/>
                <w:color w:val="000000"/>
                <w:lang w:eastAsia="en-AU"/>
              </w:rPr>
              <w:t>6</w:t>
            </w:r>
            <w:r>
              <w:rPr>
                <w:rFonts w:ascii="Arial" w:eastAsia="Times New Roman" w:hAnsi="Arial" w:cs="Arial"/>
                <w:b/>
                <w:color w:val="000000"/>
                <w:lang w:eastAsia="en-AU"/>
              </w:rPr>
              <w:t>,</w:t>
            </w:r>
            <w:r w:rsidR="009B408D">
              <w:rPr>
                <w:rFonts w:ascii="Arial" w:eastAsia="Times New Roman" w:hAnsi="Arial" w:cs="Arial"/>
                <w:b/>
                <w:color w:val="000000"/>
                <w:lang w:eastAsia="en-AU"/>
              </w:rPr>
              <w:t>0</w:t>
            </w:r>
            <w:r>
              <w:rPr>
                <w:rFonts w:ascii="Arial" w:eastAsia="Times New Roman" w:hAnsi="Arial" w:cs="Arial"/>
                <w:b/>
                <w:color w:val="000000"/>
                <w:lang w:eastAsia="en-AU"/>
              </w:rPr>
              <w:t>00</w:t>
            </w:r>
          </w:p>
        </w:tc>
        <w:tc>
          <w:tcPr>
            <w:tcW w:w="1973" w:type="dxa"/>
            <w:tcBorders>
              <w:top w:val="nil"/>
              <w:left w:val="single" w:sz="8" w:space="0" w:color="auto"/>
              <w:bottom w:val="nil"/>
              <w:right w:val="single" w:sz="4" w:space="0" w:color="000000"/>
            </w:tcBorders>
            <w:shd w:val="clear" w:color="auto" w:fill="DEEAF6"/>
            <w:vAlign w:val="center"/>
          </w:tcPr>
          <w:p w14:paraId="3740944F" w14:textId="77777777" w:rsidR="0018208F" w:rsidRDefault="0018208F" w:rsidP="001A238C">
            <w:pPr>
              <w:keepNext/>
              <w:spacing w:after="0" w:line="240" w:lineRule="auto"/>
              <w:jc w:val="center"/>
              <w:rPr>
                <w:rFonts w:ascii="Arial" w:eastAsia="Times New Roman" w:hAnsi="Arial" w:cs="Arial"/>
                <w:b/>
                <w:bCs/>
                <w:color w:val="000000"/>
                <w:lang w:eastAsia="en-AU"/>
              </w:rPr>
            </w:pPr>
            <w:r w:rsidRPr="00C20417">
              <w:rPr>
                <w:rFonts w:ascii="Arial" w:eastAsia="Times New Roman" w:hAnsi="Arial" w:cs="Arial"/>
                <w:color w:val="000000"/>
                <w:lang w:eastAsia="en-AU"/>
              </w:rPr>
              <w:t>Large</w:t>
            </w:r>
            <w:r>
              <w:rPr>
                <w:rFonts w:ascii="Arial" w:eastAsia="Times New Roman" w:hAnsi="Arial" w:cs="Arial"/>
                <w:color w:val="000000"/>
                <w:lang w:eastAsia="en-AU"/>
              </w:rPr>
              <w:t xml:space="preserve"> provider</w:t>
            </w:r>
          </w:p>
        </w:tc>
        <w:tc>
          <w:tcPr>
            <w:tcW w:w="2434" w:type="dxa"/>
            <w:tcBorders>
              <w:top w:val="nil"/>
              <w:left w:val="single" w:sz="4" w:space="0" w:color="000000"/>
              <w:bottom w:val="nil"/>
              <w:right w:val="nil"/>
            </w:tcBorders>
            <w:shd w:val="clear" w:color="auto" w:fill="DEEAF6"/>
            <w:vAlign w:val="center"/>
          </w:tcPr>
          <w:p w14:paraId="43867B82" w14:textId="5E947E24" w:rsidR="0018208F" w:rsidRPr="00597FC3" w:rsidRDefault="0018208F" w:rsidP="00597FC3">
            <w:pPr>
              <w:keepNext/>
              <w:tabs>
                <w:tab w:val="decimal" w:pos="1325"/>
              </w:tabs>
              <w:spacing w:after="0" w:line="240" w:lineRule="auto"/>
              <w:rPr>
                <w:rFonts w:ascii="Arial" w:eastAsia="Times New Roman" w:hAnsi="Arial" w:cs="Arial"/>
                <w:b/>
                <w:color w:val="000000"/>
                <w:lang w:eastAsia="en-AU"/>
              </w:rPr>
            </w:pPr>
            <w:r w:rsidRPr="00597FC3">
              <w:rPr>
                <w:rFonts w:ascii="Arial" w:eastAsia="Times New Roman" w:hAnsi="Arial" w:cs="Arial"/>
                <w:b/>
                <w:color w:val="000000"/>
                <w:lang w:eastAsia="en-AU"/>
              </w:rPr>
              <w:t>$57</w:t>
            </w:r>
            <w:r w:rsidR="009B408D" w:rsidRPr="00597FC3">
              <w:rPr>
                <w:rFonts w:ascii="Arial" w:eastAsia="Times New Roman" w:hAnsi="Arial" w:cs="Arial"/>
                <w:b/>
                <w:color w:val="000000"/>
                <w:lang w:eastAsia="en-AU"/>
              </w:rPr>
              <w:t>8</w:t>
            </w:r>
            <w:r w:rsidRPr="00597FC3">
              <w:rPr>
                <w:rFonts w:ascii="Arial" w:eastAsia="Times New Roman" w:hAnsi="Arial" w:cs="Arial"/>
                <w:b/>
                <w:color w:val="000000"/>
                <w:lang w:eastAsia="en-AU"/>
              </w:rPr>
              <w:t>,</w:t>
            </w:r>
            <w:r w:rsidR="009B408D" w:rsidRPr="00597FC3">
              <w:rPr>
                <w:rFonts w:ascii="Arial" w:eastAsia="Times New Roman" w:hAnsi="Arial" w:cs="Arial"/>
                <w:b/>
                <w:color w:val="000000"/>
                <w:lang w:eastAsia="en-AU"/>
              </w:rPr>
              <w:t>0</w:t>
            </w:r>
            <w:r w:rsidRPr="00597FC3">
              <w:rPr>
                <w:rFonts w:ascii="Arial" w:eastAsia="Times New Roman" w:hAnsi="Arial" w:cs="Arial"/>
                <w:b/>
                <w:color w:val="000000"/>
                <w:lang w:eastAsia="en-AU"/>
              </w:rPr>
              <w:t>00</w:t>
            </w:r>
          </w:p>
        </w:tc>
      </w:tr>
      <w:tr w:rsidR="0018208F" w14:paraId="6B507527" w14:textId="77777777" w:rsidTr="001A238C">
        <w:trPr>
          <w:trHeight w:val="454"/>
        </w:trPr>
        <w:tc>
          <w:tcPr>
            <w:tcW w:w="8813" w:type="dxa"/>
            <w:gridSpan w:val="4"/>
            <w:tcBorders>
              <w:top w:val="nil"/>
              <w:left w:val="nil"/>
              <w:bottom w:val="nil"/>
              <w:right w:val="single" w:sz="8" w:space="0" w:color="auto"/>
            </w:tcBorders>
            <w:shd w:val="clear" w:color="auto" w:fill="002060"/>
            <w:vAlign w:val="center"/>
          </w:tcPr>
          <w:p w14:paraId="52FA670E" w14:textId="25D5ACD4" w:rsidR="0018208F" w:rsidRPr="00423F3A" w:rsidRDefault="0018208F">
            <w:pPr>
              <w:keepNext/>
              <w:spacing w:after="0" w:line="240" w:lineRule="auto"/>
              <w:rPr>
                <w:rFonts w:ascii="Arial" w:eastAsia="Times New Roman" w:hAnsi="Arial" w:cs="Arial"/>
                <w:b/>
                <w:bCs/>
                <w:color w:val="FFFFFF" w:themeColor="background1"/>
                <w:lang w:eastAsia="en-AU"/>
              </w:rPr>
            </w:pPr>
            <w:r>
              <w:rPr>
                <w:rFonts w:ascii="Arial" w:eastAsia="Times New Roman" w:hAnsi="Arial" w:cs="Arial"/>
                <w:b/>
                <w:bCs/>
                <w:color w:val="FFFFFF" w:themeColor="background1"/>
                <w:lang w:eastAsia="en-AU"/>
              </w:rPr>
              <w:t xml:space="preserve">Estimated </w:t>
            </w:r>
            <w:r w:rsidR="00D73984">
              <w:rPr>
                <w:rFonts w:ascii="Arial" w:eastAsia="Times New Roman" w:hAnsi="Arial" w:cs="Arial"/>
                <w:b/>
                <w:bCs/>
                <w:color w:val="FFFFFF" w:themeColor="background1"/>
                <w:lang w:eastAsia="en-AU"/>
              </w:rPr>
              <w:t xml:space="preserve">annual net cost increase </w:t>
            </w:r>
            <w:r>
              <w:rPr>
                <w:rFonts w:ascii="Arial" w:eastAsia="Times New Roman" w:hAnsi="Arial" w:cs="Arial"/>
                <w:b/>
                <w:bCs/>
                <w:color w:val="FFFFFF" w:themeColor="background1"/>
                <w:lang w:eastAsia="en-AU"/>
              </w:rPr>
              <w:t>per provider (</w:t>
            </w:r>
            <w:r w:rsidR="00B75EDC">
              <w:rPr>
                <w:rFonts w:ascii="Arial" w:eastAsia="Times New Roman" w:hAnsi="Arial" w:cs="Arial"/>
                <w:b/>
                <w:bCs/>
                <w:color w:val="FFFFFF" w:themeColor="background1"/>
                <w:lang w:eastAsia="en-AU"/>
              </w:rPr>
              <w:t xml:space="preserve">0.45 to 0.85% </w:t>
            </w:r>
            <w:r>
              <w:rPr>
                <w:rFonts w:ascii="Arial" w:eastAsia="Times New Roman" w:hAnsi="Arial" w:cs="Arial"/>
                <w:b/>
                <w:bCs/>
                <w:color w:val="FFFFFF" w:themeColor="background1"/>
                <w:lang w:eastAsia="en-AU"/>
              </w:rPr>
              <w:t>increase)</w:t>
            </w:r>
          </w:p>
        </w:tc>
      </w:tr>
      <w:tr w:rsidR="0018208F" w14:paraId="3CE05816" w14:textId="77777777" w:rsidTr="001A238C">
        <w:trPr>
          <w:trHeight w:val="567"/>
        </w:trPr>
        <w:tc>
          <w:tcPr>
            <w:tcW w:w="4406" w:type="dxa"/>
            <w:gridSpan w:val="2"/>
            <w:tcBorders>
              <w:top w:val="nil"/>
              <w:left w:val="nil"/>
              <w:bottom w:val="nil"/>
              <w:right w:val="single" w:sz="8" w:space="0" w:color="auto"/>
            </w:tcBorders>
            <w:shd w:val="clear" w:color="auto" w:fill="B4C6E7" w:themeFill="accent5" w:themeFillTint="66"/>
            <w:vAlign w:val="center"/>
          </w:tcPr>
          <w:p w14:paraId="08AB36AF" w14:textId="6046EFDF" w:rsidR="0018208F" w:rsidRPr="00760E95" w:rsidRDefault="0018208F" w:rsidP="001A238C">
            <w:pPr>
              <w:keepNext/>
              <w:spacing w:after="0" w:line="240" w:lineRule="auto"/>
              <w:jc w:val="center"/>
              <w:rPr>
                <w:rFonts w:ascii="Arial" w:eastAsia="Times New Roman" w:hAnsi="Arial" w:cs="Arial"/>
                <w:color w:val="000000"/>
                <w:lang w:eastAsia="en-AU"/>
              </w:rPr>
            </w:pPr>
            <w:r>
              <w:rPr>
                <w:rFonts w:ascii="Arial" w:eastAsia="Times New Roman" w:hAnsi="Arial" w:cs="Arial"/>
                <w:color w:val="000000"/>
                <w:lang w:eastAsia="en-AU"/>
              </w:rPr>
              <w:t>10%</w:t>
            </w:r>
            <w:r w:rsidRPr="00760E95">
              <w:rPr>
                <w:rFonts w:ascii="Arial" w:eastAsia="Times New Roman" w:hAnsi="Arial" w:cs="Arial"/>
                <w:color w:val="000000"/>
                <w:lang w:eastAsia="en-AU"/>
              </w:rPr>
              <w:t xml:space="preserve"> </w:t>
            </w:r>
            <w:r w:rsidR="00D73984">
              <w:rPr>
                <w:rFonts w:ascii="Arial" w:eastAsia="Times New Roman" w:hAnsi="Arial" w:cs="Arial"/>
                <w:color w:val="000000"/>
                <w:lang w:eastAsia="en-AU"/>
              </w:rPr>
              <w:t>of workforce covered by the Scheme</w:t>
            </w:r>
          </w:p>
        </w:tc>
        <w:tc>
          <w:tcPr>
            <w:tcW w:w="4407" w:type="dxa"/>
            <w:gridSpan w:val="2"/>
            <w:tcBorders>
              <w:top w:val="nil"/>
              <w:left w:val="single" w:sz="8" w:space="0" w:color="auto"/>
              <w:bottom w:val="nil"/>
              <w:right w:val="nil"/>
            </w:tcBorders>
            <w:shd w:val="clear" w:color="auto" w:fill="B4C6E7" w:themeFill="accent5" w:themeFillTint="66"/>
            <w:vAlign w:val="center"/>
          </w:tcPr>
          <w:p w14:paraId="2B5D7F10" w14:textId="20E5501C" w:rsidR="0018208F" w:rsidRPr="00760E95" w:rsidRDefault="0018208F" w:rsidP="001A238C">
            <w:pPr>
              <w:keepNext/>
              <w:spacing w:after="0" w:line="240" w:lineRule="auto"/>
              <w:jc w:val="center"/>
              <w:rPr>
                <w:rFonts w:ascii="Arial" w:eastAsia="Times New Roman" w:hAnsi="Arial" w:cs="Arial"/>
                <w:bCs/>
                <w:color w:val="000000"/>
                <w:lang w:eastAsia="en-AU"/>
              </w:rPr>
            </w:pPr>
            <w:r>
              <w:rPr>
                <w:rFonts w:ascii="Arial" w:eastAsia="Times New Roman" w:hAnsi="Arial" w:cs="Arial"/>
                <w:bCs/>
                <w:color w:val="000000"/>
                <w:lang w:eastAsia="en-AU"/>
              </w:rPr>
              <w:t>50%</w:t>
            </w:r>
            <w:r w:rsidRPr="00760E95">
              <w:rPr>
                <w:rFonts w:ascii="Arial" w:eastAsia="Times New Roman" w:hAnsi="Arial" w:cs="Arial"/>
                <w:bCs/>
                <w:color w:val="000000"/>
                <w:lang w:eastAsia="en-AU"/>
              </w:rPr>
              <w:t xml:space="preserve"> </w:t>
            </w:r>
            <w:r w:rsidR="00D73984">
              <w:rPr>
                <w:rFonts w:ascii="Arial" w:eastAsia="Times New Roman" w:hAnsi="Arial" w:cs="Arial"/>
                <w:color w:val="000000"/>
                <w:lang w:eastAsia="en-AU"/>
              </w:rPr>
              <w:t>of workforce covered by the Scheme</w:t>
            </w:r>
          </w:p>
        </w:tc>
      </w:tr>
      <w:tr w:rsidR="0018208F" w14:paraId="15BBF3AD" w14:textId="77777777" w:rsidTr="001A238C">
        <w:trPr>
          <w:trHeight w:val="567"/>
        </w:trPr>
        <w:tc>
          <w:tcPr>
            <w:tcW w:w="1985" w:type="dxa"/>
            <w:tcBorders>
              <w:top w:val="nil"/>
              <w:left w:val="nil"/>
              <w:bottom w:val="nil"/>
              <w:right w:val="single" w:sz="4" w:space="0" w:color="000000"/>
            </w:tcBorders>
            <w:shd w:val="clear" w:color="auto" w:fill="DEEAF6" w:themeFill="accent1" w:themeFillTint="33"/>
            <w:vAlign w:val="center"/>
          </w:tcPr>
          <w:p w14:paraId="05A02494" w14:textId="77777777" w:rsidR="0018208F" w:rsidRPr="00C20417" w:rsidRDefault="0018208F" w:rsidP="001A238C">
            <w:pPr>
              <w:keepNext/>
              <w:spacing w:after="0" w:line="240" w:lineRule="auto"/>
              <w:jc w:val="center"/>
              <w:rPr>
                <w:rFonts w:ascii="Arial" w:eastAsia="Times New Roman" w:hAnsi="Arial" w:cs="Arial"/>
                <w:color w:val="000000"/>
                <w:lang w:eastAsia="en-AU"/>
              </w:rPr>
            </w:pPr>
            <w:r w:rsidRPr="00C20417">
              <w:rPr>
                <w:rFonts w:ascii="Arial" w:eastAsia="Times New Roman" w:hAnsi="Arial" w:cs="Arial"/>
                <w:color w:val="000000"/>
                <w:lang w:eastAsia="en-AU"/>
              </w:rPr>
              <w:t>Small</w:t>
            </w:r>
            <w:r>
              <w:rPr>
                <w:rFonts w:ascii="Arial" w:eastAsia="Times New Roman" w:hAnsi="Arial" w:cs="Arial"/>
                <w:color w:val="000000"/>
                <w:lang w:eastAsia="en-AU"/>
              </w:rPr>
              <w:t xml:space="preserve"> provider</w:t>
            </w:r>
          </w:p>
        </w:tc>
        <w:tc>
          <w:tcPr>
            <w:tcW w:w="2421" w:type="dxa"/>
            <w:tcBorders>
              <w:top w:val="nil"/>
              <w:left w:val="single" w:sz="4" w:space="0" w:color="000000"/>
              <w:bottom w:val="nil"/>
              <w:right w:val="single" w:sz="8" w:space="0" w:color="auto"/>
            </w:tcBorders>
            <w:shd w:val="clear" w:color="auto" w:fill="DEEAF6" w:themeFill="accent1" w:themeFillTint="33"/>
            <w:vAlign w:val="center"/>
          </w:tcPr>
          <w:p w14:paraId="6BA7FA69" w14:textId="7893DF13" w:rsidR="0018208F" w:rsidRPr="00760E95" w:rsidRDefault="0018208F" w:rsidP="00597FC3">
            <w:pPr>
              <w:keepNext/>
              <w:tabs>
                <w:tab w:val="decimal" w:pos="1776"/>
              </w:tabs>
              <w:spacing w:after="0" w:line="240" w:lineRule="auto"/>
              <w:rPr>
                <w:rFonts w:ascii="Arial" w:eastAsia="Times New Roman" w:hAnsi="Arial" w:cs="Arial"/>
                <w:b/>
                <w:color w:val="000000"/>
                <w:lang w:eastAsia="en-AU"/>
              </w:rPr>
            </w:pPr>
            <w:r>
              <w:rPr>
                <w:rFonts w:ascii="Arial" w:eastAsia="Times New Roman" w:hAnsi="Arial" w:cs="Arial"/>
                <w:b/>
                <w:color w:val="000000"/>
                <w:lang w:eastAsia="en-AU"/>
              </w:rPr>
              <w:t>$</w:t>
            </w:r>
            <w:r w:rsidR="009B408D">
              <w:rPr>
                <w:rFonts w:ascii="Arial" w:eastAsia="Times New Roman" w:hAnsi="Arial" w:cs="Arial"/>
                <w:b/>
                <w:color w:val="000000"/>
                <w:lang w:eastAsia="en-AU"/>
              </w:rPr>
              <w:t>3,0</w:t>
            </w:r>
            <w:r w:rsidR="00B75EDC">
              <w:rPr>
                <w:rFonts w:ascii="Arial" w:eastAsia="Times New Roman" w:hAnsi="Arial" w:cs="Arial"/>
                <w:b/>
                <w:color w:val="000000"/>
                <w:lang w:eastAsia="en-AU"/>
              </w:rPr>
              <w:t>00 - $6,000</w:t>
            </w:r>
          </w:p>
        </w:tc>
        <w:tc>
          <w:tcPr>
            <w:tcW w:w="1973" w:type="dxa"/>
            <w:tcBorders>
              <w:top w:val="nil"/>
              <w:left w:val="single" w:sz="8" w:space="0" w:color="auto"/>
              <w:bottom w:val="nil"/>
              <w:right w:val="single" w:sz="4" w:space="0" w:color="000000"/>
            </w:tcBorders>
            <w:shd w:val="clear" w:color="auto" w:fill="DEEAF6"/>
            <w:vAlign w:val="center"/>
          </w:tcPr>
          <w:p w14:paraId="263E7446" w14:textId="77777777" w:rsidR="0018208F" w:rsidRPr="00C20417" w:rsidRDefault="0018208F" w:rsidP="001A238C">
            <w:pPr>
              <w:keepNext/>
              <w:spacing w:after="0" w:line="240" w:lineRule="auto"/>
              <w:jc w:val="center"/>
              <w:rPr>
                <w:rFonts w:ascii="Arial" w:eastAsia="Times New Roman" w:hAnsi="Arial" w:cs="Arial"/>
                <w:b/>
                <w:bCs/>
                <w:color w:val="000000"/>
                <w:lang w:eastAsia="en-AU"/>
              </w:rPr>
            </w:pPr>
            <w:r w:rsidRPr="00C20417">
              <w:rPr>
                <w:rFonts w:ascii="Arial" w:eastAsia="Times New Roman" w:hAnsi="Arial" w:cs="Arial"/>
                <w:color w:val="000000"/>
                <w:lang w:eastAsia="en-AU"/>
              </w:rPr>
              <w:t>Small</w:t>
            </w:r>
            <w:r>
              <w:rPr>
                <w:rFonts w:ascii="Arial" w:eastAsia="Times New Roman" w:hAnsi="Arial" w:cs="Arial"/>
                <w:color w:val="000000"/>
                <w:lang w:eastAsia="en-AU"/>
              </w:rPr>
              <w:t xml:space="preserve"> provider</w:t>
            </w:r>
          </w:p>
        </w:tc>
        <w:tc>
          <w:tcPr>
            <w:tcW w:w="2434" w:type="dxa"/>
            <w:tcBorders>
              <w:top w:val="nil"/>
              <w:left w:val="single" w:sz="4" w:space="0" w:color="000000"/>
              <w:bottom w:val="nil"/>
              <w:right w:val="nil"/>
            </w:tcBorders>
            <w:shd w:val="clear" w:color="auto" w:fill="DEEAF6"/>
            <w:vAlign w:val="center"/>
          </w:tcPr>
          <w:p w14:paraId="44FF6B16" w14:textId="5BE1C59E" w:rsidR="0018208F" w:rsidRPr="00597FC3" w:rsidRDefault="0018208F" w:rsidP="00597FC3">
            <w:pPr>
              <w:keepNext/>
              <w:tabs>
                <w:tab w:val="decimal" w:pos="1776"/>
              </w:tabs>
              <w:spacing w:after="0" w:line="240" w:lineRule="auto"/>
              <w:rPr>
                <w:rFonts w:ascii="Arial" w:eastAsia="Times New Roman" w:hAnsi="Arial" w:cs="Arial"/>
                <w:b/>
                <w:color w:val="000000"/>
                <w:lang w:eastAsia="en-AU"/>
              </w:rPr>
            </w:pPr>
            <w:r w:rsidRPr="00597FC3">
              <w:rPr>
                <w:rFonts w:ascii="Arial" w:eastAsia="Times New Roman" w:hAnsi="Arial" w:cs="Arial"/>
                <w:b/>
                <w:color w:val="000000"/>
                <w:lang w:eastAsia="en-AU"/>
              </w:rPr>
              <w:t>$</w:t>
            </w:r>
            <w:r w:rsidR="009B408D" w:rsidRPr="00597FC3">
              <w:rPr>
                <w:rFonts w:ascii="Arial" w:eastAsia="Times New Roman" w:hAnsi="Arial" w:cs="Arial"/>
                <w:b/>
                <w:color w:val="000000"/>
                <w:lang w:eastAsia="en-AU"/>
              </w:rPr>
              <w:t>16,0</w:t>
            </w:r>
            <w:r w:rsidR="00B75EDC" w:rsidRPr="00597FC3">
              <w:rPr>
                <w:rFonts w:ascii="Arial" w:eastAsia="Times New Roman" w:hAnsi="Arial" w:cs="Arial"/>
                <w:b/>
                <w:color w:val="000000"/>
                <w:lang w:eastAsia="en-AU"/>
              </w:rPr>
              <w:t>00 - $</w:t>
            </w:r>
            <w:r w:rsidR="009B408D" w:rsidRPr="00597FC3">
              <w:rPr>
                <w:rFonts w:ascii="Arial" w:eastAsia="Times New Roman" w:hAnsi="Arial" w:cs="Arial"/>
                <w:b/>
                <w:color w:val="000000"/>
                <w:lang w:eastAsia="en-AU"/>
              </w:rPr>
              <w:t>30,0</w:t>
            </w:r>
            <w:r w:rsidR="00B75EDC" w:rsidRPr="00597FC3">
              <w:rPr>
                <w:rFonts w:ascii="Arial" w:eastAsia="Times New Roman" w:hAnsi="Arial" w:cs="Arial"/>
                <w:b/>
                <w:color w:val="000000"/>
                <w:lang w:eastAsia="en-AU"/>
              </w:rPr>
              <w:t>00</w:t>
            </w:r>
          </w:p>
        </w:tc>
      </w:tr>
      <w:tr w:rsidR="0018208F" w14:paraId="2A45009F" w14:textId="77777777" w:rsidTr="001A238C">
        <w:trPr>
          <w:trHeight w:val="567"/>
        </w:trPr>
        <w:tc>
          <w:tcPr>
            <w:tcW w:w="1985" w:type="dxa"/>
            <w:tcBorders>
              <w:top w:val="nil"/>
              <w:left w:val="nil"/>
              <w:bottom w:val="nil"/>
              <w:right w:val="single" w:sz="4" w:space="0" w:color="000000"/>
            </w:tcBorders>
            <w:shd w:val="clear" w:color="auto" w:fill="DEEAF6" w:themeFill="accent1" w:themeFillTint="33"/>
            <w:vAlign w:val="center"/>
          </w:tcPr>
          <w:p w14:paraId="667FEEAA" w14:textId="77777777" w:rsidR="0018208F" w:rsidRPr="00C20417" w:rsidRDefault="0018208F" w:rsidP="001A238C">
            <w:pPr>
              <w:keepNext/>
              <w:spacing w:after="0" w:line="240" w:lineRule="auto"/>
              <w:jc w:val="center"/>
              <w:rPr>
                <w:rFonts w:ascii="Arial" w:eastAsia="Times New Roman" w:hAnsi="Arial" w:cs="Arial"/>
                <w:color w:val="000000"/>
                <w:lang w:eastAsia="en-AU"/>
              </w:rPr>
            </w:pPr>
            <w:r w:rsidRPr="00C20417">
              <w:rPr>
                <w:rFonts w:ascii="Arial" w:eastAsia="Times New Roman" w:hAnsi="Arial" w:cs="Arial"/>
                <w:color w:val="000000"/>
                <w:lang w:eastAsia="en-AU"/>
              </w:rPr>
              <w:t>Medium</w:t>
            </w:r>
            <w:r>
              <w:rPr>
                <w:rFonts w:ascii="Arial" w:eastAsia="Times New Roman" w:hAnsi="Arial" w:cs="Arial"/>
                <w:color w:val="000000"/>
                <w:lang w:eastAsia="en-AU"/>
              </w:rPr>
              <w:t xml:space="preserve"> provider </w:t>
            </w:r>
          </w:p>
        </w:tc>
        <w:tc>
          <w:tcPr>
            <w:tcW w:w="2421" w:type="dxa"/>
            <w:tcBorders>
              <w:top w:val="nil"/>
              <w:left w:val="single" w:sz="4" w:space="0" w:color="000000"/>
              <w:bottom w:val="nil"/>
              <w:right w:val="single" w:sz="8" w:space="0" w:color="auto"/>
            </w:tcBorders>
            <w:shd w:val="clear" w:color="auto" w:fill="DEEAF6" w:themeFill="accent1" w:themeFillTint="33"/>
            <w:vAlign w:val="center"/>
          </w:tcPr>
          <w:p w14:paraId="54F3E026" w14:textId="7F671456" w:rsidR="0018208F" w:rsidRDefault="0018208F" w:rsidP="00597FC3">
            <w:pPr>
              <w:keepNext/>
              <w:tabs>
                <w:tab w:val="decimal" w:pos="1776"/>
              </w:tabs>
              <w:spacing w:after="0" w:line="240" w:lineRule="auto"/>
              <w:rPr>
                <w:rFonts w:ascii="Arial" w:eastAsia="Times New Roman" w:hAnsi="Arial" w:cs="Arial"/>
                <w:b/>
                <w:color w:val="000000"/>
                <w:lang w:eastAsia="en-AU"/>
              </w:rPr>
            </w:pPr>
            <w:r>
              <w:rPr>
                <w:rFonts w:ascii="Arial" w:eastAsia="Times New Roman" w:hAnsi="Arial" w:cs="Arial"/>
                <w:b/>
                <w:color w:val="000000"/>
                <w:lang w:eastAsia="en-AU"/>
              </w:rPr>
              <w:t>$1</w:t>
            </w:r>
            <w:r w:rsidR="009B408D">
              <w:rPr>
                <w:rFonts w:ascii="Arial" w:eastAsia="Times New Roman" w:hAnsi="Arial" w:cs="Arial"/>
                <w:b/>
                <w:color w:val="000000"/>
                <w:lang w:eastAsia="en-AU"/>
              </w:rPr>
              <w:t>6,0</w:t>
            </w:r>
            <w:r w:rsidR="00B75EDC">
              <w:rPr>
                <w:rFonts w:ascii="Arial" w:eastAsia="Times New Roman" w:hAnsi="Arial" w:cs="Arial"/>
                <w:b/>
                <w:color w:val="000000"/>
                <w:lang w:eastAsia="en-AU"/>
              </w:rPr>
              <w:t>00</w:t>
            </w:r>
            <w:r w:rsidR="009B408D">
              <w:rPr>
                <w:rFonts w:ascii="Arial" w:eastAsia="Times New Roman" w:hAnsi="Arial" w:cs="Arial"/>
                <w:b/>
                <w:color w:val="000000"/>
                <w:lang w:eastAsia="en-AU"/>
              </w:rPr>
              <w:t xml:space="preserve"> - $30,0</w:t>
            </w:r>
            <w:r w:rsidR="00B75EDC">
              <w:rPr>
                <w:rFonts w:ascii="Arial" w:eastAsia="Times New Roman" w:hAnsi="Arial" w:cs="Arial"/>
                <w:b/>
                <w:color w:val="000000"/>
                <w:lang w:eastAsia="en-AU"/>
              </w:rPr>
              <w:t>00</w:t>
            </w:r>
          </w:p>
        </w:tc>
        <w:tc>
          <w:tcPr>
            <w:tcW w:w="1973" w:type="dxa"/>
            <w:tcBorders>
              <w:top w:val="nil"/>
              <w:left w:val="single" w:sz="8" w:space="0" w:color="auto"/>
              <w:bottom w:val="nil"/>
              <w:right w:val="single" w:sz="4" w:space="0" w:color="000000"/>
            </w:tcBorders>
            <w:shd w:val="clear" w:color="auto" w:fill="DEEAF6"/>
            <w:vAlign w:val="center"/>
          </w:tcPr>
          <w:p w14:paraId="2AEAFD54" w14:textId="77777777" w:rsidR="0018208F" w:rsidRDefault="0018208F" w:rsidP="001A238C">
            <w:pPr>
              <w:keepNext/>
              <w:spacing w:after="0" w:line="240" w:lineRule="auto"/>
              <w:jc w:val="center"/>
              <w:rPr>
                <w:rFonts w:ascii="Arial" w:eastAsia="Times New Roman" w:hAnsi="Arial" w:cs="Arial"/>
                <w:b/>
                <w:bCs/>
                <w:color w:val="000000"/>
                <w:lang w:eastAsia="en-AU"/>
              </w:rPr>
            </w:pPr>
            <w:r w:rsidRPr="00C20417">
              <w:rPr>
                <w:rFonts w:ascii="Arial" w:eastAsia="Times New Roman" w:hAnsi="Arial" w:cs="Arial"/>
                <w:color w:val="000000"/>
                <w:lang w:eastAsia="en-AU"/>
              </w:rPr>
              <w:t>Medium</w:t>
            </w:r>
            <w:r>
              <w:rPr>
                <w:rFonts w:ascii="Arial" w:eastAsia="Times New Roman" w:hAnsi="Arial" w:cs="Arial"/>
                <w:color w:val="000000"/>
                <w:lang w:eastAsia="en-AU"/>
              </w:rPr>
              <w:t xml:space="preserve"> provider </w:t>
            </w:r>
          </w:p>
        </w:tc>
        <w:tc>
          <w:tcPr>
            <w:tcW w:w="2434" w:type="dxa"/>
            <w:tcBorders>
              <w:top w:val="nil"/>
              <w:left w:val="single" w:sz="4" w:space="0" w:color="000000"/>
              <w:bottom w:val="nil"/>
              <w:right w:val="nil"/>
            </w:tcBorders>
            <w:shd w:val="clear" w:color="auto" w:fill="DEEAF6"/>
            <w:vAlign w:val="center"/>
          </w:tcPr>
          <w:p w14:paraId="14054C18" w14:textId="3084348F" w:rsidR="0018208F" w:rsidRPr="00597FC3" w:rsidRDefault="0018208F" w:rsidP="00597FC3">
            <w:pPr>
              <w:keepNext/>
              <w:tabs>
                <w:tab w:val="decimal" w:pos="1776"/>
              </w:tabs>
              <w:spacing w:after="0" w:line="240" w:lineRule="auto"/>
              <w:rPr>
                <w:rFonts w:ascii="Arial" w:eastAsia="Times New Roman" w:hAnsi="Arial" w:cs="Arial"/>
                <w:b/>
                <w:color w:val="000000"/>
                <w:lang w:eastAsia="en-AU"/>
              </w:rPr>
            </w:pPr>
            <w:r w:rsidRPr="00597FC3">
              <w:rPr>
                <w:rFonts w:ascii="Arial" w:eastAsia="Times New Roman" w:hAnsi="Arial" w:cs="Arial"/>
                <w:b/>
                <w:color w:val="000000"/>
                <w:lang w:eastAsia="en-AU"/>
              </w:rPr>
              <w:t>$</w:t>
            </w:r>
            <w:r w:rsidR="009B408D" w:rsidRPr="00597FC3">
              <w:rPr>
                <w:rFonts w:ascii="Arial" w:eastAsia="Times New Roman" w:hAnsi="Arial" w:cs="Arial"/>
                <w:b/>
                <w:color w:val="000000"/>
                <w:lang w:eastAsia="en-AU"/>
              </w:rPr>
              <w:t>79,0</w:t>
            </w:r>
            <w:r w:rsidR="00B75EDC" w:rsidRPr="00597FC3">
              <w:rPr>
                <w:rFonts w:ascii="Arial" w:eastAsia="Times New Roman" w:hAnsi="Arial" w:cs="Arial"/>
                <w:b/>
                <w:color w:val="000000"/>
                <w:lang w:eastAsia="en-AU"/>
              </w:rPr>
              <w:t>00</w:t>
            </w:r>
            <w:r w:rsidR="009B408D" w:rsidRPr="00597FC3">
              <w:rPr>
                <w:rFonts w:ascii="Arial" w:eastAsia="Times New Roman" w:hAnsi="Arial" w:cs="Arial"/>
                <w:b/>
                <w:color w:val="000000"/>
                <w:lang w:eastAsia="en-AU"/>
              </w:rPr>
              <w:t xml:space="preserve"> - $149,0</w:t>
            </w:r>
            <w:r w:rsidR="00B75EDC" w:rsidRPr="00597FC3">
              <w:rPr>
                <w:rFonts w:ascii="Arial" w:eastAsia="Times New Roman" w:hAnsi="Arial" w:cs="Arial"/>
                <w:b/>
                <w:color w:val="000000"/>
                <w:lang w:eastAsia="en-AU"/>
              </w:rPr>
              <w:t>00</w:t>
            </w:r>
          </w:p>
        </w:tc>
      </w:tr>
      <w:tr w:rsidR="0018208F" w14:paraId="4FE0D6DE" w14:textId="77777777" w:rsidTr="001A238C">
        <w:trPr>
          <w:trHeight w:val="567"/>
        </w:trPr>
        <w:tc>
          <w:tcPr>
            <w:tcW w:w="1985" w:type="dxa"/>
            <w:tcBorders>
              <w:top w:val="nil"/>
              <w:left w:val="nil"/>
              <w:bottom w:val="nil"/>
              <w:right w:val="single" w:sz="4" w:space="0" w:color="000000"/>
            </w:tcBorders>
            <w:shd w:val="clear" w:color="auto" w:fill="DEEAF6" w:themeFill="accent1" w:themeFillTint="33"/>
            <w:vAlign w:val="center"/>
          </w:tcPr>
          <w:p w14:paraId="3435ADAD" w14:textId="77777777" w:rsidR="0018208F" w:rsidRPr="00C20417" w:rsidRDefault="0018208F" w:rsidP="001A238C">
            <w:pPr>
              <w:keepNext/>
              <w:spacing w:after="0" w:line="240" w:lineRule="auto"/>
              <w:jc w:val="center"/>
              <w:rPr>
                <w:rFonts w:ascii="Arial" w:eastAsia="Times New Roman" w:hAnsi="Arial" w:cs="Arial"/>
                <w:color w:val="000000"/>
                <w:lang w:eastAsia="en-AU"/>
              </w:rPr>
            </w:pPr>
            <w:r w:rsidRPr="00C20417">
              <w:rPr>
                <w:rFonts w:ascii="Arial" w:eastAsia="Times New Roman" w:hAnsi="Arial" w:cs="Arial"/>
                <w:color w:val="000000"/>
                <w:lang w:eastAsia="en-AU"/>
              </w:rPr>
              <w:t>Large</w:t>
            </w:r>
            <w:r>
              <w:rPr>
                <w:rFonts w:ascii="Arial" w:eastAsia="Times New Roman" w:hAnsi="Arial" w:cs="Arial"/>
                <w:color w:val="000000"/>
                <w:lang w:eastAsia="en-AU"/>
              </w:rPr>
              <w:t xml:space="preserve"> provider</w:t>
            </w:r>
          </w:p>
        </w:tc>
        <w:tc>
          <w:tcPr>
            <w:tcW w:w="2421" w:type="dxa"/>
            <w:tcBorders>
              <w:top w:val="nil"/>
              <w:left w:val="single" w:sz="4" w:space="0" w:color="000000"/>
              <w:bottom w:val="nil"/>
              <w:right w:val="single" w:sz="8" w:space="0" w:color="auto"/>
            </w:tcBorders>
            <w:shd w:val="clear" w:color="auto" w:fill="DEEAF6" w:themeFill="accent1" w:themeFillTint="33"/>
            <w:vAlign w:val="center"/>
          </w:tcPr>
          <w:p w14:paraId="0A549E7E" w14:textId="5AE11B9A" w:rsidR="0018208F" w:rsidRDefault="0018208F" w:rsidP="00597FC3">
            <w:pPr>
              <w:keepNext/>
              <w:tabs>
                <w:tab w:val="decimal" w:pos="1776"/>
              </w:tabs>
              <w:spacing w:after="0" w:line="240" w:lineRule="auto"/>
              <w:rPr>
                <w:rFonts w:ascii="Arial" w:eastAsia="Times New Roman" w:hAnsi="Arial" w:cs="Arial"/>
                <w:b/>
                <w:color w:val="000000"/>
                <w:lang w:eastAsia="en-AU"/>
              </w:rPr>
            </w:pPr>
            <w:r>
              <w:rPr>
                <w:rFonts w:ascii="Arial" w:eastAsia="Times New Roman" w:hAnsi="Arial" w:cs="Arial"/>
                <w:b/>
                <w:color w:val="000000"/>
                <w:lang w:eastAsia="en-AU"/>
              </w:rPr>
              <w:t>$</w:t>
            </w:r>
            <w:r w:rsidR="009B408D">
              <w:rPr>
                <w:rFonts w:ascii="Arial" w:eastAsia="Times New Roman" w:hAnsi="Arial" w:cs="Arial"/>
                <w:b/>
                <w:color w:val="000000"/>
                <w:lang w:eastAsia="en-AU"/>
              </w:rPr>
              <w:t>32,0</w:t>
            </w:r>
            <w:r w:rsidR="00B75EDC">
              <w:rPr>
                <w:rFonts w:ascii="Arial" w:eastAsia="Times New Roman" w:hAnsi="Arial" w:cs="Arial"/>
                <w:b/>
                <w:color w:val="000000"/>
                <w:lang w:eastAsia="en-AU"/>
              </w:rPr>
              <w:t>00</w:t>
            </w:r>
            <w:r w:rsidR="009B408D">
              <w:rPr>
                <w:rFonts w:ascii="Arial" w:eastAsia="Times New Roman" w:hAnsi="Arial" w:cs="Arial"/>
                <w:b/>
                <w:color w:val="000000"/>
                <w:lang w:eastAsia="en-AU"/>
              </w:rPr>
              <w:t xml:space="preserve"> - $60,0</w:t>
            </w:r>
            <w:r w:rsidR="00B75EDC">
              <w:rPr>
                <w:rFonts w:ascii="Arial" w:eastAsia="Times New Roman" w:hAnsi="Arial" w:cs="Arial"/>
                <w:b/>
                <w:color w:val="000000"/>
                <w:lang w:eastAsia="en-AU"/>
              </w:rPr>
              <w:t>00</w:t>
            </w:r>
          </w:p>
        </w:tc>
        <w:tc>
          <w:tcPr>
            <w:tcW w:w="1973" w:type="dxa"/>
            <w:tcBorders>
              <w:top w:val="nil"/>
              <w:left w:val="single" w:sz="8" w:space="0" w:color="auto"/>
              <w:bottom w:val="nil"/>
              <w:right w:val="single" w:sz="4" w:space="0" w:color="000000"/>
            </w:tcBorders>
            <w:shd w:val="clear" w:color="auto" w:fill="DEEAF6"/>
            <w:vAlign w:val="center"/>
          </w:tcPr>
          <w:p w14:paraId="6B50F6AD" w14:textId="77777777" w:rsidR="0018208F" w:rsidRDefault="0018208F" w:rsidP="001A238C">
            <w:pPr>
              <w:keepNext/>
              <w:spacing w:after="0" w:line="240" w:lineRule="auto"/>
              <w:jc w:val="center"/>
              <w:rPr>
                <w:rFonts w:ascii="Arial" w:eastAsia="Times New Roman" w:hAnsi="Arial" w:cs="Arial"/>
                <w:b/>
                <w:bCs/>
                <w:color w:val="000000"/>
                <w:lang w:eastAsia="en-AU"/>
              </w:rPr>
            </w:pPr>
            <w:r w:rsidRPr="00C20417">
              <w:rPr>
                <w:rFonts w:ascii="Arial" w:eastAsia="Times New Roman" w:hAnsi="Arial" w:cs="Arial"/>
                <w:color w:val="000000"/>
                <w:lang w:eastAsia="en-AU"/>
              </w:rPr>
              <w:t>Large</w:t>
            </w:r>
            <w:r>
              <w:rPr>
                <w:rFonts w:ascii="Arial" w:eastAsia="Times New Roman" w:hAnsi="Arial" w:cs="Arial"/>
                <w:color w:val="000000"/>
                <w:lang w:eastAsia="en-AU"/>
              </w:rPr>
              <w:t xml:space="preserve"> provider</w:t>
            </w:r>
          </w:p>
        </w:tc>
        <w:tc>
          <w:tcPr>
            <w:tcW w:w="2434" w:type="dxa"/>
            <w:tcBorders>
              <w:top w:val="nil"/>
              <w:left w:val="single" w:sz="4" w:space="0" w:color="000000"/>
              <w:bottom w:val="nil"/>
              <w:right w:val="nil"/>
            </w:tcBorders>
            <w:shd w:val="clear" w:color="auto" w:fill="DEEAF6"/>
            <w:vAlign w:val="center"/>
          </w:tcPr>
          <w:p w14:paraId="1C143FD0" w14:textId="08ECD1FE" w:rsidR="0018208F" w:rsidRPr="00597FC3" w:rsidRDefault="0018208F" w:rsidP="00597FC3">
            <w:pPr>
              <w:keepNext/>
              <w:tabs>
                <w:tab w:val="decimal" w:pos="1776"/>
              </w:tabs>
              <w:spacing w:after="0" w:line="240" w:lineRule="auto"/>
              <w:rPr>
                <w:rFonts w:ascii="Arial" w:eastAsia="Times New Roman" w:hAnsi="Arial" w:cs="Arial"/>
                <w:b/>
                <w:color w:val="000000"/>
                <w:lang w:eastAsia="en-AU"/>
              </w:rPr>
            </w:pPr>
            <w:r w:rsidRPr="00597FC3">
              <w:rPr>
                <w:rFonts w:ascii="Arial" w:eastAsia="Times New Roman" w:hAnsi="Arial" w:cs="Arial"/>
                <w:b/>
                <w:color w:val="000000"/>
                <w:lang w:eastAsia="en-AU"/>
              </w:rPr>
              <w:t>$1</w:t>
            </w:r>
            <w:r w:rsidR="009B408D" w:rsidRPr="00597FC3">
              <w:rPr>
                <w:rFonts w:ascii="Arial" w:eastAsia="Times New Roman" w:hAnsi="Arial" w:cs="Arial"/>
                <w:b/>
                <w:color w:val="000000"/>
                <w:lang w:eastAsia="en-AU"/>
              </w:rPr>
              <w:t>58,0</w:t>
            </w:r>
            <w:r w:rsidR="00B75EDC" w:rsidRPr="00597FC3">
              <w:rPr>
                <w:rFonts w:ascii="Arial" w:eastAsia="Times New Roman" w:hAnsi="Arial" w:cs="Arial"/>
                <w:b/>
                <w:color w:val="000000"/>
                <w:lang w:eastAsia="en-AU"/>
              </w:rPr>
              <w:t>00</w:t>
            </w:r>
            <w:r w:rsidR="009B408D" w:rsidRPr="00597FC3">
              <w:rPr>
                <w:rFonts w:ascii="Arial" w:eastAsia="Times New Roman" w:hAnsi="Arial" w:cs="Arial"/>
                <w:b/>
                <w:color w:val="000000"/>
                <w:lang w:eastAsia="en-AU"/>
              </w:rPr>
              <w:t xml:space="preserve"> - $298,0</w:t>
            </w:r>
            <w:r w:rsidR="00B75EDC" w:rsidRPr="00597FC3">
              <w:rPr>
                <w:rFonts w:ascii="Arial" w:eastAsia="Times New Roman" w:hAnsi="Arial" w:cs="Arial"/>
                <w:b/>
                <w:color w:val="000000"/>
                <w:lang w:eastAsia="en-AU"/>
              </w:rPr>
              <w:t>00</w:t>
            </w:r>
          </w:p>
        </w:tc>
      </w:tr>
    </w:tbl>
    <w:p w14:paraId="7F9FE759" w14:textId="77777777" w:rsidR="0018208F" w:rsidRPr="007010B9" w:rsidRDefault="0018208F" w:rsidP="008A653E">
      <w:pPr>
        <w:pStyle w:val="BodyText"/>
        <w:spacing w:after="0"/>
      </w:pPr>
    </w:p>
    <w:p w14:paraId="48A425D6" w14:textId="183F0A7B" w:rsidR="0028607F" w:rsidRDefault="0057203A" w:rsidP="00597FC3">
      <w:pPr>
        <w:pStyle w:val="BodyText"/>
      </w:pPr>
      <w:r w:rsidRPr="007010B9">
        <w:t xml:space="preserve">In addition to the above costs, providers stated that additional payroll staff and payroll systems would need to be purchased to support </w:t>
      </w:r>
      <w:r w:rsidR="00597FC3" w:rsidRPr="007010B9">
        <w:t xml:space="preserve">administration </w:t>
      </w:r>
      <w:r w:rsidR="00597FC3">
        <w:t xml:space="preserve">of </w:t>
      </w:r>
      <w:r w:rsidRPr="007010B9">
        <w:t>the Scheme. Service providers stated that their current HR and payroll systems would not be able to track eligibility for the Scheme alongside the sector’s existing multi-employer portability scheme. Stakeholders consulted</w:t>
      </w:r>
      <w:r w:rsidR="001F1979" w:rsidRPr="007010B9">
        <w:t xml:space="preserve"> were not able to provide an estimate of these costs, although some suggested it would be material. </w:t>
      </w:r>
    </w:p>
    <w:p w14:paraId="0731C79C" w14:textId="77777777" w:rsidR="008A653E" w:rsidRDefault="008A653E">
      <w:pPr>
        <w:rPr>
          <w:rFonts w:ascii="Arial" w:hAnsi="Arial" w:cs="Arial"/>
          <w:i/>
          <w:iCs/>
          <w:szCs w:val="18"/>
        </w:rPr>
      </w:pPr>
      <w:bookmarkStart w:id="126" w:name="_Ref37361638"/>
      <w:r>
        <w:rPr>
          <w:rFonts w:ascii="Arial" w:hAnsi="Arial" w:cs="Arial"/>
        </w:rPr>
        <w:br w:type="page"/>
      </w:r>
    </w:p>
    <w:p w14:paraId="173FFF75" w14:textId="6738C02F" w:rsidR="00AD518C" w:rsidRDefault="00AD518C" w:rsidP="00AD518C">
      <w:pPr>
        <w:pStyle w:val="Caption"/>
        <w:rPr>
          <w:rFonts w:ascii="Arial" w:hAnsi="Arial" w:cs="Arial"/>
        </w:rPr>
      </w:pPr>
      <w:r w:rsidRPr="00AD518C">
        <w:rPr>
          <w:rFonts w:ascii="Arial" w:hAnsi="Arial" w:cs="Arial"/>
        </w:rPr>
        <w:lastRenderedPageBreak/>
        <w:t xml:space="preserve">Figure </w:t>
      </w:r>
      <w:r w:rsidRPr="00AD518C">
        <w:rPr>
          <w:rFonts w:ascii="Arial" w:hAnsi="Arial" w:cs="Arial"/>
        </w:rPr>
        <w:fldChar w:fldCharType="begin"/>
      </w:r>
      <w:r w:rsidRPr="00AD518C">
        <w:rPr>
          <w:rFonts w:ascii="Arial" w:hAnsi="Arial" w:cs="Arial"/>
        </w:rPr>
        <w:instrText xml:space="preserve"> SEQ Figure \* ARABIC </w:instrText>
      </w:r>
      <w:r w:rsidRPr="00AD518C">
        <w:rPr>
          <w:rFonts w:ascii="Arial" w:hAnsi="Arial" w:cs="Arial"/>
        </w:rPr>
        <w:fldChar w:fldCharType="separate"/>
      </w:r>
      <w:r w:rsidRPr="00AD518C">
        <w:rPr>
          <w:rFonts w:ascii="Arial" w:hAnsi="Arial" w:cs="Arial"/>
          <w:noProof/>
        </w:rPr>
        <w:t>5</w:t>
      </w:r>
      <w:r w:rsidRPr="00AD518C">
        <w:rPr>
          <w:rFonts w:ascii="Arial" w:hAnsi="Arial" w:cs="Arial"/>
        </w:rPr>
        <w:fldChar w:fldCharType="end"/>
      </w:r>
      <w:bookmarkEnd w:id="126"/>
      <w:r w:rsidRPr="00AD518C">
        <w:rPr>
          <w:rFonts w:ascii="Arial" w:hAnsi="Arial" w:cs="Arial"/>
        </w:rPr>
        <w:t>: Assumptions reflected in the estimated impact on Community Health Centres</w:t>
      </w:r>
    </w:p>
    <w:tbl>
      <w:tblPr>
        <w:tblStyle w:val="TableGrid"/>
        <w:tblW w:w="0" w:type="auto"/>
        <w:tblBorders>
          <w:left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9016"/>
      </w:tblGrid>
      <w:tr w:rsidR="00AD518C" w:rsidRPr="00F738AD" w14:paraId="6D0541FE" w14:textId="77777777" w:rsidTr="00DC0E3D">
        <w:tc>
          <w:tcPr>
            <w:tcW w:w="9016" w:type="dxa"/>
            <w:shd w:val="clear" w:color="auto" w:fill="DEEAF6" w:themeFill="accent1" w:themeFillTint="33"/>
          </w:tcPr>
          <w:p w14:paraId="7C1873E0" w14:textId="36E7BFA2" w:rsidR="008A653E" w:rsidRPr="005025AD" w:rsidRDefault="008A653E" w:rsidP="008A653E">
            <w:pPr>
              <w:pStyle w:val="BodyText"/>
              <w:rPr>
                <w:rFonts w:cs="Arial"/>
                <w:color w:val="auto"/>
                <w:sz w:val="18"/>
                <w:szCs w:val="18"/>
              </w:rPr>
            </w:pPr>
          </w:p>
          <w:p w14:paraId="51225761" w14:textId="4581CF06" w:rsidR="008A653E" w:rsidRPr="005025AD" w:rsidRDefault="008A653E" w:rsidP="008A653E">
            <w:pPr>
              <w:pStyle w:val="BodyText"/>
              <w:rPr>
                <w:rFonts w:cs="Arial"/>
                <w:b/>
                <w:color w:val="auto"/>
                <w:sz w:val="18"/>
                <w:szCs w:val="18"/>
              </w:rPr>
            </w:pPr>
            <w:r>
              <w:rPr>
                <w:rFonts w:cs="Arial"/>
                <w:b/>
                <w:color w:val="auto"/>
                <w:sz w:val="18"/>
                <w:szCs w:val="18"/>
              </w:rPr>
              <w:t>Estimated</w:t>
            </w:r>
            <w:r w:rsidRPr="005025AD">
              <w:rPr>
                <w:rFonts w:cs="Arial"/>
                <w:b/>
                <w:color w:val="auto"/>
                <w:sz w:val="18"/>
                <w:szCs w:val="18"/>
              </w:rPr>
              <w:t xml:space="preserve"> annual cost increase = Number of employees x average salary x levy rate</w:t>
            </w:r>
          </w:p>
          <w:p w14:paraId="04C105E7" w14:textId="77777777" w:rsidR="008A653E" w:rsidRDefault="008A653E" w:rsidP="008A653E">
            <w:pPr>
              <w:pStyle w:val="BodyText"/>
              <w:rPr>
                <w:rFonts w:cs="Arial"/>
                <w:color w:val="auto"/>
                <w:sz w:val="18"/>
                <w:szCs w:val="18"/>
              </w:rPr>
            </w:pPr>
          </w:p>
          <w:p w14:paraId="7C0C2ED4" w14:textId="77777777" w:rsidR="008A653E" w:rsidRDefault="008A653E" w:rsidP="008A653E">
            <w:pPr>
              <w:pStyle w:val="BodyText"/>
              <w:rPr>
                <w:rFonts w:cs="Arial"/>
                <w:b/>
                <w:color w:val="auto"/>
                <w:sz w:val="18"/>
                <w:szCs w:val="18"/>
              </w:rPr>
            </w:pPr>
            <w:r>
              <w:rPr>
                <w:rFonts w:cs="Arial"/>
                <w:b/>
                <w:color w:val="auto"/>
                <w:sz w:val="18"/>
                <w:szCs w:val="18"/>
              </w:rPr>
              <w:t>Estimated annual net cost increase = Number of employees x average salary x net cost increase</w:t>
            </w:r>
          </w:p>
          <w:p w14:paraId="0B818D48" w14:textId="77777777" w:rsidR="008A653E" w:rsidRDefault="008A653E" w:rsidP="008A653E">
            <w:pPr>
              <w:pStyle w:val="BodyText"/>
              <w:rPr>
                <w:rFonts w:cs="Arial"/>
                <w:color w:val="auto"/>
                <w:sz w:val="18"/>
                <w:szCs w:val="18"/>
              </w:rPr>
            </w:pPr>
          </w:p>
          <w:p w14:paraId="0415C506" w14:textId="02A1A542" w:rsidR="008A653E" w:rsidRPr="005025AD" w:rsidRDefault="008A653E" w:rsidP="008A653E">
            <w:pPr>
              <w:pStyle w:val="BodyText"/>
              <w:rPr>
                <w:rFonts w:cs="Arial"/>
                <w:color w:val="auto"/>
                <w:sz w:val="18"/>
                <w:szCs w:val="18"/>
                <w:u w:val="single"/>
              </w:rPr>
            </w:pPr>
            <w:r>
              <w:rPr>
                <w:rFonts w:cs="Arial"/>
                <w:color w:val="auto"/>
                <w:sz w:val="18"/>
                <w:szCs w:val="18"/>
                <w:u w:val="single"/>
              </w:rPr>
              <w:t>Number of employees covered under low (10%) and high (50%) workforce share scenarios</w:t>
            </w:r>
          </w:p>
          <w:p w14:paraId="52341DB1" w14:textId="77777777" w:rsidR="008A653E" w:rsidRDefault="008A653E" w:rsidP="008A653E">
            <w:pPr>
              <w:pStyle w:val="BodyText"/>
              <w:rPr>
                <w:rFonts w:cs="Arial"/>
                <w:color w:val="auto"/>
                <w:sz w:val="18"/>
                <w:szCs w:val="18"/>
              </w:rPr>
            </w:pPr>
          </w:p>
          <w:p w14:paraId="17AB442A" w14:textId="7CA2BE13" w:rsidR="008A653E" w:rsidRDefault="008A653E" w:rsidP="008A653E">
            <w:pPr>
              <w:pStyle w:val="BodyText"/>
              <w:spacing w:line="276" w:lineRule="auto"/>
              <w:rPr>
                <w:rFonts w:cs="Arial"/>
                <w:color w:val="auto"/>
                <w:sz w:val="18"/>
                <w:szCs w:val="18"/>
              </w:rPr>
            </w:pPr>
            <w:r>
              <w:rPr>
                <w:rFonts w:cs="Arial"/>
                <w:color w:val="auto"/>
                <w:sz w:val="18"/>
                <w:szCs w:val="18"/>
              </w:rPr>
              <w:t xml:space="preserve">Number of employees covered in a small provider (100 FTE) = </w:t>
            </w:r>
            <w:r w:rsidRPr="008A653E">
              <w:rPr>
                <w:rFonts w:cs="Arial"/>
                <w:b/>
                <w:color w:val="auto"/>
                <w:sz w:val="18"/>
                <w:szCs w:val="18"/>
              </w:rPr>
              <w:t>10 FTE</w:t>
            </w:r>
            <w:r>
              <w:rPr>
                <w:rFonts w:cs="Arial"/>
                <w:color w:val="auto"/>
                <w:sz w:val="18"/>
                <w:szCs w:val="18"/>
              </w:rPr>
              <w:t xml:space="preserve"> (low) to </w:t>
            </w:r>
            <w:r w:rsidRPr="008A653E">
              <w:rPr>
                <w:rFonts w:cs="Arial"/>
                <w:b/>
                <w:color w:val="auto"/>
                <w:sz w:val="18"/>
                <w:szCs w:val="18"/>
              </w:rPr>
              <w:t>50 FTE</w:t>
            </w:r>
            <w:r>
              <w:rPr>
                <w:rFonts w:cs="Arial"/>
                <w:color w:val="auto"/>
                <w:sz w:val="18"/>
                <w:szCs w:val="18"/>
              </w:rPr>
              <w:t xml:space="preserve"> (high)</w:t>
            </w:r>
          </w:p>
          <w:p w14:paraId="42753E10" w14:textId="729E34F0" w:rsidR="008A653E" w:rsidRDefault="008A653E" w:rsidP="008A653E">
            <w:pPr>
              <w:pStyle w:val="BodyText"/>
              <w:spacing w:line="276" w:lineRule="auto"/>
              <w:rPr>
                <w:rFonts w:cs="Arial"/>
                <w:color w:val="auto"/>
                <w:sz w:val="18"/>
                <w:szCs w:val="18"/>
              </w:rPr>
            </w:pPr>
            <w:r>
              <w:rPr>
                <w:rFonts w:cs="Arial"/>
                <w:color w:val="auto"/>
                <w:sz w:val="18"/>
                <w:szCs w:val="18"/>
              </w:rPr>
              <w:t xml:space="preserve">Number of employees covered in a medium provider (500 FTE) = </w:t>
            </w:r>
            <w:r w:rsidRPr="008A653E">
              <w:rPr>
                <w:rFonts w:cs="Arial"/>
                <w:b/>
                <w:color w:val="auto"/>
                <w:sz w:val="18"/>
                <w:szCs w:val="18"/>
              </w:rPr>
              <w:t>50 FTE</w:t>
            </w:r>
            <w:r>
              <w:rPr>
                <w:rFonts w:cs="Arial"/>
                <w:color w:val="auto"/>
                <w:sz w:val="18"/>
                <w:szCs w:val="18"/>
              </w:rPr>
              <w:t xml:space="preserve"> (low) to </w:t>
            </w:r>
            <w:r w:rsidRPr="008A653E">
              <w:rPr>
                <w:rFonts w:cs="Arial"/>
                <w:b/>
                <w:color w:val="auto"/>
                <w:sz w:val="18"/>
                <w:szCs w:val="18"/>
              </w:rPr>
              <w:t>250 FTE</w:t>
            </w:r>
            <w:r>
              <w:rPr>
                <w:rFonts w:cs="Arial"/>
                <w:color w:val="auto"/>
                <w:sz w:val="18"/>
                <w:szCs w:val="18"/>
              </w:rPr>
              <w:t xml:space="preserve"> (high)</w:t>
            </w:r>
          </w:p>
          <w:p w14:paraId="1779CE30" w14:textId="0F53F5D1" w:rsidR="008A653E" w:rsidRDefault="008A653E" w:rsidP="008A653E">
            <w:pPr>
              <w:pStyle w:val="BodyText"/>
              <w:spacing w:line="276" w:lineRule="auto"/>
              <w:rPr>
                <w:rFonts w:cs="Arial"/>
                <w:color w:val="auto"/>
                <w:sz w:val="18"/>
                <w:szCs w:val="18"/>
              </w:rPr>
            </w:pPr>
            <w:r>
              <w:rPr>
                <w:rFonts w:cs="Arial"/>
                <w:color w:val="auto"/>
                <w:sz w:val="18"/>
                <w:szCs w:val="18"/>
              </w:rPr>
              <w:t xml:space="preserve">Number of employees covered in a large provider (1,000 FTE) = </w:t>
            </w:r>
            <w:r w:rsidRPr="008A653E">
              <w:rPr>
                <w:rFonts w:cs="Arial"/>
                <w:b/>
                <w:color w:val="auto"/>
                <w:sz w:val="18"/>
                <w:szCs w:val="18"/>
              </w:rPr>
              <w:t>100 FTE</w:t>
            </w:r>
            <w:r>
              <w:rPr>
                <w:rFonts w:cs="Arial"/>
                <w:color w:val="auto"/>
                <w:sz w:val="18"/>
                <w:szCs w:val="18"/>
              </w:rPr>
              <w:t xml:space="preserve"> (low) to </w:t>
            </w:r>
            <w:r w:rsidRPr="008A653E">
              <w:rPr>
                <w:rFonts w:cs="Arial"/>
                <w:b/>
                <w:color w:val="auto"/>
                <w:sz w:val="18"/>
                <w:szCs w:val="18"/>
              </w:rPr>
              <w:t>500 FTE</w:t>
            </w:r>
            <w:r>
              <w:rPr>
                <w:rFonts w:cs="Arial"/>
                <w:color w:val="auto"/>
                <w:sz w:val="18"/>
                <w:szCs w:val="18"/>
              </w:rPr>
              <w:t xml:space="preserve"> (high)</w:t>
            </w:r>
          </w:p>
          <w:p w14:paraId="28632F18" w14:textId="77777777" w:rsidR="008A653E" w:rsidRDefault="008A653E" w:rsidP="008A653E">
            <w:pPr>
              <w:pStyle w:val="BodyText"/>
              <w:rPr>
                <w:rFonts w:cs="Arial"/>
                <w:color w:val="auto"/>
                <w:sz w:val="18"/>
                <w:szCs w:val="18"/>
              </w:rPr>
            </w:pPr>
          </w:p>
          <w:p w14:paraId="00127B99" w14:textId="77777777" w:rsidR="008A653E" w:rsidRPr="005025AD" w:rsidRDefault="008A653E" w:rsidP="008A653E">
            <w:pPr>
              <w:pStyle w:val="BodyText"/>
              <w:rPr>
                <w:rFonts w:cs="Arial"/>
                <w:color w:val="auto"/>
                <w:sz w:val="18"/>
                <w:szCs w:val="18"/>
                <w:u w:val="single"/>
              </w:rPr>
            </w:pPr>
            <w:r w:rsidRPr="005025AD">
              <w:rPr>
                <w:rFonts w:cs="Arial"/>
                <w:color w:val="auto"/>
                <w:sz w:val="18"/>
                <w:szCs w:val="18"/>
                <w:u w:val="single"/>
              </w:rPr>
              <w:t>Average salary</w:t>
            </w:r>
          </w:p>
          <w:p w14:paraId="601C4D52" w14:textId="77777777" w:rsidR="008A653E" w:rsidRDefault="008A653E" w:rsidP="008A653E">
            <w:pPr>
              <w:pStyle w:val="BodyText"/>
              <w:rPr>
                <w:rFonts w:cs="Arial"/>
                <w:color w:val="auto"/>
                <w:sz w:val="18"/>
                <w:szCs w:val="18"/>
              </w:rPr>
            </w:pPr>
          </w:p>
          <w:p w14:paraId="38CF35D8" w14:textId="1FEFF7D1" w:rsidR="008A653E" w:rsidRDefault="0038431F" w:rsidP="008A653E">
            <w:pPr>
              <w:pStyle w:val="BodyText"/>
              <w:rPr>
                <w:rFonts w:cs="Arial"/>
                <w:color w:val="auto"/>
                <w:sz w:val="18"/>
                <w:szCs w:val="18"/>
              </w:rPr>
            </w:pPr>
            <w:r>
              <w:rPr>
                <w:rFonts w:cs="Arial"/>
                <w:color w:val="auto"/>
                <w:sz w:val="18"/>
                <w:szCs w:val="18"/>
              </w:rPr>
              <w:t>The a</w:t>
            </w:r>
            <w:r w:rsidR="008A653E">
              <w:rPr>
                <w:rFonts w:cs="Arial"/>
                <w:color w:val="auto"/>
                <w:sz w:val="18"/>
                <w:szCs w:val="18"/>
              </w:rPr>
              <w:t xml:space="preserve">verage FTE salary for the </w:t>
            </w:r>
            <w:r w:rsidR="002106A3">
              <w:rPr>
                <w:rFonts w:cs="Arial"/>
                <w:color w:val="auto"/>
                <w:sz w:val="18"/>
                <w:szCs w:val="18"/>
              </w:rPr>
              <w:t>sub</w:t>
            </w:r>
            <w:r w:rsidR="002106A3">
              <w:rPr>
                <w:rFonts w:cs="Arial"/>
                <w:color w:val="auto"/>
                <w:sz w:val="18"/>
                <w:szCs w:val="18"/>
              </w:rPr>
              <w:noBreakHyphen/>
              <w:t>sector</w:t>
            </w:r>
            <w:r w:rsidR="008A653E">
              <w:rPr>
                <w:rFonts w:cs="Arial"/>
                <w:color w:val="auto"/>
                <w:sz w:val="18"/>
                <w:szCs w:val="18"/>
              </w:rPr>
              <w:t xml:space="preserve"> was assumed to be </w:t>
            </w:r>
            <w:r w:rsidR="008A653E" w:rsidRPr="005025AD">
              <w:rPr>
                <w:rFonts w:cs="Arial"/>
                <w:b/>
                <w:color w:val="auto"/>
                <w:sz w:val="18"/>
                <w:szCs w:val="18"/>
              </w:rPr>
              <w:t>$70,000 per annum</w:t>
            </w:r>
            <w:r w:rsidRPr="007B63D7">
              <w:rPr>
                <w:rFonts w:cs="Arial"/>
                <w:color w:val="auto"/>
                <w:sz w:val="18"/>
                <w:szCs w:val="18"/>
              </w:rPr>
              <w:t>.</w:t>
            </w:r>
          </w:p>
          <w:p w14:paraId="00517052" w14:textId="77777777" w:rsidR="008A653E" w:rsidRDefault="008A653E" w:rsidP="008A653E">
            <w:pPr>
              <w:pStyle w:val="BodyText"/>
              <w:rPr>
                <w:rFonts w:cs="Arial"/>
                <w:color w:val="auto"/>
                <w:sz w:val="18"/>
                <w:szCs w:val="18"/>
              </w:rPr>
            </w:pPr>
          </w:p>
          <w:p w14:paraId="4F4EACE4" w14:textId="77777777" w:rsidR="008A653E" w:rsidRPr="005025AD" w:rsidRDefault="008A653E" w:rsidP="008A653E">
            <w:pPr>
              <w:pStyle w:val="BodyText"/>
              <w:rPr>
                <w:rFonts w:cs="Arial"/>
                <w:color w:val="auto"/>
                <w:sz w:val="18"/>
                <w:szCs w:val="18"/>
                <w:u w:val="single"/>
              </w:rPr>
            </w:pPr>
            <w:r w:rsidRPr="005025AD">
              <w:rPr>
                <w:rFonts w:cs="Arial"/>
                <w:color w:val="auto"/>
                <w:sz w:val="18"/>
                <w:szCs w:val="18"/>
                <w:u w:val="single"/>
              </w:rPr>
              <w:t>Levy rate</w:t>
            </w:r>
          </w:p>
          <w:p w14:paraId="184B7C07" w14:textId="77777777" w:rsidR="008A653E" w:rsidRDefault="008A653E" w:rsidP="008A653E">
            <w:pPr>
              <w:pStyle w:val="BodyText"/>
              <w:rPr>
                <w:rFonts w:cs="Arial"/>
                <w:color w:val="auto"/>
                <w:sz w:val="18"/>
                <w:szCs w:val="18"/>
              </w:rPr>
            </w:pPr>
          </w:p>
          <w:p w14:paraId="22E1C833" w14:textId="2890CA90" w:rsidR="008A653E" w:rsidRPr="005025AD" w:rsidRDefault="008A653E" w:rsidP="008A653E">
            <w:pPr>
              <w:pStyle w:val="BodyText"/>
              <w:rPr>
                <w:rFonts w:cs="Arial"/>
                <w:color w:val="auto"/>
                <w:sz w:val="18"/>
                <w:szCs w:val="18"/>
              </w:rPr>
            </w:pPr>
            <w:r>
              <w:rPr>
                <w:rFonts w:cs="Arial"/>
                <w:color w:val="auto"/>
                <w:sz w:val="18"/>
                <w:szCs w:val="18"/>
              </w:rPr>
              <w:t xml:space="preserve">The levy rate for the community services sector is </w:t>
            </w:r>
            <w:r w:rsidRPr="005025AD">
              <w:rPr>
                <w:rFonts w:cs="Arial"/>
                <w:b/>
                <w:color w:val="auto"/>
                <w:sz w:val="18"/>
                <w:szCs w:val="18"/>
              </w:rPr>
              <w:t>1.65% of ordinary wages</w:t>
            </w:r>
            <w:r w:rsidR="0038431F" w:rsidRPr="007B63D7">
              <w:rPr>
                <w:rFonts w:cs="Arial"/>
                <w:color w:val="auto"/>
                <w:sz w:val="18"/>
                <w:szCs w:val="18"/>
              </w:rPr>
              <w:t>.</w:t>
            </w:r>
          </w:p>
          <w:p w14:paraId="4ACA1415" w14:textId="77777777" w:rsidR="008A653E" w:rsidRDefault="008A653E" w:rsidP="008A653E">
            <w:pPr>
              <w:pStyle w:val="BodyText"/>
              <w:rPr>
                <w:rFonts w:cs="Arial"/>
                <w:color w:val="auto"/>
                <w:sz w:val="18"/>
                <w:szCs w:val="18"/>
              </w:rPr>
            </w:pPr>
          </w:p>
          <w:p w14:paraId="45715560" w14:textId="77777777" w:rsidR="008A653E" w:rsidRDefault="008A653E" w:rsidP="008A653E">
            <w:pPr>
              <w:pStyle w:val="BodyText"/>
              <w:rPr>
                <w:rFonts w:cs="Arial"/>
                <w:color w:val="auto"/>
                <w:sz w:val="18"/>
                <w:szCs w:val="18"/>
                <w:u w:val="single"/>
              </w:rPr>
            </w:pPr>
            <w:r>
              <w:rPr>
                <w:rFonts w:cs="Arial"/>
                <w:color w:val="auto"/>
                <w:sz w:val="18"/>
                <w:szCs w:val="18"/>
                <w:u w:val="single"/>
              </w:rPr>
              <w:t>Net cost increase</w:t>
            </w:r>
          </w:p>
          <w:p w14:paraId="27E5255C" w14:textId="77777777" w:rsidR="008A653E" w:rsidRDefault="008A653E" w:rsidP="008A653E">
            <w:pPr>
              <w:pStyle w:val="BodyText"/>
              <w:rPr>
                <w:rFonts w:cs="Arial"/>
                <w:color w:val="auto"/>
                <w:sz w:val="18"/>
                <w:szCs w:val="18"/>
                <w:u w:val="single"/>
              </w:rPr>
            </w:pPr>
          </w:p>
          <w:p w14:paraId="1CD6F9F7" w14:textId="55B7CA02" w:rsidR="008A653E" w:rsidRPr="005025AD" w:rsidRDefault="008A653E" w:rsidP="008A653E">
            <w:pPr>
              <w:pStyle w:val="BodyText"/>
              <w:rPr>
                <w:rFonts w:cs="Arial"/>
                <w:color w:val="auto"/>
                <w:sz w:val="18"/>
                <w:szCs w:val="18"/>
              </w:rPr>
            </w:pPr>
            <w:r>
              <w:rPr>
                <w:rFonts w:cs="Arial"/>
                <w:color w:val="auto"/>
                <w:sz w:val="18"/>
                <w:szCs w:val="18"/>
              </w:rPr>
              <w:t>As detailed in</w:t>
            </w:r>
            <w:r w:rsidRPr="005025AD">
              <w:rPr>
                <w:rFonts w:cs="Arial"/>
                <w:color w:val="auto"/>
                <w:sz w:val="18"/>
                <w:szCs w:val="18"/>
              </w:rPr>
              <w:t xml:space="preserve"> </w:t>
            </w:r>
            <w:r w:rsidRPr="005025AD">
              <w:rPr>
                <w:rFonts w:cs="Arial"/>
                <w:color w:val="auto"/>
                <w:sz w:val="18"/>
                <w:szCs w:val="18"/>
              </w:rPr>
              <w:fldChar w:fldCharType="begin"/>
            </w:r>
            <w:r w:rsidRPr="005025AD">
              <w:rPr>
                <w:rFonts w:cs="Arial"/>
                <w:color w:val="auto"/>
                <w:sz w:val="18"/>
                <w:szCs w:val="18"/>
              </w:rPr>
              <w:instrText xml:space="preserve"> REF _Ref37409112 \h </w:instrText>
            </w:r>
            <w:r>
              <w:rPr>
                <w:rFonts w:cs="Arial"/>
                <w:color w:val="auto"/>
                <w:sz w:val="18"/>
                <w:szCs w:val="18"/>
              </w:rPr>
              <w:instrText xml:space="preserve"> \* MERGEFORMAT </w:instrText>
            </w:r>
            <w:r w:rsidRPr="005025AD">
              <w:rPr>
                <w:rFonts w:cs="Arial"/>
                <w:color w:val="auto"/>
                <w:sz w:val="18"/>
                <w:szCs w:val="18"/>
              </w:rPr>
            </w:r>
            <w:r w:rsidRPr="005025AD">
              <w:rPr>
                <w:rFonts w:cs="Arial"/>
                <w:color w:val="auto"/>
                <w:sz w:val="18"/>
                <w:szCs w:val="18"/>
              </w:rPr>
              <w:fldChar w:fldCharType="separate"/>
            </w:r>
            <w:r w:rsidRPr="005025AD">
              <w:rPr>
                <w:rFonts w:cs="Arial"/>
                <w:sz w:val="18"/>
                <w:szCs w:val="18"/>
              </w:rPr>
              <w:t xml:space="preserve">Figure </w:t>
            </w:r>
            <w:r w:rsidRPr="005025AD">
              <w:rPr>
                <w:rFonts w:cs="Arial"/>
                <w:noProof/>
                <w:sz w:val="18"/>
                <w:szCs w:val="18"/>
              </w:rPr>
              <w:t>3</w:t>
            </w:r>
            <w:r w:rsidRPr="005025AD">
              <w:rPr>
                <w:rFonts w:cs="Arial"/>
                <w:sz w:val="18"/>
                <w:szCs w:val="18"/>
              </w:rPr>
              <w:t>,</w:t>
            </w:r>
            <w:r w:rsidRPr="005025AD">
              <w:rPr>
                <w:rFonts w:cs="Arial"/>
                <w:color w:val="auto"/>
                <w:sz w:val="18"/>
                <w:szCs w:val="18"/>
              </w:rPr>
              <w:fldChar w:fldCharType="end"/>
            </w:r>
            <w:r>
              <w:rPr>
                <w:rFonts w:cs="Arial"/>
                <w:color w:val="auto"/>
                <w:sz w:val="18"/>
                <w:szCs w:val="18"/>
              </w:rPr>
              <w:t xml:space="preserve"> </w:t>
            </w:r>
            <w:r w:rsidRPr="005025AD">
              <w:rPr>
                <w:rFonts w:cs="Arial"/>
                <w:color w:val="auto"/>
                <w:sz w:val="18"/>
                <w:szCs w:val="18"/>
              </w:rPr>
              <w:t>the</w:t>
            </w:r>
            <w:r>
              <w:rPr>
                <w:rFonts w:cs="Arial"/>
                <w:color w:val="auto"/>
                <w:sz w:val="18"/>
                <w:szCs w:val="18"/>
              </w:rPr>
              <w:t xml:space="preserve"> annual</w:t>
            </w:r>
            <w:r w:rsidRPr="005025AD">
              <w:rPr>
                <w:rFonts w:cs="Arial"/>
                <w:color w:val="auto"/>
                <w:sz w:val="18"/>
                <w:szCs w:val="18"/>
              </w:rPr>
              <w:t xml:space="preserve"> net cost impact for </w:t>
            </w:r>
            <w:r>
              <w:rPr>
                <w:rFonts w:cs="Arial"/>
                <w:color w:val="auto"/>
                <w:sz w:val="18"/>
                <w:szCs w:val="18"/>
              </w:rPr>
              <w:t xml:space="preserve">the </w:t>
            </w:r>
            <w:r w:rsidR="002106A3">
              <w:rPr>
                <w:rFonts w:cs="Arial"/>
                <w:color w:val="auto"/>
                <w:sz w:val="18"/>
                <w:szCs w:val="18"/>
              </w:rPr>
              <w:t>sub</w:t>
            </w:r>
            <w:r w:rsidR="002106A3">
              <w:rPr>
                <w:rFonts w:cs="Arial"/>
                <w:color w:val="auto"/>
                <w:sz w:val="18"/>
                <w:szCs w:val="18"/>
              </w:rPr>
              <w:noBreakHyphen/>
              <w:t>sector</w:t>
            </w:r>
            <w:r>
              <w:rPr>
                <w:rFonts w:cs="Arial"/>
                <w:color w:val="auto"/>
                <w:sz w:val="18"/>
                <w:szCs w:val="18"/>
              </w:rPr>
              <w:t xml:space="preserve"> is </w:t>
            </w:r>
            <w:r w:rsidRPr="005025AD">
              <w:rPr>
                <w:rFonts w:cs="Arial"/>
                <w:b/>
                <w:color w:val="auto"/>
                <w:sz w:val="18"/>
                <w:szCs w:val="18"/>
              </w:rPr>
              <w:t>0.45% to 0.85% of ordinary wages</w:t>
            </w:r>
            <w:r w:rsidR="0038431F" w:rsidRPr="007B63D7">
              <w:rPr>
                <w:rFonts w:cs="Arial"/>
                <w:color w:val="auto"/>
                <w:sz w:val="18"/>
                <w:szCs w:val="18"/>
              </w:rPr>
              <w:t>.</w:t>
            </w:r>
          </w:p>
          <w:p w14:paraId="6A3A94E3" w14:textId="77777777" w:rsidR="00AD518C" w:rsidRDefault="00AD518C" w:rsidP="00DC0E3D">
            <w:pPr>
              <w:pStyle w:val="BodyText"/>
              <w:rPr>
                <w:rFonts w:cs="Arial"/>
                <w:color w:val="auto"/>
                <w:sz w:val="18"/>
                <w:szCs w:val="18"/>
              </w:rPr>
            </w:pPr>
          </w:p>
          <w:p w14:paraId="646EB9FB" w14:textId="1BA24791" w:rsidR="00136B69" w:rsidRPr="007B63D7" w:rsidRDefault="00136B69" w:rsidP="00DC0E3D">
            <w:pPr>
              <w:pStyle w:val="BodyText"/>
              <w:rPr>
                <w:rFonts w:cs="Arial"/>
                <w:i/>
                <w:color w:val="auto"/>
                <w:sz w:val="18"/>
                <w:szCs w:val="18"/>
              </w:rPr>
            </w:pPr>
            <w:r w:rsidRPr="005025AD">
              <w:rPr>
                <w:rFonts w:cs="Arial"/>
                <w:i/>
                <w:color w:val="auto"/>
                <w:sz w:val="18"/>
                <w:szCs w:val="18"/>
              </w:rPr>
              <w:t>Note: all figures are rounded to the nearest 1,000</w:t>
            </w:r>
          </w:p>
          <w:p w14:paraId="0574CDBB" w14:textId="1BC35ACE" w:rsidR="00136B69" w:rsidRPr="007B63D7" w:rsidRDefault="00136B69" w:rsidP="00DC0E3D">
            <w:pPr>
              <w:pStyle w:val="BodyText"/>
              <w:rPr>
                <w:rFonts w:cs="Arial"/>
                <w:color w:val="auto"/>
                <w:sz w:val="18"/>
                <w:szCs w:val="18"/>
              </w:rPr>
            </w:pPr>
          </w:p>
        </w:tc>
      </w:tr>
    </w:tbl>
    <w:p w14:paraId="2C28FF9E" w14:textId="77777777" w:rsidR="00AD518C" w:rsidRPr="00AD518C" w:rsidRDefault="00AD518C" w:rsidP="008A653E">
      <w:pPr>
        <w:spacing w:after="0"/>
      </w:pPr>
    </w:p>
    <w:p w14:paraId="1BBF3F55" w14:textId="5402D036" w:rsidR="007952B8" w:rsidRPr="00337958" w:rsidRDefault="0072722B" w:rsidP="008A653E">
      <w:pPr>
        <w:pStyle w:val="Heading6"/>
        <w:spacing w:before="0"/>
      </w:pPr>
      <w:r>
        <w:t>Women’s Health Centre</w:t>
      </w:r>
      <w:r w:rsidR="007952B8" w:rsidRPr="00337958">
        <w:t>s</w:t>
      </w:r>
    </w:p>
    <w:p w14:paraId="0E9BB9F8" w14:textId="47EBEFAD" w:rsidR="00B11047" w:rsidRDefault="00B11047" w:rsidP="00B11047">
      <w:pPr>
        <w:pStyle w:val="BodyText"/>
        <w:rPr>
          <w:rFonts w:cs="Arial"/>
          <w:color w:val="auto"/>
        </w:rPr>
      </w:pPr>
      <w:r>
        <w:rPr>
          <w:rFonts w:cs="Arial"/>
          <w:color w:val="auto"/>
        </w:rPr>
        <w:t xml:space="preserve">The sector-wide impacts of including </w:t>
      </w:r>
      <w:r w:rsidR="0072722B">
        <w:rPr>
          <w:rFonts w:cs="Arial"/>
          <w:color w:val="auto"/>
        </w:rPr>
        <w:t>Women’s Health Centre</w:t>
      </w:r>
      <w:r>
        <w:rPr>
          <w:rFonts w:cs="Arial"/>
          <w:color w:val="auto"/>
        </w:rPr>
        <w:t xml:space="preserve">s in the Scheme were estimated using feedback from stakeholders </w:t>
      </w:r>
      <w:r w:rsidRPr="003105E2">
        <w:rPr>
          <w:rFonts w:cs="Arial"/>
          <w:color w:val="auto"/>
        </w:rPr>
        <w:t>and data collected from annual reports</w:t>
      </w:r>
      <w:r>
        <w:rPr>
          <w:rFonts w:cs="Arial"/>
          <w:color w:val="auto"/>
        </w:rPr>
        <w:t xml:space="preserve"> relating to the number of employees working in the </w:t>
      </w:r>
      <w:r w:rsidR="002106A3">
        <w:rPr>
          <w:rFonts w:cs="Arial"/>
          <w:color w:val="auto"/>
        </w:rPr>
        <w:t>sub</w:t>
      </w:r>
      <w:r w:rsidR="002106A3">
        <w:rPr>
          <w:rFonts w:cs="Arial"/>
          <w:color w:val="auto"/>
        </w:rPr>
        <w:noBreakHyphen/>
        <w:t>sector</w:t>
      </w:r>
      <w:r>
        <w:rPr>
          <w:rFonts w:cs="Arial"/>
          <w:color w:val="auto"/>
        </w:rPr>
        <w:t xml:space="preserve">, total staff expenses across the </w:t>
      </w:r>
      <w:r w:rsidR="00597FC3">
        <w:rPr>
          <w:rFonts w:cs="Arial"/>
          <w:color w:val="auto"/>
        </w:rPr>
        <w:t>sub</w:t>
      </w:r>
      <w:r w:rsidR="00597FC3">
        <w:rPr>
          <w:rFonts w:cs="Arial"/>
          <w:color w:val="auto"/>
        </w:rPr>
        <w:noBreakHyphen/>
      </w:r>
      <w:r>
        <w:rPr>
          <w:rFonts w:cs="Arial"/>
          <w:color w:val="auto"/>
        </w:rPr>
        <w:t xml:space="preserve">sector, and the estimated </w:t>
      </w:r>
      <w:r w:rsidRPr="003105E2">
        <w:rPr>
          <w:rFonts w:cs="Arial"/>
          <w:color w:val="auto"/>
        </w:rPr>
        <w:t>share of this workforce undertaking community service work</w:t>
      </w:r>
      <w:r>
        <w:rPr>
          <w:rFonts w:cs="Arial"/>
          <w:color w:val="auto"/>
        </w:rPr>
        <w:t>.</w:t>
      </w:r>
    </w:p>
    <w:p w14:paraId="15681D59" w14:textId="427EDD9F" w:rsidR="00B11047" w:rsidRDefault="007952B8" w:rsidP="00337958">
      <w:pPr>
        <w:pStyle w:val="BodyText"/>
        <w:numPr>
          <w:ilvl w:val="0"/>
          <w:numId w:val="67"/>
        </w:numPr>
        <w:rPr>
          <w:rFonts w:cs="Arial"/>
          <w:color w:val="auto"/>
        </w:rPr>
      </w:pPr>
      <w:r w:rsidRPr="003105E2">
        <w:rPr>
          <w:rFonts w:cs="Arial"/>
          <w:color w:val="auto"/>
        </w:rPr>
        <w:t xml:space="preserve">Feedback from stakeholders and data collected from annual reports suggests that there </w:t>
      </w:r>
      <w:r w:rsidR="007C5465">
        <w:rPr>
          <w:rFonts w:cs="Arial"/>
          <w:color w:val="auto"/>
        </w:rPr>
        <w:t>are</w:t>
      </w:r>
      <w:r w:rsidR="00C87EE3">
        <w:rPr>
          <w:rFonts w:cs="Arial"/>
          <w:color w:val="auto"/>
        </w:rPr>
        <w:t xml:space="preserve"> approximately</w:t>
      </w:r>
      <w:r w:rsidR="00602003">
        <w:rPr>
          <w:rFonts w:cs="Arial"/>
          <w:color w:val="auto"/>
        </w:rPr>
        <w:t xml:space="preserve"> 150</w:t>
      </w:r>
      <w:r w:rsidR="00597FC3">
        <w:rPr>
          <w:rFonts w:cs="Arial"/>
          <w:color w:val="auto"/>
        </w:rPr>
        <w:noBreakHyphen/>
      </w:r>
      <w:r w:rsidR="00602003">
        <w:rPr>
          <w:rFonts w:cs="Arial"/>
          <w:color w:val="auto"/>
        </w:rPr>
        <w:t>2</w:t>
      </w:r>
      <w:r w:rsidR="007C5465">
        <w:rPr>
          <w:rFonts w:cs="Arial"/>
          <w:color w:val="auto"/>
        </w:rPr>
        <w:t xml:space="preserve">00 </w:t>
      </w:r>
      <w:r w:rsidRPr="003105E2">
        <w:rPr>
          <w:rFonts w:cs="Arial"/>
          <w:color w:val="auto"/>
        </w:rPr>
        <w:t xml:space="preserve">people employed across the six state-wide and nine regional-based </w:t>
      </w:r>
      <w:r w:rsidR="0072722B">
        <w:rPr>
          <w:rFonts w:cs="Arial"/>
          <w:color w:val="auto"/>
        </w:rPr>
        <w:t>Women’s Health</w:t>
      </w:r>
      <w:r w:rsidR="00D33117">
        <w:rPr>
          <w:rFonts w:cs="Arial"/>
          <w:color w:val="auto"/>
        </w:rPr>
        <w:t xml:space="preserve"> services.</w:t>
      </w:r>
      <w:r w:rsidR="00D33117">
        <w:rPr>
          <w:rStyle w:val="FootnoteReference"/>
          <w:rFonts w:cs="Arial"/>
          <w:color w:val="auto"/>
        </w:rPr>
        <w:footnoteReference w:id="28"/>
      </w:r>
      <w:r w:rsidR="00D33117">
        <w:rPr>
          <w:rFonts w:cs="Arial"/>
          <w:color w:val="auto"/>
        </w:rPr>
        <w:t xml:space="preserve"> </w:t>
      </w:r>
    </w:p>
    <w:p w14:paraId="23EA8BA2" w14:textId="563A9CA0" w:rsidR="007952B8" w:rsidRPr="003105E2" w:rsidRDefault="00D33117" w:rsidP="00337958">
      <w:pPr>
        <w:pStyle w:val="BodyText"/>
        <w:numPr>
          <w:ilvl w:val="0"/>
          <w:numId w:val="67"/>
        </w:numPr>
        <w:rPr>
          <w:rFonts w:cs="Arial"/>
          <w:color w:val="auto"/>
        </w:rPr>
      </w:pPr>
      <w:r>
        <w:rPr>
          <w:rFonts w:cs="Arial"/>
          <w:color w:val="auto"/>
        </w:rPr>
        <w:t>Between 90 to</w:t>
      </w:r>
      <w:r w:rsidR="007952B8" w:rsidRPr="003105E2">
        <w:rPr>
          <w:rFonts w:cs="Arial"/>
          <w:color w:val="auto"/>
        </w:rPr>
        <w:t xml:space="preserve"> 100 percent of this workforce is estimated to be undertaking community service work. </w:t>
      </w:r>
      <w:r w:rsidR="00B01E4B">
        <w:rPr>
          <w:rFonts w:cs="Arial"/>
          <w:color w:val="auto"/>
        </w:rPr>
        <w:t>We have assumed a 95 percent workforce share for modelling</w:t>
      </w:r>
      <w:r w:rsidR="00C87EE3">
        <w:rPr>
          <w:rFonts w:cs="Arial"/>
          <w:color w:val="auto"/>
        </w:rPr>
        <w:t xml:space="preserve"> purposes</w:t>
      </w:r>
      <w:r w:rsidR="00B01E4B">
        <w:rPr>
          <w:rFonts w:cs="Arial"/>
          <w:color w:val="auto"/>
        </w:rPr>
        <w:t xml:space="preserve">. </w:t>
      </w:r>
    </w:p>
    <w:p w14:paraId="78FD4196" w14:textId="1808E2E6" w:rsidR="00B11047" w:rsidRPr="00AD518C" w:rsidRDefault="003409BC" w:rsidP="00DF2E27">
      <w:pPr>
        <w:pStyle w:val="BodyText"/>
      </w:pPr>
      <w:r>
        <w:rPr>
          <w:rFonts w:cs="Arial"/>
          <w:color w:val="auto"/>
        </w:rPr>
        <w:fldChar w:fldCharType="begin"/>
      </w:r>
      <w:r>
        <w:rPr>
          <w:rFonts w:cs="Arial"/>
          <w:color w:val="auto"/>
        </w:rPr>
        <w:instrText xml:space="preserve"> REF _Ref35352532 \h </w:instrText>
      </w:r>
      <w:r>
        <w:rPr>
          <w:rFonts w:cs="Arial"/>
          <w:color w:val="auto"/>
        </w:rPr>
      </w:r>
      <w:r>
        <w:rPr>
          <w:rFonts w:cs="Arial"/>
          <w:color w:val="auto"/>
        </w:rPr>
        <w:fldChar w:fldCharType="separate"/>
      </w:r>
      <w:r w:rsidRPr="0028607F">
        <w:rPr>
          <w:rFonts w:cs="Arial"/>
        </w:rPr>
        <w:t xml:space="preserve">Table </w:t>
      </w:r>
      <w:r>
        <w:rPr>
          <w:rFonts w:cs="Arial"/>
          <w:noProof/>
        </w:rPr>
        <w:t>11</w:t>
      </w:r>
      <w:r>
        <w:rPr>
          <w:rFonts w:cs="Arial"/>
          <w:color w:val="auto"/>
        </w:rPr>
        <w:fldChar w:fldCharType="end"/>
      </w:r>
      <w:r w:rsidR="003105E2" w:rsidRPr="003105E2">
        <w:rPr>
          <w:rFonts w:cs="Arial"/>
          <w:color w:val="auto"/>
        </w:rPr>
        <w:t xml:space="preserve"> summarises the estimated cost impact of including </w:t>
      </w:r>
      <w:r w:rsidR="0072722B">
        <w:rPr>
          <w:rFonts w:cs="Arial"/>
          <w:color w:val="auto"/>
        </w:rPr>
        <w:t>Women’s Health Centre</w:t>
      </w:r>
      <w:r w:rsidR="003105E2" w:rsidRPr="003105E2">
        <w:rPr>
          <w:rFonts w:cs="Arial"/>
          <w:color w:val="auto"/>
        </w:rPr>
        <w:t>s as eligible employers under the S</w:t>
      </w:r>
      <w:r w:rsidR="003105E2">
        <w:rPr>
          <w:rFonts w:cs="Arial"/>
          <w:color w:val="auto"/>
        </w:rPr>
        <w:t>cheme.</w:t>
      </w:r>
      <w:r w:rsidR="005C159C">
        <w:rPr>
          <w:rFonts w:cs="Arial"/>
          <w:color w:val="auto"/>
        </w:rPr>
        <w:t xml:space="preserve"> </w:t>
      </w:r>
      <w:r w:rsidR="00AD518C" w:rsidRPr="008A653E">
        <w:fldChar w:fldCharType="begin"/>
      </w:r>
      <w:r w:rsidR="00AD518C" w:rsidRPr="008A653E">
        <w:rPr>
          <w:rFonts w:cs="Arial"/>
          <w:color w:val="auto"/>
        </w:rPr>
        <w:instrText xml:space="preserve"> REF _Ref37361527 \h </w:instrText>
      </w:r>
      <w:r w:rsidR="00AD518C" w:rsidRPr="008A653E">
        <w:fldChar w:fldCharType="separate"/>
      </w:r>
      <w:r w:rsidR="00AD518C" w:rsidRPr="008A653E">
        <w:t xml:space="preserve">Figure </w:t>
      </w:r>
      <w:r w:rsidR="00AD518C" w:rsidRPr="008A653E">
        <w:rPr>
          <w:noProof/>
        </w:rPr>
        <w:t>6</w:t>
      </w:r>
      <w:r w:rsidR="00AD518C" w:rsidRPr="008A653E">
        <w:fldChar w:fldCharType="end"/>
      </w:r>
      <w:r w:rsidR="00AD518C">
        <w:t xml:space="preserve"> provides an overview of the assumptions reflected in the estimated impacts. </w:t>
      </w:r>
      <w:r w:rsidR="00AD518C" w:rsidRPr="00592BAB">
        <w:t xml:space="preserve"> </w:t>
      </w:r>
    </w:p>
    <w:p w14:paraId="2C0420C4" w14:textId="3A587317" w:rsidR="00B11047" w:rsidRDefault="005C159C" w:rsidP="00337958">
      <w:pPr>
        <w:pStyle w:val="BodyText"/>
        <w:numPr>
          <w:ilvl w:val="0"/>
          <w:numId w:val="68"/>
        </w:numPr>
        <w:rPr>
          <w:rFonts w:cs="Arial"/>
          <w:color w:val="auto"/>
        </w:rPr>
      </w:pPr>
      <w:r>
        <w:rPr>
          <w:rFonts w:cs="Arial"/>
          <w:color w:val="auto"/>
        </w:rPr>
        <w:t>The annual direct levy cost</w:t>
      </w:r>
      <w:r w:rsidR="00D74617">
        <w:rPr>
          <w:rFonts w:cs="Arial"/>
          <w:color w:val="auto"/>
        </w:rPr>
        <w:t xml:space="preserve"> is estimated to be </w:t>
      </w:r>
      <w:r w:rsidR="00D87919">
        <w:rPr>
          <w:rFonts w:cs="Arial"/>
          <w:color w:val="auto"/>
        </w:rPr>
        <w:t>$5</w:t>
      </w:r>
      <w:r w:rsidR="00B11047">
        <w:rPr>
          <w:rFonts w:cs="Arial"/>
          <w:color w:val="auto"/>
        </w:rPr>
        <w:t>63,0</w:t>
      </w:r>
      <w:r w:rsidR="00804512">
        <w:rPr>
          <w:rFonts w:cs="Arial"/>
          <w:color w:val="auto"/>
        </w:rPr>
        <w:t xml:space="preserve">00 for the </w:t>
      </w:r>
      <w:r w:rsidR="002106A3">
        <w:rPr>
          <w:rFonts w:cs="Arial"/>
          <w:color w:val="auto"/>
        </w:rPr>
        <w:t>sub</w:t>
      </w:r>
      <w:r w:rsidR="002106A3">
        <w:rPr>
          <w:rFonts w:cs="Arial"/>
          <w:color w:val="auto"/>
        </w:rPr>
        <w:noBreakHyphen/>
        <w:t>sector</w:t>
      </w:r>
      <w:r w:rsidR="00804512">
        <w:rPr>
          <w:rFonts w:cs="Arial"/>
          <w:color w:val="auto"/>
        </w:rPr>
        <w:t xml:space="preserve"> as a whole, and </w:t>
      </w:r>
      <w:r w:rsidR="00D87919">
        <w:rPr>
          <w:rFonts w:cs="Arial"/>
          <w:color w:val="auto"/>
        </w:rPr>
        <w:t>$3</w:t>
      </w:r>
      <w:r w:rsidR="009B408D">
        <w:rPr>
          <w:rFonts w:cs="Arial"/>
          <w:color w:val="auto"/>
        </w:rPr>
        <w:t>8,0</w:t>
      </w:r>
      <w:r w:rsidR="00D74617">
        <w:rPr>
          <w:rFonts w:cs="Arial"/>
          <w:color w:val="auto"/>
        </w:rPr>
        <w:t xml:space="preserve">00 </w:t>
      </w:r>
      <w:r w:rsidR="00804512">
        <w:rPr>
          <w:rFonts w:cs="Arial"/>
          <w:color w:val="auto"/>
        </w:rPr>
        <w:t xml:space="preserve">on average </w:t>
      </w:r>
      <w:r w:rsidR="00D74617">
        <w:rPr>
          <w:rFonts w:cs="Arial"/>
          <w:color w:val="auto"/>
        </w:rPr>
        <w:t>per year</w:t>
      </w:r>
      <w:r w:rsidR="00804512">
        <w:rPr>
          <w:rFonts w:cs="Arial"/>
          <w:color w:val="auto"/>
        </w:rPr>
        <w:t xml:space="preserve"> for each</w:t>
      </w:r>
      <w:r w:rsidR="00B11047">
        <w:rPr>
          <w:rFonts w:cs="Arial"/>
          <w:color w:val="auto"/>
        </w:rPr>
        <w:t xml:space="preserve"> of the nine</w:t>
      </w:r>
      <w:r w:rsidR="00804512">
        <w:rPr>
          <w:rFonts w:cs="Arial"/>
          <w:color w:val="auto"/>
        </w:rPr>
        <w:t xml:space="preserve"> provider</w:t>
      </w:r>
      <w:r w:rsidR="00B11047">
        <w:rPr>
          <w:rFonts w:cs="Arial"/>
          <w:color w:val="auto"/>
        </w:rPr>
        <w:t>s</w:t>
      </w:r>
      <w:r w:rsidR="007C5465">
        <w:rPr>
          <w:rFonts w:cs="Arial"/>
          <w:color w:val="auto"/>
        </w:rPr>
        <w:t xml:space="preserve">. </w:t>
      </w:r>
    </w:p>
    <w:p w14:paraId="17A4E427" w14:textId="27F545A2" w:rsidR="00B11047" w:rsidRDefault="007C5465" w:rsidP="00337958">
      <w:pPr>
        <w:pStyle w:val="BodyText"/>
        <w:numPr>
          <w:ilvl w:val="0"/>
          <w:numId w:val="68"/>
        </w:numPr>
        <w:rPr>
          <w:rFonts w:cs="Arial"/>
          <w:color w:val="auto"/>
        </w:rPr>
      </w:pPr>
      <w:r>
        <w:rPr>
          <w:rFonts w:cs="Arial"/>
          <w:color w:val="auto"/>
        </w:rPr>
        <w:t>Recognising that</w:t>
      </w:r>
      <w:r w:rsidR="00D74617">
        <w:rPr>
          <w:rFonts w:cs="Arial"/>
          <w:color w:val="auto"/>
        </w:rPr>
        <w:t xml:space="preserve"> employers already need to provision for long service entitlements, the average</w:t>
      </w:r>
      <w:r w:rsidR="00D73984">
        <w:rPr>
          <w:rFonts w:cs="Arial"/>
          <w:color w:val="auto"/>
        </w:rPr>
        <w:t xml:space="preserve"> annual</w:t>
      </w:r>
      <w:r w:rsidR="00D74617">
        <w:rPr>
          <w:rFonts w:cs="Arial"/>
          <w:color w:val="auto"/>
        </w:rPr>
        <w:t xml:space="preserve"> </w:t>
      </w:r>
      <w:r w:rsidR="00B01E4B">
        <w:rPr>
          <w:rFonts w:cs="Arial"/>
          <w:color w:val="auto"/>
        </w:rPr>
        <w:t xml:space="preserve">net </w:t>
      </w:r>
      <w:r w:rsidR="00D74617">
        <w:rPr>
          <w:rFonts w:cs="Arial"/>
          <w:color w:val="auto"/>
        </w:rPr>
        <w:t xml:space="preserve">cost </w:t>
      </w:r>
      <w:r>
        <w:rPr>
          <w:rFonts w:cs="Arial"/>
          <w:color w:val="auto"/>
        </w:rPr>
        <w:t>is estimated to be</w:t>
      </w:r>
      <w:r w:rsidR="00D87919">
        <w:rPr>
          <w:rFonts w:cs="Arial"/>
          <w:color w:val="auto"/>
        </w:rPr>
        <w:t xml:space="preserve"> $</w:t>
      </w:r>
      <w:r w:rsidR="009B408D">
        <w:rPr>
          <w:rFonts w:cs="Arial"/>
          <w:color w:val="auto"/>
        </w:rPr>
        <w:t>154,0</w:t>
      </w:r>
      <w:r w:rsidR="00B11047">
        <w:rPr>
          <w:rFonts w:cs="Arial"/>
          <w:color w:val="auto"/>
        </w:rPr>
        <w:t>00</w:t>
      </w:r>
      <w:r w:rsidR="00D74617">
        <w:rPr>
          <w:rFonts w:cs="Arial"/>
          <w:color w:val="auto"/>
        </w:rPr>
        <w:t xml:space="preserve"> a year</w:t>
      </w:r>
      <w:r w:rsidR="00804512">
        <w:rPr>
          <w:rFonts w:cs="Arial"/>
          <w:color w:val="auto"/>
        </w:rPr>
        <w:t xml:space="preserve"> for</w:t>
      </w:r>
      <w:r w:rsidR="00D87919">
        <w:rPr>
          <w:rFonts w:cs="Arial"/>
          <w:color w:val="auto"/>
        </w:rPr>
        <w:t xml:space="preserve"> the </w:t>
      </w:r>
      <w:r w:rsidR="002106A3">
        <w:rPr>
          <w:rFonts w:cs="Arial"/>
          <w:color w:val="auto"/>
        </w:rPr>
        <w:t>sub</w:t>
      </w:r>
      <w:r w:rsidR="002106A3">
        <w:rPr>
          <w:rFonts w:cs="Arial"/>
          <w:color w:val="auto"/>
        </w:rPr>
        <w:noBreakHyphen/>
        <w:t>sector</w:t>
      </w:r>
      <w:r w:rsidR="00D87919">
        <w:rPr>
          <w:rFonts w:cs="Arial"/>
          <w:color w:val="auto"/>
        </w:rPr>
        <w:t xml:space="preserve"> as a whole, and $</w:t>
      </w:r>
      <w:r w:rsidR="009B408D">
        <w:rPr>
          <w:rFonts w:cs="Arial"/>
          <w:color w:val="auto"/>
        </w:rPr>
        <w:t>10,0</w:t>
      </w:r>
      <w:r w:rsidR="00B11047">
        <w:rPr>
          <w:rFonts w:cs="Arial"/>
          <w:color w:val="auto"/>
        </w:rPr>
        <w:t>00</w:t>
      </w:r>
      <w:r w:rsidR="00804512">
        <w:rPr>
          <w:rFonts w:cs="Arial"/>
          <w:color w:val="auto"/>
        </w:rPr>
        <w:t xml:space="preserve"> on average per year for each service provider.</w:t>
      </w:r>
      <w:r w:rsidR="00901DED">
        <w:rPr>
          <w:rFonts w:cs="Arial"/>
          <w:color w:val="auto"/>
        </w:rPr>
        <w:t xml:space="preserve"> </w:t>
      </w:r>
    </w:p>
    <w:p w14:paraId="59014A94" w14:textId="490498EE" w:rsidR="0028607F" w:rsidRDefault="00901DED">
      <w:pPr>
        <w:pStyle w:val="BodyText"/>
        <w:rPr>
          <w:rFonts w:cs="Arial"/>
          <w:color w:val="auto"/>
        </w:rPr>
      </w:pPr>
      <w:r>
        <w:rPr>
          <w:rFonts w:cs="Arial"/>
          <w:color w:val="auto"/>
        </w:rPr>
        <w:t>The cost impact</w:t>
      </w:r>
      <w:r w:rsidR="00B11047">
        <w:rPr>
          <w:rFonts w:cs="Arial"/>
          <w:color w:val="auto"/>
        </w:rPr>
        <w:t xml:space="preserve"> per provider</w:t>
      </w:r>
      <w:r>
        <w:rPr>
          <w:rFonts w:cs="Arial"/>
          <w:color w:val="auto"/>
        </w:rPr>
        <w:t xml:space="preserve"> would vary greatly between providers depending on the number of staff they employ. </w:t>
      </w:r>
    </w:p>
    <w:p w14:paraId="41D39441" w14:textId="085E9D2F" w:rsidR="0028607F" w:rsidRDefault="0028607F" w:rsidP="00DF2E27">
      <w:pPr>
        <w:pStyle w:val="BodyText"/>
        <w:rPr>
          <w:rFonts w:cs="Arial"/>
          <w:color w:val="auto"/>
        </w:rPr>
      </w:pPr>
      <w:r>
        <w:rPr>
          <w:rFonts w:cs="Arial"/>
          <w:color w:val="auto"/>
        </w:rPr>
        <w:lastRenderedPageBreak/>
        <w:t xml:space="preserve">While the inclusion of </w:t>
      </w:r>
      <w:r w:rsidR="0072722B">
        <w:rPr>
          <w:rFonts w:cs="Arial"/>
          <w:color w:val="auto"/>
        </w:rPr>
        <w:t>Women’s Health Centre</w:t>
      </w:r>
      <w:r>
        <w:rPr>
          <w:rFonts w:cs="Arial"/>
          <w:color w:val="auto"/>
        </w:rPr>
        <w:t xml:space="preserve">s in the Scheme would have </w:t>
      </w:r>
      <w:r w:rsidR="00B11047">
        <w:rPr>
          <w:rFonts w:cs="Arial"/>
          <w:color w:val="auto"/>
        </w:rPr>
        <w:t>a financial impact on providers</w:t>
      </w:r>
      <w:r>
        <w:rPr>
          <w:rFonts w:cs="Arial"/>
          <w:color w:val="auto"/>
        </w:rPr>
        <w:t>, feedback from stakeholders made</w:t>
      </w:r>
      <w:r w:rsidR="00C87EE3">
        <w:rPr>
          <w:rFonts w:cs="Arial"/>
          <w:color w:val="auto"/>
        </w:rPr>
        <w:t xml:space="preserve"> it</w:t>
      </w:r>
      <w:r>
        <w:rPr>
          <w:rFonts w:cs="Arial"/>
          <w:color w:val="auto"/>
        </w:rPr>
        <w:t xml:space="preserve"> clear that </w:t>
      </w:r>
      <w:r w:rsidR="00D73984">
        <w:rPr>
          <w:rFonts w:cs="Arial"/>
          <w:color w:val="auto"/>
        </w:rPr>
        <w:t xml:space="preserve">employers in the </w:t>
      </w:r>
      <w:r w:rsidR="002106A3">
        <w:rPr>
          <w:rFonts w:cs="Arial"/>
          <w:color w:val="auto"/>
        </w:rPr>
        <w:t>sub</w:t>
      </w:r>
      <w:r w:rsidR="002106A3">
        <w:rPr>
          <w:rFonts w:cs="Arial"/>
          <w:color w:val="auto"/>
        </w:rPr>
        <w:noBreakHyphen/>
        <w:t>sector</w:t>
      </w:r>
      <w:r>
        <w:rPr>
          <w:rFonts w:cs="Arial"/>
          <w:color w:val="auto"/>
        </w:rPr>
        <w:t xml:space="preserve"> would welcome their inclusion </w:t>
      </w:r>
      <w:r w:rsidR="00B11047">
        <w:rPr>
          <w:rFonts w:cs="Arial"/>
          <w:color w:val="auto"/>
        </w:rPr>
        <w:t xml:space="preserve">in the Scheme. The </w:t>
      </w:r>
      <w:r w:rsidR="002106A3">
        <w:rPr>
          <w:rFonts w:cs="Arial"/>
          <w:color w:val="auto"/>
        </w:rPr>
        <w:t>sub</w:t>
      </w:r>
      <w:r w:rsidR="002106A3">
        <w:rPr>
          <w:rFonts w:cs="Arial"/>
          <w:color w:val="auto"/>
        </w:rPr>
        <w:noBreakHyphen/>
        <w:t>sector</w:t>
      </w:r>
      <w:r w:rsidR="00B11047">
        <w:rPr>
          <w:rFonts w:cs="Arial"/>
          <w:color w:val="auto"/>
        </w:rPr>
        <w:t xml:space="preserve"> views portable long service benefits as</w:t>
      </w:r>
      <w:r w:rsidR="00651F61">
        <w:rPr>
          <w:rFonts w:cs="Arial"/>
          <w:color w:val="auto"/>
        </w:rPr>
        <w:t xml:space="preserve"> </w:t>
      </w:r>
      <w:r>
        <w:rPr>
          <w:rFonts w:cs="Arial"/>
          <w:color w:val="auto"/>
        </w:rPr>
        <w:t>positive</w:t>
      </w:r>
      <w:r w:rsidR="00651F61">
        <w:rPr>
          <w:rFonts w:cs="Arial"/>
          <w:color w:val="auto"/>
        </w:rPr>
        <w:t xml:space="preserve"> workplace entitlement f</w:t>
      </w:r>
      <w:r w:rsidR="00D33208">
        <w:rPr>
          <w:rFonts w:cs="Arial"/>
          <w:color w:val="auto"/>
        </w:rPr>
        <w:t>or the workforce (</w:t>
      </w:r>
      <w:r w:rsidR="00597FC3">
        <w:rPr>
          <w:rFonts w:cs="Arial"/>
          <w:color w:val="auto"/>
        </w:rPr>
        <w:t>the</w:t>
      </w:r>
      <w:r w:rsidR="00D33208">
        <w:rPr>
          <w:rFonts w:cs="Arial"/>
          <w:color w:val="auto"/>
        </w:rPr>
        <w:t xml:space="preserve"> majority </w:t>
      </w:r>
      <w:r w:rsidR="00597FC3">
        <w:rPr>
          <w:rFonts w:cs="Arial"/>
          <w:color w:val="auto"/>
        </w:rPr>
        <w:t xml:space="preserve">of which is </w:t>
      </w:r>
      <w:r w:rsidR="00D33208">
        <w:rPr>
          <w:rFonts w:cs="Arial"/>
          <w:color w:val="auto"/>
        </w:rPr>
        <w:t xml:space="preserve">female). </w:t>
      </w:r>
    </w:p>
    <w:p w14:paraId="662BBA9F" w14:textId="30C0D4AA" w:rsidR="0028607F" w:rsidRDefault="0028607F" w:rsidP="0028607F">
      <w:pPr>
        <w:pStyle w:val="Caption"/>
        <w:rPr>
          <w:rFonts w:ascii="Arial" w:hAnsi="Arial" w:cs="Arial"/>
        </w:rPr>
      </w:pPr>
      <w:bookmarkStart w:id="127" w:name="_Ref35352532"/>
      <w:r w:rsidRPr="0028607F">
        <w:rPr>
          <w:rFonts w:ascii="Arial" w:hAnsi="Arial" w:cs="Arial"/>
        </w:rPr>
        <w:t xml:space="preserve">Table </w:t>
      </w:r>
      <w:r w:rsidRPr="0028607F">
        <w:rPr>
          <w:rFonts w:ascii="Arial" w:hAnsi="Arial" w:cs="Arial"/>
        </w:rPr>
        <w:fldChar w:fldCharType="begin"/>
      </w:r>
      <w:r w:rsidRPr="0028607F">
        <w:rPr>
          <w:rFonts w:ascii="Arial" w:hAnsi="Arial" w:cs="Arial"/>
        </w:rPr>
        <w:instrText xml:space="preserve"> SEQ Table \* ARABIC </w:instrText>
      </w:r>
      <w:r w:rsidRPr="0028607F">
        <w:rPr>
          <w:rFonts w:ascii="Arial" w:hAnsi="Arial" w:cs="Arial"/>
        </w:rPr>
        <w:fldChar w:fldCharType="separate"/>
      </w:r>
      <w:r w:rsidR="00EB4037">
        <w:rPr>
          <w:rFonts w:ascii="Arial" w:hAnsi="Arial" w:cs="Arial"/>
          <w:noProof/>
        </w:rPr>
        <w:t>11</w:t>
      </w:r>
      <w:r w:rsidRPr="0028607F">
        <w:rPr>
          <w:rFonts w:ascii="Arial" w:hAnsi="Arial" w:cs="Arial"/>
        </w:rPr>
        <w:fldChar w:fldCharType="end"/>
      </w:r>
      <w:bookmarkEnd w:id="127"/>
      <w:r>
        <w:rPr>
          <w:rFonts w:ascii="Arial" w:hAnsi="Arial" w:cs="Arial"/>
        </w:rPr>
        <w:t xml:space="preserve">: Estimated financial impact on </w:t>
      </w:r>
      <w:r w:rsidR="00597FC3">
        <w:rPr>
          <w:rFonts w:ascii="Arial" w:hAnsi="Arial" w:cs="Arial"/>
        </w:rPr>
        <w:t xml:space="preserve">the </w:t>
      </w:r>
      <w:r w:rsidR="0072722B">
        <w:rPr>
          <w:rFonts w:ascii="Arial" w:hAnsi="Arial" w:cs="Arial"/>
        </w:rPr>
        <w:t>Women’s Health</w:t>
      </w:r>
      <w:r>
        <w:rPr>
          <w:rFonts w:ascii="Arial" w:hAnsi="Arial" w:cs="Arial"/>
        </w:rPr>
        <w:t xml:space="preserve"> </w:t>
      </w:r>
      <w:r w:rsidR="002106A3">
        <w:rPr>
          <w:rFonts w:ascii="Arial" w:hAnsi="Arial" w:cs="Arial"/>
        </w:rPr>
        <w:t>sub</w:t>
      </w:r>
      <w:r w:rsidR="002106A3">
        <w:rPr>
          <w:rFonts w:ascii="Arial" w:hAnsi="Arial" w:cs="Arial"/>
        </w:rPr>
        <w:noBreakHyphen/>
        <w:t>sector</w:t>
      </w:r>
    </w:p>
    <w:tbl>
      <w:tblPr>
        <w:tblW w:w="8813" w:type="dxa"/>
        <w:tblLook w:val="04A0" w:firstRow="1" w:lastRow="0" w:firstColumn="1" w:lastColumn="0" w:noHBand="0" w:noVBand="1"/>
      </w:tblPr>
      <w:tblGrid>
        <w:gridCol w:w="3119"/>
        <w:gridCol w:w="5694"/>
      </w:tblGrid>
      <w:tr w:rsidR="00D33117" w:rsidRPr="00423F3A" w14:paraId="46F3A9E6" w14:textId="77777777" w:rsidTr="00A176FA">
        <w:trPr>
          <w:trHeight w:val="454"/>
        </w:trPr>
        <w:tc>
          <w:tcPr>
            <w:tcW w:w="8813" w:type="dxa"/>
            <w:gridSpan w:val="2"/>
            <w:tcBorders>
              <w:top w:val="nil"/>
              <w:left w:val="nil"/>
              <w:bottom w:val="nil"/>
              <w:right w:val="single" w:sz="8" w:space="0" w:color="auto"/>
            </w:tcBorders>
            <w:shd w:val="clear" w:color="auto" w:fill="002060"/>
            <w:vAlign w:val="center"/>
          </w:tcPr>
          <w:p w14:paraId="1E6C9743" w14:textId="70AB4743" w:rsidR="00D33117" w:rsidRPr="00423F3A" w:rsidRDefault="00D33117" w:rsidP="00D215A9">
            <w:pPr>
              <w:keepNext/>
              <w:spacing w:after="0" w:line="240" w:lineRule="auto"/>
              <w:rPr>
                <w:rFonts w:ascii="Arial" w:eastAsia="Times New Roman" w:hAnsi="Arial" w:cs="Arial"/>
                <w:b/>
                <w:bCs/>
                <w:color w:val="FFFFFF" w:themeColor="background1"/>
                <w:lang w:eastAsia="en-AU"/>
              </w:rPr>
            </w:pPr>
            <w:r>
              <w:rPr>
                <w:rFonts w:ascii="Arial" w:eastAsia="Times New Roman" w:hAnsi="Arial" w:cs="Arial"/>
                <w:b/>
                <w:bCs/>
                <w:color w:val="FFFFFF" w:themeColor="background1"/>
                <w:lang w:eastAsia="en-AU"/>
              </w:rPr>
              <w:t xml:space="preserve">Approximate annual cost </w:t>
            </w:r>
            <w:r w:rsidR="00222C41">
              <w:rPr>
                <w:rFonts w:ascii="Arial" w:eastAsia="Times New Roman" w:hAnsi="Arial" w:cs="Arial"/>
                <w:b/>
                <w:bCs/>
                <w:color w:val="FFFFFF" w:themeColor="background1"/>
                <w:lang w:eastAsia="en-AU"/>
              </w:rPr>
              <w:t xml:space="preserve">increase </w:t>
            </w:r>
            <w:r>
              <w:rPr>
                <w:rFonts w:ascii="Arial" w:eastAsia="Times New Roman" w:hAnsi="Arial" w:cs="Arial"/>
                <w:b/>
                <w:bCs/>
                <w:color w:val="FFFFFF" w:themeColor="background1"/>
                <w:lang w:eastAsia="en-AU"/>
              </w:rPr>
              <w:t>(1.65% levy)</w:t>
            </w:r>
          </w:p>
        </w:tc>
      </w:tr>
      <w:tr w:rsidR="00D33117" w:rsidRPr="00760E95" w14:paraId="388CEDEA" w14:textId="77777777" w:rsidTr="00D33117">
        <w:trPr>
          <w:trHeight w:val="567"/>
        </w:trPr>
        <w:tc>
          <w:tcPr>
            <w:tcW w:w="3119" w:type="dxa"/>
            <w:tcBorders>
              <w:top w:val="nil"/>
              <w:left w:val="nil"/>
              <w:bottom w:val="nil"/>
              <w:right w:val="single" w:sz="8" w:space="0" w:color="auto"/>
            </w:tcBorders>
            <w:shd w:val="clear" w:color="auto" w:fill="DEEAF6" w:themeFill="accent1" w:themeFillTint="33"/>
            <w:vAlign w:val="center"/>
          </w:tcPr>
          <w:p w14:paraId="0CC9BE1D" w14:textId="017832A0" w:rsidR="00D33117" w:rsidRPr="00760E95" w:rsidRDefault="00D33117" w:rsidP="00D33117">
            <w:pPr>
              <w:keepNext/>
              <w:spacing w:after="0" w:line="240" w:lineRule="auto"/>
              <w:rPr>
                <w:rFonts w:ascii="Arial" w:eastAsia="Times New Roman" w:hAnsi="Arial" w:cs="Arial"/>
                <w:color w:val="000000"/>
                <w:lang w:eastAsia="en-AU"/>
              </w:rPr>
            </w:pPr>
            <w:r>
              <w:rPr>
                <w:rFonts w:ascii="Arial" w:eastAsia="Times New Roman" w:hAnsi="Arial" w:cs="Arial"/>
                <w:color w:val="000000"/>
                <w:lang w:eastAsia="en-AU"/>
              </w:rPr>
              <w:t>Sector-wide</w:t>
            </w:r>
          </w:p>
        </w:tc>
        <w:tc>
          <w:tcPr>
            <w:tcW w:w="5694" w:type="dxa"/>
            <w:tcBorders>
              <w:top w:val="nil"/>
              <w:left w:val="single" w:sz="8" w:space="0" w:color="auto"/>
              <w:bottom w:val="nil"/>
              <w:right w:val="nil"/>
            </w:tcBorders>
            <w:shd w:val="clear" w:color="auto" w:fill="DEEAF6" w:themeFill="accent1" w:themeFillTint="33"/>
            <w:vAlign w:val="center"/>
          </w:tcPr>
          <w:p w14:paraId="328F250B" w14:textId="3EFDFA93" w:rsidR="00D33117" w:rsidRPr="00150DBF" w:rsidRDefault="00B00441" w:rsidP="00597FC3">
            <w:pPr>
              <w:keepNext/>
              <w:tabs>
                <w:tab w:val="decimal" w:pos="1181"/>
              </w:tabs>
              <w:spacing w:after="0" w:line="240" w:lineRule="auto"/>
              <w:rPr>
                <w:rFonts w:ascii="Arial" w:eastAsia="Times New Roman" w:hAnsi="Arial" w:cs="Arial"/>
                <w:b/>
                <w:bCs/>
                <w:color w:val="000000"/>
                <w:lang w:eastAsia="en-AU"/>
              </w:rPr>
            </w:pPr>
            <w:r w:rsidRPr="00150DBF">
              <w:rPr>
                <w:rFonts w:ascii="Arial" w:eastAsia="Times New Roman" w:hAnsi="Arial" w:cs="Arial"/>
                <w:b/>
                <w:bCs/>
                <w:color w:val="000000"/>
                <w:lang w:eastAsia="en-AU"/>
              </w:rPr>
              <w:t>$</w:t>
            </w:r>
            <w:r w:rsidR="00B11047">
              <w:rPr>
                <w:rFonts w:ascii="Arial" w:eastAsia="Times New Roman" w:hAnsi="Arial" w:cs="Arial"/>
                <w:b/>
                <w:bCs/>
                <w:color w:val="000000"/>
                <w:lang w:eastAsia="en-AU"/>
              </w:rPr>
              <w:t>563,000</w:t>
            </w:r>
          </w:p>
        </w:tc>
      </w:tr>
      <w:tr w:rsidR="00D33117" w:rsidRPr="00760E95" w14:paraId="3893E1C5" w14:textId="77777777" w:rsidTr="00D33117">
        <w:trPr>
          <w:trHeight w:val="567"/>
        </w:trPr>
        <w:tc>
          <w:tcPr>
            <w:tcW w:w="3119" w:type="dxa"/>
            <w:tcBorders>
              <w:top w:val="nil"/>
              <w:left w:val="nil"/>
              <w:bottom w:val="nil"/>
              <w:right w:val="single" w:sz="8" w:space="0" w:color="auto"/>
            </w:tcBorders>
            <w:shd w:val="clear" w:color="auto" w:fill="DEEAF6" w:themeFill="accent1" w:themeFillTint="33"/>
            <w:vAlign w:val="center"/>
          </w:tcPr>
          <w:p w14:paraId="14D6E7E0" w14:textId="1CBB719E" w:rsidR="00D33117" w:rsidRDefault="00D33117" w:rsidP="00D33117">
            <w:pPr>
              <w:keepNext/>
              <w:spacing w:after="0" w:line="240" w:lineRule="auto"/>
              <w:rPr>
                <w:rFonts w:ascii="Arial" w:eastAsia="Times New Roman" w:hAnsi="Arial" w:cs="Arial"/>
                <w:color w:val="000000"/>
                <w:lang w:eastAsia="en-AU"/>
              </w:rPr>
            </w:pPr>
            <w:r>
              <w:rPr>
                <w:rFonts w:ascii="Arial" w:eastAsia="Times New Roman" w:hAnsi="Arial" w:cs="Arial"/>
                <w:color w:val="000000"/>
                <w:lang w:eastAsia="en-AU"/>
              </w:rPr>
              <w:t>Per service provider</w:t>
            </w:r>
          </w:p>
        </w:tc>
        <w:tc>
          <w:tcPr>
            <w:tcW w:w="5694" w:type="dxa"/>
            <w:tcBorders>
              <w:top w:val="nil"/>
              <w:left w:val="single" w:sz="8" w:space="0" w:color="auto"/>
              <w:bottom w:val="nil"/>
              <w:right w:val="nil"/>
            </w:tcBorders>
            <w:shd w:val="clear" w:color="auto" w:fill="DEEAF6" w:themeFill="accent1" w:themeFillTint="33"/>
            <w:vAlign w:val="center"/>
          </w:tcPr>
          <w:p w14:paraId="138A3805" w14:textId="3082A921" w:rsidR="00D33117" w:rsidRPr="00150DBF" w:rsidRDefault="00D87919" w:rsidP="00597FC3">
            <w:pPr>
              <w:keepNext/>
              <w:tabs>
                <w:tab w:val="decimal" w:pos="1181"/>
              </w:tabs>
              <w:spacing w:after="0" w:line="240" w:lineRule="auto"/>
              <w:rPr>
                <w:rFonts w:ascii="Arial" w:eastAsia="Times New Roman" w:hAnsi="Arial" w:cs="Arial"/>
                <w:b/>
                <w:bCs/>
                <w:color w:val="000000"/>
                <w:lang w:eastAsia="en-AU"/>
              </w:rPr>
            </w:pPr>
            <w:r>
              <w:rPr>
                <w:rFonts w:ascii="Arial" w:eastAsia="Times New Roman" w:hAnsi="Arial" w:cs="Arial"/>
                <w:b/>
                <w:bCs/>
                <w:color w:val="000000"/>
                <w:lang w:eastAsia="en-AU"/>
              </w:rPr>
              <w:t>$</w:t>
            </w:r>
            <w:r w:rsidR="009B408D">
              <w:rPr>
                <w:rFonts w:ascii="Arial" w:eastAsia="Times New Roman" w:hAnsi="Arial" w:cs="Arial"/>
                <w:b/>
                <w:bCs/>
                <w:color w:val="000000"/>
                <w:lang w:eastAsia="en-AU"/>
              </w:rPr>
              <w:t>38,0</w:t>
            </w:r>
            <w:r w:rsidR="00B11047">
              <w:rPr>
                <w:rFonts w:ascii="Arial" w:eastAsia="Times New Roman" w:hAnsi="Arial" w:cs="Arial"/>
                <w:b/>
                <w:bCs/>
                <w:color w:val="000000"/>
                <w:lang w:eastAsia="en-AU"/>
              </w:rPr>
              <w:t>00</w:t>
            </w:r>
          </w:p>
        </w:tc>
      </w:tr>
      <w:tr w:rsidR="00D33117" w:rsidRPr="00423F3A" w14:paraId="28E5E1B6" w14:textId="77777777" w:rsidTr="00A176FA">
        <w:trPr>
          <w:trHeight w:val="454"/>
        </w:trPr>
        <w:tc>
          <w:tcPr>
            <w:tcW w:w="8813" w:type="dxa"/>
            <w:gridSpan w:val="2"/>
            <w:tcBorders>
              <w:top w:val="nil"/>
              <w:left w:val="nil"/>
              <w:bottom w:val="nil"/>
              <w:right w:val="single" w:sz="8" w:space="0" w:color="auto"/>
            </w:tcBorders>
            <w:shd w:val="clear" w:color="auto" w:fill="002060"/>
            <w:vAlign w:val="center"/>
          </w:tcPr>
          <w:p w14:paraId="05DA75CD" w14:textId="75D9B672" w:rsidR="00D33117" w:rsidRPr="00423F3A" w:rsidRDefault="00D73984" w:rsidP="00222C41">
            <w:pPr>
              <w:keepNext/>
              <w:spacing w:after="0" w:line="240" w:lineRule="auto"/>
              <w:rPr>
                <w:rFonts w:ascii="Arial" w:eastAsia="Times New Roman" w:hAnsi="Arial" w:cs="Arial"/>
                <w:b/>
                <w:bCs/>
                <w:color w:val="FFFFFF" w:themeColor="background1"/>
                <w:lang w:eastAsia="en-AU"/>
              </w:rPr>
            </w:pPr>
            <w:r>
              <w:rPr>
                <w:rFonts w:ascii="Arial" w:eastAsia="Times New Roman" w:hAnsi="Arial" w:cs="Arial"/>
                <w:b/>
                <w:bCs/>
                <w:color w:val="FFFFFF" w:themeColor="background1"/>
                <w:lang w:eastAsia="en-AU"/>
              </w:rPr>
              <w:t xml:space="preserve">Estimated annual net cost increase </w:t>
            </w:r>
            <w:r w:rsidR="00B11047">
              <w:rPr>
                <w:rFonts w:ascii="Arial" w:eastAsia="Times New Roman" w:hAnsi="Arial" w:cs="Arial"/>
                <w:b/>
                <w:bCs/>
                <w:color w:val="FFFFFF" w:themeColor="background1"/>
                <w:lang w:eastAsia="en-AU"/>
              </w:rPr>
              <w:t>(0.45% increase)</w:t>
            </w:r>
          </w:p>
        </w:tc>
      </w:tr>
      <w:tr w:rsidR="00D33117" w:rsidRPr="00760E95" w14:paraId="055AB5EF" w14:textId="77777777" w:rsidTr="00A176FA">
        <w:trPr>
          <w:trHeight w:val="567"/>
        </w:trPr>
        <w:tc>
          <w:tcPr>
            <w:tcW w:w="3119" w:type="dxa"/>
            <w:tcBorders>
              <w:top w:val="nil"/>
              <w:left w:val="nil"/>
              <w:bottom w:val="nil"/>
              <w:right w:val="single" w:sz="8" w:space="0" w:color="auto"/>
            </w:tcBorders>
            <w:shd w:val="clear" w:color="auto" w:fill="DEEAF6" w:themeFill="accent1" w:themeFillTint="33"/>
            <w:vAlign w:val="center"/>
          </w:tcPr>
          <w:p w14:paraId="1610CB5A" w14:textId="77777777" w:rsidR="00D33117" w:rsidRPr="00760E95" w:rsidRDefault="00D33117" w:rsidP="00A176FA">
            <w:pPr>
              <w:keepNext/>
              <w:spacing w:after="0" w:line="240" w:lineRule="auto"/>
              <w:rPr>
                <w:rFonts w:ascii="Arial" w:eastAsia="Times New Roman" w:hAnsi="Arial" w:cs="Arial"/>
                <w:color w:val="000000"/>
                <w:lang w:eastAsia="en-AU"/>
              </w:rPr>
            </w:pPr>
            <w:r>
              <w:rPr>
                <w:rFonts w:ascii="Arial" w:eastAsia="Times New Roman" w:hAnsi="Arial" w:cs="Arial"/>
                <w:color w:val="000000"/>
                <w:lang w:eastAsia="en-AU"/>
              </w:rPr>
              <w:t>Sector-wide</w:t>
            </w:r>
          </w:p>
        </w:tc>
        <w:tc>
          <w:tcPr>
            <w:tcW w:w="5694" w:type="dxa"/>
            <w:tcBorders>
              <w:top w:val="nil"/>
              <w:left w:val="single" w:sz="8" w:space="0" w:color="auto"/>
              <w:bottom w:val="nil"/>
              <w:right w:val="nil"/>
            </w:tcBorders>
            <w:shd w:val="clear" w:color="auto" w:fill="DEEAF6" w:themeFill="accent1" w:themeFillTint="33"/>
            <w:vAlign w:val="center"/>
          </w:tcPr>
          <w:p w14:paraId="1D55F312" w14:textId="34E83751" w:rsidR="00D33117" w:rsidRPr="00150DBF" w:rsidRDefault="00B00441" w:rsidP="00597FC3">
            <w:pPr>
              <w:keepNext/>
              <w:tabs>
                <w:tab w:val="decimal" w:pos="1181"/>
              </w:tabs>
              <w:spacing w:after="0" w:line="240" w:lineRule="auto"/>
              <w:rPr>
                <w:rFonts w:ascii="Arial" w:eastAsia="Times New Roman" w:hAnsi="Arial" w:cs="Arial"/>
                <w:b/>
                <w:bCs/>
                <w:color w:val="000000"/>
                <w:lang w:eastAsia="en-AU"/>
              </w:rPr>
            </w:pPr>
            <w:r w:rsidRPr="00150DBF">
              <w:rPr>
                <w:rFonts w:ascii="Arial" w:eastAsia="Times New Roman" w:hAnsi="Arial" w:cs="Arial"/>
                <w:b/>
                <w:bCs/>
                <w:color w:val="000000"/>
                <w:lang w:eastAsia="en-AU"/>
              </w:rPr>
              <w:t>$</w:t>
            </w:r>
            <w:r w:rsidR="009B408D">
              <w:rPr>
                <w:rFonts w:ascii="Arial" w:eastAsia="Times New Roman" w:hAnsi="Arial" w:cs="Arial"/>
                <w:b/>
                <w:bCs/>
                <w:color w:val="000000"/>
                <w:lang w:eastAsia="en-AU"/>
              </w:rPr>
              <w:t>154,0</w:t>
            </w:r>
            <w:r w:rsidR="00B11047">
              <w:rPr>
                <w:rFonts w:ascii="Arial" w:eastAsia="Times New Roman" w:hAnsi="Arial" w:cs="Arial"/>
                <w:b/>
                <w:bCs/>
                <w:color w:val="000000"/>
                <w:lang w:eastAsia="en-AU"/>
              </w:rPr>
              <w:t xml:space="preserve">00 </w:t>
            </w:r>
          </w:p>
        </w:tc>
      </w:tr>
      <w:tr w:rsidR="00D33117" w:rsidRPr="00760E95" w14:paraId="1AE304CF" w14:textId="77777777" w:rsidTr="00A176FA">
        <w:trPr>
          <w:trHeight w:val="567"/>
        </w:trPr>
        <w:tc>
          <w:tcPr>
            <w:tcW w:w="3119" w:type="dxa"/>
            <w:tcBorders>
              <w:top w:val="nil"/>
              <w:left w:val="nil"/>
              <w:bottom w:val="nil"/>
              <w:right w:val="single" w:sz="8" w:space="0" w:color="auto"/>
            </w:tcBorders>
            <w:shd w:val="clear" w:color="auto" w:fill="DEEAF6" w:themeFill="accent1" w:themeFillTint="33"/>
            <w:vAlign w:val="center"/>
          </w:tcPr>
          <w:p w14:paraId="040254BD" w14:textId="77777777" w:rsidR="00D33117" w:rsidRDefault="00D33117" w:rsidP="00A176FA">
            <w:pPr>
              <w:keepNext/>
              <w:spacing w:after="0" w:line="240" w:lineRule="auto"/>
              <w:rPr>
                <w:rFonts w:ascii="Arial" w:eastAsia="Times New Roman" w:hAnsi="Arial" w:cs="Arial"/>
                <w:color w:val="000000"/>
                <w:lang w:eastAsia="en-AU"/>
              </w:rPr>
            </w:pPr>
            <w:r>
              <w:rPr>
                <w:rFonts w:ascii="Arial" w:eastAsia="Times New Roman" w:hAnsi="Arial" w:cs="Arial"/>
                <w:color w:val="000000"/>
                <w:lang w:eastAsia="en-AU"/>
              </w:rPr>
              <w:t>Per service provider</w:t>
            </w:r>
          </w:p>
        </w:tc>
        <w:tc>
          <w:tcPr>
            <w:tcW w:w="5694" w:type="dxa"/>
            <w:tcBorders>
              <w:top w:val="nil"/>
              <w:left w:val="single" w:sz="8" w:space="0" w:color="auto"/>
              <w:bottom w:val="nil"/>
              <w:right w:val="nil"/>
            </w:tcBorders>
            <w:shd w:val="clear" w:color="auto" w:fill="DEEAF6" w:themeFill="accent1" w:themeFillTint="33"/>
            <w:vAlign w:val="center"/>
          </w:tcPr>
          <w:p w14:paraId="68799200" w14:textId="4B9EE070" w:rsidR="00D33117" w:rsidRPr="00150DBF" w:rsidRDefault="00B00441" w:rsidP="00597FC3">
            <w:pPr>
              <w:keepNext/>
              <w:tabs>
                <w:tab w:val="decimal" w:pos="1181"/>
              </w:tabs>
              <w:spacing w:after="0" w:line="240" w:lineRule="auto"/>
              <w:rPr>
                <w:rFonts w:ascii="Arial" w:eastAsia="Times New Roman" w:hAnsi="Arial" w:cs="Arial"/>
                <w:b/>
                <w:bCs/>
                <w:color w:val="000000"/>
                <w:lang w:eastAsia="en-AU"/>
              </w:rPr>
            </w:pPr>
            <w:r w:rsidRPr="00150DBF">
              <w:rPr>
                <w:rFonts w:ascii="Arial" w:eastAsia="Times New Roman" w:hAnsi="Arial" w:cs="Arial"/>
                <w:b/>
                <w:bCs/>
                <w:color w:val="000000"/>
                <w:lang w:eastAsia="en-AU"/>
              </w:rPr>
              <w:t>$</w:t>
            </w:r>
            <w:r w:rsidR="009B408D">
              <w:rPr>
                <w:rFonts w:ascii="Arial" w:eastAsia="Times New Roman" w:hAnsi="Arial" w:cs="Arial"/>
                <w:b/>
                <w:bCs/>
                <w:color w:val="000000"/>
                <w:lang w:eastAsia="en-AU"/>
              </w:rPr>
              <w:t>10,0</w:t>
            </w:r>
            <w:r w:rsidR="00B11047">
              <w:rPr>
                <w:rFonts w:ascii="Arial" w:eastAsia="Times New Roman" w:hAnsi="Arial" w:cs="Arial"/>
                <w:b/>
                <w:bCs/>
                <w:color w:val="000000"/>
                <w:lang w:eastAsia="en-AU"/>
              </w:rPr>
              <w:t>00</w:t>
            </w:r>
          </w:p>
        </w:tc>
      </w:tr>
    </w:tbl>
    <w:p w14:paraId="1F91B622" w14:textId="77777777" w:rsidR="00330061" w:rsidRDefault="00330061" w:rsidP="00DB3ADD">
      <w:pPr>
        <w:spacing w:after="0" w:line="240" w:lineRule="auto"/>
        <w:rPr>
          <w:rFonts w:ascii="Arial" w:hAnsi="Arial" w:cs="Arial"/>
          <w:i/>
          <w:color w:val="auto"/>
        </w:rPr>
      </w:pPr>
    </w:p>
    <w:p w14:paraId="27463FAA" w14:textId="3AA26771" w:rsidR="00AD518C" w:rsidRPr="00AD518C" w:rsidRDefault="00AD518C" w:rsidP="00AD518C">
      <w:pPr>
        <w:pStyle w:val="Caption"/>
        <w:rPr>
          <w:rFonts w:ascii="Arial" w:hAnsi="Arial" w:cs="Arial"/>
        </w:rPr>
      </w:pPr>
      <w:bookmarkStart w:id="128" w:name="_Ref37361527"/>
      <w:r w:rsidRPr="00AD518C">
        <w:rPr>
          <w:rFonts w:ascii="Arial" w:hAnsi="Arial" w:cs="Arial"/>
        </w:rPr>
        <w:t xml:space="preserve">Figure </w:t>
      </w:r>
      <w:r w:rsidRPr="00AD518C">
        <w:rPr>
          <w:rFonts w:ascii="Arial" w:hAnsi="Arial" w:cs="Arial"/>
        </w:rPr>
        <w:fldChar w:fldCharType="begin"/>
      </w:r>
      <w:r w:rsidRPr="00AD518C">
        <w:rPr>
          <w:rFonts w:ascii="Arial" w:hAnsi="Arial" w:cs="Arial"/>
        </w:rPr>
        <w:instrText xml:space="preserve"> SEQ Figure \* ARABIC </w:instrText>
      </w:r>
      <w:r w:rsidRPr="00AD518C">
        <w:rPr>
          <w:rFonts w:ascii="Arial" w:hAnsi="Arial" w:cs="Arial"/>
        </w:rPr>
        <w:fldChar w:fldCharType="separate"/>
      </w:r>
      <w:r w:rsidRPr="00AD518C">
        <w:rPr>
          <w:rFonts w:ascii="Arial" w:hAnsi="Arial" w:cs="Arial"/>
          <w:noProof/>
        </w:rPr>
        <w:t>6</w:t>
      </w:r>
      <w:r w:rsidRPr="00AD518C">
        <w:rPr>
          <w:rFonts w:ascii="Arial" w:hAnsi="Arial" w:cs="Arial"/>
        </w:rPr>
        <w:fldChar w:fldCharType="end"/>
      </w:r>
      <w:bookmarkEnd w:id="128"/>
      <w:r w:rsidRPr="00AD518C">
        <w:rPr>
          <w:rFonts w:ascii="Arial" w:hAnsi="Arial" w:cs="Arial"/>
        </w:rPr>
        <w:t>:</w:t>
      </w:r>
      <w:r w:rsidRPr="00AD518C">
        <w:t xml:space="preserve"> </w:t>
      </w:r>
      <w:r w:rsidRPr="00AD518C">
        <w:rPr>
          <w:rFonts w:ascii="Arial" w:hAnsi="Arial" w:cs="Arial"/>
        </w:rPr>
        <w:t xml:space="preserve">Assumptions reflected in the estimated impact on </w:t>
      </w:r>
      <w:r w:rsidR="00597FC3">
        <w:rPr>
          <w:rFonts w:ascii="Arial" w:hAnsi="Arial" w:cs="Arial"/>
        </w:rPr>
        <w:t xml:space="preserve">the </w:t>
      </w:r>
      <w:r w:rsidRPr="00AD518C">
        <w:rPr>
          <w:rFonts w:ascii="Arial" w:hAnsi="Arial" w:cs="Arial"/>
        </w:rPr>
        <w:t xml:space="preserve">Women’s Health </w:t>
      </w:r>
      <w:r w:rsidR="002106A3">
        <w:rPr>
          <w:rFonts w:ascii="Arial" w:hAnsi="Arial" w:cs="Arial"/>
        </w:rPr>
        <w:t>sub</w:t>
      </w:r>
      <w:r w:rsidR="002106A3">
        <w:rPr>
          <w:rFonts w:ascii="Arial" w:hAnsi="Arial" w:cs="Arial"/>
        </w:rPr>
        <w:noBreakHyphen/>
        <w:t>sector</w:t>
      </w:r>
    </w:p>
    <w:tbl>
      <w:tblPr>
        <w:tblStyle w:val="TableGrid"/>
        <w:tblW w:w="0" w:type="auto"/>
        <w:tblBorders>
          <w:left w:val="none" w:sz="0" w:space="0" w:color="auto"/>
          <w:right w:val="none" w:sz="0" w:space="0" w:color="auto"/>
          <w:insideH w:val="none" w:sz="0" w:space="0" w:color="auto"/>
          <w:insideV w:val="none" w:sz="0" w:space="0" w:color="auto"/>
        </w:tblBorders>
        <w:shd w:val="clear" w:color="auto" w:fill="DEEAF6" w:themeFill="accent1" w:themeFillTint="33"/>
        <w:tblLook w:val="04A0" w:firstRow="1" w:lastRow="0" w:firstColumn="1" w:lastColumn="0" w:noHBand="0" w:noVBand="1"/>
      </w:tblPr>
      <w:tblGrid>
        <w:gridCol w:w="9016"/>
      </w:tblGrid>
      <w:tr w:rsidR="00AD518C" w:rsidRPr="00F738AD" w14:paraId="07ADAFBA" w14:textId="77777777" w:rsidTr="00DC0E3D">
        <w:tc>
          <w:tcPr>
            <w:tcW w:w="9016" w:type="dxa"/>
            <w:shd w:val="clear" w:color="auto" w:fill="DEEAF6" w:themeFill="accent1" w:themeFillTint="33"/>
          </w:tcPr>
          <w:p w14:paraId="777BE252" w14:textId="3A9E87DC" w:rsidR="00D24E16" w:rsidRDefault="00D24E16" w:rsidP="008A653E">
            <w:pPr>
              <w:pStyle w:val="BodyText"/>
              <w:rPr>
                <w:rFonts w:cs="Arial"/>
                <w:b/>
                <w:color w:val="auto"/>
                <w:sz w:val="18"/>
                <w:szCs w:val="18"/>
              </w:rPr>
            </w:pPr>
          </w:p>
          <w:p w14:paraId="0E95559A" w14:textId="3C391CD7" w:rsidR="008A653E" w:rsidRPr="005025AD" w:rsidRDefault="008A653E" w:rsidP="008A653E">
            <w:pPr>
              <w:pStyle w:val="BodyText"/>
              <w:rPr>
                <w:rFonts w:cs="Arial"/>
                <w:b/>
                <w:color w:val="auto"/>
                <w:sz w:val="18"/>
                <w:szCs w:val="18"/>
              </w:rPr>
            </w:pPr>
            <w:r>
              <w:rPr>
                <w:rFonts w:cs="Arial"/>
                <w:b/>
                <w:color w:val="auto"/>
                <w:sz w:val="18"/>
                <w:szCs w:val="18"/>
              </w:rPr>
              <w:t>Estimated</w:t>
            </w:r>
            <w:r w:rsidRPr="005025AD">
              <w:rPr>
                <w:rFonts w:cs="Arial"/>
                <w:b/>
                <w:color w:val="auto"/>
                <w:sz w:val="18"/>
                <w:szCs w:val="18"/>
              </w:rPr>
              <w:t xml:space="preserve"> annual cost increase = </w:t>
            </w:r>
            <w:r w:rsidR="00D24E16">
              <w:rPr>
                <w:rFonts w:cs="Arial"/>
                <w:b/>
                <w:color w:val="auto"/>
                <w:sz w:val="18"/>
                <w:szCs w:val="18"/>
              </w:rPr>
              <w:t xml:space="preserve">Staff expenses </w:t>
            </w:r>
            <w:r w:rsidRPr="005025AD">
              <w:rPr>
                <w:rFonts w:cs="Arial"/>
                <w:b/>
                <w:color w:val="auto"/>
                <w:sz w:val="18"/>
                <w:szCs w:val="18"/>
              </w:rPr>
              <w:t xml:space="preserve">x </w:t>
            </w:r>
            <w:r w:rsidR="00D24E16">
              <w:rPr>
                <w:rFonts w:cs="Arial"/>
                <w:b/>
                <w:color w:val="auto"/>
                <w:sz w:val="18"/>
                <w:szCs w:val="18"/>
              </w:rPr>
              <w:t>share workforce covered</w:t>
            </w:r>
            <w:r w:rsidRPr="005025AD">
              <w:rPr>
                <w:rFonts w:cs="Arial"/>
                <w:b/>
                <w:color w:val="auto"/>
                <w:sz w:val="18"/>
                <w:szCs w:val="18"/>
              </w:rPr>
              <w:t xml:space="preserve"> x levy rate</w:t>
            </w:r>
          </w:p>
          <w:p w14:paraId="1201A727" w14:textId="77777777" w:rsidR="008A653E" w:rsidRDefault="008A653E" w:rsidP="008A653E">
            <w:pPr>
              <w:pStyle w:val="BodyText"/>
              <w:rPr>
                <w:rFonts w:cs="Arial"/>
                <w:color w:val="auto"/>
                <w:sz w:val="18"/>
                <w:szCs w:val="18"/>
              </w:rPr>
            </w:pPr>
          </w:p>
          <w:p w14:paraId="64762B1A" w14:textId="2F27AD25" w:rsidR="008A653E" w:rsidRDefault="008A653E" w:rsidP="008A653E">
            <w:pPr>
              <w:pStyle w:val="BodyText"/>
              <w:rPr>
                <w:rFonts w:cs="Arial"/>
                <w:b/>
                <w:color w:val="auto"/>
                <w:sz w:val="18"/>
                <w:szCs w:val="18"/>
              </w:rPr>
            </w:pPr>
            <w:r>
              <w:rPr>
                <w:rFonts w:cs="Arial"/>
                <w:b/>
                <w:color w:val="auto"/>
                <w:sz w:val="18"/>
                <w:szCs w:val="18"/>
              </w:rPr>
              <w:t xml:space="preserve">Estimated annual net cost increase = </w:t>
            </w:r>
            <w:r w:rsidR="00D24E16">
              <w:rPr>
                <w:rFonts w:cs="Arial"/>
                <w:b/>
                <w:color w:val="auto"/>
                <w:sz w:val="18"/>
                <w:szCs w:val="18"/>
              </w:rPr>
              <w:t>Staff expenses x share workforce covered</w:t>
            </w:r>
            <w:r>
              <w:rPr>
                <w:rFonts w:cs="Arial"/>
                <w:b/>
                <w:color w:val="auto"/>
                <w:sz w:val="18"/>
                <w:szCs w:val="18"/>
              </w:rPr>
              <w:t xml:space="preserve"> x net cost increase</w:t>
            </w:r>
          </w:p>
          <w:p w14:paraId="24607D88" w14:textId="77777777" w:rsidR="008A653E" w:rsidRDefault="008A653E" w:rsidP="008A653E">
            <w:pPr>
              <w:pStyle w:val="BodyText"/>
              <w:rPr>
                <w:rFonts w:cs="Arial"/>
                <w:color w:val="auto"/>
                <w:sz w:val="18"/>
                <w:szCs w:val="18"/>
              </w:rPr>
            </w:pPr>
          </w:p>
          <w:p w14:paraId="24BC9244" w14:textId="299D8EB0" w:rsidR="008A653E" w:rsidRPr="005025AD" w:rsidRDefault="00D24E16" w:rsidP="008A653E">
            <w:pPr>
              <w:pStyle w:val="BodyText"/>
              <w:rPr>
                <w:rFonts w:cs="Arial"/>
                <w:color w:val="auto"/>
                <w:sz w:val="18"/>
                <w:szCs w:val="18"/>
                <w:u w:val="single"/>
              </w:rPr>
            </w:pPr>
            <w:r>
              <w:rPr>
                <w:rFonts w:cs="Arial"/>
                <w:color w:val="auto"/>
                <w:sz w:val="18"/>
                <w:szCs w:val="18"/>
                <w:u w:val="single"/>
              </w:rPr>
              <w:t>Staff expenses</w:t>
            </w:r>
          </w:p>
          <w:p w14:paraId="7143F598" w14:textId="77777777" w:rsidR="008A653E" w:rsidRDefault="008A653E" w:rsidP="008A653E">
            <w:pPr>
              <w:pStyle w:val="BodyText"/>
              <w:rPr>
                <w:rFonts w:cs="Arial"/>
                <w:color w:val="auto"/>
                <w:sz w:val="18"/>
                <w:szCs w:val="18"/>
              </w:rPr>
            </w:pPr>
          </w:p>
          <w:p w14:paraId="5D04B671" w14:textId="46E7E2C9" w:rsidR="008A653E" w:rsidRDefault="00D24E16" w:rsidP="008A653E">
            <w:pPr>
              <w:pStyle w:val="BodyText"/>
              <w:spacing w:line="276" w:lineRule="auto"/>
              <w:rPr>
                <w:rFonts w:cs="Arial"/>
                <w:color w:val="auto"/>
                <w:sz w:val="18"/>
                <w:szCs w:val="18"/>
              </w:rPr>
            </w:pPr>
            <w:r>
              <w:rPr>
                <w:rFonts w:cs="Arial"/>
                <w:color w:val="auto"/>
                <w:sz w:val="18"/>
                <w:szCs w:val="18"/>
              </w:rPr>
              <w:t xml:space="preserve">Drawing on data from annual reports, staff expenses for the </w:t>
            </w:r>
            <w:r w:rsidRPr="007B63D7">
              <w:rPr>
                <w:rFonts w:cs="Arial"/>
                <w:b/>
                <w:color w:val="auto"/>
                <w:sz w:val="18"/>
                <w:szCs w:val="18"/>
              </w:rPr>
              <w:t xml:space="preserve">total </w:t>
            </w:r>
            <w:r w:rsidR="002106A3">
              <w:rPr>
                <w:rFonts w:cs="Arial"/>
                <w:b/>
                <w:color w:val="auto"/>
                <w:sz w:val="18"/>
                <w:szCs w:val="18"/>
              </w:rPr>
              <w:t>sub</w:t>
            </w:r>
            <w:r w:rsidR="002106A3">
              <w:rPr>
                <w:rFonts w:cs="Arial"/>
                <w:b/>
                <w:color w:val="auto"/>
                <w:sz w:val="18"/>
                <w:szCs w:val="18"/>
              </w:rPr>
              <w:noBreakHyphen/>
              <w:t>sector</w:t>
            </w:r>
            <w:r>
              <w:rPr>
                <w:rFonts w:cs="Arial"/>
                <w:color w:val="auto"/>
                <w:sz w:val="18"/>
                <w:szCs w:val="18"/>
              </w:rPr>
              <w:t xml:space="preserve"> is </w:t>
            </w:r>
            <w:r w:rsidRPr="007B63D7">
              <w:rPr>
                <w:rFonts w:cs="Arial"/>
                <w:b/>
                <w:color w:val="auto"/>
                <w:sz w:val="18"/>
                <w:szCs w:val="18"/>
              </w:rPr>
              <w:t>$</w:t>
            </w:r>
            <w:r>
              <w:rPr>
                <w:rFonts w:cs="Arial"/>
                <w:b/>
                <w:color w:val="auto"/>
                <w:sz w:val="18"/>
                <w:szCs w:val="18"/>
              </w:rPr>
              <w:t>35.9</w:t>
            </w:r>
            <w:r w:rsidRPr="007B63D7">
              <w:rPr>
                <w:rFonts w:cs="Arial"/>
                <w:b/>
                <w:color w:val="auto"/>
                <w:sz w:val="18"/>
                <w:szCs w:val="18"/>
              </w:rPr>
              <w:t xml:space="preserve"> million</w:t>
            </w:r>
            <w:r>
              <w:rPr>
                <w:rFonts w:cs="Arial"/>
                <w:b/>
                <w:color w:val="auto"/>
                <w:sz w:val="18"/>
                <w:szCs w:val="18"/>
              </w:rPr>
              <w:t xml:space="preserve"> per annum</w:t>
            </w:r>
            <w:r w:rsidR="0038431F" w:rsidRPr="007B63D7">
              <w:rPr>
                <w:rFonts w:cs="Arial"/>
                <w:color w:val="auto"/>
                <w:sz w:val="18"/>
                <w:szCs w:val="18"/>
              </w:rPr>
              <w:t>.</w:t>
            </w:r>
          </w:p>
          <w:p w14:paraId="7B95BDC7" w14:textId="48F40871" w:rsidR="00D24E16" w:rsidRDefault="00D24E16" w:rsidP="008A653E">
            <w:pPr>
              <w:pStyle w:val="BodyText"/>
              <w:spacing w:line="276" w:lineRule="auto"/>
              <w:rPr>
                <w:rFonts w:cs="Arial"/>
                <w:color w:val="auto"/>
                <w:sz w:val="18"/>
                <w:szCs w:val="18"/>
              </w:rPr>
            </w:pPr>
            <w:r>
              <w:rPr>
                <w:rFonts w:cs="Arial"/>
                <w:color w:val="auto"/>
                <w:sz w:val="18"/>
                <w:szCs w:val="18"/>
              </w:rPr>
              <w:t xml:space="preserve">The estimated average staff expenses for each of the </w:t>
            </w:r>
            <w:r w:rsidRPr="007B63D7">
              <w:rPr>
                <w:rFonts w:cs="Arial"/>
                <w:b/>
                <w:color w:val="auto"/>
                <w:sz w:val="18"/>
                <w:szCs w:val="18"/>
              </w:rPr>
              <w:t>15 service providers</w:t>
            </w:r>
            <w:r>
              <w:rPr>
                <w:rFonts w:cs="Arial"/>
                <w:color w:val="auto"/>
                <w:sz w:val="18"/>
                <w:szCs w:val="18"/>
              </w:rPr>
              <w:t xml:space="preserve"> is </w:t>
            </w:r>
            <w:r w:rsidRPr="007B63D7">
              <w:rPr>
                <w:rFonts w:cs="Arial"/>
                <w:b/>
                <w:color w:val="auto"/>
                <w:sz w:val="18"/>
                <w:szCs w:val="18"/>
              </w:rPr>
              <w:t>$</w:t>
            </w:r>
            <w:r>
              <w:rPr>
                <w:rFonts w:cs="Arial"/>
                <w:b/>
                <w:color w:val="auto"/>
                <w:sz w:val="18"/>
                <w:szCs w:val="18"/>
              </w:rPr>
              <w:t>2.4 million per annum</w:t>
            </w:r>
            <w:r w:rsidR="0038431F" w:rsidRPr="007B63D7">
              <w:rPr>
                <w:rFonts w:cs="Arial"/>
                <w:color w:val="auto"/>
                <w:sz w:val="18"/>
                <w:szCs w:val="18"/>
              </w:rPr>
              <w:t>.</w:t>
            </w:r>
          </w:p>
          <w:p w14:paraId="18D7F7AD" w14:textId="77777777" w:rsidR="008A653E" w:rsidRDefault="008A653E" w:rsidP="008A653E">
            <w:pPr>
              <w:pStyle w:val="BodyText"/>
              <w:rPr>
                <w:rFonts w:cs="Arial"/>
                <w:color w:val="auto"/>
                <w:sz w:val="18"/>
                <w:szCs w:val="18"/>
              </w:rPr>
            </w:pPr>
          </w:p>
          <w:p w14:paraId="30456D88" w14:textId="3EC0C01F" w:rsidR="008A653E" w:rsidRPr="005025AD" w:rsidRDefault="00D24E16" w:rsidP="008A653E">
            <w:pPr>
              <w:pStyle w:val="BodyText"/>
              <w:rPr>
                <w:rFonts w:cs="Arial"/>
                <w:color w:val="auto"/>
                <w:sz w:val="18"/>
                <w:szCs w:val="18"/>
                <w:u w:val="single"/>
              </w:rPr>
            </w:pPr>
            <w:r>
              <w:rPr>
                <w:rFonts w:cs="Arial"/>
                <w:color w:val="auto"/>
                <w:sz w:val="18"/>
                <w:szCs w:val="18"/>
                <w:u w:val="single"/>
              </w:rPr>
              <w:t>Share of the workforce covered by the Scheme</w:t>
            </w:r>
          </w:p>
          <w:p w14:paraId="7287D165" w14:textId="77777777" w:rsidR="008A653E" w:rsidRDefault="008A653E" w:rsidP="008A653E">
            <w:pPr>
              <w:pStyle w:val="BodyText"/>
              <w:rPr>
                <w:rFonts w:cs="Arial"/>
                <w:color w:val="auto"/>
                <w:sz w:val="18"/>
                <w:szCs w:val="18"/>
              </w:rPr>
            </w:pPr>
          </w:p>
          <w:p w14:paraId="5F790B79" w14:textId="54F4C592" w:rsidR="008A653E" w:rsidRDefault="00D24E16" w:rsidP="008A653E">
            <w:pPr>
              <w:pStyle w:val="BodyText"/>
              <w:rPr>
                <w:rFonts w:cs="Arial"/>
                <w:color w:val="auto"/>
                <w:sz w:val="18"/>
                <w:szCs w:val="18"/>
              </w:rPr>
            </w:pPr>
            <w:r>
              <w:rPr>
                <w:rFonts w:cs="Arial"/>
                <w:color w:val="auto"/>
                <w:sz w:val="18"/>
                <w:szCs w:val="18"/>
              </w:rPr>
              <w:t xml:space="preserve">Based on feedback from stakeholders, it was assumed that </w:t>
            </w:r>
            <w:r w:rsidRPr="007B63D7">
              <w:rPr>
                <w:rFonts w:cs="Arial"/>
                <w:b/>
                <w:color w:val="auto"/>
                <w:sz w:val="18"/>
                <w:szCs w:val="18"/>
              </w:rPr>
              <w:t>95% of the workforce</w:t>
            </w:r>
            <w:r>
              <w:rPr>
                <w:rFonts w:cs="Arial"/>
                <w:color w:val="auto"/>
                <w:sz w:val="18"/>
                <w:szCs w:val="18"/>
              </w:rPr>
              <w:t xml:space="preserve"> is covered</w:t>
            </w:r>
            <w:r w:rsidR="0038431F">
              <w:rPr>
                <w:rFonts w:cs="Arial"/>
                <w:color w:val="auto"/>
                <w:sz w:val="18"/>
                <w:szCs w:val="18"/>
              </w:rPr>
              <w:t>.</w:t>
            </w:r>
          </w:p>
          <w:p w14:paraId="41B9FD7E" w14:textId="77777777" w:rsidR="008A653E" w:rsidRDefault="008A653E" w:rsidP="008A653E">
            <w:pPr>
              <w:pStyle w:val="BodyText"/>
              <w:rPr>
                <w:rFonts w:cs="Arial"/>
                <w:color w:val="auto"/>
                <w:sz w:val="18"/>
                <w:szCs w:val="18"/>
              </w:rPr>
            </w:pPr>
          </w:p>
          <w:p w14:paraId="173EB121" w14:textId="77777777" w:rsidR="008A653E" w:rsidRPr="005025AD" w:rsidRDefault="008A653E" w:rsidP="008A653E">
            <w:pPr>
              <w:pStyle w:val="BodyText"/>
              <w:rPr>
                <w:rFonts w:cs="Arial"/>
                <w:color w:val="auto"/>
                <w:sz w:val="18"/>
                <w:szCs w:val="18"/>
                <w:u w:val="single"/>
              </w:rPr>
            </w:pPr>
            <w:r w:rsidRPr="005025AD">
              <w:rPr>
                <w:rFonts w:cs="Arial"/>
                <w:color w:val="auto"/>
                <w:sz w:val="18"/>
                <w:szCs w:val="18"/>
                <w:u w:val="single"/>
              </w:rPr>
              <w:t>Levy rate</w:t>
            </w:r>
          </w:p>
          <w:p w14:paraId="5B1DF71C" w14:textId="77777777" w:rsidR="008A653E" w:rsidRDefault="008A653E" w:rsidP="008A653E">
            <w:pPr>
              <w:pStyle w:val="BodyText"/>
              <w:rPr>
                <w:rFonts w:cs="Arial"/>
                <w:color w:val="auto"/>
                <w:sz w:val="18"/>
                <w:szCs w:val="18"/>
              </w:rPr>
            </w:pPr>
          </w:p>
          <w:p w14:paraId="279DC8E3" w14:textId="2F865F43" w:rsidR="008A653E" w:rsidRPr="005025AD" w:rsidRDefault="008A653E" w:rsidP="008A653E">
            <w:pPr>
              <w:pStyle w:val="BodyText"/>
              <w:rPr>
                <w:rFonts w:cs="Arial"/>
                <w:color w:val="auto"/>
                <w:sz w:val="18"/>
                <w:szCs w:val="18"/>
              </w:rPr>
            </w:pPr>
            <w:r>
              <w:rPr>
                <w:rFonts w:cs="Arial"/>
                <w:color w:val="auto"/>
                <w:sz w:val="18"/>
                <w:szCs w:val="18"/>
              </w:rPr>
              <w:t xml:space="preserve">The levy rate for the community services sector is </w:t>
            </w:r>
            <w:r w:rsidRPr="005025AD">
              <w:rPr>
                <w:rFonts w:cs="Arial"/>
                <w:b/>
                <w:color w:val="auto"/>
                <w:sz w:val="18"/>
                <w:szCs w:val="18"/>
              </w:rPr>
              <w:t>1.65% of ordinary wages</w:t>
            </w:r>
            <w:r w:rsidR="0038431F" w:rsidRPr="007B63D7">
              <w:rPr>
                <w:rFonts w:cs="Arial"/>
                <w:color w:val="auto"/>
                <w:sz w:val="18"/>
                <w:szCs w:val="18"/>
              </w:rPr>
              <w:t>.</w:t>
            </w:r>
          </w:p>
          <w:p w14:paraId="6B306C87" w14:textId="77777777" w:rsidR="008A653E" w:rsidRDefault="008A653E" w:rsidP="008A653E">
            <w:pPr>
              <w:pStyle w:val="BodyText"/>
              <w:rPr>
                <w:rFonts w:cs="Arial"/>
                <w:color w:val="auto"/>
                <w:sz w:val="18"/>
                <w:szCs w:val="18"/>
              </w:rPr>
            </w:pPr>
          </w:p>
          <w:p w14:paraId="3BC05C7F" w14:textId="77777777" w:rsidR="008A653E" w:rsidRDefault="008A653E" w:rsidP="008A653E">
            <w:pPr>
              <w:pStyle w:val="BodyText"/>
              <w:rPr>
                <w:rFonts w:cs="Arial"/>
                <w:color w:val="auto"/>
                <w:sz w:val="18"/>
                <w:szCs w:val="18"/>
                <w:u w:val="single"/>
              </w:rPr>
            </w:pPr>
            <w:r>
              <w:rPr>
                <w:rFonts w:cs="Arial"/>
                <w:color w:val="auto"/>
                <w:sz w:val="18"/>
                <w:szCs w:val="18"/>
                <w:u w:val="single"/>
              </w:rPr>
              <w:t>Net cost increase</w:t>
            </w:r>
          </w:p>
          <w:p w14:paraId="5DA94BE0" w14:textId="77777777" w:rsidR="008A653E" w:rsidRDefault="008A653E" w:rsidP="008A653E">
            <w:pPr>
              <w:pStyle w:val="BodyText"/>
              <w:rPr>
                <w:rFonts w:cs="Arial"/>
                <w:color w:val="auto"/>
                <w:sz w:val="18"/>
                <w:szCs w:val="18"/>
                <w:u w:val="single"/>
              </w:rPr>
            </w:pPr>
          </w:p>
          <w:p w14:paraId="42D0C51D" w14:textId="51014FCD" w:rsidR="008A653E" w:rsidRPr="005025AD" w:rsidRDefault="008A653E" w:rsidP="008A653E">
            <w:pPr>
              <w:pStyle w:val="BodyText"/>
              <w:rPr>
                <w:rFonts w:cs="Arial"/>
                <w:color w:val="auto"/>
                <w:sz w:val="18"/>
                <w:szCs w:val="18"/>
              </w:rPr>
            </w:pPr>
            <w:r>
              <w:rPr>
                <w:rFonts w:cs="Arial"/>
                <w:color w:val="auto"/>
                <w:sz w:val="18"/>
                <w:szCs w:val="18"/>
              </w:rPr>
              <w:t>As detailed in</w:t>
            </w:r>
            <w:r w:rsidRPr="005025AD">
              <w:rPr>
                <w:rFonts w:cs="Arial"/>
                <w:color w:val="auto"/>
                <w:sz w:val="18"/>
                <w:szCs w:val="18"/>
              </w:rPr>
              <w:t xml:space="preserve"> </w:t>
            </w:r>
            <w:r w:rsidRPr="005025AD">
              <w:rPr>
                <w:rFonts w:cs="Arial"/>
                <w:color w:val="auto"/>
                <w:sz w:val="18"/>
                <w:szCs w:val="18"/>
              </w:rPr>
              <w:fldChar w:fldCharType="begin"/>
            </w:r>
            <w:r w:rsidRPr="005025AD">
              <w:rPr>
                <w:rFonts w:cs="Arial"/>
                <w:color w:val="auto"/>
                <w:sz w:val="18"/>
                <w:szCs w:val="18"/>
              </w:rPr>
              <w:instrText xml:space="preserve"> REF _Ref37409112 \h </w:instrText>
            </w:r>
            <w:r>
              <w:rPr>
                <w:rFonts w:cs="Arial"/>
                <w:color w:val="auto"/>
                <w:sz w:val="18"/>
                <w:szCs w:val="18"/>
              </w:rPr>
              <w:instrText xml:space="preserve"> \* MERGEFORMAT </w:instrText>
            </w:r>
            <w:r w:rsidRPr="005025AD">
              <w:rPr>
                <w:rFonts w:cs="Arial"/>
                <w:color w:val="auto"/>
                <w:sz w:val="18"/>
                <w:szCs w:val="18"/>
              </w:rPr>
            </w:r>
            <w:r w:rsidRPr="005025AD">
              <w:rPr>
                <w:rFonts w:cs="Arial"/>
                <w:color w:val="auto"/>
                <w:sz w:val="18"/>
                <w:szCs w:val="18"/>
              </w:rPr>
              <w:fldChar w:fldCharType="separate"/>
            </w:r>
            <w:r w:rsidRPr="005025AD">
              <w:rPr>
                <w:rFonts w:cs="Arial"/>
                <w:sz w:val="18"/>
                <w:szCs w:val="18"/>
              </w:rPr>
              <w:t xml:space="preserve">Figure </w:t>
            </w:r>
            <w:r w:rsidRPr="005025AD">
              <w:rPr>
                <w:rFonts w:cs="Arial"/>
                <w:noProof/>
                <w:sz w:val="18"/>
                <w:szCs w:val="18"/>
              </w:rPr>
              <w:t>3</w:t>
            </w:r>
            <w:r w:rsidRPr="005025AD">
              <w:rPr>
                <w:rFonts w:cs="Arial"/>
                <w:sz w:val="18"/>
                <w:szCs w:val="18"/>
              </w:rPr>
              <w:t>,</w:t>
            </w:r>
            <w:r w:rsidRPr="005025AD">
              <w:rPr>
                <w:rFonts w:cs="Arial"/>
                <w:color w:val="auto"/>
                <w:sz w:val="18"/>
                <w:szCs w:val="18"/>
              </w:rPr>
              <w:fldChar w:fldCharType="end"/>
            </w:r>
            <w:r>
              <w:rPr>
                <w:rFonts w:cs="Arial"/>
                <w:color w:val="auto"/>
                <w:sz w:val="18"/>
                <w:szCs w:val="18"/>
              </w:rPr>
              <w:t xml:space="preserve"> </w:t>
            </w:r>
            <w:r w:rsidRPr="005025AD">
              <w:rPr>
                <w:rFonts w:cs="Arial"/>
                <w:color w:val="auto"/>
                <w:sz w:val="18"/>
                <w:szCs w:val="18"/>
              </w:rPr>
              <w:t>the</w:t>
            </w:r>
            <w:r>
              <w:rPr>
                <w:rFonts w:cs="Arial"/>
                <w:color w:val="auto"/>
                <w:sz w:val="18"/>
                <w:szCs w:val="18"/>
              </w:rPr>
              <w:t xml:space="preserve"> annual</w:t>
            </w:r>
            <w:r w:rsidRPr="005025AD">
              <w:rPr>
                <w:rFonts w:cs="Arial"/>
                <w:color w:val="auto"/>
                <w:sz w:val="18"/>
                <w:szCs w:val="18"/>
              </w:rPr>
              <w:t xml:space="preserve"> net cost impact for </w:t>
            </w:r>
            <w:r w:rsidR="00D24E16">
              <w:rPr>
                <w:rFonts w:cs="Arial"/>
                <w:color w:val="auto"/>
                <w:sz w:val="18"/>
                <w:szCs w:val="18"/>
              </w:rPr>
              <w:t xml:space="preserve">the </w:t>
            </w:r>
            <w:r w:rsidR="002106A3">
              <w:rPr>
                <w:rFonts w:cs="Arial"/>
                <w:color w:val="auto"/>
                <w:sz w:val="18"/>
                <w:szCs w:val="18"/>
              </w:rPr>
              <w:t>sub</w:t>
            </w:r>
            <w:r w:rsidR="002106A3">
              <w:rPr>
                <w:rFonts w:cs="Arial"/>
                <w:color w:val="auto"/>
                <w:sz w:val="18"/>
                <w:szCs w:val="18"/>
              </w:rPr>
              <w:noBreakHyphen/>
              <w:t>sector</w:t>
            </w:r>
            <w:r>
              <w:rPr>
                <w:rFonts w:cs="Arial"/>
                <w:color w:val="auto"/>
                <w:sz w:val="18"/>
                <w:szCs w:val="18"/>
              </w:rPr>
              <w:t xml:space="preserve"> is </w:t>
            </w:r>
            <w:r w:rsidRPr="005025AD">
              <w:rPr>
                <w:rFonts w:cs="Arial"/>
                <w:b/>
                <w:color w:val="auto"/>
                <w:sz w:val="18"/>
                <w:szCs w:val="18"/>
              </w:rPr>
              <w:t>0.45% of ordinary wages</w:t>
            </w:r>
            <w:r w:rsidR="0038431F" w:rsidRPr="007B63D7">
              <w:rPr>
                <w:rFonts w:cs="Arial"/>
                <w:color w:val="auto"/>
                <w:sz w:val="18"/>
                <w:szCs w:val="18"/>
              </w:rPr>
              <w:t>.</w:t>
            </w:r>
          </w:p>
          <w:p w14:paraId="7C85206D" w14:textId="77777777" w:rsidR="00AD518C" w:rsidRPr="007B63D7" w:rsidRDefault="00AD518C" w:rsidP="00DC0E3D">
            <w:pPr>
              <w:pStyle w:val="BodyText"/>
              <w:rPr>
                <w:rFonts w:cs="Arial"/>
                <w:color w:val="auto"/>
                <w:sz w:val="18"/>
                <w:szCs w:val="18"/>
              </w:rPr>
            </w:pPr>
          </w:p>
          <w:p w14:paraId="7DC19CEA" w14:textId="3A5F49BC" w:rsidR="00D24E16" w:rsidRPr="007B63D7" w:rsidRDefault="00D24E16" w:rsidP="00DC0E3D">
            <w:pPr>
              <w:pStyle w:val="BodyText"/>
              <w:rPr>
                <w:rFonts w:cs="Arial"/>
                <w:i/>
                <w:color w:val="auto"/>
                <w:sz w:val="18"/>
                <w:szCs w:val="18"/>
              </w:rPr>
            </w:pPr>
            <w:r w:rsidRPr="007B63D7">
              <w:rPr>
                <w:rFonts w:cs="Arial"/>
                <w:i/>
                <w:color w:val="auto"/>
                <w:sz w:val="18"/>
                <w:szCs w:val="18"/>
              </w:rPr>
              <w:t>Note: all figures are rounded to the nearest 1,000</w:t>
            </w:r>
          </w:p>
        </w:tc>
      </w:tr>
    </w:tbl>
    <w:p w14:paraId="3C00ACA5" w14:textId="77777777" w:rsidR="00AD518C" w:rsidRPr="00AD518C" w:rsidRDefault="00AD518C" w:rsidP="008A653E">
      <w:pPr>
        <w:spacing w:after="0"/>
      </w:pPr>
    </w:p>
    <w:p w14:paraId="46D5B265" w14:textId="4693DF3A" w:rsidR="00330ABB" w:rsidRDefault="00330ABB" w:rsidP="008A653E">
      <w:pPr>
        <w:pStyle w:val="Heading7"/>
        <w:spacing w:before="0"/>
      </w:pPr>
      <w:r>
        <w:t>I</w:t>
      </w:r>
      <w:r w:rsidRPr="00866686">
        <w:t xml:space="preserve">mpact on </w:t>
      </w:r>
      <w:r w:rsidR="00DB01D9">
        <w:t>employers</w:t>
      </w:r>
      <w:r>
        <w:t xml:space="preserve"> – cost of uncertainty and administration </w:t>
      </w:r>
    </w:p>
    <w:p w14:paraId="15900CDD" w14:textId="551090EC" w:rsidR="00242914" w:rsidRPr="00337958" w:rsidRDefault="00242914" w:rsidP="007A2E2F">
      <w:pPr>
        <w:pStyle w:val="BodyText"/>
        <w:rPr>
          <w:rFonts w:cs="Arial"/>
          <w:color w:val="auto"/>
        </w:rPr>
      </w:pPr>
      <w:r>
        <w:rPr>
          <w:rFonts w:cs="Arial"/>
          <w:color w:val="auto"/>
        </w:rPr>
        <w:t>Th</w:t>
      </w:r>
      <w:r w:rsidR="0038431F">
        <w:rPr>
          <w:rFonts w:cs="Arial"/>
          <w:color w:val="auto"/>
        </w:rPr>
        <w:t>is</w:t>
      </w:r>
      <w:r>
        <w:rPr>
          <w:rFonts w:cs="Arial"/>
          <w:color w:val="auto"/>
        </w:rPr>
        <w:t xml:space="preserve"> option is</w:t>
      </w:r>
      <w:r w:rsidR="00D73984">
        <w:rPr>
          <w:rFonts w:cs="Arial"/>
          <w:color w:val="auto"/>
        </w:rPr>
        <w:t xml:space="preserve"> much</w:t>
      </w:r>
      <w:r>
        <w:rPr>
          <w:rFonts w:cs="Arial"/>
          <w:color w:val="auto"/>
        </w:rPr>
        <w:t xml:space="preserve"> </w:t>
      </w:r>
      <w:r w:rsidR="0051279A">
        <w:rPr>
          <w:rFonts w:cs="Arial"/>
          <w:color w:val="auto"/>
        </w:rPr>
        <w:t>more</w:t>
      </w:r>
      <w:r>
        <w:rPr>
          <w:rFonts w:cs="Arial"/>
          <w:color w:val="auto"/>
        </w:rPr>
        <w:t xml:space="preserve"> aligned with the </w:t>
      </w:r>
      <w:r w:rsidR="000B4581">
        <w:rPr>
          <w:rFonts w:cs="Arial"/>
          <w:color w:val="auto"/>
        </w:rPr>
        <w:t>criterion</w:t>
      </w:r>
      <w:r w:rsidR="0051279A">
        <w:rPr>
          <w:rFonts w:cs="Arial"/>
          <w:color w:val="auto"/>
        </w:rPr>
        <w:t xml:space="preserve"> compared to the status quo</w:t>
      </w:r>
      <w:r>
        <w:rPr>
          <w:rFonts w:cs="Arial"/>
          <w:color w:val="auto"/>
        </w:rPr>
        <w:t xml:space="preserve">. </w:t>
      </w:r>
      <w:r w:rsidR="0072722B">
        <w:rPr>
          <w:rFonts w:cs="Arial"/>
          <w:color w:val="auto"/>
        </w:rPr>
        <w:t>Community Health</w:t>
      </w:r>
      <w:r>
        <w:rPr>
          <w:rFonts w:cs="Arial"/>
          <w:color w:val="auto"/>
        </w:rPr>
        <w:t xml:space="preserve"> and </w:t>
      </w:r>
      <w:r w:rsidR="0072722B">
        <w:rPr>
          <w:rFonts w:cs="Arial"/>
          <w:color w:val="auto"/>
        </w:rPr>
        <w:t>Women’s Health</w:t>
      </w:r>
      <w:r>
        <w:rPr>
          <w:rFonts w:cs="Arial"/>
          <w:color w:val="auto"/>
        </w:rPr>
        <w:t xml:space="preserve"> service providers would have complete certainty that they are covered by the Scheme and would need to pay </w:t>
      </w:r>
      <w:r w:rsidR="00F35678">
        <w:rPr>
          <w:rFonts w:cs="Arial"/>
          <w:color w:val="auto"/>
        </w:rPr>
        <w:t>levie</w:t>
      </w:r>
      <w:r>
        <w:rPr>
          <w:rFonts w:cs="Arial"/>
          <w:color w:val="auto"/>
        </w:rPr>
        <w:t xml:space="preserve">s to the Authority on behalf of eligible employees. </w:t>
      </w:r>
    </w:p>
    <w:p w14:paraId="69CC2353" w14:textId="77777777" w:rsidR="00DF2E27" w:rsidRPr="00866686" w:rsidRDefault="00DF2E27" w:rsidP="004A514D">
      <w:pPr>
        <w:pStyle w:val="Heading7"/>
      </w:pPr>
      <w:r w:rsidRPr="00866686">
        <w:t>Impact on the Authority</w:t>
      </w:r>
    </w:p>
    <w:p w14:paraId="681E7618" w14:textId="1C018520" w:rsidR="00330061" w:rsidRDefault="00242914" w:rsidP="00AD518C">
      <w:pPr>
        <w:pStyle w:val="BodyText"/>
      </w:pPr>
      <w:r>
        <w:rPr>
          <w:rFonts w:cs="Arial"/>
          <w:color w:val="auto"/>
        </w:rPr>
        <w:t>Th</w:t>
      </w:r>
      <w:r w:rsidR="0038431F">
        <w:rPr>
          <w:rFonts w:cs="Arial"/>
          <w:color w:val="auto"/>
        </w:rPr>
        <w:t>is</w:t>
      </w:r>
      <w:r>
        <w:rPr>
          <w:rFonts w:cs="Arial"/>
          <w:color w:val="auto"/>
        </w:rPr>
        <w:t xml:space="preserve"> option is </w:t>
      </w:r>
      <w:r w:rsidR="0051279A">
        <w:rPr>
          <w:rFonts w:cs="Arial"/>
          <w:color w:val="auto"/>
        </w:rPr>
        <w:t>much more aligned</w:t>
      </w:r>
      <w:r>
        <w:rPr>
          <w:rFonts w:cs="Arial"/>
          <w:color w:val="auto"/>
        </w:rPr>
        <w:t xml:space="preserve"> with the </w:t>
      </w:r>
      <w:r w:rsidR="000B4581">
        <w:rPr>
          <w:rFonts w:cs="Arial"/>
          <w:color w:val="auto"/>
        </w:rPr>
        <w:t>criterion</w:t>
      </w:r>
      <w:r w:rsidR="0051279A">
        <w:rPr>
          <w:rFonts w:cs="Arial"/>
          <w:color w:val="auto"/>
        </w:rPr>
        <w:t xml:space="preserve"> compared to the status quo</w:t>
      </w:r>
      <w:r>
        <w:rPr>
          <w:rFonts w:cs="Arial"/>
          <w:color w:val="auto"/>
        </w:rPr>
        <w:t xml:space="preserve">. </w:t>
      </w:r>
      <w:r w:rsidR="0051279A">
        <w:rPr>
          <w:rFonts w:cs="Arial"/>
          <w:color w:val="auto"/>
        </w:rPr>
        <w:t>T</w:t>
      </w:r>
      <w:r w:rsidR="001639C7">
        <w:rPr>
          <w:rFonts w:cs="Arial"/>
          <w:color w:val="auto"/>
        </w:rPr>
        <w:t>he greater clarity would</w:t>
      </w:r>
      <w:r w:rsidR="000B48D6">
        <w:rPr>
          <w:rFonts w:cs="Arial"/>
          <w:color w:val="auto"/>
        </w:rPr>
        <w:t xml:space="preserve"> assist the Authority </w:t>
      </w:r>
      <w:r w:rsidR="00651F61">
        <w:rPr>
          <w:rFonts w:cs="Arial"/>
          <w:color w:val="auto"/>
        </w:rPr>
        <w:t xml:space="preserve">to </w:t>
      </w:r>
      <w:r w:rsidR="000B48D6">
        <w:rPr>
          <w:rFonts w:cs="Arial"/>
          <w:color w:val="auto"/>
        </w:rPr>
        <w:t>implement</w:t>
      </w:r>
      <w:r w:rsidR="001639C7" w:rsidRPr="004B3C99">
        <w:rPr>
          <w:rFonts w:cs="Arial"/>
          <w:color w:val="auto"/>
        </w:rPr>
        <w:t xml:space="preserve"> the Scheme, register eligible employers and provide clearer guidance to the sector.</w:t>
      </w:r>
      <w:r w:rsidR="00D73984">
        <w:rPr>
          <w:rFonts w:cs="Arial"/>
          <w:color w:val="auto"/>
        </w:rPr>
        <w:t xml:space="preserve"> It would also reduce the administrative burden on the Authority of dealing with the two </w:t>
      </w:r>
      <w:r w:rsidR="002106A3">
        <w:rPr>
          <w:rFonts w:cs="Arial"/>
          <w:color w:val="auto"/>
        </w:rPr>
        <w:t>sub</w:t>
      </w:r>
      <w:r w:rsidR="002106A3">
        <w:rPr>
          <w:rFonts w:cs="Arial"/>
          <w:color w:val="auto"/>
        </w:rPr>
        <w:noBreakHyphen/>
        <w:t>sector</w:t>
      </w:r>
      <w:r w:rsidR="00D73984">
        <w:rPr>
          <w:rFonts w:cs="Arial"/>
          <w:color w:val="auto"/>
        </w:rPr>
        <w:t>s regarding their eligibility for the Scheme.</w:t>
      </w:r>
    </w:p>
    <w:p w14:paraId="503F461F" w14:textId="60634A38" w:rsidR="004D21B4" w:rsidRPr="000326FC" w:rsidRDefault="004D21B4" w:rsidP="007010B9">
      <w:pPr>
        <w:pStyle w:val="Heading6"/>
      </w:pPr>
      <w:r>
        <w:lastRenderedPageBreak/>
        <w:t>Option 2</w:t>
      </w:r>
      <w:r w:rsidRPr="000326FC">
        <w:t xml:space="preserve"> – </w:t>
      </w:r>
      <w:r>
        <w:t xml:space="preserve">Exclude </w:t>
      </w:r>
      <w:r w:rsidR="0072722B">
        <w:t>Community Health</w:t>
      </w:r>
      <w:r>
        <w:t xml:space="preserve"> and </w:t>
      </w:r>
      <w:r w:rsidR="0072722B">
        <w:t>Women’s Health Centre</w:t>
      </w:r>
      <w:r>
        <w:t>s from the Scheme</w:t>
      </w:r>
    </w:p>
    <w:p w14:paraId="1E056082" w14:textId="6DFD3A2B" w:rsidR="00DF2E27" w:rsidRPr="00CB4236" w:rsidRDefault="00DF2E27" w:rsidP="004A514D">
      <w:pPr>
        <w:pStyle w:val="Heading7"/>
      </w:pPr>
      <w:r w:rsidRPr="00CB4236">
        <w:t>Equity</w:t>
      </w:r>
      <w:r w:rsidR="00FC45CC" w:rsidRPr="00CB4236">
        <w:t xml:space="preserve"> for employees</w:t>
      </w:r>
    </w:p>
    <w:p w14:paraId="36208AA3" w14:textId="526EE60D" w:rsidR="0039682A" w:rsidRDefault="00FC45CC" w:rsidP="00374CBB">
      <w:pPr>
        <w:pStyle w:val="BodyText"/>
        <w:rPr>
          <w:rFonts w:cs="Arial"/>
          <w:color w:val="auto"/>
        </w:rPr>
      </w:pPr>
      <w:r>
        <w:rPr>
          <w:rFonts w:cs="Arial"/>
          <w:color w:val="auto"/>
        </w:rPr>
        <w:t>Th</w:t>
      </w:r>
      <w:r w:rsidR="0038431F">
        <w:rPr>
          <w:rFonts w:cs="Arial"/>
          <w:color w:val="auto"/>
        </w:rPr>
        <w:t>is</w:t>
      </w:r>
      <w:r>
        <w:rPr>
          <w:rFonts w:cs="Arial"/>
          <w:color w:val="auto"/>
        </w:rPr>
        <w:t xml:space="preserve"> option is </w:t>
      </w:r>
      <w:r w:rsidR="0009290A">
        <w:rPr>
          <w:rFonts w:cs="Arial"/>
          <w:color w:val="auto"/>
        </w:rPr>
        <w:t xml:space="preserve">somewhat less </w:t>
      </w:r>
      <w:r>
        <w:rPr>
          <w:rFonts w:cs="Arial"/>
          <w:color w:val="auto"/>
        </w:rPr>
        <w:t xml:space="preserve">aligned with the </w:t>
      </w:r>
      <w:r w:rsidR="000B4581">
        <w:rPr>
          <w:rFonts w:cs="Arial"/>
          <w:color w:val="auto"/>
        </w:rPr>
        <w:t>criterion</w:t>
      </w:r>
      <w:r w:rsidR="00406179">
        <w:rPr>
          <w:rFonts w:cs="Arial"/>
          <w:color w:val="auto"/>
        </w:rPr>
        <w:t xml:space="preserve"> compared to the status quo</w:t>
      </w:r>
      <w:r>
        <w:rPr>
          <w:rFonts w:cs="Arial"/>
          <w:color w:val="auto"/>
        </w:rPr>
        <w:t>.</w:t>
      </w:r>
      <w:r w:rsidR="0009290A">
        <w:rPr>
          <w:rFonts w:cs="Arial"/>
          <w:color w:val="auto"/>
        </w:rPr>
        <w:t xml:space="preserve"> Under the status quo, most employees are not currently eligible for the Scheme due to the confusion about whether </w:t>
      </w:r>
      <w:r w:rsidR="0072722B">
        <w:rPr>
          <w:rFonts w:cs="Arial"/>
          <w:color w:val="auto"/>
        </w:rPr>
        <w:t>Community Health</w:t>
      </w:r>
      <w:r w:rsidR="0009290A">
        <w:rPr>
          <w:rFonts w:cs="Arial"/>
          <w:color w:val="auto"/>
        </w:rPr>
        <w:t xml:space="preserve"> and </w:t>
      </w:r>
      <w:r w:rsidR="0072722B">
        <w:rPr>
          <w:rFonts w:cs="Arial"/>
          <w:color w:val="auto"/>
        </w:rPr>
        <w:t>Women’s Health Centre</w:t>
      </w:r>
      <w:r w:rsidR="0009290A">
        <w:rPr>
          <w:rFonts w:cs="Arial"/>
          <w:color w:val="auto"/>
        </w:rPr>
        <w:t>s are covered by the Scheme.</w:t>
      </w:r>
      <w:r>
        <w:rPr>
          <w:rFonts w:cs="Arial"/>
          <w:color w:val="auto"/>
        </w:rPr>
        <w:t xml:space="preserve"> </w:t>
      </w:r>
      <w:r w:rsidR="0009290A">
        <w:rPr>
          <w:rFonts w:cs="Arial"/>
          <w:color w:val="auto"/>
        </w:rPr>
        <w:t>However, e</w:t>
      </w:r>
      <w:r w:rsidR="00C23962">
        <w:rPr>
          <w:rFonts w:cs="Arial"/>
          <w:color w:val="auto"/>
        </w:rPr>
        <w:t>xplicitly excluding</w:t>
      </w:r>
      <w:r w:rsidR="00C52348">
        <w:rPr>
          <w:rFonts w:cs="Arial"/>
          <w:color w:val="auto"/>
        </w:rPr>
        <w:t xml:space="preserve"> </w:t>
      </w:r>
      <w:r w:rsidR="0072722B">
        <w:rPr>
          <w:rFonts w:cs="Arial"/>
          <w:color w:val="auto"/>
        </w:rPr>
        <w:t>Community Health</w:t>
      </w:r>
      <w:r w:rsidR="00C52348">
        <w:rPr>
          <w:rFonts w:cs="Arial"/>
          <w:color w:val="auto"/>
        </w:rPr>
        <w:t xml:space="preserve"> and </w:t>
      </w:r>
      <w:r w:rsidR="0072722B">
        <w:rPr>
          <w:rFonts w:cs="Arial"/>
          <w:color w:val="auto"/>
        </w:rPr>
        <w:t>Women’s Health Centre</w:t>
      </w:r>
      <w:r w:rsidR="00C52348">
        <w:rPr>
          <w:rFonts w:cs="Arial"/>
          <w:color w:val="auto"/>
        </w:rPr>
        <w:t xml:space="preserve">s </w:t>
      </w:r>
      <w:r w:rsidR="00C23962">
        <w:rPr>
          <w:rFonts w:cs="Arial"/>
          <w:color w:val="auto"/>
        </w:rPr>
        <w:t xml:space="preserve">from </w:t>
      </w:r>
      <w:r w:rsidR="00C52348">
        <w:rPr>
          <w:rFonts w:cs="Arial"/>
          <w:color w:val="auto"/>
        </w:rPr>
        <w:t>the Scheme</w:t>
      </w:r>
      <w:r w:rsidR="00D2625D" w:rsidRPr="00EE1D8A">
        <w:rPr>
          <w:rFonts w:cs="Arial"/>
          <w:color w:val="auto"/>
        </w:rPr>
        <w:t xml:space="preserve"> would reduce equity within the community services sector. </w:t>
      </w:r>
      <w:r w:rsidR="0039682A">
        <w:rPr>
          <w:rFonts w:cs="Arial"/>
          <w:color w:val="auto"/>
        </w:rPr>
        <w:t>Compared to the</w:t>
      </w:r>
      <w:r w:rsidR="00C23962">
        <w:rPr>
          <w:rFonts w:cs="Arial"/>
          <w:color w:val="auto"/>
        </w:rPr>
        <w:t xml:space="preserve"> current state of uncertainty under the</w:t>
      </w:r>
      <w:r w:rsidR="0039682A">
        <w:rPr>
          <w:rFonts w:cs="Arial"/>
          <w:color w:val="auto"/>
        </w:rPr>
        <w:t xml:space="preserve"> status quo, th</w:t>
      </w:r>
      <w:r w:rsidR="0038431F">
        <w:rPr>
          <w:rFonts w:cs="Arial"/>
          <w:color w:val="auto"/>
        </w:rPr>
        <w:t>is</w:t>
      </w:r>
      <w:r w:rsidR="0039682A">
        <w:rPr>
          <w:rFonts w:cs="Arial"/>
          <w:color w:val="auto"/>
        </w:rPr>
        <w:t xml:space="preserve"> option would clarify that employees in these </w:t>
      </w:r>
      <w:r w:rsidR="002106A3">
        <w:rPr>
          <w:rFonts w:cs="Arial"/>
          <w:color w:val="auto"/>
        </w:rPr>
        <w:t>sub</w:t>
      </w:r>
      <w:r w:rsidR="002106A3">
        <w:rPr>
          <w:rFonts w:cs="Arial"/>
          <w:color w:val="auto"/>
        </w:rPr>
        <w:noBreakHyphen/>
        <w:t>sector</w:t>
      </w:r>
      <w:r w:rsidR="0039682A">
        <w:rPr>
          <w:rFonts w:cs="Arial"/>
          <w:color w:val="auto"/>
        </w:rPr>
        <w:t>s are not covered by the Scheme.</w:t>
      </w:r>
      <w:r w:rsidR="005C010A">
        <w:rPr>
          <w:rFonts w:cs="Arial"/>
          <w:color w:val="auto"/>
        </w:rPr>
        <w:t xml:space="preserve"> </w:t>
      </w:r>
      <w:r w:rsidR="0039682A">
        <w:rPr>
          <w:rFonts w:cs="Arial"/>
          <w:color w:val="auto"/>
        </w:rPr>
        <w:t>E</w:t>
      </w:r>
      <w:r w:rsidR="00613ECD" w:rsidRPr="00EE1D8A">
        <w:rPr>
          <w:rFonts w:cs="Arial"/>
          <w:color w:val="auto"/>
        </w:rPr>
        <w:t xml:space="preserve">mployees in </w:t>
      </w:r>
      <w:r w:rsidR="0072722B">
        <w:rPr>
          <w:rFonts w:cs="Arial"/>
          <w:color w:val="auto"/>
        </w:rPr>
        <w:t>Community Health</w:t>
      </w:r>
      <w:r w:rsidR="00613ECD" w:rsidRPr="00EE1D8A">
        <w:rPr>
          <w:rFonts w:cs="Arial"/>
          <w:color w:val="auto"/>
        </w:rPr>
        <w:t xml:space="preserve"> and </w:t>
      </w:r>
      <w:r w:rsidR="0072722B">
        <w:rPr>
          <w:rFonts w:cs="Arial"/>
          <w:color w:val="auto"/>
        </w:rPr>
        <w:t>Women’s Health Centre</w:t>
      </w:r>
      <w:r w:rsidR="00613ECD" w:rsidRPr="00EE1D8A">
        <w:rPr>
          <w:rFonts w:cs="Arial"/>
          <w:color w:val="auto"/>
        </w:rPr>
        <w:t xml:space="preserve">s </w:t>
      </w:r>
      <w:r w:rsidR="00150DBF" w:rsidRPr="00EE1D8A">
        <w:rPr>
          <w:rFonts w:cs="Arial"/>
          <w:color w:val="auto"/>
        </w:rPr>
        <w:t>who undertake community service work would be denied access to portable long service benefits</w:t>
      </w:r>
      <w:r w:rsidR="0039682A">
        <w:rPr>
          <w:rFonts w:cs="Arial"/>
          <w:color w:val="auto"/>
        </w:rPr>
        <w:t xml:space="preserve"> (despite undertaking similar work to employees in the broader community service</w:t>
      </w:r>
      <w:r w:rsidR="00A931F0">
        <w:rPr>
          <w:rFonts w:cs="Arial"/>
          <w:color w:val="auto"/>
        </w:rPr>
        <w:t>s</w:t>
      </w:r>
      <w:r w:rsidR="0039682A">
        <w:rPr>
          <w:rFonts w:cs="Arial"/>
          <w:color w:val="auto"/>
        </w:rPr>
        <w:t xml:space="preserve"> sector who are covered by the Scheme)</w:t>
      </w:r>
      <w:r w:rsidR="00150DBF" w:rsidRPr="00EE1D8A">
        <w:rPr>
          <w:rFonts w:cs="Arial"/>
          <w:color w:val="auto"/>
        </w:rPr>
        <w:t>.</w:t>
      </w:r>
      <w:r w:rsidR="0039682A">
        <w:rPr>
          <w:rFonts w:cs="Arial"/>
          <w:color w:val="auto"/>
        </w:rPr>
        <w:t xml:space="preserve"> </w:t>
      </w:r>
      <w:r w:rsidR="000F2999">
        <w:rPr>
          <w:rFonts w:cs="Arial"/>
          <w:color w:val="auto"/>
        </w:rPr>
        <w:t xml:space="preserve">The small number of employees in the </w:t>
      </w:r>
      <w:r w:rsidR="0072722B">
        <w:rPr>
          <w:rFonts w:cs="Arial"/>
          <w:color w:val="auto"/>
        </w:rPr>
        <w:t>Women’s Health</w:t>
      </w:r>
      <w:r w:rsidR="000F2999">
        <w:rPr>
          <w:rFonts w:cs="Arial"/>
          <w:color w:val="auto"/>
        </w:rPr>
        <w:t xml:space="preserve"> </w:t>
      </w:r>
      <w:r w:rsidR="002106A3">
        <w:rPr>
          <w:rFonts w:cs="Arial"/>
          <w:color w:val="auto"/>
        </w:rPr>
        <w:t>sub</w:t>
      </w:r>
      <w:r w:rsidR="002106A3">
        <w:rPr>
          <w:rFonts w:cs="Arial"/>
          <w:color w:val="auto"/>
        </w:rPr>
        <w:noBreakHyphen/>
        <w:t>sector</w:t>
      </w:r>
      <w:r w:rsidR="000F2999">
        <w:rPr>
          <w:rFonts w:cs="Arial"/>
          <w:color w:val="auto"/>
        </w:rPr>
        <w:t xml:space="preserve"> who are currently registered with the Authority would lose access to the Scheme. </w:t>
      </w:r>
    </w:p>
    <w:p w14:paraId="61B5C181" w14:textId="36129C6C" w:rsidR="000F2999" w:rsidRDefault="00394DEA" w:rsidP="000F2999">
      <w:pPr>
        <w:pStyle w:val="BodyText"/>
        <w:rPr>
          <w:rFonts w:cs="Arial"/>
          <w:color w:val="auto"/>
        </w:rPr>
      </w:pPr>
      <w:r>
        <w:rPr>
          <w:rFonts w:cs="Arial"/>
          <w:color w:val="auto"/>
        </w:rPr>
        <w:t xml:space="preserve">Employees who move in and out of </w:t>
      </w:r>
      <w:r w:rsidR="0072722B">
        <w:rPr>
          <w:rFonts w:cs="Arial"/>
          <w:color w:val="auto"/>
        </w:rPr>
        <w:t>Community Health</w:t>
      </w:r>
      <w:r>
        <w:rPr>
          <w:rFonts w:cs="Arial"/>
          <w:color w:val="auto"/>
        </w:rPr>
        <w:t xml:space="preserve"> and </w:t>
      </w:r>
      <w:r w:rsidR="0072722B">
        <w:rPr>
          <w:rFonts w:cs="Arial"/>
          <w:color w:val="auto"/>
        </w:rPr>
        <w:t>Women’s Health Centre</w:t>
      </w:r>
      <w:r>
        <w:rPr>
          <w:rFonts w:cs="Arial"/>
          <w:color w:val="auto"/>
        </w:rPr>
        <w:t xml:space="preserve">s from the broader </w:t>
      </w:r>
      <w:r w:rsidR="00A931F0">
        <w:rPr>
          <w:rFonts w:cs="Arial"/>
          <w:color w:val="auto"/>
        </w:rPr>
        <w:t xml:space="preserve">community </w:t>
      </w:r>
      <w:r>
        <w:rPr>
          <w:rFonts w:cs="Arial"/>
          <w:color w:val="auto"/>
        </w:rPr>
        <w:t>services sector would not have their service recognised as the</w:t>
      </w:r>
      <w:r w:rsidR="00C52348">
        <w:rPr>
          <w:rFonts w:cs="Arial"/>
          <w:color w:val="auto"/>
        </w:rPr>
        <w:t>se employers</w:t>
      </w:r>
      <w:r>
        <w:rPr>
          <w:rFonts w:cs="Arial"/>
          <w:color w:val="auto"/>
        </w:rPr>
        <w:t xml:space="preserve"> are not covered by the Scheme.</w:t>
      </w:r>
      <w:r w:rsidR="0039682A">
        <w:rPr>
          <w:rFonts w:cs="Arial"/>
          <w:color w:val="auto"/>
        </w:rPr>
        <w:t xml:space="preserve"> </w:t>
      </w:r>
      <w:r w:rsidR="00150DBF" w:rsidRPr="00EE1D8A">
        <w:rPr>
          <w:rFonts w:cs="Arial"/>
          <w:color w:val="auto"/>
        </w:rPr>
        <w:t xml:space="preserve">While </w:t>
      </w:r>
      <w:r w:rsidR="000F2999">
        <w:rPr>
          <w:rFonts w:cs="Arial"/>
          <w:color w:val="auto"/>
        </w:rPr>
        <w:t>an indeterminate number of</w:t>
      </w:r>
      <w:r w:rsidR="000F2999" w:rsidRPr="00EE1D8A">
        <w:rPr>
          <w:rFonts w:cs="Arial"/>
          <w:color w:val="auto"/>
        </w:rPr>
        <w:t xml:space="preserve"> </w:t>
      </w:r>
      <w:r w:rsidR="00150DBF" w:rsidRPr="00EE1D8A">
        <w:rPr>
          <w:rFonts w:cs="Arial"/>
          <w:color w:val="auto"/>
        </w:rPr>
        <w:t xml:space="preserve">employees </w:t>
      </w:r>
      <w:r w:rsidR="000F2999">
        <w:rPr>
          <w:rFonts w:cs="Arial"/>
          <w:color w:val="auto"/>
        </w:rPr>
        <w:t>in</w:t>
      </w:r>
      <w:r w:rsidR="000F2999" w:rsidRPr="00EE1D8A">
        <w:rPr>
          <w:rFonts w:cs="Arial"/>
          <w:color w:val="auto"/>
        </w:rPr>
        <w:t xml:space="preserve"> </w:t>
      </w:r>
      <w:r w:rsidR="0072722B">
        <w:rPr>
          <w:rFonts w:cs="Arial"/>
          <w:color w:val="auto"/>
        </w:rPr>
        <w:t>Community Health Centre</w:t>
      </w:r>
      <w:r w:rsidR="00150DBF" w:rsidRPr="00EE1D8A">
        <w:rPr>
          <w:rFonts w:cs="Arial"/>
          <w:color w:val="auto"/>
        </w:rPr>
        <w:t xml:space="preserve">s currently have access to </w:t>
      </w:r>
      <w:r w:rsidR="005C5425" w:rsidRPr="00EE1D8A">
        <w:rPr>
          <w:rFonts w:cs="Arial"/>
          <w:color w:val="auto"/>
        </w:rPr>
        <w:t xml:space="preserve">existing portability entitlements under </w:t>
      </w:r>
      <w:r w:rsidR="005F4508">
        <w:rPr>
          <w:rFonts w:cs="Arial"/>
          <w:color w:val="auto"/>
        </w:rPr>
        <w:t>f</w:t>
      </w:r>
      <w:r w:rsidR="005C5425" w:rsidRPr="00EE1D8A">
        <w:rPr>
          <w:rFonts w:cs="Arial"/>
          <w:color w:val="auto"/>
        </w:rPr>
        <w:t xml:space="preserve">air </w:t>
      </w:r>
      <w:r w:rsidR="005F4508">
        <w:rPr>
          <w:rFonts w:cs="Arial"/>
          <w:color w:val="auto"/>
        </w:rPr>
        <w:t>w</w:t>
      </w:r>
      <w:r w:rsidR="005C5425" w:rsidRPr="00EE1D8A">
        <w:rPr>
          <w:rFonts w:cs="Arial"/>
          <w:color w:val="auto"/>
        </w:rPr>
        <w:t>ork instruments (including multi-enterprise agreements),</w:t>
      </w:r>
      <w:r w:rsidR="00A931F0">
        <w:rPr>
          <w:rFonts w:cs="Arial"/>
          <w:color w:val="auto"/>
        </w:rPr>
        <w:t xml:space="preserve"> </w:t>
      </w:r>
      <w:r w:rsidR="005C5425" w:rsidRPr="00EE1D8A">
        <w:rPr>
          <w:rFonts w:cs="Arial"/>
          <w:color w:val="auto"/>
        </w:rPr>
        <w:t xml:space="preserve">the existing portability entitlements do not cover employees who move between </w:t>
      </w:r>
      <w:r w:rsidR="0072722B">
        <w:rPr>
          <w:rFonts w:cs="Arial"/>
          <w:color w:val="auto"/>
        </w:rPr>
        <w:t>Community Health Centre</w:t>
      </w:r>
      <w:r w:rsidR="005C5425" w:rsidRPr="00EE1D8A">
        <w:rPr>
          <w:rFonts w:cs="Arial"/>
          <w:color w:val="auto"/>
        </w:rPr>
        <w:t>s and the broader community services sector.</w:t>
      </w:r>
      <w:r w:rsidR="00EE1D8A" w:rsidRPr="00EE1D8A">
        <w:rPr>
          <w:rFonts w:cs="Arial"/>
          <w:color w:val="auto"/>
        </w:rPr>
        <w:t xml:space="preserve"> </w:t>
      </w:r>
      <w:r w:rsidR="000F2999">
        <w:rPr>
          <w:rFonts w:cs="Arial"/>
          <w:color w:val="auto"/>
        </w:rPr>
        <w:t xml:space="preserve">Under this option, employees would retain portability of long service benefits within the </w:t>
      </w:r>
      <w:r w:rsidR="0072722B">
        <w:rPr>
          <w:rFonts w:cs="Arial"/>
          <w:color w:val="auto"/>
        </w:rPr>
        <w:t>Community Health</w:t>
      </w:r>
      <w:r w:rsidR="000F2999">
        <w:rPr>
          <w:rFonts w:cs="Arial"/>
          <w:color w:val="auto"/>
        </w:rPr>
        <w:t xml:space="preserve"> </w:t>
      </w:r>
      <w:r w:rsidR="002106A3">
        <w:rPr>
          <w:rFonts w:cs="Arial"/>
          <w:color w:val="auto"/>
        </w:rPr>
        <w:t>sub</w:t>
      </w:r>
      <w:r w:rsidR="002106A3">
        <w:rPr>
          <w:rFonts w:cs="Arial"/>
          <w:color w:val="auto"/>
        </w:rPr>
        <w:noBreakHyphen/>
        <w:t>sector</w:t>
      </w:r>
      <w:r w:rsidR="000F2999">
        <w:rPr>
          <w:rFonts w:cs="Arial"/>
          <w:color w:val="auto"/>
        </w:rPr>
        <w:t xml:space="preserve"> only.</w:t>
      </w:r>
    </w:p>
    <w:p w14:paraId="28AB3FBE" w14:textId="2F707D5C" w:rsidR="0039682A" w:rsidRDefault="008D74EE">
      <w:pPr>
        <w:pStyle w:val="BodyText"/>
        <w:rPr>
          <w:rFonts w:cs="Arial"/>
          <w:color w:val="auto"/>
        </w:rPr>
      </w:pPr>
      <w:r>
        <w:rPr>
          <w:rFonts w:cs="Arial"/>
          <w:color w:val="auto"/>
        </w:rPr>
        <w:t>Stakeholders</w:t>
      </w:r>
      <w:r w:rsidR="00EE1D8A" w:rsidRPr="00EE1D8A">
        <w:rPr>
          <w:rFonts w:cs="Arial"/>
          <w:color w:val="auto"/>
        </w:rPr>
        <w:t xml:space="preserve"> were not able to provide an estimate of the share of their workforce that moves in and out of the broader community services sector. </w:t>
      </w:r>
    </w:p>
    <w:p w14:paraId="72ED8F29" w14:textId="77777777" w:rsidR="0039682A" w:rsidRDefault="008D74EE" w:rsidP="007B63D7">
      <w:pPr>
        <w:pStyle w:val="BodyText"/>
      </w:pPr>
      <w:r>
        <w:t>Service p</w:t>
      </w:r>
      <w:r w:rsidR="00EE1D8A" w:rsidRPr="00EE1D8A">
        <w:t xml:space="preserve">roviders expected it would be a small proportion and noted that it is the employee’s choice to move to a different employer. </w:t>
      </w:r>
      <w:r w:rsidR="008E2C49">
        <w:t xml:space="preserve">However, anecdotal evidence from some service providers about where recent </w:t>
      </w:r>
      <w:r w:rsidR="005F4508">
        <w:t xml:space="preserve">recruits </w:t>
      </w:r>
      <w:r w:rsidR="008E2C49">
        <w:t xml:space="preserve">came from suggests that this might not be an insignificant share of the workforce. </w:t>
      </w:r>
    </w:p>
    <w:p w14:paraId="4F5426FA" w14:textId="5A41857F" w:rsidR="00DF2E27" w:rsidRDefault="008D74EE" w:rsidP="007B63D7">
      <w:pPr>
        <w:pStyle w:val="BodyText"/>
      </w:pPr>
      <w:r>
        <w:t>Union and employee groups suggested the share might be higher</w:t>
      </w:r>
      <w:r w:rsidR="008E2C49">
        <w:t xml:space="preserve"> tha</w:t>
      </w:r>
      <w:r w:rsidR="00A931F0">
        <w:t>n</w:t>
      </w:r>
      <w:r w:rsidR="008E2C49">
        <w:t xml:space="preserve"> </w:t>
      </w:r>
      <w:r w:rsidR="0072722B">
        <w:t>Community Health Centre</w:t>
      </w:r>
      <w:r w:rsidR="008E2C49">
        <w:t>s estimated, although they did not provide an estimate</w:t>
      </w:r>
      <w:r>
        <w:t xml:space="preserve">. </w:t>
      </w:r>
    </w:p>
    <w:p w14:paraId="288C22C9" w14:textId="31E77F4D" w:rsidR="00330ABB" w:rsidRDefault="00330ABB" w:rsidP="004A514D">
      <w:pPr>
        <w:pStyle w:val="Heading7"/>
      </w:pPr>
      <w:r>
        <w:t>I</w:t>
      </w:r>
      <w:r w:rsidRPr="00866686">
        <w:t xml:space="preserve">mpact on </w:t>
      </w:r>
      <w:r w:rsidR="00DB01D9">
        <w:t>employers</w:t>
      </w:r>
      <w:r>
        <w:t xml:space="preserve"> – financial cost</w:t>
      </w:r>
    </w:p>
    <w:p w14:paraId="124BAA45" w14:textId="62F71A4C" w:rsidR="0039682A" w:rsidRDefault="00374CBB" w:rsidP="007971E9">
      <w:pPr>
        <w:pStyle w:val="BodyText"/>
        <w:rPr>
          <w:rFonts w:cs="Arial"/>
          <w:color w:val="auto"/>
        </w:rPr>
      </w:pPr>
      <w:r w:rsidRPr="00374CBB">
        <w:rPr>
          <w:rFonts w:cs="Arial"/>
          <w:color w:val="auto"/>
        </w:rPr>
        <w:t>Th</w:t>
      </w:r>
      <w:r w:rsidR="0038431F">
        <w:rPr>
          <w:rFonts w:cs="Arial"/>
          <w:color w:val="auto"/>
        </w:rPr>
        <w:t>is</w:t>
      </w:r>
      <w:r w:rsidRPr="00374CBB">
        <w:rPr>
          <w:rFonts w:cs="Arial"/>
          <w:color w:val="auto"/>
        </w:rPr>
        <w:t xml:space="preserve"> option </w:t>
      </w:r>
      <w:r w:rsidR="00406179">
        <w:rPr>
          <w:rFonts w:cs="Arial"/>
          <w:color w:val="auto"/>
        </w:rPr>
        <w:t xml:space="preserve">is </w:t>
      </w:r>
      <w:r w:rsidR="0009290A">
        <w:rPr>
          <w:rFonts w:cs="Arial"/>
          <w:color w:val="auto"/>
        </w:rPr>
        <w:t>somewhat more</w:t>
      </w:r>
      <w:r w:rsidR="0039682A">
        <w:rPr>
          <w:rFonts w:cs="Arial"/>
          <w:color w:val="auto"/>
        </w:rPr>
        <w:t xml:space="preserve"> aligned to the </w:t>
      </w:r>
      <w:r w:rsidR="000B4581">
        <w:rPr>
          <w:rFonts w:cs="Arial"/>
          <w:color w:val="auto"/>
        </w:rPr>
        <w:t>criterion</w:t>
      </w:r>
      <w:r w:rsidR="00406179">
        <w:rPr>
          <w:rFonts w:cs="Arial"/>
          <w:color w:val="auto"/>
        </w:rPr>
        <w:t xml:space="preserve"> compared to the status quo. E</w:t>
      </w:r>
      <w:r w:rsidR="00406179" w:rsidRPr="00374CBB">
        <w:rPr>
          <w:rFonts w:cs="Arial"/>
          <w:color w:val="auto"/>
        </w:rPr>
        <w:t xml:space="preserve">xplicitly excluding </w:t>
      </w:r>
      <w:r w:rsidR="0072722B">
        <w:rPr>
          <w:rFonts w:cs="Arial"/>
          <w:color w:val="auto"/>
        </w:rPr>
        <w:t>Community Health</w:t>
      </w:r>
      <w:r w:rsidR="00406179" w:rsidRPr="00374CBB">
        <w:rPr>
          <w:rFonts w:cs="Arial"/>
          <w:color w:val="auto"/>
        </w:rPr>
        <w:t xml:space="preserve"> and </w:t>
      </w:r>
      <w:r w:rsidR="0072722B">
        <w:rPr>
          <w:rFonts w:cs="Arial"/>
          <w:color w:val="auto"/>
        </w:rPr>
        <w:t>Women’s Health Centre</w:t>
      </w:r>
      <w:r w:rsidR="00406179" w:rsidRPr="00374CBB">
        <w:rPr>
          <w:rFonts w:cs="Arial"/>
          <w:color w:val="auto"/>
        </w:rPr>
        <w:t xml:space="preserve">s from the Scheme </w:t>
      </w:r>
      <w:r w:rsidR="00406179">
        <w:rPr>
          <w:rFonts w:cs="Arial"/>
          <w:color w:val="auto"/>
        </w:rPr>
        <w:t>w</w:t>
      </w:r>
      <w:r w:rsidR="00705F50">
        <w:rPr>
          <w:rFonts w:cs="Arial"/>
          <w:color w:val="auto"/>
        </w:rPr>
        <w:t>ould</w:t>
      </w:r>
      <w:r w:rsidRPr="00374CBB">
        <w:rPr>
          <w:rFonts w:cs="Arial"/>
          <w:color w:val="auto"/>
        </w:rPr>
        <w:t xml:space="preserve"> be beneficial for employers</w:t>
      </w:r>
      <w:r w:rsidR="0009290A">
        <w:rPr>
          <w:rFonts w:cs="Arial"/>
          <w:color w:val="auto"/>
        </w:rPr>
        <w:t xml:space="preserve"> as they would not have to </w:t>
      </w:r>
      <w:r w:rsidR="00D73984">
        <w:rPr>
          <w:rFonts w:cs="Arial"/>
          <w:color w:val="auto"/>
        </w:rPr>
        <w:t xml:space="preserve">pay levies to the Authority </w:t>
      </w:r>
      <w:r w:rsidR="0009290A">
        <w:rPr>
          <w:rFonts w:cs="Arial"/>
          <w:color w:val="auto"/>
        </w:rPr>
        <w:t>if it was determined that they were covered by the Scheme</w:t>
      </w:r>
      <w:r w:rsidRPr="00374CBB">
        <w:rPr>
          <w:rFonts w:cs="Arial"/>
          <w:color w:val="auto"/>
        </w:rPr>
        <w:t xml:space="preserve">. </w:t>
      </w:r>
      <w:r w:rsidR="0009290A">
        <w:rPr>
          <w:rFonts w:cs="Arial"/>
          <w:color w:val="auto"/>
        </w:rPr>
        <w:t xml:space="preserve">However, under the status quo, </w:t>
      </w:r>
      <w:r w:rsidR="0072722B">
        <w:rPr>
          <w:rFonts w:cs="Arial"/>
          <w:color w:val="auto"/>
        </w:rPr>
        <w:t>Community Health</w:t>
      </w:r>
      <w:r w:rsidR="0009290A">
        <w:rPr>
          <w:rFonts w:cs="Arial"/>
          <w:color w:val="auto"/>
        </w:rPr>
        <w:t xml:space="preserve"> service providers are not paying </w:t>
      </w:r>
      <w:r w:rsidR="00F35678">
        <w:rPr>
          <w:rFonts w:cs="Arial"/>
          <w:color w:val="auto"/>
        </w:rPr>
        <w:t>levie</w:t>
      </w:r>
      <w:r w:rsidR="0009290A">
        <w:rPr>
          <w:rFonts w:cs="Arial"/>
          <w:color w:val="auto"/>
        </w:rPr>
        <w:t xml:space="preserve">s to the Authority on behalf of their employees as they believe they are not covered by the Scheme. </w:t>
      </w:r>
    </w:p>
    <w:p w14:paraId="5D295265" w14:textId="3B4E9EE0" w:rsidR="00374CBB" w:rsidRDefault="00374CBB" w:rsidP="007971E9">
      <w:pPr>
        <w:pStyle w:val="BodyText"/>
        <w:rPr>
          <w:rFonts w:cs="Arial"/>
          <w:color w:val="auto"/>
        </w:rPr>
      </w:pPr>
      <w:r w:rsidRPr="00374CBB">
        <w:rPr>
          <w:rFonts w:cs="Arial"/>
          <w:color w:val="auto"/>
        </w:rPr>
        <w:t xml:space="preserve">For the small number of </w:t>
      </w:r>
      <w:r w:rsidR="0072722B">
        <w:rPr>
          <w:rFonts w:cs="Arial"/>
          <w:color w:val="auto"/>
        </w:rPr>
        <w:t>Women’s Health Centre</w:t>
      </w:r>
      <w:r w:rsidRPr="00374CBB">
        <w:rPr>
          <w:rFonts w:cs="Arial"/>
          <w:color w:val="auto"/>
        </w:rPr>
        <w:t xml:space="preserve">s </w:t>
      </w:r>
      <w:r w:rsidR="0038431F">
        <w:rPr>
          <w:rFonts w:cs="Arial"/>
          <w:color w:val="auto"/>
        </w:rPr>
        <w:t>that</w:t>
      </w:r>
      <w:r w:rsidR="0038431F" w:rsidRPr="00374CBB">
        <w:rPr>
          <w:rFonts w:cs="Arial"/>
          <w:color w:val="auto"/>
        </w:rPr>
        <w:t xml:space="preserve"> </w:t>
      </w:r>
      <w:r w:rsidRPr="00374CBB">
        <w:rPr>
          <w:rFonts w:cs="Arial"/>
          <w:color w:val="auto"/>
        </w:rPr>
        <w:t>have already registered with the Scheme, th</w:t>
      </w:r>
      <w:r w:rsidR="0038431F">
        <w:rPr>
          <w:rFonts w:cs="Arial"/>
          <w:color w:val="auto"/>
        </w:rPr>
        <w:t>is</w:t>
      </w:r>
      <w:r w:rsidRPr="00374CBB">
        <w:rPr>
          <w:rFonts w:cs="Arial"/>
          <w:color w:val="auto"/>
        </w:rPr>
        <w:t xml:space="preserve"> option will be financially beneficial as they will no longer </w:t>
      </w:r>
      <w:r w:rsidR="0038431F">
        <w:rPr>
          <w:rFonts w:cs="Arial"/>
          <w:color w:val="auto"/>
        </w:rPr>
        <w:t>be required</w:t>
      </w:r>
      <w:r w:rsidR="0038431F" w:rsidRPr="00374CBB">
        <w:rPr>
          <w:rFonts w:cs="Arial"/>
          <w:color w:val="auto"/>
        </w:rPr>
        <w:t xml:space="preserve"> </w:t>
      </w:r>
      <w:r w:rsidRPr="00374CBB">
        <w:rPr>
          <w:rFonts w:cs="Arial"/>
          <w:color w:val="auto"/>
        </w:rPr>
        <w:t>to pay levies to the Authority on behalf of their employees</w:t>
      </w:r>
      <w:r w:rsidR="0055008B">
        <w:rPr>
          <w:rFonts w:cs="Arial"/>
          <w:color w:val="auto"/>
        </w:rPr>
        <w:t xml:space="preserve">. </w:t>
      </w:r>
    </w:p>
    <w:p w14:paraId="4A229737" w14:textId="190B6E8A" w:rsidR="00330ABB" w:rsidRDefault="00330ABB" w:rsidP="004A514D">
      <w:pPr>
        <w:pStyle w:val="Heading7"/>
      </w:pPr>
      <w:r>
        <w:t>I</w:t>
      </w:r>
      <w:r w:rsidRPr="00866686">
        <w:t xml:space="preserve">mpact on </w:t>
      </w:r>
      <w:r w:rsidR="00DB01D9">
        <w:t>employers</w:t>
      </w:r>
      <w:r>
        <w:t xml:space="preserve"> – cost of uncertainty and administration</w:t>
      </w:r>
    </w:p>
    <w:p w14:paraId="6DCC1A87" w14:textId="038F97C0" w:rsidR="00330ABB" w:rsidRPr="00374CBB" w:rsidRDefault="00330ABB" w:rsidP="007971E9">
      <w:pPr>
        <w:pStyle w:val="BodyText"/>
        <w:rPr>
          <w:rFonts w:cs="Arial"/>
          <w:color w:val="auto"/>
        </w:rPr>
      </w:pPr>
      <w:r>
        <w:rPr>
          <w:rFonts w:cs="Arial"/>
          <w:color w:val="auto"/>
        </w:rPr>
        <w:t>Th</w:t>
      </w:r>
      <w:r w:rsidR="0038431F">
        <w:rPr>
          <w:rFonts w:cs="Arial"/>
          <w:color w:val="auto"/>
        </w:rPr>
        <w:t>is</w:t>
      </w:r>
      <w:r>
        <w:rPr>
          <w:rFonts w:cs="Arial"/>
          <w:color w:val="auto"/>
        </w:rPr>
        <w:t xml:space="preserve"> option is </w:t>
      </w:r>
      <w:r w:rsidR="00D73984">
        <w:rPr>
          <w:rFonts w:cs="Arial"/>
          <w:color w:val="auto"/>
        </w:rPr>
        <w:t xml:space="preserve">much </w:t>
      </w:r>
      <w:r w:rsidR="00406179">
        <w:rPr>
          <w:rFonts w:cs="Arial"/>
          <w:color w:val="auto"/>
        </w:rPr>
        <w:t>more</w:t>
      </w:r>
      <w:r>
        <w:rPr>
          <w:rFonts w:cs="Arial"/>
          <w:color w:val="auto"/>
        </w:rPr>
        <w:t xml:space="preserve"> aligned with the </w:t>
      </w:r>
      <w:r w:rsidR="000B4581">
        <w:rPr>
          <w:rFonts w:cs="Arial"/>
          <w:color w:val="auto"/>
        </w:rPr>
        <w:t>criterion</w:t>
      </w:r>
      <w:r w:rsidR="00406179">
        <w:rPr>
          <w:rFonts w:cs="Arial"/>
          <w:color w:val="auto"/>
        </w:rPr>
        <w:t xml:space="preserve"> compared to the status quo</w:t>
      </w:r>
      <w:r>
        <w:rPr>
          <w:rFonts w:cs="Arial"/>
          <w:color w:val="auto"/>
        </w:rPr>
        <w:t xml:space="preserve">. Compared to the status quo, </w:t>
      </w:r>
      <w:r w:rsidR="0072722B">
        <w:rPr>
          <w:rFonts w:cs="Arial"/>
          <w:color w:val="auto"/>
        </w:rPr>
        <w:t>Community Health</w:t>
      </w:r>
      <w:r>
        <w:rPr>
          <w:rFonts w:cs="Arial"/>
          <w:color w:val="auto"/>
        </w:rPr>
        <w:t xml:space="preserve"> and </w:t>
      </w:r>
      <w:r w:rsidR="0072722B">
        <w:rPr>
          <w:rFonts w:cs="Arial"/>
          <w:color w:val="auto"/>
        </w:rPr>
        <w:t>Women’s Health</w:t>
      </w:r>
      <w:r>
        <w:rPr>
          <w:rFonts w:cs="Arial"/>
          <w:color w:val="auto"/>
        </w:rPr>
        <w:t xml:space="preserve"> service providers would have </w:t>
      </w:r>
      <w:r>
        <w:rPr>
          <w:rFonts w:cs="Arial"/>
          <w:color w:val="auto"/>
        </w:rPr>
        <w:lastRenderedPageBreak/>
        <w:t>complete certainty that they are</w:t>
      </w:r>
      <w:r w:rsidR="0009290A">
        <w:rPr>
          <w:rFonts w:cs="Arial"/>
          <w:color w:val="auto"/>
        </w:rPr>
        <w:t xml:space="preserve"> not</w:t>
      </w:r>
      <w:r>
        <w:rPr>
          <w:rFonts w:cs="Arial"/>
          <w:color w:val="auto"/>
        </w:rPr>
        <w:t xml:space="preserve"> covered by the Scheme and would </w:t>
      </w:r>
      <w:r w:rsidR="0009290A">
        <w:rPr>
          <w:rFonts w:cs="Arial"/>
          <w:color w:val="auto"/>
        </w:rPr>
        <w:t xml:space="preserve">not </w:t>
      </w:r>
      <w:r w:rsidR="0038431F">
        <w:rPr>
          <w:rFonts w:cs="Arial"/>
          <w:color w:val="auto"/>
        </w:rPr>
        <w:t xml:space="preserve">be required </w:t>
      </w:r>
      <w:r>
        <w:rPr>
          <w:rFonts w:cs="Arial"/>
          <w:color w:val="auto"/>
        </w:rPr>
        <w:t xml:space="preserve">to pay </w:t>
      </w:r>
      <w:r w:rsidR="00F35678">
        <w:rPr>
          <w:rFonts w:cs="Arial"/>
          <w:color w:val="auto"/>
        </w:rPr>
        <w:t>levie</w:t>
      </w:r>
      <w:r>
        <w:rPr>
          <w:rFonts w:cs="Arial"/>
          <w:color w:val="auto"/>
        </w:rPr>
        <w:t xml:space="preserve">s to the Authority on behalf of </w:t>
      </w:r>
      <w:r w:rsidR="0009290A">
        <w:rPr>
          <w:rFonts w:cs="Arial"/>
          <w:color w:val="auto"/>
        </w:rPr>
        <w:t xml:space="preserve">their </w:t>
      </w:r>
      <w:r>
        <w:rPr>
          <w:rFonts w:cs="Arial"/>
          <w:color w:val="auto"/>
        </w:rPr>
        <w:t xml:space="preserve">employees. </w:t>
      </w:r>
    </w:p>
    <w:p w14:paraId="6A683729" w14:textId="77777777" w:rsidR="00DF2E27" w:rsidRPr="00866686" w:rsidRDefault="00DF2E27" w:rsidP="004A514D">
      <w:pPr>
        <w:pStyle w:val="Heading7"/>
      </w:pPr>
      <w:r w:rsidRPr="00866686">
        <w:t>Impact on the Authority</w:t>
      </w:r>
    </w:p>
    <w:p w14:paraId="1B782ABE" w14:textId="36BD5679" w:rsidR="000F2999" w:rsidRPr="001639C7" w:rsidRDefault="000F2999" w:rsidP="000F2999">
      <w:pPr>
        <w:pStyle w:val="BodyText"/>
        <w:rPr>
          <w:rFonts w:cs="Arial"/>
          <w:color w:val="auto"/>
        </w:rPr>
      </w:pPr>
      <w:r>
        <w:rPr>
          <w:rFonts w:cs="Arial"/>
          <w:color w:val="auto"/>
        </w:rPr>
        <w:t>Th</w:t>
      </w:r>
      <w:r w:rsidR="0038431F">
        <w:rPr>
          <w:rFonts w:cs="Arial"/>
          <w:color w:val="auto"/>
        </w:rPr>
        <w:t>is</w:t>
      </w:r>
      <w:r>
        <w:rPr>
          <w:rFonts w:cs="Arial"/>
          <w:color w:val="auto"/>
        </w:rPr>
        <w:t xml:space="preserve"> option is much more aligned with the criteria compared to the status quo. The explicit exclusion of </w:t>
      </w:r>
      <w:r w:rsidR="0072722B">
        <w:rPr>
          <w:rFonts w:cs="Arial"/>
          <w:color w:val="auto"/>
        </w:rPr>
        <w:t>Community Health</w:t>
      </w:r>
      <w:r>
        <w:rPr>
          <w:rFonts w:cs="Arial"/>
          <w:color w:val="auto"/>
        </w:rPr>
        <w:t xml:space="preserve"> and </w:t>
      </w:r>
      <w:r w:rsidR="0072722B">
        <w:rPr>
          <w:rFonts w:cs="Arial"/>
          <w:color w:val="auto"/>
        </w:rPr>
        <w:t>Women’s Health</w:t>
      </w:r>
      <w:r>
        <w:rPr>
          <w:rFonts w:cs="Arial"/>
          <w:color w:val="auto"/>
        </w:rPr>
        <w:t xml:space="preserve"> providers from the Scheme would not require the Authority to </w:t>
      </w:r>
      <w:r w:rsidRPr="004B3C99">
        <w:rPr>
          <w:rFonts w:cs="Arial"/>
          <w:color w:val="auto"/>
        </w:rPr>
        <w:t>register employers</w:t>
      </w:r>
      <w:r>
        <w:rPr>
          <w:rFonts w:cs="Arial"/>
          <w:color w:val="auto"/>
        </w:rPr>
        <w:t xml:space="preserve"> in these </w:t>
      </w:r>
      <w:r w:rsidR="002106A3">
        <w:rPr>
          <w:rFonts w:cs="Arial"/>
          <w:color w:val="auto"/>
        </w:rPr>
        <w:t>sub</w:t>
      </w:r>
      <w:r w:rsidR="002106A3">
        <w:rPr>
          <w:rFonts w:cs="Arial"/>
          <w:color w:val="auto"/>
        </w:rPr>
        <w:noBreakHyphen/>
        <w:t>sector</w:t>
      </w:r>
      <w:r>
        <w:rPr>
          <w:rFonts w:cs="Arial"/>
          <w:color w:val="auto"/>
        </w:rPr>
        <w:t>s</w:t>
      </w:r>
      <w:r w:rsidRPr="004B3C99">
        <w:rPr>
          <w:rFonts w:cs="Arial"/>
          <w:color w:val="auto"/>
        </w:rPr>
        <w:t xml:space="preserve"> and </w:t>
      </w:r>
      <w:r>
        <w:rPr>
          <w:rFonts w:cs="Arial"/>
          <w:color w:val="auto"/>
        </w:rPr>
        <w:t xml:space="preserve">the Authority could </w:t>
      </w:r>
      <w:r w:rsidRPr="004B3C99">
        <w:rPr>
          <w:rFonts w:cs="Arial"/>
          <w:color w:val="auto"/>
        </w:rPr>
        <w:t>provide clear guidance to the sector.</w:t>
      </w:r>
    </w:p>
    <w:tbl>
      <w:tblPr>
        <w:tblStyle w:val="TableGrid"/>
        <w:tblW w:w="9026" w:type="dxa"/>
        <w:tblLook w:val="04A0" w:firstRow="1" w:lastRow="0" w:firstColumn="1" w:lastColumn="0" w:noHBand="0" w:noVBand="1"/>
      </w:tblPr>
      <w:tblGrid>
        <w:gridCol w:w="9026"/>
      </w:tblGrid>
      <w:tr w:rsidR="00CE7123" w:rsidRPr="00F738AD" w14:paraId="385FEB60" w14:textId="77777777" w:rsidTr="005120FF">
        <w:trPr>
          <w:tblHeader/>
        </w:trPr>
        <w:tc>
          <w:tcPr>
            <w:tcW w:w="9026" w:type="dxa"/>
            <w:tcBorders>
              <w:left w:val="nil"/>
            </w:tcBorders>
            <w:shd w:val="clear" w:color="auto" w:fill="002060"/>
          </w:tcPr>
          <w:p w14:paraId="766FC184" w14:textId="77777777" w:rsidR="00CE7123" w:rsidRPr="00F738AD" w:rsidRDefault="00CE7123" w:rsidP="005120FF">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CE7123" w:rsidRPr="00EC5379" w14:paraId="670015F2" w14:textId="77777777" w:rsidTr="005120FF">
        <w:trPr>
          <w:trHeight w:val="788"/>
        </w:trPr>
        <w:tc>
          <w:tcPr>
            <w:tcW w:w="9026" w:type="dxa"/>
            <w:tcBorders>
              <w:left w:val="nil"/>
            </w:tcBorders>
            <w:shd w:val="clear" w:color="auto" w:fill="DEEAF6" w:themeFill="accent1" w:themeFillTint="33"/>
          </w:tcPr>
          <w:p w14:paraId="3A49D831" w14:textId="18AB42DD" w:rsidR="00657D8A" w:rsidRDefault="00DF2E27" w:rsidP="00F5772B">
            <w:pPr>
              <w:pStyle w:val="BodyText"/>
              <w:ind w:left="601" w:hanging="601"/>
              <w:rPr>
                <w:rFonts w:cs="Arial"/>
              </w:rPr>
            </w:pPr>
            <w:r>
              <w:rPr>
                <w:rFonts w:cs="Arial"/>
                <w:b/>
              </w:rPr>
              <w:t>S.1</w:t>
            </w:r>
            <w:r w:rsidR="00D50857">
              <w:rPr>
                <w:rFonts w:cs="Arial"/>
                <w:b/>
              </w:rPr>
              <w:t>4</w:t>
            </w:r>
            <w:r w:rsidR="0055008B">
              <w:rPr>
                <w:rFonts w:cs="Arial"/>
                <w:b/>
              </w:rPr>
              <w:t xml:space="preserve"> </w:t>
            </w:r>
            <w:r w:rsidR="007010B9">
              <w:rPr>
                <w:rFonts w:cs="Arial"/>
                <w:b/>
              </w:rPr>
              <w:tab/>
            </w:r>
            <w:r w:rsidR="00A21F88" w:rsidRPr="00A21F88">
              <w:rPr>
                <w:rFonts w:cs="Arial"/>
              </w:rPr>
              <w:t xml:space="preserve">Does this assessment accurately represent the scope and scale of the </w:t>
            </w:r>
            <w:r w:rsidR="0072722B">
              <w:rPr>
                <w:rFonts w:cs="Arial"/>
              </w:rPr>
              <w:t>Community Health</w:t>
            </w:r>
            <w:r w:rsidR="00A21F88" w:rsidRPr="00A21F88">
              <w:rPr>
                <w:rFonts w:cs="Arial"/>
              </w:rPr>
              <w:t xml:space="preserve"> workforce</w:t>
            </w:r>
            <w:r w:rsidR="00EF15FE">
              <w:rPr>
                <w:rFonts w:cs="Arial"/>
              </w:rPr>
              <w:t xml:space="preserve"> that deliver</w:t>
            </w:r>
            <w:r w:rsidR="002E3F81">
              <w:rPr>
                <w:rFonts w:cs="Arial"/>
              </w:rPr>
              <w:t>s</w:t>
            </w:r>
            <w:r w:rsidR="00EF15FE">
              <w:rPr>
                <w:rFonts w:cs="Arial"/>
              </w:rPr>
              <w:t xml:space="preserve"> community service work</w:t>
            </w:r>
            <w:r w:rsidR="00A21F88" w:rsidRPr="00A21F88">
              <w:rPr>
                <w:rFonts w:cs="Arial"/>
              </w:rPr>
              <w:t>?</w:t>
            </w:r>
          </w:p>
          <w:p w14:paraId="70B12853" w14:textId="7D30E921" w:rsidR="002E3F81" w:rsidRDefault="0011258C">
            <w:pPr>
              <w:pStyle w:val="BodyText"/>
              <w:ind w:left="601" w:hanging="601"/>
              <w:rPr>
                <w:rFonts w:cs="Arial"/>
              </w:rPr>
            </w:pPr>
            <w:r>
              <w:rPr>
                <w:rFonts w:cs="Arial"/>
                <w:b/>
              </w:rPr>
              <w:t>S</w:t>
            </w:r>
            <w:r w:rsidR="00330ABB">
              <w:rPr>
                <w:rFonts w:cs="Arial"/>
                <w:b/>
              </w:rPr>
              <w:t>.</w:t>
            </w:r>
            <w:r w:rsidR="00D50857">
              <w:rPr>
                <w:rFonts w:cs="Arial"/>
                <w:b/>
              </w:rPr>
              <w:t>15</w:t>
            </w:r>
            <w:r w:rsidR="0055008B">
              <w:rPr>
                <w:rFonts w:cs="Arial"/>
                <w:b/>
              </w:rPr>
              <w:t xml:space="preserve"> </w:t>
            </w:r>
            <w:r w:rsidR="007010B9">
              <w:rPr>
                <w:rFonts w:cs="Arial"/>
                <w:b/>
              </w:rPr>
              <w:tab/>
            </w:r>
            <w:r w:rsidR="002E3F81">
              <w:rPr>
                <w:rFonts w:cs="Arial"/>
              </w:rPr>
              <w:t xml:space="preserve">Does this assessment accurately represent the scope and scale of the </w:t>
            </w:r>
            <w:r w:rsidR="0072722B">
              <w:rPr>
                <w:rFonts w:cs="Arial"/>
              </w:rPr>
              <w:t>Women’s Health</w:t>
            </w:r>
            <w:r w:rsidR="002E3F81">
              <w:rPr>
                <w:rFonts w:cs="Arial"/>
              </w:rPr>
              <w:t xml:space="preserve"> workforce that delivers community service work?</w:t>
            </w:r>
          </w:p>
          <w:p w14:paraId="52D5969E" w14:textId="1FAD3F35" w:rsidR="00015F56" w:rsidRPr="00F5772B" w:rsidRDefault="00D50857">
            <w:pPr>
              <w:pStyle w:val="BodyText"/>
              <w:ind w:left="601" w:hanging="601"/>
              <w:rPr>
                <w:rFonts w:cs="Arial"/>
              </w:rPr>
            </w:pPr>
            <w:r>
              <w:rPr>
                <w:rFonts w:cs="Arial"/>
                <w:b/>
              </w:rPr>
              <w:t>S.16</w:t>
            </w:r>
            <w:r w:rsidR="0055008B">
              <w:rPr>
                <w:rFonts w:cs="Arial"/>
              </w:rPr>
              <w:t xml:space="preserve"> </w:t>
            </w:r>
            <w:r w:rsidR="007010B9">
              <w:rPr>
                <w:rFonts w:cs="Arial"/>
              </w:rPr>
              <w:tab/>
            </w:r>
            <w:r w:rsidR="00015F56">
              <w:rPr>
                <w:rFonts w:cs="Arial"/>
              </w:rPr>
              <w:t>Which option best ensures that employees across the community services sector have fair and equitable access to the Scheme?</w:t>
            </w:r>
          </w:p>
        </w:tc>
      </w:tr>
    </w:tbl>
    <w:p w14:paraId="3DFE19A7" w14:textId="643C09D2" w:rsidR="008D7140" w:rsidRPr="008D7140" w:rsidRDefault="008D7140" w:rsidP="008D7140">
      <w:pPr>
        <w:pStyle w:val="Heading4"/>
        <w:ind w:left="709"/>
        <w:rPr>
          <w:rFonts w:ascii="Arial" w:hAnsi="Arial" w:cs="Arial"/>
          <w:sz w:val="20"/>
          <w:szCs w:val="20"/>
        </w:rPr>
      </w:pPr>
      <w:r w:rsidRPr="008D7140">
        <w:rPr>
          <w:rFonts w:ascii="Arial" w:hAnsi="Arial" w:cs="Arial"/>
          <w:sz w:val="20"/>
          <w:szCs w:val="20"/>
        </w:rPr>
        <w:t>For-profit providers of early childhood services</w:t>
      </w:r>
    </w:p>
    <w:p w14:paraId="74F0D5B5" w14:textId="4678E64E" w:rsidR="008D7140" w:rsidRPr="00EC5379" w:rsidRDefault="008D7140" w:rsidP="008D7140">
      <w:pPr>
        <w:pStyle w:val="BodyText"/>
        <w:rPr>
          <w:rFonts w:cs="Arial"/>
        </w:rPr>
      </w:pPr>
      <w:r w:rsidRPr="00EC5379">
        <w:rPr>
          <w:rFonts w:cs="Arial"/>
        </w:rPr>
        <w:t xml:space="preserve">A summary of the options for determining who is </w:t>
      </w:r>
      <w:r w:rsidR="0071726F">
        <w:rPr>
          <w:rFonts w:cs="Arial"/>
          <w:color w:val="auto"/>
        </w:rPr>
        <w:t xml:space="preserve">regarded as </w:t>
      </w:r>
      <w:r w:rsidRPr="00EC5379">
        <w:rPr>
          <w:rFonts w:cs="Arial"/>
        </w:rPr>
        <w:t>an employer in the community services sector</w:t>
      </w:r>
      <w:r>
        <w:rPr>
          <w:rFonts w:cs="Arial"/>
        </w:rPr>
        <w:t xml:space="preserve"> in relation to </w:t>
      </w:r>
      <w:r w:rsidR="00D36BC6">
        <w:rPr>
          <w:rFonts w:cs="Arial"/>
        </w:rPr>
        <w:t>for</w:t>
      </w:r>
      <w:r w:rsidR="00D36BC6">
        <w:rPr>
          <w:rFonts w:cs="Arial"/>
        </w:rPr>
        <w:noBreakHyphen/>
        <w:t>profit</w:t>
      </w:r>
      <w:r>
        <w:rPr>
          <w:rFonts w:cs="Arial"/>
        </w:rPr>
        <w:t xml:space="preserve"> providers of early childhood services</w:t>
      </w:r>
      <w:r w:rsidRPr="00EC5379">
        <w:rPr>
          <w:rFonts w:cs="Arial"/>
        </w:rPr>
        <w:t xml:space="preserve">, along with their relative scores compared to the </w:t>
      </w:r>
      <w:r w:rsidR="0013418B">
        <w:rPr>
          <w:rFonts w:cs="Arial"/>
        </w:rPr>
        <w:t>status quo</w:t>
      </w:r>
      <w:r w:rsidRPr="00EC5379">
        <w:rPr>
          <w:rFonts w:cs="Arial"/>
        </w:rPr>
        <w:t>, is as follows:</w:t>
      </w:r>
    </w:p>
    <w:p w14:paraId="500A92E2" w14:textId="45A205A3" w:rsidR="00AB2B58" w:rsidRDefault="008D7140" w:rsidP="00337958">
      <w:pPr>
        <w:pStyle w:val="Caption"/>
      </w:pPr>
      <w:r w:rsidRPr="00EC5379">
        <w:rPr>
          <w:rFonts w:ascii="Arial" w:hAnsi="Arial" w:cs="Arial"/>
        </w:rPr>
        <w:t xml:space="preserve">Table </w:t>
      </w:r>
      <w:r w:rsidRPr="00EC5379">
        <w:rPr>
          <w:rFonts w:ascii="Arial" w:hAnsi="Arial" w:cs="Arial"/>
          <w:i w:val="0"/>
          <w:iCs w:val="0"/>
          <w:noProof/>
        </w:rPr>
        <w:fldChar w:fldCharType="begin"/>
      </w:r>
      <w:r w:rsidRPr="00EC5379">
        <w:rPr>
          <w:rFonts w:ascii="Arial" w:hAnsi="Arial" w:cs="Arial"/>
          <w:noProof/>
        </w:rPr>
        <w:instrText xml:space="preserve"> SEQ Table \* ARABIC </w:instrText>
      </w:r>
      <w:r w:rsidRPr="00EC5379">
        <w:rPr>
          <w:rFonts w:ascii="Arial" w:hAnsi="Arial" w:cs="Arial"/>
          <w:i w:val="0"/>
          <w:iCs w:val="0"/>
          <w:noProof/>
        </w:rPr>
        <w:fldChar w:fldCharType="separate"/>
      </w:r>
      <w:r w:rsidR="00F11F33">
        <w:rPr>
          <w:rFonts w:ascii="Arial" w:hAnsi="Arial" w:cs="Arial"/>
          <w:noProof/>
        </w:rPr>
        <w:t>12</w:t>
      </w:r>
      <w:r w:rsidRPr="00EC5379">
        <w:rPr>
          <w:rFonts w:ascii="Arial" w:hAnsi="Arial" w:cs="Arial"/>
          <w:i w:val="0"/>
          <w:iCs w:val="0"/>
          <w:noProof/>
        </w:rPr>
        <w:fldChar w:fldCharType="end"/>
      </w:r>
      <w:r w:rsidRPr="00EC5379">
        <w:rPr>
          <w:rFonts w:ascii="Arial" w:hAnsi="Arial" w:cs="Arial"/>
        </w:rPr>
        <w:t xml:space="preserve">: Summary of </w:t>
      </w:r>
      <w:r w:rsidR="00D36BC6">
        <w:rPr>
          <w:rFonts w:ascii="Arial" w:hAnsi="Arial" w:cs="Arial"/>
        </w:rPr>
        <w:t>for</w:t>
      </w:r>
      <w:r w:rsidR="00D36BC6">
        <w:rPr>
          <w:rFonts w:ascii="Arial" w:hAnsi="Arial" w:cs="Arial"/>
        </w:rPr>
        <w:noBreakHyphen/>
        <w:t>profit</w:t>
      </w:r>
      <w:r w:rsidR="00174F37">
        <w:rPr>
          <w:rFonts w:ascii="Arial" w:hAnsi="Arial" w:cs="Arial"/>
        </w:rPr>
        <w:t xml:space="preserve"> providers of early childhood services</w:t>
      </w:r>
      <w:r w:rsidRPr="00EC5379">
        <w:rPr>
          <w:rFonts w:ascii="Arial" w:hAnsi="Arial" w:cs="Arial"/>
        </w:rPr>
        <w:t xml:space="preserve"> impact analysis</w:t>
      </w:r>
    </w:p>
    <w:tbl>
      <w:tblPr>
        <w:tblStyle w:val="TableGrid"/>
        <w:tblW w:w="9072" w:type="dxa"/>
        <w:tblLayout w:type="fixed"/>
        <w:tblLook w:val="04A0" w:firstRow="1" w:lastRow="0" w:firstColumn="1" w:lastColumn="0" w:noHBand="0" w:noVBand="1"/>
      </w:tblPr>
      <w:tblGrid>
        <w:gridCol w:w="2552"/>
        <w:gridCol w:w="1304"/>
        <w:gridCol w:w="1304"/>
        <w:gridCol w:w="1304"/>
        <w:gridCol w:w="1304"/>
        <w:gridCol w:w="1304"/>
      </w:tblGrid>
      <w:tr w:rsidR="00AB2B58" w:rsidRPr="00F738AD" w14:paraId="2A1DE665" w14:textId="77777777" w:rsidTr="00F87691">
        <w:trPr>
          <w:trHeight w:val="442"/>
        </w:trPr>
        <w:tc>
          <w:tcPr>
            <w:tcW w:w="2552" w:type="dxa"/>
            <w:vMerge w:val="restart"/>
            <w:tcBorders>
              <w:top w:val="single" w:sz="4" w:space="0" w:color="auto"/>
              <w:left w:val="nil"/>
              <w:right w:val="single" w:sz="4" w:space="0" w:color="auto"/>
            </w:tcBorders>
            <w:shd w:val="clear" w:color="auto" w:fill="002060"/>
            <w:vAlign w:val="center"/>
          </w:tcPr>
          <w:p w14:paraId="7D253AD5" w14:textId="77777777" w:rsidR="00AB2B58" w:rsidRPr="00F738AD" w:rsidRDefault="00AB2B58" w:rsidP="00F87691">
            <w:pPr>
              <w:keepNext/>
              <w:rPr>
                <w:rFonts w:ascii="Arial" w:hAnsi="Arial" w:cs="Arial"/>
                <w:b/>
                <w:color w:val="FFFFFF" w:themeColor="background1"/>
              </w:rPr>
            </w:pPr>
            <w:r w:rsidRPr="00F738AD">
              <w:rPr>
                <w:rFonts w:ascii="Arial" w:hAnsi="Arial" w:cs="Arial"/>
                <w:b/>
                <w:color w:val="FFFFFF" w:themeColor="background1"/>
              </w:rPr>
              <w:t>Option</w:t>
            </w:r>
          </w:p>
        </w:tc>
        <w:tc>
          <w:tcPr>
            <w:tcW w:w="6520" w:type="dxa"/>
            <w:gridSpan w:val="5"/>
            <w:tcBorders>
              <w:top w:val="single" w:sz="4" w:space="0" w:color="auto"/>
              <w:left w:val="single" w:sz="4" w:space="0" w:color="auto"/>
              <w:right w:val="nil"/>
            </w:tcBorders>
            <w:shd w:val="clear" w:color="auto" w:fill="002060"/>
            <w:vAlign w:val="center"/>
          </w:tcPr>
          <w:p w14:paraId="184F0274" w14:textId="77777777" w:rsidR="00AB2B58" w:rsidRPr="00F738AD" w:rsidRDefault="00AB2B58" w:rsidP="00F87691">
            <w:pPr>
              <w:keepNext/>
              <w:jc w:val="center"/>
              <w:rPr>
                <w:rFonts w:ascii="Arial" w:hAnsi="Arial" w:cs="Arial"/>
                <w:b/>
                <w:color w:val="FFFFFF" w:themeColor="background1"/>
              </w:rPr>
            </w:pPr>
            <w:r w:rsidRPr="00F738AD">
              <w:rPr>
                <w:rFonts w:ascii="Arial" w:hAnsi="Arial" w:cs="Arial"/>
                <w:b/>
                <w:color w:val="FFFFFF" w:themeColor="background1"/>
              </w:rPr>
              <w:t>Scores</w:t>
            </w:r>
          </w:p>
        </w:tc>
      </w:tr>
      <w:tr w:rsidR="00AB2B58" w:rsidRPr="00F738AD" w14:paraId="2CC63D0F" w14:textId="77777777" w:rsidTr="00F87691">
        <w:trPr>
          <w:trHeight w:val="924"/>
        </w:trPr>
        <w:tc>
          <w:tcPr>
            <w:tcW w:w="2552" w:type="dxa"/>
            <w:vMerge/>
            <w:tcBorders>
              <w:left w:val="nil"/>
              <w:bottom w:val="single" w:sz="4" w:space="0" w:color="auto"/>
              <w:right w:val="single" w:sz="4" w:space="0" w:color="auto"/>
            </w:tcBorders>
            <w:shd w:val="clear" w:color="auto" w:fill="002060"/>
          </w:tcPr>
          <w:p w14:paraId="581C8AC1" w14:textId="77777777" w:rsidR="00AB2B58" w:rsidRPr="00F738AD" w:rsidRDefault="00AB2B58" w:rsidP="00F87691">
            <w:pPr>
              <w:pStyle w:val="Tableheading"/>
              <w:keepNext/>
              <w:rPr>
                <w:rFonts w:ascii="Arial" w:hAnsi="Arial" w:cs="Arial"/>
              </w:rPr>
            </w:pPr>
          </w:p>
        </w:tc>
        <w:tc>
          <w:tcPr>
            <w:tcW w:w="1304" w:type="dxa"/>
            <w:tcBorders>
              <w:top w:val="single" w:sz="4" w:space="0" w:color="auto"/>
              <w:left w:val="single" w:sz="4" w:space="0" w:color="auto"/>
              <w:right w:val="nil"/>
            </w:tcBorders>
            <w:shd w:val="clear" w:color="auto" w:fill="002060"/>
            <w:vAlign w:val="center"/>
          </w:tcPr>
          <w:p w14:paraId="5A03F4B0" w14:textId="77777777" w:rsidR="00AB2B58" w:rsidRPr="00F738AD" w:rsidRDefault="00AB2B58" w:rsidP="00F87691">
            <w:pPr>
              <w:keepNext/>
              <w:jc w:val="center"/>
              <w:rPr>
                <w:rFonts w:ascii="Arial" w:hAnsi="Arial" w:cs="Arial"/>
                <w:color w:val="FFFFFF" w:themeColor="background1"/>
              </w:rPr>
            </w:pPr>
            <w:r w:rsidRPr="00F738AD">
              <w:rPr>
                <w:rFonts w:ascii="Arial" w:hAnsi="Arial" w:cs="Arial"/>
                <w:color w:val="FFFFFF" w:themeColor="background1"/>
              </w:rPr>
              <w:t>E</w:t>
            </w:r>
            <w:r>
              <w:rPr>
                <w:rFonts w:ascii="Arial" w:hAnsi="Arial" w:cs="Arial"/>
                <w:color w:val="FFFFFF" w:themeColor="background1"/>
              </w:rPr>
              <w:t>mployee e</w:t>
            </w:r>
            <w:r w:rsidRPr="00F738AD">
              <w:rPr>
                <w:rFonts w:ascii="Arial" w:hAnsi="Arial" w:cs="Arial"/>
                <w:color w:val="FFFFFF" w:themeColor="background1"/>
              </w:rPr>
              <w:t>quity (50%)</w:t>
            </w:r>
          </w:p>
        </w:tc>
        <w:tc>
          <w:tcPr>
            <w:tcW w:w="1304" w:type="dxa"/>
            <w:tcBorders>
              <w:top w:val="single" w:sz="4" w:space="0" w:color="auto"/>
              <w:left w:val="single" w:sz="4" w:space="0" w:color="auto"/>
              <w:right w:val="nil"/>
            </w:tcBorders>
            <w:shd w:val="clear" w:color="auto" w:fill="002060"/>
            <w:vAlign w:val="center"/>
          </w:tcPr>
          <w:p w14:paraId="64CEF753" w14:textId="414A85C1" w:rsidR="00AB2B58" w:rsidRPr="00F738AD" w:rsidRDefault="00B82CEE" w:rsidP="00F87691">
            <w:pPr>
              <w:keepNext/>
              <w:jc w:val="center"/>
              <w:rPr>
                <w:rFonts w:ascii="Arial" w:hAnsi="Arial" w:cs="Arial"/>
                <w:b/>
                <w:color w:val="FFFFFF" w:themeColor="background1"/>
              </w:rPr>
            </w:pPr>
            <w:r>
              <w:rPr>
                <w:rFonts w:ascii="Arial" w:hAnsi="Arial" w:cs="Arial"/>
                <w:color w:val="FFFFFF" w:themeColor="background1"/>
              </w:rPr>
              <w:t>Employer</w:t>
            </w:r>
            <w:r w:rsidR="00AB2B58">
              <w:rPr>
                <w:rFonts w:ascii="Arial" w:hAnsi="Arial" w:cs="Arial"/>
                <w:color w:val="FFFFFF" w:themeColor="background1"/>
              </w:rPr>
              <w:t xml:space="preserve"> financial cost </w:t>
            </w:r>
            <w:r w:rsidR="00AB2B58" w:rsidRPr="00F738AD">
              <w:rPr>
                <w:rFonts w:ascii="Arial" w:hAnsi="Arial" w:cs="Arial"/>
                <w:color w:val="FFFFFF" w:themeColor="background1"/>
              </w:rPr>
              <w:t>(2</w:t>
            </w:r>
            <w:r w:rsidR="00AB2B58">
              <w:rPr>
                <w:rFonts w:ascii="Arial" w:hAnsi="Arial" w:cs="Arial"/>
                <w:color w:val="FFFFFF" w:themeColor="background1"/>
              </w:rPr>
              <w:t>0</w:t>
            </w:r>
            <w:r w:rsidR="00AB2B58" w:rsidRPr="00F738AD">
              <w:rPr>
                <w:rFonts w:ascii="Arial" w:hAnsi="Arial" w:cs="Arial"/>
                <w:color w:val="FFFFFF" w:themeColor="background1"/>
              </w:rPr>
              <w:t>%)</w:t>
            </w:r>
          </w:p>
        </w:tc>
        <w:tc>
          <w:tcPr>
            <w:tcW w:w="1304" w:type="dxa"/>
            <w:tcBorders>
              <w:top w:val="single" w:sz="4" w:space="0" w:color="auto"/>
              <w:left w:val="single" w:sz="4" w:space="0" w:color="auto"/>
              <w:right w:val="nil"/>
            </w:tcBorders>
            <w:shd w:val="clear" w:color="auto" w:fill="002060"/>
            <w:vAlign w:val="center"/>
          </w:tcPr>
          <w:p w14:paraId="72F320DD" w14:textId="62FA1F44" w:rsidR="00AB2B58" w:rsidRPr="0074738D" w:rsidRDefault="00B82CEE" w:rsidP="00F87691">
            <w:pPr>
              <w:keepNext/>
              <w:jc w:val="center"/>
              <w:rPr>
                <w:rFonts w:ascii="Arial" w:hAnsi="Arial" w:cs="Arial"/>
                <w:color w:val="FFFFFF" w:themeColor="background1"/>
              </w:rPr>
            </w:pPr>
            <w:r>
              <w:rPr>
                <w:rFonts w:ascii="Arial" w:hAnsi="Arial" w:cs="Arial"/>
                <w:color w:val="FFFFFF" w:themeColor="background1"/>
              </w:rPr>
              <w:t>Employer</w:t>
            </w:r>
            <w:r w:rsidR="00AB2B58" w:rsidRPr="0074738D">
              <w:rPr>
                <w:rFonts w:ascii="Arial" w:hAnsi="Arial" w:cs="Arial"/>
                <w:color w:val="FFFFFF" w:themeColor="background1"/>
              </w:rPr>
              <w:t xml:space="preserve"> uncertainty</w:t>
            </w:r>
            <w:r w:rsidR="00AB2B58">
              <w:rPr>
                <w:rFonts w:ascii="Arial" w:hAnsi="Arial" w:cs="Arial"/>
                <w:color w:val="FFFFFF" w:themeColor="background1"/>
              </w:rPr>
              <w:t xml:space="preserve"> cost</w:t>
            </w:r>
            <w:r w:rsidR="00AB2B58" w:rsidRPr="0074738D">
              <w:rPr>
                <w:rFonts w:ascii="Arial" w:hAnsi="Arial" w:cs="Arial"/>
                <w:color w:val="FFFFFF" w:themeColor="background1"/>
              </w:rPr>
              <w:t xml:space="preserve"> (20%)</w:t>
            </w:r>
          </w:p>
        </w:tc>
        <w:tc>
          <w:tcPr>
            <w:tcW w:w="1304" w:type="dxa"/>
            <w:tcBorders>
              <w:top w:val="single" w:sz="4" w:space="0" w:color="auto"/>
              <w:left w:val="single" w:sz="4" w:space="0" w:color="auto"/>
              <w:right w:val="nil"/>
            </w:tcBorders>
            <w:shd w:val="clear" w:color="auto" w:fill="002060"/>
            <w:vAlign w:val="center"/>
          </w:tcPr>
          <w:p w14:paraId="7440A5D5" w14:textId="77777777" w:rsidR="00AB2B58" w:rsidRPr="00F738AD" w:rsidRDefault="00AB2B58" w:rsidP="00F87691">
            <w:pPr>
              <w:keepNext/>
              <w:jc w:val="center"/>
              <w:rPr>
                <w:rFonts w:ascii="Arial" w:hAnsi="Arial" w:cs="Arial"/>
                <w:color w:val="FFFFFF" w:themeColor="background1"/>
              </w:rPr>
            </w:pPr>
            <w:r>
              <w:rPr>
                <w:rFonts w:ascii="Arial" w:hAnsi="Arial" w:cs="Arial"/>
                <w:color w:val="FFFFFF" w:themeColor="background1"/>
              </w:rPr>
              <w:t>Impact on Authority</w:t>
            </w:r>
          </w:p>
          <w:p w14:paraId="6F26DDC7" w14:textId="77777777" w:rsidR="00AB2B58" w:rsidRPr="00F738AD" w:rsidRDefault="00AB2B58" w:rsidP="00F87691">
            <w:pPr>
              <w:keepNext/>
              <w:jc w:val="center"/>
              <w:rPr>
                <w:rFonts w:ascii="Arial" w:hAnsi="Arial" w:cs="Arial"/>
                <w:color w:val="FFFFFF" w:themeColor="background1"/>
              </w:rPr>
            </w:pPr>
            <w:r w:rsidRPr="00F738AD">
              <w:rPr>
                <w:rFonts w:ascii="Arial" w:hAnsi="Arial" w:cs="Arial"/>
                <w:color w:val="FFFFFF" w:themeColor="background1"/>
              </w:rPr>
              <w:t>(</w:t>
            </w:r>
            <w:r>
              <w:rPr>
                <w:rFonts w:ascii="Arial" w:hAnsi="Arial" w:cs="Arial"/>
                <w:color w:val="FFFFFF" w:themeColor="background1"/>
              </w:rPr>
              <w:t>10</w:t>
            </w:r>
            <w:r w:rsidRPr="00F738AD">
              <w:rPr>
                <w:rFonts w:ascii="Arial" w:hAnsi="Arial" w:cs="Arial"/>
                <w:color w:val="FFFFFF" w:themeColor="background1"/>
              </w:rPr>
              <w:t>%)</w:t>
            </w:r>
          </w:p>
        </w:tc>
        <w:tc>
          <w:tcPr>
            <w:tcW w:w="1304" w:type="dxa"/>
            <w:tcBorders>
              <w:top w:val="single" w:sz="4" w:space="0" w:color="auto"/>
              <w:left w:val="single" w:sz="4" w:space="0" w:color="auto"/>
              <w:right w:val="nil"/>
            </w:tcBorders>
            <w:shd w:val="clear" w:color="auto" w:fill="002060"/>
            <w:vAlign w:val="center"/>
          </w:tcPr>
          <w:p w14:paraId="41170FCF" w14:textId="77777777" w:rsidR="00AB2B58" w:rsidRPr="00F738AD" w:rsidRDefault="00AB2B58" w:rsidP="00F87691">
            <w:pPr>
              <w:keepNext/>
              <w:jc w:val="center"/>
              <w:rPr>
                <w:rFonts w:ascii="Arial" w:hAnsi="Arial" w:cs="Arial"/>
                <w:b/>
                <w:color w:val="FFFFFF" w:themeColor="background1"/>
              </w:rPr>
            </w:pPr>
            <w:r w:rsidRPr="00F738AD">
              <w:rPr>
                <w:rFonts w:ascii="Arial" w:hAnsi="Arial" w:cs="Arial"/>
                <w:b/>
                <w:color w:val="FFFFFF" w:themeColor="background1"/>
              </w:rPr>
              <w:t>Weighted score</w:t>
            </w:r>
          </w:p>
        </w:tc>
      </w:tr>
      <w:tr w:rsidR="00AB2B58" w:rsidRPr="00EC5379" w14:paraId="3F669B80" w14:textId="77777777" w:rsidTr="00F87691">
        <w:trPr>
          <w:trHeight w:val="696"/>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4C213F84" w14:textId="55E9C786" w:rsidR="00AB2B58" w:rsidRPr="00EC5379" w:rsidRDefault="00AB2B58" w:rsidP="00AB2B58">
            <w:pPr>
              <w:keepNext/>
              <w:spacing w:before="100" w:beforeAutospacing="1"/>
              <w:rPr>
                <w:rFonts w:ascii="Arial" w:hAnsi="Arial" w:cs="Arial"/>
              </w:rPr>
            </w:pPr>
            <w:r>
              <w:rPr>
                <w:rFonts w:ascii="Arial" w:hAnsi="Arial" w:cs="Arial"/>
              </w:rPr>
              <w:t>Status</w:t>
            </w:r>
            <w:r w:rsidRPr="00EC5379">
              <w:rPr>
                <w:rFonts w:ascii="Arial" w:hAnsi="Arial" w:cs="Arial"/>
              </w:rPr>
              <w:t xml:space="preserve"> quo under the Interim Regulations</w:t>
            </w:r>
          </w:p>
        </w:tc>
        <w:tc>
          <w:tcPr>
            <w:tcW w:w="1304" w:type="dxa"/>
            <w:tcBorders>
              <w:left w:val="single" w:sz="4" w:space="0" w:color="auto"/>
              <w:right w:val="nil"/>
            </w:tcBorders>
            <w:shd w:val="clear" w:color="auto" w:fill="DEEAF6" w:themeFill="accent1" w:themeFillTint="33"/>
            <w:vAlign w:val="center"/>
          </w:tcPr>
          <w:p w14:paraId="328E8757" w14:textId="77777777" w:rsidR="00AB2B58" w:rsidRPr="00EC5379" w:rsidRDefault="00AB2B58" w:rsidP="00AB2B58">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20EAED06" w14:textId="77777777" w:rsidR="00AB2B58" w:rsidRPr="00EC5379" w:rsidRDefault="00AB2B58" w:rsidP="00AB2B58">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6F93BF8A" w14:textId="77777777" w:rsidR="00AB2B58" w:rsidRPr="00EC5379" w:rsidRDefault="00AB2B58" w:rsidP="00AB2B58">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12281276" w14:textId="77777777" w:rsidR="00AB2B58" w:rsidRPr="00EC5379" w:rsidRDefault="00AB2B58" w:rsidP="00AB2B58">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26590020" w14:textId="77777777" w:rsidR="00AB2B58" w:rsidRPr="00EC5379" w:rsidRDefault="00AB2B58" w:rsidP="00AB2B58">
            <w:pPr>
              <w:keepNext/>
              <w:jc w:val="center"/>
              <w:rPr>
                <w:rFonts w:ascii="Arial" w:hAnsi="Arial" w:cs="Arial"/>
                <w:b/>
              </w:rPr>
            </w:pPr>
            <w:r>
              <w:rPr>
                <w:rFonts w:ascii="Arial" w:hAnsi="Arial" w:cs="Arial"/>
                <w:b/>
              </w:rPr>
              <w:t>0</w:t>
            </w:r>
          </w:p>
        </w:tc>
      </w:tr>
      <w:tr w:rsidR="00AB2B58" w:rsidRPr="00EC5379" w14:paraId="09391AB2" w14:textId="77777777" w:rsidTr="00337958">
        <w:trPr>
          <w:trHeight w:val="658"/>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5E68491A" w14:textId="02AC1E0D" w:rsidR="00AB2B58" w:rsidRPr="00EC5379" w:rsidRDefault="00AB2B58" w:rsidP="00AB2B58">
            <w:pPr>
              <w:keepNext/>
              <w:spacing w:before="100" w:beforeAutospacing="1"/>
              <w:rPr>
                <w:rFonts w:ascii="Arial" w:hAnsi="Arial" w:cs="Arial"/>
              </w:rPr>
            </w:pPr>
            <w:r w:rsidRPr="00EC5379">
              <w:rPr>
                <w:rFonts w:ascii="Arial" w:hAnsi="Arial" w:cs="Arial"/>
              </w:rPr>
              <w:t xml:space="preserve">Option 1 – </w:t>
            </w:r>
            <w:r w:rsidR="00D36BC6">
              <w:rPr>
                <w:rFonts w:ascii="Arial" w:hAnsi="Arial" w:cs="Arial"/>
              </w:rPr>
              <w:t>Exclude for</w:t>
            </w:r>
            <w:r w:rsidR="00D36BC6">
              <w:rPr>
                <w:rFonts w:ascii="Arial" w:hAnsi="Arial" w:cs="Arial"/>
              </w:rPr>
              <w:noBreakHyphen/>
              <w:t>profit</w:t>
            </w:r>
            <w:r>
              <w:rPr>
                <w:rFonts w:ascii="Arial" w:hAnsi="Arial" w:cs="Arial"/>
              </w:rPr>
              <w:t xml:space="preserve"> providers</w:t>
            </w:r>
          </w:p>
        </w:tc>
        <w:tc>
          <w:tcPr>
            <w:tcW w:w="1304" w:type="dxa"/>
            <w:tcBorders>
              <w:left w:val="single" w:sz="4" w:space="0" w:color="auto"/>
              <w:right w:val="nil"/>
            </w:tcBorders>
            <w:shd w:val="clear" w:color="auto" w:fill="DEEAF6" w:themeFill="accent1" w:themeFillTint="33"/>
            <w:vAlign w:val="center"/>
          </w:tcPr>
          <w:p w14:paraId="61C94ED9" w14:textId="02C308E2" w:rsidR="00AB2B58" w:rsidRPr="00EC5379" w:rsidRDefault="00AB2B58" w:rsidP="00AB2B58">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02E2C3F6" w14:textId="023E6FBB" w:rsidR="00AB2B58" w:rsidRPr="00EC5379" w:rsidRDefault="00AB2B58" w:rsidP="00AB2B58">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508461C6" w14:textId="586C96D1" w:rsidR="00AB2B58" w:rsidRPr="00EC5379" w:rsidRDefault="00F35678" w:rsidP="00AB2B58">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01A7C59F" w14:textId="58E2A545" w:rsidR="00AB2B58" w:rsidRPr="00EC5379" w:rsidRDefault="00F35678" w:rsidP="00AB2B58">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1C552354" w14:textId="09EB1DA3" w:rsidR="00AB2B58" w:rsidRPr="00EC5379" w:rsidRDefault="00F35678" w:rsidP="00AB2B58">
            <w:pPr>
              <w:keepNext/>
              <w:jc w:val="center"/>
              <w:rPr>
                <w:rFonts w:ascii="Arial" w:hAnsi="Arial" w:cs="Arial"/>
                <w:b/>
              </w:rPr>
            </w:pPr>
            <w:r>
              <w:rPr>
                <w:rFonts w:ascii="Arial" w:hAnsi="Arial" w:cs="Arial"/>
                <w:b/>
              </w:rPr>
              <w:t>0.5</w:t>
            </w:r>
          </w:p>
        </w:tc>
      </w:tr>
    </w:tbl>
    <w:p w14:paraId="3CED296D" w14:textId="77777777" w:rsidR="008D7140" w:rsidRPr="00EC5379" w:rsidRDefault="008D7140" w:rsidP="008D7140">
      <w:pPr>
        <w:spacing w:before="240"/>
        <w:rPr>
          <w:rFonts w:ascii="Arial" w:hAnsi="Arial" w:cs="Arial"/>
        </w:rPr>
      </w:pPr>
      <w:r w:rsidRPr="00EC5379">
        <w:rPr>
          <w:rFonts w:ascii="Arial" w:hAnsi="Arial" w:cs="Arial"/>
        </w:rPr>
        <w:t>The rationale for these scores is summarised for each option in the following sub-sections.</w:t>
      </w:r>
    </w:p>
    <w:p w14:paraId="715B1149" w14:textId="317765E6" w:rsidR="008D7140" w:rsidRPr="00CE3DED" w:rsidRDefault="008D7140" w:rsidP="007010B9">
      <w:pPr>
        <w:pStyle w:val="Heading6"/>
      </w:pPr>
      <w:r w:rsidRPr="00337958">
        <w:t xml:space="preserve">Analysis of the </w:t>
      </w:r>
      <w:r w:rsidR="0013418B" w:rsidRPr="00337958">
        <w:t>status quo</w:t>
      </w:r>
    </w:p>
    <w:p w14:paraId="4DB323CA" w14:textId="275A68F7" w:rsidR="008D7140" w:rsidRDefault="008D7140" w:rsidP="008D7140">
      <w:pPr>
        <w:pStyle w:val="BodyText"/>
        <w:rPr>
          <w:rFonts w:cs="Arial"/>
        </w:rPr>
      </w:pPr>
      <w:r w:rsidRPr="00EC5379">
        <w:rPr>
          <w:rFonts w:cs="Arial"/>
        </w:rPr>
        <w:t xml:space="preserve">The </w:t>
      </w:r>
      <w:r w:rsidR="0013418B">
        <w:rPr>
          <w:rFonts w:cs="Arial"/>
        </w:rPr>
        <w:t>status quo</w:t>
      </w:r>
      <w:r w:rsidRPr="00EC5379">
        <w:rPr>
          <w:rFonts w:cs="Arial"/>
        </w:rPr>
        <w:t xml:space="preserve"> is analysed to provide a point of comparison for the options which follow. </w:t>
      </w:r>
      <w:r w:rsidR="00AB2B58">
        <w:rPr>
          <w:rFonts w:cs="Arial"/>
        </w:rPr>
        <w:t xml:space="preserve">The </w:t>
      </w:r>
      <w:r w:rsidR="0013418B">
        <w:rPr>
          <w:rFonts w:cs="Arial"/>
        </w:rPr>
        <w:t>status quo</w:t>
      </w:r>
      <w:r w:rsidRPr="00EC5379">
        <w:rPr>
          <w:rFonts w:cs="Arial"/>
        </w:rPr>
        <w:t xml:space="preserve"> </w:t>
      </w:r>
      <w:r w:rsidR="004B3C99">
        <w:rPr>
          <w:rFonts w:cs="Arial"/>
        </w:rPr>
        <w:t xml:space="preserve">would leave </w:t>
      </w:r>
      <w:r w:rsidR="00D36BC6">
        <w:rPr>
          <w:rFonts w:cs="Arial"/>
        </w:rPr>
        <w:t>for</w:t>
      </w:r>
      <w:r w:rsidR="00D36BC6">
        <w:rPr>
          <w:rFonts w:cs="Arial"/>
        </w:rPr>
        <w:noBreakHyphen/>
        <w:t>profit</w:t>
      </w:r>
      <w:r w:rsidR="004B3C99">
        <w:rPr>
          <w:rFonts w:cs="Arial"/>
        </w:rPr>
        <w:t xml:space="preserve"> early childhood employers, employees and the Authority without the necessary clarity to determine eligibility for the Scheme. </w:t>
      </w:r>
    </w:p>
    <w:p w14:paraId="42B6F946" w14:textId="1CE92535" w:rsidR="008D7140" w:rsidRPr="00CE3DED" w:rsidRDefault="008D7140" w:rsidP="007010B9">
      <w:pPr>
        <w:pStyle w:val="Heading6"/>
      </w:pPr>
      <w:r w:rsidRPr="00337958">
        <w:t xml:space="preserve">Option 1 – </w:t>
      </w:r>
      <w:r w:rsidR="00364563" w:rsidRPr="00337958">
        <w:t xml:space="preserve">Exclude </w:t>
      </w:r>
      <w:r w:rsidR="00D36BC6">
        <w:t>for</w:t>
      </w:r>
      <w:r w:rsidR="00D36BC6">
        <w:noBreakHyphen/>
        <w:t>profit</w:t>
      </w:r>
      <w:r w:rsidR="00364563" w:rsidRPr="00337958">
        <w:t xml:space="preserve"> providers from the Scheme</w:t>
      </w:r>
    </w:p>
    <w:p w14:paraId="4B215100" w14:textId="0691B1CA" w:rsidR="003152EB" w:rsidRPr="00337958" w:rsidRDefault="003152EB" w:rsidP="004A514D">
      <w:pPr>
        <w:pStyle w:val="Heading7"/>
        <w:rPr>
          <w:b/>
        </w:rPr>
      </w:pPr>
      <w:r w:rsidRPr="00CE3DED">
        <w:t>Equity</w:t>
      </w:r>
      <w:r w:rsidR="00C3019B">
        <w:t xml:space="preserve"> for </w:t>
      </w:r>
      <w:r w:rsidR="00C3019B" w:rsidRPr="00F87691">
        <w:t>employees</w:t>
      </w:r>
    </w:p>
    <w:p w14:paraId="53D67107" w14:textId="1BDCBA54" w:rsidR="00F35678" w:rsidRPr="004B3C99" w:rsidRDefault="00F35678" w:rsidP="00F35678">
      <w:pPr>
        <w:pStyle w:val="BodyText"/>
        <w:rPr>
          <w:rFonts w:cs="Arial"/>
          <w:color w:val="auto"/>
        </w:rPr>
      </w:pPr>
      <w:r w:rsidRPr="004B3C99">
        <w:rPr>
          <w:rFonts w:cs="Arial"/>
          <w:color w:val="auto"/>
        </w:rPr>
        <w:t xml:space="preserve">This option would not change the </w:t>
      </w:r>
      <w:r>
        <w:rPr>
          <w:rFonts w:cs="Arial"/>
          <w:color w:val="auto"/>
        </w:rPr>
        <w:t xml:space="preserve">intended </w:t>
      </w:r>
      <w:r w:rsidRPr="004B3C99">
        <w:rPr>
          <w:rFonts w:cs="Arial"/>
          <w:color w:val="auto"/>
        </w:rPr>
        <w:t>scope of employees to be covered by the Scheme</w:t>
      </w:r>
      <w:r>
        <w:rPr>
          <w:rFonts w:cs="Arial"/>
          <w:color w:val="auto"/>
        </w:rPr>
        <w:t xml:space="preserve"> under the status quo as the Scheme is not intended to cover </w:t>
      </w:r>
      <w:r w:rsidR="00D36BC6">
        <w:rPr>
          <w:rFonts w:cs="Arial"/>
          <w:color w:val="auto"/>
        </w:rPr>
        <w:t>for</w:t>
      </w:r>
      <w:r w:rsidR="00D36BC6">
        <w:rPr>
          <w:rFonts w:cs="Arial"/>
          <w:color w:val="auto"/>
        </w:rPr>
        <w:noBreakHyphen/>
        <w:t>profit</w:t>
      </w:r>
      <w:r>
        <w:rPr>
          <w:rFonts w:cs="Arial"/>
          <w:color w:val="auto"/>
        </w:rPr>
        <w:t xml:space="preserve"> providers. Most stakeholders understand this. Under this option, some employees </w:t>
      </w:r>
      <w:r w:rsidR="00A931F0">
        <w:rPr>
          <w:rFonts w:cs="Arial"/>
          <w:color w:val="auto"/>
        </w:rPr>
        <w:t>employed by</w:t>
      </w:r>
      <w:r>
        <w:rPr>
          <w:rFonts w:cs="Arial"/>
          <w:color w:val="auto"/>
        </w:rPr>
        <w:t xml:space="preserve"> </w:t>
      </w:r>
      <w:r w:rsidR="00D36BC6">
        <w:rPr>
          <w:rFonts w:cs="Arial"/>
          <w:color w:val="auto"/>
        </w:rPr>
        <w:t>for</w:t>
      </w:r>
      <w:r w:rsidR="00D36BC6">
        <w:rPr>
          <w:rFonts w:cs="Arial"/>
          <w:color w:val="auto"/>
        </w:rPr>
        <w:noBreakHyphen/>
        <w:t>profit</w:t>
      </w:r>
      <w:r>
        <w:rPr>
          <w:rFonts w:cs="Arial"/>
          <w:color w:val="auto"/>
        </w:rPr>
        <w:t xml:space="preserve"> providers may no longer be eligible for the Scheme if their employer incorrectly registered them with the Authority. However, the LSBP Act never intended for these employees to be within the scope of the Scheme</w:t>
      </w:r>
      <w:r w:rsidR="00D36BC6">
        <w:rPr>
          <w:rFonts w:cs="Arial"/>
          <w:color w:val="auto"/>
        </w:rPr>
        <w:t>,</w:t>
      </w:r>
      <w:r>
        <w:rPr>
          <w:rFonts w:cs="Arial"/>
          <w:color w:val="auto"/>
        </w:rPr>
        <w:t xml:space="preserve"> </w:t>
      </w:r>
      <w:r w:rsidR="00D36BC6">
        <w:rPr>
          <w:rFonts w:cs="Arial"/>
          <w:color w:val="auto"/>
        </w:rPr>
        <w:t>therefore</w:t>
      </w:r>
      <w:r>
        <w:rPr>
          <w:rFonts w:cs="Arial"/>
          <w:color w:val="auto"/>
        </w:rPr>
        <w:t xml:space="preserve"> equity is unaffected.</w:t>
      </w:r>
    </w:p>
    <w:p w14:paraId="13BBBE50" w14:textId="308E71F5" w:rsidR="00AB2B58" w:rsidRDefault="00AB2B58" w:rsidP="004A514D">
      <w:pPr>
        <w:pStyle w:val="Heading7"/>
      </w:pPr>
      <w:r>
        <w:lastRenderedPageBreak/>
        <w:t>I</w:t>
      </w:r>
      <w:r w:rsidRPr="00866686">
        <w:t xml:space="preserve">mpact on </w:t>
      </w:r>
      <w:r w:rsidR="00DB01D9">
        <w:t>employers</w:t>
      </w:r>
      <w:r>
        <w:t xml:space="preserve"> – financial cost</w:t>
      </w:r>
    </w:p>
    <w:p w14:paraId="0D6DC354" w14:textId="5006F86A" w:rsidR="00AB2B58" w:rsidRPr="00337958" w:rsidRDefault="00AB2B58" w:rsidP="00337958">
      <w:pPr>
        <w:pStyle w:val="BodyText"/>
        <w:rPr>
          <w:rFonts w:cs="Arial"/>
          <w:color w:val="auto"/>
        </w:rPr>
      </w:pPr>
      <w:r>
        <w:rPr>
          <w:rFonts w:cs="Arial"/>
          <w:color w:val="auto"/>
        </w:rPr>
        <w:t>Th</w:t>
      </w:r>
      <w:r w:rsidR="00D36BC6">
        <w:rPr>
          <w:rFonts w:cs="Arial"/>
          <w:color w:val="auto"/>
        </w:rPr>
        <w:t>is</w:t>
      </w:r>
      <w:r>
        <w:rPr>
          <w:rFonts w:cs="Arial"/>
          <w:color w:val="auto"/>
        </w:rPr>
        <w:t xml:space="preserve"> option is </w:t>
      </w:r>
      <w:r w:rsidR="00406179">
        <w:rPr>
          <w:rFonts w:cs="Arial"/>
          <w:color w:val="auto"/>
        </w:rPr>
        <w:t>somewhat more</w:t>
      </w:r>
      <w:r>
        <w:rPr>
          <w:rFonts w:cs="Arial"/>
          <w:color w:val="auto"/>
        </w:rPr>
        <w:t xml:space="preserve"> aligned with the </w:t>
      </w:r>
      <w:r w:rsidR="000B4581">
        <w:rPr>
          <w:rFonts w:cs="Arial"/>
          <w:color w:val="auto"/>
        </w:rPr>
        <w:t>criterion</w:t>
      </w:r>
      <w:r w:rsidR="00406179">
        <w:rPr>
          <w:rFonts w:cs="Arial"/>
          <w:color w:val="auto"/>
        </w:rPr>
        <w:t xml:space="preserve"> compared to the status quo</w:t>
      </w:r>
      <w:r>
        <w:rPr>
          <w:rFonts w:cs="Arial"/>
          <w:color w:val="auto"/>
        </w:rPr>
        <w:t>.</w:t>
      </w:r>
      <w:r w:rsidR="000E7D48">
        <w:rPr>
          <w:rFonts w:cs="Arial"/>
          <w:color w:val="auto"/>
        </w:rPr>
        <w:t xml:space="preserve"> If any </w:t>
      </w:r>
      <w:r w:rsidR="00D36BC6">
        <w:rPr>
          <w:rFonts w:cs="Arial"/>
          <w:color w:val="auto"/>
        </w:rPr>
        <w:t>for</w:t>
      </w:r>
      <w:r w:rsidR="00D36BC6">
        <w:rPr>
          <w:rFonts w:cs="Arial"/>
          <w:color w:val="auto"/>
        </w:rPr>
        <w:noBreakHyphen/>
        <w:t>profit</w:t>
      </w:r>
      <w:r w:rsidR="000E7D48">
        <w:rPr>
          <w:rFonts w:cs="Arial"/>
          <w:color w:val="auto"/>
        </w:rPr>
        <w:t xml:space="preserve"> providers have incorrectly registered with the Authority under the status quo, they would no longer need to pay </w:t>
      </w:r>
      <w:r w:rsidR="00F35678">
        <w:rPr>
          <w:rFonts w:cs="Arial"/>
          <w:color w:val="auto"/>
        </w:rPr>
        <w:t>levie</w:t>
      </w:r>
      <w:r w:rsidR="000E7D48">
        <w:rPr>
          <w:rFonts w:cs="Arial"/>
          <w:color w:val="auto"/>
        </w:rPr>
        <w:t xml:space="preserve">s to the Authority on behalf of their employees. </w:t>
      </w:r>
    </w:p>
    <w:p w14:paraId="2480C9A3" w14:textId="63B6A050" w:rsidR="00AB2B58" w:rsidRDefault="00AB2B58" w:rsidP="004A514D">
      <w:pPr>
        <w:pStyle w:val="Heading7"/>
      </w:pPr>
      <w:r>
        <w:t>I</w:t>
      </w:r>
      <w:r w:rsidRPr="00866686">
        <w:t xml:space="preserve">mpact on </w:t>
      </w:r>
      <w:r w:rsidR="00DB01D9">
        <w:t>employers</w:t>
      </w:r>
      <w:r>
        <w:t xml:space="preserve"> – cost of uncertainty and administration</w:t>
      </w:r>
    </w:p>
    <w:p w14:paraId="1F272E87" w14:textId="3B3CA96B" w:rsidR="004B3C99" w:rsidRPr="004B3C99" w:rsidRDefault="00AB2B58" w:rsidP="003152EB">
      <w:pPr>
        <w:pStyle w:val="BodyText"/>
        <w:rPr>
          <w:rFonts w:cs="Arial"/>
          <w:color w:val="auto"/>
        </w:rPr>
      </w:pPr>
      <w:r>
        <w:rPr>
          <w:rFonts w:cs="Arial"/>
          <w:color w:val="auto"/>
        </w:rPr>
        <w:t>Th</w:t>
      </w:r>
      <w:r w:rsidR="00175F2E">
        <w:rPr>
          <w:rFonts w:cs="Arial"/>
          <w:color w:val="auto"/>
        </w:rPr>
        <w:t>is</w:t>
      </w:r>
      <w:r>
        <w:rPr>
          <w:rFonts w:cs="Arial"/>
          <w:color w:val="auto"/>
        </w:rPr>
        <w:t xml:space="preserve"> option is </w:t>
      </w:r>
      <w:r w:rsidR="00406179">
        <w:rPr>
          <w:rFonts w:cs="Arial"/>
          <w:color w:val="auto"/>
        </w:rPr>
        <w:t>much more</w:t>
      </w:r>
      <w:r>
        <w:rPr>
          <w:rFonts w:cs="Arial"/>
          <w:color w:val="auto"/>
        </w:rPr>
        <w:t xml:space="preserve"> aligned with </w:t>
      </w:r>
      <w:r w:rsidR="00C32857">
        <w:rPr>
          <w:rFonts w:cs="Arial"/>
          <w:color w:val="auto"/>
        </w:rPr>
        <w:t xml:space="preserve">the </w:t>
      </w:r>
      <w:r w:rsidR="000B4581">
        <w:rPr>
          <w:rFonts w:cs="Arial"/>
          <w:color w:val="auto"/>
        </w:rPr>
        <w:t>criterion</w:t>
      </w:r>
      <w:r w:rsidR="00406179">
        <w:rPr>
          <w:rFonts w:cs="Arial"/>
          <w:color w:val="auto"/>
        </w:rPr>
        <w:t xml:space="preserve"> compared to the status quo</w:t>
      </w:r>
      <w:r w:rsidR="00C32857">
        <w:rPr>
          <w:rFonts w:cs="Arial"/>
          <w:color w:val="auto"/>
        </w:rPr>
        <w:t xml:space="preserve">. It </w:t>
      </w:r>
      <w:r w:rsidR="004B3C99" w:rsidRPr="004B3C99">
        <w:rPr>
          <w:rFonts w:cs="Arial"/>
          <w:color w:val="auto"/>
        </w:rPr>
        <w:t xml:space="preserve">would </w:t>
      </w:r>
      <w:r w:rsidR="004B3C99">
        <w:rPr>
          <w:rFonts w:cs="Arial"/>
          <w:color w:val="auto"/>
        </w:rPr>
        <w:t>provide certainty for employers</w:t>
      </w:r>
      <w:r w:rsidR="004B3C99" w:rsidRPr="004B3C99">
        <w:rPr>
          <w:rFonts w:cs="Arial"/>
          <w:color w:val="auto"/>
        </w:rPr>
        <w:t xml:space="preserve"> that </w:t>
      </w:r>
      <w:r w:rsidR="00D36BC6">
        <w:rPr>
          <w:rFonts w:cs="Arial"/>
          <w:color w:val="auto"/>
        </w:rPr>
        <w:t>for</w:t>
      </w:r>
      <w:r w:rsidR="00D36BC6">
        <w:rPr>
          <w:rFonts w:cs="Arial"/>
          <w:color w:val="auto"/>
        </w:rPr>
        <w:noBreakHyphen/>
        <w:t>profit</w:t>
      </w:r>
      <w:r w:rsidR="004B3C99" w:rsidRPr="004B3C99">
        <w:rPr>
          <w:rFonts w:cs="Arial"/>
          <w:color w:val="auto"/>
        </w:rPr>
        <w:t xml:space="preserve"> licensed children's services under the </w:t>
      </w:r>
      <w:r w:rsidR="004B3C99" w:rsidRPr="004B3C99">
        <w:rPr>
          <w:rFonts w:cs="Arial"/>
          <w:i/>
          <w:iCs/>
          <w:color w:val="auto"/>
        </w:rPr>
        <w:t xml:space="preserve">Children's Services Act 1996 </w:t>
      </w:r>
      <w:r w:rsidR="004B3C99" w:rsidRPr="004B3C99">
        <w:rPr>
          <w:rFonts w:cs="Arial"/>
          <w:color w:val="auto"/>
        </w:rPr>
        <w:t>or an approved provider under the Education and Care Services National Law are not covered by the Scheme and</w:t>
      </w:r>
      <w:r w:rsidR="00175F2E">
        <w:rPr>
          <w:rFonts w:cs="Arial"/>
          <w:color w:val="auto"/>
        </w:rPr>
        <w:t xml:space="preserve"> that they</w:t>
      </w:r>
      <w:r w:rsidR="004B3C99" w:rsidRPr="004B3C99">
        <w:rPr>
          <w:rFonts w:cs="Arial"/>
          <w:color w:val="auto"/>
        </w:rPr>
        <w:t xml:space="preserve"> are not required to pay levies to the Authority on behalf on their employees.</w:t>
      </w:r>
    </w:p>
    <w:p w14:paraId="5ECC57B4" w14:textId="77777777" w:rsidR="003152EB" w:rsidRPr="00866686" w:rsidRDefault="003152EB" w:rsidP="004A514D">
      <w:pPr>
        <w:pStyle w:val="Heading7"/>
      </w:pPr>
      <w:r w:rsidRPr="00866686">
        <w:t>Impact on the Authority</w:t>
      </w:r>
    </w:p>
    <w:p w14:paraId="59CCDE79" w14:textId="1FAC2D65" w:rsidR="00C32857" w:rsidRDefault="00AB2B58" w:rsidP="00DB3ADD">
      <w:pPr>
        <w:pStyle w:val="BodyText"/>
        <w:rPr>
          <w:rFonts w:eastAsiaTheme="majorEastAsia"/>
          <w:i/>
          <w:color w:val="0063A6"/>
          <w:sz w:val="24"/>
          <w:szCs w:val="24"/>
        </w:rPr>
      </w:pPr>
      <w:r>
        <w:rPr>
          <w:rFonts w:cs="Arial"/>
          <w:color w:val="auto"/>
        </w:rPr>
        <w:t>Th</w:t>
      </w:r>
      <w:r w:rsidR="00175F2E">
        <w:rPr>
          <w:rFonts w:cs="Arial"/>
          <w:color w:val="auto"/>
        </w:rPr>
        <w:t>is</w:t>
      </w:r>
      <w:r>
        <w:rPr>
          <w:rFonts w:cs="Arial"/>
          <w:color w:val="auto"/>
        </w:rPr>
        <w:t xml:space="preserve"> option is </w:t>
      </w:r>
      <w:r w:rsidR="00406179">
        <w:rPr>
          <w:rFonts w:cs="Arial"/>
          <w:color w:val="auto"/>
        </w:rPr>
        <w:t>much more</w:t>
      </w:r>
      <w:r>
        <w:rPr>
          <w:rFonts w:cs="Arial"/>
          <w:color w:val="auto"/>
        </w:rPr>
        <w:t xml:space="preserve"> aligned with</w:t>
      </w:r>
      <w:r w:rsidR="00C32857">
        <w:rPr>
          <w:rFonts w:cs="Arial"/>
          <w:color w:val="auto"/>
        </w:rPr>
        <w:t xml:space="preserve"> the </w:t>
      </w:r>
      <w:r w:rsidR="000B4581">
        <w:rPr>
          <w:rFonts w:cs="Arial"/>
          <w:color w:val="auto"/>
        </w:rPr>
        <w:t>criterion</w:t>
      </w:r>
      <w:r w:rsidR="00406179">
        <w:rPr>
          <w:rFonts w:cs="Arial"/>
          <w:color w:val="auto"/>
        </w:rPr>
        <w:t xml:space="preserve"> compared to the status quo</w:t>
      </w:r>
      <w:r w:rsidR="00C32857">
        <w:rPr>
          <w:rFonts w:cs="Arial"/>
          <w:color w:val="auto"/>
        </w:rPr>
        <w:t>.</w:t>
      </w:r>
      <w:r w:rsidR="004B3C99" w:rsidRPr="004B3C99">
        <w:rPr>
          <w:rFonts w:cs="Arial"/>
          <w:color w:val="auto"/>
        </w:rPr>
        <w:t xml:space="preserve"> </w:t>
      </w:r>
      <w:r w:rsidR="00C32857">
        <w:rPr>
          <w:rFonts w:cs="Arial"/>
          <w:color w:val="auto"/>
        </w:rPr>
        <w:t>Compared to the status quo,</w:t>
      </w:r>
      <w:r w:rsidR="004B3C99" w:rsidRPr="004B3C99">
        <w:rPr>
          <w:rFonts w:cs="Arial"/>
          <w:color w:val="auto"/>
        </w:rPr>
        <w:t xml:space="preserve"> </w:t>
      </w:r>
      <w:r w:rsidR="00A27EB0">
        <w:rPr>
          <w:rFonts w:cs="Arial"/>
          <w:color w:val="auto"/>
        </w:rPr>
        <w:t>the greater clarity would</w:t>
      </w:r>
      <w:r w:rsidR="000B48D6">
        <w:rPr>
          <w:rFonts w:cs="Arial"/>
          <w:color w:val="auto"/>
        </w:rPr>
        <w:t xml:space="preserve"> assist the Authority</w:t>
      </w:r>
      <w:r w:rsidR="005F4508">
        <w:rPr>
          <w:rFonts w:cs="Arial"/>
          <w:color w:val="auto"/>
        </w:rPr>
        <w:t xml:space="preserve"> to</w:t>
      </w:r>
      <w:r w:rsidR="000B48D6">
        <w:rPr>
          <w:rFonts w:cs="Arial"/>
          <w:color w:val="auto"/>
        </w:rPr>
        <w:t xml:space="preserve"> implement</w:t>
      </w:r>
      <w:r w:rsidR="004B3C99" w:rsidRPr="004B3C99">
        <w:rPr>
          <w:rFonts w:cs="Arial"/>
          <w:color w:val="auto"/>
        </w:rPr>
        <w:t xml:space="preserve"> the Scheme, register eligible employers and provide clearer guidance to the sector.</w:t>
      </w:r>
      <w:bookmarkStart w:id="129" w:name="_Ref35263865"/>
    </w:p>
    <w:p w14:paraId="0FEC89F9" w14:textId="06050728" w:rsidR="00807495" w:rsidRPr="00EC5379" w:rsidRDefault="00807495" w:rsidP="00D44303">
      <w:pPr>
        <w:pStyle w:val="Heading3"/>
        <w:tabs>
          <w:tab w:val="clear" w:pos="5115"/>
        </w:tabs>
        <w:spacing w:before="100" w:beforeAutospacing="1" w:after="100" w:afterAutospacing="1"/>
        <w:ind w:left="709"/>
        <w:rPr>
          <w:rFonts w:ascii="Arial" w:hAnsi="Arial" w:cs="Arial"/>
        </w:rPr>
      </w:pPr>
      <w:bookmarkStart w:id="130" w:name="_Ref36805602"/>
      <w:r w:rsidRPr="00EC5379">
        <w:rPr>
          <w:rFonts w:ascii="Arial" w:hAnsi="Arial" w:cs="Arial"/>
        </w:rPr>
        <w:t xml:space="preserve">Who is </w:t>
      </w:r>
      <w:r w:rsidR="0071726F" w:rsidRPr="00AD518C">
        <w:rPr>
          <w:rFonts w:ascii="Arial" w:hAnsi="Arial" w:cs="Arial"/>
        </w:rPr>
        <w:t xml:space="preserve">regarded as </w:t>
      </w:r>
      <w:r w:rsidRPr="00EC5379">
        <w:rPr>
          <w:rFonts w:ascii="Arial" w:hAnsi="Arial" w:cs="Arial"/>
        </w:rPr>
        <w:t>an employee in the community services sector</w:t>
      </w:r>
      <w:bookmarkEnd w:id="129"/>
      <w:bookmarkEnd w:id="130"/>
    </w:p>
    <w:p w14:paraId="18786E3C" w14:textId="2B564DBD" w:rsidR="004A1BE4" w:rsidRPr="00EC5379" w:rsidRDefault="00807495" w:rsidP="007010B9">
      <w:pPr>
        <w:pStyle w:val="BodyText"/>
        <w:rPr>
          <w:color w:val="FF0000"/>
        </w:rPr>
      </w:pPr>
      <w:r w:rsidRPr="00EC5379">
        <w:t>As discussed in section</w:t>
      </w:r>
      <w:r w:rsidR="001A238C">
        <w:t xml:space="preserve"> </w:t>
      </w:r>
      <w:r w:rsidR="0001065F">
        <w:fldChar w:fldCharType="begin"/>
      </w:r>
      <w:r w:rsidR="0001065F">
        <w:instrText xml:space="preserve"> REF _Ref35937777 \r \h </w:instrText>
      </w:r>
      <w:r w:rsidR="0001065F">
        <w:fldChar w:fldCharType="separate"/>
      </w:r>
      <w:r w:rsidR="0001065F">
        <w:t>3.3</w:t>
      </w:r>
      <w:r w:rsidR="0001065F">
        <w:fldChar w:fldCharType="end"/>
      </w:r>
      <w:r w:rsidRPr="00EC5379">
        <w:t xml:space="preserve">, </w:t>
      </w:r>
      <w:r w:rsidR="00EC5379" w:rsidRPr="00EC5379">
        <w:t xml:space="preserve">the </w:t>
      </w:r>
      <w:r w:rsidR="000B4581">
        <w:t>criterion</w:t>
      </w:r>
      <w:r w:rsidR="00EC5379" w:rsidRPr="00EC5379">
        <w:t xml:space="preserve"> for determining who is </w:t>
      </w:r>
      <w:r w:rsidR="0071726F">
        <w:t xml:space="preserve">regarded as </w:t>
      </w:r>
      <w:r w:rsidR="00EC5379" w:rsidRPr="00EC5379">
        <w:t>an employee in the com</w:t>
      </w:r>
      <w:r w:rsidR="004A1BE4">
        <w:t>munity services sector should p</w:t>
      </w:r>
      <w:r w:rsidR="004A1BE4" w:rsidRPr="007F4727">
        <w:t xml:space="preserve">rovide certainty to </w:t>
      </w:r>
      <w:r w:rsidR="00DB01D9">
        <w:t>employers</w:t>
      </w:r>
      <w:r w:rsidR="004A1BE4" w:rsidRPr="007F4727">
        <w:t xml:space="preserve"> </w:t>
      </w:r>
      <w:r w:rsidR="005F4508">
        <w:t>regarding</w:t>
      </w:r>
      <w:r w:rsidR="004A1BE4" w:rsidRPr="007F4727">
        <w:t xml:space="preserve"> which employees will need to have levies paid t</w:t>
      </w:r>
      <w:r w:rsidR="004D21B4">
        <w:t>o the Authority on their behalf, and ensure employees across the community services sector have fair and equitable access to the Scheme.</w:t>
      </w:r>
    </w:p>
    <w:p w14:paraId="71C2005C" w14:textId="19694F30" w:rsidR="00807495" w:rsidRPr="00EC5379" w:rsidRDefault="00807495" w:rsidP="00807495">
      <w:pPr>
        <w:pStyle w:val="BodyText"/>
        <w:rPr>
          <w:rFonts w:cs="Arial"/>
        </w:rPr>
      </w:pPr>
      <w:r w:rsidRPr="00EC5379">
        <w:rPr>
          <w:rFonts w:cs="Arial"/>
        </w:rPr>
        <w:t>A summary of th</w:t>
      </w:r>
      <w:r w:rsidR="00EC5379" w:rsidRPr="00EC5379">
        <w:rPr>
          <w:rFonts w:cs="Arial"/>
        </w:rPr>
        <w:t xml:space="preserve">e options for determining who is </w:t>
      </w:r>
      <w:r w:rsidR="0071726F">
        <w:rPr>
          <w:rFonts w:cs="Arial"/>
          <w:color w:val="auto"/>
        </w:rPr>
        <w:t xml:space="preserve">regarded as </w:t>
      </w:r>
      <w:r w:rsidR="00EC5379" w:rsidRPr="00EC5379">
        <w:rPr>
          <w:rFonts w:cs="Arial"/>
        </w:rPr>
        <w:t>an employee in the community services sector</w:t>
      </w:r>
      <w:r w:rsidRPr="00EC5379">
        <w:rPr>
          <w:rFonts w:cs="Arial"/>
        </w:rPr>
        <w:t xml:space="preserve">, along with their relative </w:t>
      </w:r>
      <w:r w:rsidR="00C17C3F">
        <w:rPr>
          <w:rFonts w:cs="Arial"/>
        </w:rPr>
        <w:t>scores compared to the status quo</w:t>
      </w:r>
      <w:r w:rsidRPr="00EC5379">
        <w:rPr>
          <w:rFonts w:cs="Arial"/>
        </w:rPr>
        <w:t>, is as follows:</w:t>
      </w:r>
    </w:p>
    <w:p w14:paraId="47C6EB66" w14:textId="56B50544" w:rsidR="00AD3670" w:rsidRDefault="00807495" w:rsidP="00337958">
      <w:pPr>
        <w:pStyle w:val="Caption"/>
      </w:pPr>
      <w:r w:rsidRPr="00EC5379">
        <w:rPr>
          <w:rFonts w:ascii="Arial" w:hAnsi="Arial" w:cs="Arial"/>
        </w:rPr>
        <w:t xml:space="preserve">Table </w:t>
      </w:r>
      <w:r w:rsidRPr="00EC5379">
        <w:rPr>
          <w:rFonts w:ascii="Arial" w:hAnsi="Arial" w:cs="Arial"/>
          <w:i w:val="0"/>
          <w:iCs w:val="0"/>
          <w:noProof/>
        </w:rPr>
        <w:fldChar w:fldCharType="begin"/>
      </w:r>
      <w:r w:rsidRPr="00EC5379">
        <w:rPr>
          <w:rFonts w:ascii="Arial" w:hAnsi="Arial" w:cs="Arial"/>
          <w:noProof/>
        </w:rPr>
        <w:instrText xml:space="preserve"> SEQ Table \* ARABIC </w:instrText>
      </w:r>
      <w:r w:rsidRPr="00EC5379">
        <w:rPr>
          <w:rFonts w:ascii="Arial" w:hAnsi="Arial" w:cs="Arial"/>
          <w:i w:val="0"/>
          <w:iCs w:val="0"/>
          <w:noProof/>
        </w:rPr>
        <w:fldChar w:fldCharType="separate"/>
      </w:r>
      <w:r w:rsidR="00F11F33">
        <w:rPr>
          <w:rFonts w:ascii="Arial" w:hAnsi="Arial" w:cs="Arial"/>
          <w:noProof/>
        </w:rPr>
        <w:t>13</w:t>
      </w:r>
      <w:r w:rsidRPr="00EC5379">
        <w:rPr>
          <w:rFonts w:ascii="Arial" w:hAnsi="Arial" w:cs="Arial"/>
          <w:i w:val="0"/>
          <w:iCs w:val="0"/>
          <w:noProof/>
        </w:rPr>
        <w:fldChar w:fldCharType="end"/>
      </w:r>
      <w:r w:rsidRPr="00EC5379">
        <w:rPr>
          <w:rFonts w:ascii="Arial" w:hAnsi="Arial" w:cs="Arial"/>
        </w:rPr>
        <w:t xml:space="preserve">: Summary of definition of </w:t>
      </w:r>
      <w:r w:rsidR="00175F2E">
        <w:rPr>
          <w:rFonts w:ascii="Arial" w:hAnsi="Arial" w:cs="Arial"/>
        </w:rPr>
        <w:t xml:space="preserve">an </w:t>
      </w:r>
      <w:r w:rsidRPr="00EC5379">
        <w:rPr>
          <w:rFonts w:ascii="Arial" w:hAnsi="Arial" w:cs="Arial"/>
        </w:rPr>
        <w:t xml:space="preserve">employee </w:t>
      </w:r>
      <w:r w:rsidR="00D430EE">
        <w:rPr>
          <w:rFonts w:ascii="Arial" w:hAnsi="Arial" w:cs="Arial"/>
        </w:rPr>
        <w:t xml:space="preserve">in the community sector </w:t>
      </w:r>
      <w:r w:rsidRPr="00EC5379">
        <w:rPr>
          <w:rFonts w:ascii="Arial" w:hAnsi="Arial" w:cs="Arial"/>
        </w:rPr>
        <w:t>impact analysis</w:t>
      </w:r>
    </w:p>
    <w:tbl>
      <w:tblPr>
        <w:tblStyle w:val="TableGrid"/>
        <w:tblW w:w="9072" w:type="dxa"/>
        <w:tblLayout w:type="fixed"/>
        <w:tblLook w:val="04A0" w:firstRow="1" w:lastRow="0" w:firstColumn="1" w:lastColumn="0" w:noHBand="0" w:noVBand="1"/>
      </w:tblPr>
      <w:tblGrid>
        <w:gridCol w:w="2552"/>
        <w:gridCol w:w="1304"/>
        <w:gridCol w:w="1304"/>
        <w:gridCol w:w="1304"/>
        <w:gridCol w:w="1304"/>
        <w:gridCol w:w="1304"/>
      </w:tblGrid>
      <w:tr w:rsidR="00AD3670" w:rsidRPr="00F738AD" w14:paraId="19D01777" w14:textId="77777777" w:rsidTr="00AD3670">
        <w:trPr>
          <w:trHeight w:val="442"/>
        </w:trPr>
        <w:tc>
          <w:tcPr>
            <w:tcW w:w="2552" w:type="dxa"/>
            <w:vMerge w:val="restart"/>
            <w:tcBorders>
              <w:top w:val="single" w:sz="4" w:space="0" w:color="auto"/>
              <w:left w:val="nil"/>
              <w:right w:val="single" w:sz="4" w:space="0" w:color="auto"/>
            </w:tcBorders>
            <w:shd w:val="clear" w:color="auto" w:fill="002060"/>
            <w:vAlign w:val="center"/>
          </w:tcPr>
          <w:p w14:paraId="21627DA0" w14:textId="77777777" w:rsidR="00AD3670" w:rsidRPr="00F738AD" w:rsidRDefault="00AD3670" w:rsidP="00AD3670">
            <w:pPr>
              <w:keepNext/>
              <w:rPr>
                <w:rFonts w:ascii="Arial" w:hAnsi="Arial" w:cs="Arial"/>
                <w:b/>
                <w:color w:val="FFFFFF" w:themeColor="background1"/>
              </w:rPr>
            </w:pPr>
            <w:r w:rsidRPr="00F738AD">
              <w:rPr>
                <w:rFonts w:ascii="Arial" w:hAnsi="Arial" w:cs="Arial"/>
                <w:b/>
                <w:color w:val="FFFFFF" w:themeColor="background1"/>
              </w:rPr>
              <w:t>Option</w:t>
            </w:r>
          </w:p>
        </w:tc>
        <w:tc>
          <w:tcPr>
            <w:tcW w:w="6520" w:type="dxa"/>
            <w:gridSpan w:val="5"/>
            <w:tcBorders>
              <w:top w:val="single" w:sz="4" w:space="0" w:color="auto"/>
              <w:left w:val="single" w:sz="4" w:space="0" w:color="auto"/>
              <w:right w:val="nil"/>
            </w:tcBorders>
            <w:shd w:val="clear" w:color="auto" w:fill="002060"/>
            <w:vAlign w:val="center"/>
          </w:tcPr>
          <w:p w14:paraId="5A7A1DA5" w14:textId="77777777" w:rsidR="00AD3670" w:rsidRPr="00F738AD" w:rsidRDefault="00AD3670" w:rsidP="00AD3670">
            <w:pPr>
              <w:keepNext/>
              <w:jc w:val="center"/>
              <w:rPr>
                <w:rFonts w:ascii="Arial" w:hAnsi="Arial" w:cs="Arial"/>
                <w:b/>
                <w:color w:val="FFFFFF" w:themeColor="background1"/>
              </w:rPr>
            </w:pPr>
            <w:r w:rsidRPr="00F738AD">
              <w:rPr>
                <w:rFonts w:ascii="Arial" w:hAnsi="Arial" w:cs="Arial"/>
                <w:b/>
                <w:color w:val="FFFFFF" w:themeColor="background1"/>
              </w:rPr>
              <w:t>Scores</w:t>
            </w:r>
          </w:p>
        </w:tc>
      </w:tr>
      <w:tr w:rsidR="00AD3670" w:rsidRPr="00F738AD" w14:paraId="39F9E2A3" w14:textId="77777777" w:rsidTr="00AD3670">
        <w:trPr>
          <w:trHeight w:val="924"/>
        </w:trPr>
        <w:tc>
          <w:tcPr>
            <w:tcW w:w="2552" w:type="dxa"/>
            <w:vMerge/>
            <w:tcBorders>
              <w:left w:val="nil"/>
              <w:bottom w:val="single" w:sz="4" w:space="0" w:color="auto"/>
              <w:right w:val="single" w:sz="4" w:space="0" w:color="auto"/>
            </w:tcBorders>
            <w:shd w:val="clear" w:color="auto" w:fill="002060"/>
          </w:tcPr>
          <w:p w14:paraId="5F20DF82" w14:textId="77777777" w:rsidR="00AD3670" w:rsidRPr="00F738AD" w:rsidRDefault="00AD3670" w:rsidP="00AD3670">
            <w:pPr>
              <w:pStyle w:val="Tableheading"/>
              <w:keepNext/>
              <w:rPr>
                <w:rFonts w:ascii="Arial" w:hAnsi="Arial" w:cs="Arial"/>
              </w:rPr>
            </w:pPr>
          </w:p>
        </w:tc>
        <w:tc>
          <w:tcPr>
            <w:tcW w:w="1304" w:type="dxa"/>
            <w:tcBorders>
              <w:top w:val="single" w:sz="4" w:space="0" w:color="auto"/>
              <w:left w:val="single" w:sz="4" w:space="0" w:color="auto"/>
              <w:right w:val="nil"/>
            </w:tcBorders>
            <w:shd w:val="clear" w:color="auto" w:fill="002060"/>
            <w:vAlign w:val="center"/>
          </w:tcPr>
          <w:p w14:paraId="0B2B6FAC" w14:textId="77777777" w:rsidR="00AD3670" w:rsidRPr="00F738AD" w:rsidRDefault="00AD3670" w:rsidP="00AD3670">
            <w:pPr>
              <w:keepNext/>
              <w:jc w:val="center"/>
              <w:rPr>
                <w:rFonts w:ascii="Arial" w:hAnsi="Arial" w:cs="Arial"/>
                <w:color w:val="FFFFFF" w:themeColor="background1"/>
              </w:rPr>
            </w:pPr>
            <w:r w:rsidRPr="00F738AD">
              <w:rPr>
                <w:rFonts w:ascii="Arial" w:hAnsi="Arial" w:cs="Arial"/>
                <w:color w:val="FFFFFF" w:themeColor="background1"/>
              </w:rPr>
              <w:t>E</w:t>
            </w:r>
            <w:r>
              <w:rPr>
                <w:rFonts w:ascii="Arial" w:hAnsi="Arial" w:cs="Arial"/>
                <w:color w:val="FFFFFF" w:themeColor="background1"/>
              </w:rPr>
              <w:t>mployee e</w:t>
            </w:r>
            <w:r w:rsidRPr="00F738AD">
              <w:rPr>
                <w:rFonts w:ascii="Arial" w:hAnsi="Arial" w:cs="Arial"/>
                <w:color w:val="FFFFFF" w:themeColor="background1"/>
              </w:rPr>
              <w:t>quity (50%)</w:t>
            </w:r>
          </w:p>
        </w:tc>
        <w:tc>
          <w:tcPr>
            <w:tcW w:w="1304" w:type="dxa"/>
            <w:tcBorders>
              <w:top w:val="single" w:sz="4" w:space="0" w:color="auto"/>
              <w:left w:val="single" w:sz="4" w:space="0" w:color="auto"/>
              <w:right w:val="nil"/>
            </w:tcBorders>
            <w:shd w:val="clear" w:color="auto" w:fill="002060"/>
            <w:vAlign w:val="center"/>
          </w:tcPr>
          <w:p w14:paraId="1C67CD1D" w14:textId="1BE229AB" w:rsidR="00AD3670" w:rsidRPr="00F738AD" w:rsidRDefault="00B82CEE" w:rsidP="00AD3670">
            <w:pPr>
              <w:keepNext/>
              <w:jc w:val="center"/>
              <w:rPr>
                <w:rFonts w:ascii="Arial" w:hAnsi="Arial" w:cs="Arial"/>
                <w:b/>
                <w:color w:val="FFFFFF" w:themeColor="background1"/>
              </w:rPr>
            </w:pPr>
            <w:r>
              <w:rPr>
                <w:rFonts w:ascii="Arial" w:hAnsi="Arial" w:cs="Arial"/>
                <w:color w:val="FFFFFF" w:themeColor="background1"/>
              </w:rPr>
              <w:t>Employer</w:t>
            </w:r>
            <w:r w:rsidR="00AD3670">
              <w:rPr>
                <w:rFonts w:ascii="Arial" w:hAnsi="Arial" w:cs="Arial"/>
                <w:color w:val="FFFFFF" w:themeColor="background1"/>
              </w:rPr>
              <w:t xml:space="preserve"> financial cost </w:t>
            </w:r>
            <w:r w:rsidR="00AD3670" w:rsidRPr="00F738AD">
              <w:rPr>
                <w:rFonts w:ascii="Arial" w:hAnsi="Arial" w:cs="Arial"/>
                <w:color w:val="FFFFFF" w:themeColor="background1"/>
              </w:rPr>
              <w:t>(2</w:t>
            </w:r>
            <w:r w:rsidR="00AD3670">
              <w:rPr>
                <w:rFonts w:ascii="Arial" w:hAnsi="Arial" w:cs="Arial"/>
                <w:color w:val="FFFFFF" w:themeColor="background1"/>
              </w:rPr>
              <w:t>0</w:t>
            </w:r>
            <w:r w:rsidR="00AD3670" w:rsidRPr="00F738AD">
              <w:rPr>
                <w:rFonts w:ascii="Arial" w:hAnsi="Arial" w:cs="Arial"/>
                <w:color w:val="FFFFFF" w:themeColor="background1"/>
              </w:rPr>
              <w:t>%)</w:t>
            </w:r>
          </w:p>
        </w:tc>
        <w:tc>
          <w:tcPr>
            <w:tcW w:w="1304" w:type="dxa"/>
            <w:tcBorders>
              <w:top w:val="single" w:sz="4" w:space="0" w:color="auto"/>
              <w:left w:val="single" w:sz="4" w:space="0" w:color="auto"/>
              <w:right w:val="nil"/>
            </w:tcBorders>
            <w:shd w:val="clear" w:color="auto" w:fill="002060"/>
            <w:vAlign w:val="center"/>
          </w:tcPr>
          <w:p w14:paraId="55348AC8" w14:textId="4E6557D7" w:rsidR="00AD3670" w:rsidRPr="0074738D" w:rsidRDefault="00B82CEE" w:rsidP="00AD3670">
            <w:pPr>
              <w:keepNext/>
              <w:jc w:val="center"/>
              <w:rPr>
                <w:rFonts w:ascii="Arial" w:hAnsi="Arial" w:cs="Arial"/>
                <w:color w:val="FFFFFF" w:themeColor="background1"/>
              </w:rPr>
            </w:pPr>
            <w:r>
              <w:rPr>
                <w:rFonts w:ascii="Arial" w:hAnsi="Arial" w:cs="Arial"/>
                <w:color w:val="FFFFFF" w:themeColor="background1"/>
              </w:rPr>
              <w:t>Employer</w:t>
            </w:r>
            <w:r w:rsidR="00AD3670" w:rsidRPr="0074738D">
              <w:rPr>
                <w:rFonts w:ascii="Arial" w:hAnsi="Arial" w:cs="Arial"/>
                <w:color w:val="FFFFFF" w:themeColor="background1"/>
              </w:rPr>
              <w:t xml:space="preserve"> uncertainty</w:t>
            </w:r>
            <w:r w:rsidR="00AD3670">
              <w:rPr>
                <w:rFonts w:ascii="Arial" w:hAnsi="Arial" w:cs="Arial"/>
                <w:color w:val="FFFFFF" w:themeColor="background1"/>
              </w:rPr>
              <w:t xml:space="preserve"> cost</w:t>
            </w:r>
            <w:r w:rsidR="00AD3670" w:rsidRPr="0074738D">
              <w:rPr>
                <w:rFonts w:ascii="Arial" w:hAnsi="Arial" w:cs="Arial"/>
                <w:color w:val="FFFFFF" w:themeColor="background1"/>
              </w:rPr>
              <w:t xml:space="preserve"> (20%)</w:t>
            </w:r>
          </w:p>
        </w:tc>
        <w:tc>
          <w:tcPr>
            <w:tcW w:w="1304" w:type="dxa"/>
            <w:tcBorders>
              <w:top w:val="single" w:sz="4" w:space="0" w:color="auto"/>
              <w:left w:val="single" w:sz="4" w:space="0" w:color="auto"/>
              <w:right w:val="nil"/>
            </w:tcBorders>
            <w:shd w:val="clear" w:color="auto" w:fill="002060"/>
            <w:vAlign w:val="center"/>
          </w:tcPr>
          <w:p w14:paraId="5BBCEBCD" w14:textId="77777777" w:rsidR="00AD3670" w:rsidRPr="00F738AD" w:rsidRDefault="00AD3670" w:rsidP="00AD3670">
            <w:pPr>
              <w:keepNext/>
              <w:jc w:val="center"/>
              <w:rPr>
                <w:rFonts w:ascii="Arial" w:hAnsi="Arial" w:cs="Arial"/>
                <w:color w:val="FFFFFF" w:themeColor="background1"/>
              </w:rPr>
            </w:pPr>
            <w:r>
              <w:rPr>
                <w:rFonts w:ascii="Arial" w:hAnsi="Arial" w:cs="Arial"/>
                <w:color w:val="FFFFFF" w:themeColor="background1"/>
              </w:rPr>
              <w:t>Impact on Authority</w:t>
            </w:r>
          </w:p>
          <w:p w14:paraId="79AF0CCF" w14:textId="77777777" w:rsidR="00AD3670" w:rsidRPr="00F738AD" w:rsidRDefault="00AD3670" w:rsidP="00AD3670">
            <w:pPr>
              <w:keepNext/>
              <w:jc w:val="center"/>
              <w:rPr>
                <w:rFonts w:ascii="Arial" w:hAnsi="Arial" w:cs="Arial"/>
                <w:color w:val="FFFFFF" w:themeColor="background1"/>
              </w:rPr>
            </w:pPr>
            <w:r w:rsidRPr="00F738AD">
              <w:rPr>
                <w:rFonts w:ascii="Arial" w:hAnsi="Arial" w:cs="Arial"/>
                <w:color w:val="FFFFFF" w:themeColor="background1"/>
              </w:rPr>
              <w:t>(</w:t>
            </w:r>
            <w:r>
              <w:rPr>
                <w:rFonts w:ascii="Arial" w:hAnsi="Arial" w:cs="Arial"/>
                <w:color w:val="FFFFFF" w:themeColor="background1"/>
              </w:rPr>
              <w:t>10</w:t>
            </w:r>
            <w:r w:rsidRPr="00F738AD">
              <w:rPr>
                <w:rFonts w:ascii="Arial" w:hAnsi="Arial" w:cs="Arial"/>
                <w:color w:val="FFFFFF" w:themeColor="background1"/>
              </w:rPr>
              <w:t>%)</w:t>
            </w:r>
          </w:p>
        </w:tc>
        <w:tc>
          <w:tcPr>
            <w:tcW w:w="1304" w:type="dxa"/>
            <w:tcBorders>
              <w:top w:val="single" w:sz="4" w:space="0" w:color="auto"/>
              <w:left w:val="single" w:sz="4" w:space="0" w:color="auto"/>
              <w:right w:val="nil"/>
            </w:tcBorders>
            <w:shd w:val="clear" w:color="auto" w:fill="002060"/>
            <w:vAlign w:val="center"/>
          </w:tcPr>
          <w:p w14:paraId="4B8B4C45" w14:textId="77777777" w:rsidR="00AD3670" w:rsidRPr="00F738AD" w:rsidRDefault="00AD3670" w:rsidP="00AD3670">
            <w:pPr>
              <w:keepNext/>
              <w:jc w:val="center"/>
              <w:rPr>
                <w:rFonts w:ascii="Arial" w:hAnsi="Arial" w:cs="Arial"/>
                <w:b/>
                <w:color w:val="FFFFFF" w:themeColor="background1"/>
              </w:rPr>
            </w:pPr>
            <w:r w:rsidRPr="00F738AD">
              <w:rPr>
                <w:rFonts w:ascii="Arial" w:hAnsi="Arial" w:cs="Arial"/>
                <w:b/>
                <w:color w:val="FFFFFF" w:themeColor="background1"/>
              </w:rPr>
              <w:t>Weighted score</w:t>
            </w:r>
          </w:p>
        </w:tc>
      </w:tr>
      <w:tr w:rsidR="00AD3670" w:rsidRPr="00EC5379" w14:paraId="556B7823" w14:textId="77777777" w:rsidTr="00AD3670">
        <w:trPr>
          <w:trHeight w:val="696"/>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42784C73" w14:textId="77777777" w:rsidR="00AD3670" w:rsidRPr="00EC5379" w:rsidRDefault="00AD3670" w:rsidP="00AD3670">
            <w:pPr>
              <w:keepNext/>
              <w:spacing w:before="100" w:beforeAutospacing="1"/>
              <w:rPr>
                <w:rFonts w:ascii="Arial" w:hAnsi="Arial" w:cs="Arial"/>
              </w:rPr>
            </w:pPr>
            <w:r>
              <w:rPr>
                <w:rFonts w:ascii="Arial" w:hAnsi="Arial" w:cs="Arial"/>
              </w:rPr>
              <w:t>Status</w:t>
            </w:r>
            <w:r w:rsidRPr="00EC5379">
              <w:rPr>
                <w:rFonts w:ascii="Arial" w:hAnsi="Arial" w:cs="Arial"/>
              </w:rPr>
              <w:t xml:space="preserve"> quo under the Interim Regulations</w:t>
            </w:r>
          </w:p>
        </w:tc>
        <w:tc>
          <w:tcPr>
            <w:tcW w:w="1304" w:type="dxa"/>
            <w:tcBorders>
              <w:left w:val="single" w:sz="4" w:space="0" w:color="auto"/>
              <w:right w:val="nil"/>
            </w:tcBorders>
            <w:shd w:val="clear" w:color="auto" w:fill="DEEAF6" w:themeFill="accent1" w:themeFillTint="33"/>
            <w:vAlign w:val="center"/>
          </w:tcPr>
          <w:p w14:paraId="1C19AB53" w14:textId="77777777" w:rsidR="00AD3670" w:rsidRPr="00EC5379" w:rsidRDefault="00AD3670" w:rsidP="00AD3670">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1FCE56F0" w14:textId="77777777" w:rsidR="00AD3670" w:rsidRPr="00EC5379" w:rsidRDefault="00AD3670" w:rsidP="00AD3670">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49E9E91D" w14:textId="77777777" w:rsidR="00AD3670" w:rsidRPr="00EC5379" w:rsidRDefault="00AD3670" w:rsidP="00AD3670">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2DA0D2A8" w14:textId="77777777" w:rsidR="00AD3670" w:rsidRPr="00EC5379" w:rsidRDefault="00AD3670" w:rsidP="00AD3670">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0DBE37B3" w14:textId="77777777" w:rsidR="00AD3670" w:rsidRPr="00EC5379" w:rsidRDefault="00AD3670" w:rsidP="00AD3670">
            <w:pPr>
              <w:keepNext/>
              <w:jc w:val="center"/>
              <w:rPr>
                <w:rFonts w:ascii="Arial" w:hAnsi="Arial" w:cs="Arial"/>
                <w:b/>
              </w:rPr>
            </w:pPr>
            <w:r>
              <w:rPr>
                <w:rFonts w:ascii="Arial" w:hAnsi="Arial" w:cs="Arial"/>
                <w:b/>
              </w:rPr>
              <w:t>0</w:t>
            </w:r>
          </w:p>
        </w:tc>
      </w:tr>
      <w:tr w:rsidR="00AD3670" w:rsidRPr="00EC5379" w14:paraId="4B912C99" w14:textId="77777777" w:rsidTr="00337958">
        <w:trPr>
          <w:trHeight w:val="1185"/>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16ECB3B4" w14:textId="28F12188" w:rsidR="00AD3670" w:rsidRPr="00EC5379" w:rsidRDefault="00AD3670" w:rsidP="00AD3670">
            <w:pPr>
              <w:keepNext/>
              <w:spacing w:before="100" w:beforeAutospacing="1"/>
              <w:rPr>
                <w:rFonts w:ascii="Arial" w:hAnsi="Arial" w:cs="Arial"/>
              </w:rPr>
            </w:pPr>
            <w:r>
              <w:rPr>
                <w:rFonts w:ascii="Arial" w:hAnsi="Arial" w:cs="Arial"/>
              </w:rPr>
              <w:t xml:space="preserve">Option 1 </w:t>
            </w:r>
            <w:r w:rsidR="00175F2E" w:rsidRPr="00EC5379">
              <w:rPr>
                <w:rFonts w:ascii="Arial" w:hAnsi="Arial" w:cs="Arial"/>
              </w:rPr>
              <w:t>–</w:t>
            </w:r>
            <w:r>
              <w:rPr>
                <w:rFonts w:ascii="Arial" w:hAnsi="Arial" w:cs="Arial"/>
              </w:rPr>
              <w:t xml:space="preserve"> Improve clarity around the application of the predominance test</w:t>
            </w:r>
          </w:p>
        </w:tc>
        <w:tc>
          <w:tcPr>
            <w:tcW w:w="1304" w:type="dxa"/>
            <w:tcBorders>
              <w:left w:val="single" w:sz="4" w:space="0" w:color="auto"/>
              <w:right w:val="nil"/>
            </w:tcBorders>
            <w:shd w:val="clear" w:color="auto" w:fill="DEEAF6" w:themeFill="accent1" w:themeFillTint="33"/>
            <w:vAlign w:val="center"/>
          </w:tcPr>
          <w:p w14:paraId="11B6C3D4" w14:textId="014E42D2" w:rsidR="00AD3670" w:rsidRPr="00EC5379" w:rsidRDefault="00AD3670" w:rsidP="00AD3670">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2B8361C7" w14:textId="715DD33A" w:rsidR="00AD3670" w:rsidRPr="00EC5379" w:rsidRDefault="00AD3670" w:rsidP="00AD3670">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6A4AC6E3" w14:textId="3419E5D7" w:rsidR="00AD3670" w:rsidRPr="00EC5379" w:rsidRDefault="00AD3670" w:rsidP="00AD3670">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51BCEA20" w14:textId="0078EB21" w:rsidR="00AD3670" w:rsidRPr="00EC5379" w:rsidRDefault="00AD3670" w:rsidP="00AD3670">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576EAA89" w14:textId="0A87E618" w:rsidR="00AD3670" w:rsidRPr="00EC5379" w:rsidRDefault="00AD3670" w:rsidP="00AD3670">
            <w:pPr>
              <w:keepNext/>
              <w:jc w:val="center"/>
              <w:rPr>
                <w:rFonts w:ascii="Arial" w:hAnsi="Arial" w:cs="Arial"/>
                <w:b/>
              </w:rPr>
            </w:pPr>
            <w:r>
              <w:rPr>
                <w:rFonts w:ascii="Arial" w:hAnsi="Arial" w:cs="Arial"/>
                <w:b/>
              </w:rPr>
              <w:t>0.6</w:t>
            </w:r>
          </w:p>
        </w:tc>
      </w:tr>
      <w:tr w:rsidR="00AD3670" w:rsidRPr="00EC5379" w14:paraId="790D7AB3" w14:textId="77777777" w:rsidTr="00AD3670">
        <w:trPr>
          <w:trHeight w:val="658"/>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6217A50B" w14:textId="24276850" w:rsidR="00AD3670" w:rsidRPr="00EC5379" w:rsidRDefault="00AD3670" w:rsidP="00AD3670">
            <w:pPr>
              <w:keepNext/>
              <w:spacing w:before="100" w:beforeAutospacing="1"/>
              <w:rPr>
                <w:rFonts w:ascii="Arial" w:hAnsi="Arial" w:cs="Arial"/>
              </w:rPr>
            </w:pPr>
            <w:r>
              <w:rPr>
                <w:rFonts w:ascii="Arial" w:hAnsi="Arial" w:cs="Arial"/>
              </w:rPr>
              <w:t>Option 2</w:t>
            </w:r>
            <w:r w:rsidRPr="00EC5379">
              <w:rPr>
                <w:rFonts w:ascii="Arial" w:hAnsi="Arial" w:cs="Arial"/>
              </w:rPr>
              <w:t xml:space="preserve"> – </w:t>
            </w:r>
            <w:r>
              <w:rPr>
                <w:rFonts w:ascii="Arial" w:hAnsi="Arial" w:cs="Arial"/>
              </w:rPr>
              <w:t>Modern Award coverage test</w:t>
            </w:r>
          </w:p>
        </w:tc>
        <w:tc>
          <w:tcPr>
            <w:tcW w:w="1304" w:type="dxa"/>
            <w:tcBorders>
              <w:left w:val="single" w:sz="4" w:space="0" w:color="auto"/>
              <w:right w:val="nil"/>
            </w:tcBorders>
            <w:shd w:val="clear" w:color="auto" w:fill="DEEAF6" w:themeFill="accent1" w:themeFillTint="33"/>
            <w:vAlign w:val="center"/>
          </w:tcPr>
          <w:p w14:paraId="40239134" w14:textId="3266247E" w:rsidR="00AD3670" w:rsidRDefault="00AD3670" w:rsidP="00AD3670">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2F865B8C" w14:textId="5B324F52" w:rsidR="00AD3670" w:rsidRDefault="00AD3670" w:rsidP="00AD3670">
            <w:pPr>
              <w:keepNext/>
              <w:jc w:val="center"/>
              <w:rPr>
                <w:rFonts w:ascii="Arial" w:hAnsi="Arial" w:cs="Arial"/>
              </w:rPr>
            </w:pPr>
            <w:r>
              <w:rPr>
                <w:rFonts w:ascii="Arial" w:hAnsi="Arial" w:cs="Arial"/>
              </w:rPr>
              <w:t>-2</w:t>
            </w:r>
          </w:p>
        </w:tc>
        <w:tc>
          <w:tcPr>
            <w:tcW w:w="1304" w:type="dxa"/>
            <w:tcBorders>
              <w:left w:val="single" w:sz="4" w:space="0" w:color="auto"/>
              <w:right w:val="nil"/>
            </w:tcBorders>
            <w:shd w:val="clear" w:color="auto" w:fill="DEEAF6" w:themeFill="accent1" w:themeFillTint="33"/>
            <w:vAlign w:val="center"/>
          </w:tcPr>
          <w:p w14:paraId="5072D3AA" w14:textId="64588CAC" w:rsidR="00AD3670" w:rsidRDefault="00AD3670" w:rsidP="00AD3670">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602EF760" w14:textId="39E10121" w:rsidR="00AD3670" w:rsidRDefault="00AD3670" w:rsidP="00AD3670">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04D4F6D2" w14:textId="1A92CDE9" w:rsidR="00AD3670" w:rsidRDefault="00AD3670" w:rsidP="00AD3670">
            <w:pPr>
              <w:keepNext/>
              <w:jc w:val="center"/>
              <w:rPr>
                <w:rFonts w:ascii="Arial" w:hAnsi="Arial" w:cs="Arial"/>
                <w:b/>
              </w:rPr>
            </w:pPr>
            <w:r>
              <w:rPr>
                <w:rFonts w:ascii="Arial" w:hAnsi="Arial" w:cs="Arial"/>
                <w:b/>
              </w:rPr>
              <w:t>2</w:t>
            </w:r>
          </w:p>
        </w:tc>
      </w:tr>
      <w:tr w:rsidR="00AD3670" w:rsidRPr="00EC5379" w14:paraId="55CDE26D" w14:textId="77777777" w:rsidTr="00337958">
        <w:trPr>
          <w:trHeight w:val="1156"/>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502E4BF9" w14:textId="5938BF58" w:rsidR="00AD3670" w:rsidRPr="00EC5379" w:rsidRDefault="00AD3670">
            <w:pPr>
              <w:keepNext/>
              <w:spacing w:before="100" w:beforeAutospacing="1"/>
              <w:rPr>
                <w:rFonts w:ascii="Arial" w:hAnsi="Arial" w:cs="Arial"/>
              </w:rPr>
            </w:pPr>
            <w:r>
              <w:rPr>
                <w:rFonts w:ascii="Arial" w:hAnsi="Arial" w:cs="Arial"/>
              </w:rPr>
              <w:t>Option 3</w:t>
            </w:r>
            <w:r w:rsidRPr="00EC5379">
              <w:rPr>
                <w:rFonts w:ascii="Arial" w:hAnsi="Arial" w:cs="Arial"/>
              </w:rPr>
              <w:t xml:space="preserve"> – </w:t>
            </w:r>
            <w:r>
              <w:rPr>
                <w:rFonts w:ascii="Arial" w:hAnsi="Arial" w:cs="Arial"/>
              </w:rPr>
              <w:t>Exclude managers and administrative staff from the predominance test</w:t>
            </w:r>
          </w:p>
        </w:tc>
        <w:tc>
          <w:tcPr>
            <w:tcW w:w="1304" w:type="dxa"/>
            <w:tcBorders>
              <w:left w:val="single" w:sz="4" w:space="0" w:color="auto"/>
              <w:right w:val="nil"/>
            </w:tcBorders>
            <w:shd w:val="clear" w:color="auto" w:fill="DEEAF6" w:themeFill="accent1" w:themeFillTint="33"/>
            <w:vAlign w:val="center"/>
          </w:tcPr>
          <w:p w14:paraId="1B258147" w14:textId="1392C414" w:rsidR="00AD3670" w:rsidRDefault="00AD3670" w:rsidP="00AD3670">
            <w:pPr>
              <w:keepNext/>
              <w:jc w:val="center"/>
              <w:rPr>
                <w:rFonts w:ascii="Arial" w:hAnsi="Arial" w:cs="Arial"/>
              </w:rPr>
            </w:pPr>
            <w:r>
              <w:rPr>
                <w:rFonts w:ascii="Arial" w:hAnsi="Arial" w:cs="Arial"/>
              </w:rPr>
              <w:t>-2</w:t>
            </w:r>
          </w:p>
        </w:tc>
        <w:tc>
          <w:tcPr>
            <w:tcW w:w="1304" w:type="dxa"/>
            <w:tcBorders>
              <w:left w:val="single" w:sz="4" w:space="0" w:color="auto"/>
              <w:right w:val="nil"/>
            </w:tcBorders>
            <w:shd w:val="clear" w:color="auto" w:fill="DEEAF6" w:themeFill="accent1" w:themeFillTint="33"/>
            <w:vAlign w:val="center"/>
          </w:tcPr>
          <w:p w14:paraId="08DD30E7" w14:textId="5477E325" w:rsidR="00AD3670" w:rsidRDefault="00AD3670" w:rsidP="00AD3670">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28A9B28F" w14:textId="609335E8" w:rsidR="00AD3670" w:rsidRDefault="00AD3670" w:rsidP="00AD3670">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1133EAF9" w14:textId="07F530AA" w:rsidR="00AD3670" w:rsidRDefault="00AD3670" w:rsidP="00AD3670">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0FCA0FD4" w14:textId="0CF2170C" w:rsidR="00AD3670" w:rsidRDefault="00AD3670" w:rsidP="00AD3670">
            <w:pPr>
              <w:keepNext/>
              <w:jc w:val="center"/>
              <w:rPr>
                <w:rFonts w:ascii="Arial" w:hAnsi="Arial" w:cs="Arial"/>
                <w:b/>
              </w:rPr>
            </w:pPr>
            <w:r>
              <w:rPr>
                <w:rFonts w:ascii="Arial" w:hAnsi="Arial" w:cs="Arial"/>
                <w:b/>
              </w:rPr>
              <w:t>-0.5</w:t>
            </w:r>
          </w:p>
        </w:tc>
      </w:tr>
    </w:tbl>
    <w:p w14:paraId="6DA3CB54" w14:textId="77777777" w:rsidR="00807495" w:rsidRDefault="00807495" w:rsidP="00807495">
      <w:pPr>
        <w:spacing w:before="240"/>
        <w:rPr>
          <w:rFonts w:ascii="Arial" w:hAnsi="Arial" w:cs="Arial"/>
        </w:rPr>
      </w:pPr>
      <w:r w:rsidRPr="00EC5379">
        <w:rPr>
          <w:rFonts w:ascii="Arial" w:hAnsi="Arial" w:cs="Arial"/>
        </w:rPr>
        <w:t>The rationale for these scores is summarised for each option in the following sub-sections.</w:t>
      </w:r>
    </w:p>
    <w:p w14:paraId="1303EDAF" w14:textId="45A01807" w:rsidR="00ED3939" w:rsidRPr="00337958" w:rsidRDefault="00ED3939" w:rsidP="00807495">
      <w:pPr>
        <w:spacing w:before="240"/>
        <w:rPr>
          <w:rFonts w:ascii="Arial" w:hAnsi="Arial" w:cs="Arial"/>
          <w:color w:val="auto"/>
        </w:rPr>
      </w:pPr>
      <w:r>
        <w:rPr>
          <w:rFonts w:ascii="Arial" w:hAnsi="Arial" w:cs="Arial"/>
        </w:rPr>
        <w:lastRenderedPageBreak/>
        <w:t xml:space="preserve">Acknowledging the interrelationship between who is </w:t>
      </w:r>
      <w:r w:rsidR="0071726F">
        <w:rPr>
          <w:rFonts w:ascii="Arial" w:hAnsi="Arial" w:cs="Arial"/>
          <w:color w:val="auto"/>
        </w:rPr>
        <w:t xml:space="preserve">regarded as </w:t>
      </w:r>
      <w:r>
        <w:rPr>
          <w:rFonts w:ascii="Arial" w:hAnsi="Arial" w:cs="Arial"/>
        </w:rPr>
        <w:t xml:space="preserve">an employee in the social services sector and who is </w:t>
      </w:r>
      <w:r w:rsidR="0071726F">
        <w:rPr>
          <w:rFonts w:ascii="Arial" w:hAnsi="Arial" w:cs="Arial"/>
          <w:color w:val="auto"/>
        </w:rPr>
        <w:t xml:space="preserve">regarded as </w:t>
      </w:r>
      <w:r>
        <w:rPr>
          <w:rFonts w:ascii="Arial" w:hAnsi="Arial" w:cs="Arial"/>
        </w:rPr>
        <w:t>an employer in the social services sector under the multi-</w:t>
      </w:r>
      <w:r w:rsidR="000B4581">
        <w:rPr>
          <w:rFonts w:ascii="Arial" w:hAnsi="Arial" w:cs="Arial"/>
        </w:rPr>
        <w:t>criterion</w:t>
      </w:r>
      <w:r>
        <w:rPr>
          <w:rFonts w:ascii="Arial" w:hAnsi="Arial" w:cs="Arial"/>
        </w:rPr>
        <w:t xml:space="preserve"> test of eligibility, the subsequent analysis </w:t>
      </w:r>
      <w:r>
        <w:rPr>
          <w:rFonts w:ascii="Arial" w:hAnsi="Arial" w:cs="Arial"/>
          <w:color w:val="auto"/>
        </w:rPr>
        <w:t xml:space="preserve">assumed that the employer predominance test has been abolished (which is the preferred option based on the analysis in section </w:t>
      </w:r>
      <w:r w:rsidR="008A3887">
        <w:rPr>
          <w:rFonts w:ascii="Arial" w:hAnsi="Arial" w:cs="Arial"/>
          <w:color w:val="auto"/>
        </w:rPr>
        <w:fldChar w:fldCharType="begin"/>
      </w:r>
      <w:r w:rsidR="008A3887">
        <w:rPr>
          <w:rFonts w:ascii="Arial" w:hAnsi="Arial" w:cs="Arial"/>
          <w:color w:val="auto"/>
        </w:rPr>
        <w:instrText xml:space="preserve"> REF _Ref35436849 \r \h </w:instrText>
      </w:r>
      <w:r w:rsidR="008A3887">
        <w:rPr>
          <w:rFonts w:ascii="Arial" w:hAnsi="Arial" w:cs="Arial"/>
          <w:color w:val="auto"/>
        </w:rPr>
      </w:r>
      <w:r w:rsidR="008A3887">
        <w:rPr>
          <w:rFonts w:ascii="Arial" w:hAnsi="Arial" w:cs="Arial"/>
          <w:color w:val="auto"/>
        </w:rPr>
        <w:fldChar w:fldCharType="separate"/>
      </w:r>
      <w:r w:rsidR="008A3887">
        <w:rPr>
          <w:rFonts w:ascii="Arial" w:hAnsi="Arial" w:cs="Arial"/>
          <w:color w:val="auto"/>
        </w:rPr>
        <w:t>5.2.2.1</w:t>
      </w:r>
      <w:r w:rsidR="008A3887">
        <w:rPr>
          <w:rFonts w:ascii="Arial" w:hAnsi="Arial" w:cs="Arial"/>
          <w:color w:val="auto"/>
        </w:rPr>
        <w:fldChar w:fldCharType="end"/>
      </w:r>
      <w:r>
        <w:rPr>
          <w:rFonts w:ascii="Arial" w:hAnsi="Arial" w:cs="Arial"/>
          <w:color w:val="auto"/>
        </w:rPr>
        <w:t xml:space="preserve">). Therefore, </w:t>
      </w:r>
      <w:r w:rsidR="00BA4E89">
        <w:rPr>
          <w:rFonts w:ascii="Arial" w:hAnsi="Arial" w:cs="Arial"/>
          <w:color w:val="auto"/>
        </w:rPr>
        <w:t>employee</w:t>
      </w:r>
      <w:r>
        <w:rPr>
          <w:rFonts w:ascii="Arial" w:hAnsi="Arial" w:cs="Arial"/>
          <w:color w:val="auto"/>
        </w:rPr>
        <w:t xml:space="preserve">s who are defined as an employee for the purposes of the Scheme would be in scope regardless of the share of health or aged care work their employer undertakes. </w:t>
      </w:r>
    </w:p>
    <w:p w14:paraId="2654988A" w14:textId="2D278B76" w:rsidR="006E6E42" w:rsidRPr="00CF0C6E" w:rsidRDefault="006E6E42" w:rsidP="004A514D">
      <w:pPr>
        <w:pStyle w:val="Heading6"/>
      </w:pPr>
      <w:r w:rsidRPr="00DB3ADD">
        <w:t xml:space="preserve">Analysis of the </w:t>
      </w:r>
      <w:r w:rsidR="0013418B" w:rsidRPr="00DB3ADD">
        <w:t>status quo</w:t>
      </w:r>
    </w:p>
    <w:p w14:paraId="357E04E3" w14:textId="6B6C400C" w:rsidR="00E54DBF" w:rsidRDefault="00C17C3F" w:rsidP="00807495">
      <w:pPr>
        <w:pStyle w:val="BodyText"/>
        <w:rPr>
          <w:rFonts w:cs="Arial"/>
          <w:color w:val="auto"/>
        </w:rPr>
      </w:pPr>
      <w:r w:rsidRPr="00EC5379">
        <w:rPr>
          <w:rFonts w:cs="Arial"/>
        </w:rPr>
        <w:t xml:space="preserve">The </w:t>
      </w:r>
      <w:r w:rsidR="0013418B">
        <w:rPr>
          <w:rFonts w:cs="Arial"/>
        </w:rPr>
        <w:t>status quo</w:t>
      </w:r>
      <w:r w:rsidRPr="00EC5379">
        <w:rPr>
          <w:rFonts w:cs="Arial"/>
        </w:rPr>
        <w:t xml:space="preserve"> is analysed to provide a point of comparison for the options which follow. </w:t>
      </w:r>
      <w:r w:rsidR="00E85818">
        <w:rPr>
          <w:rFonts w:cs="Arial"/>
        </w:rPr>
        <w:t>T</w:t>
      </w:r>
      <w:r w:rsidRPr="00EC5379">
        <w:rPr>
          <w:rFonts w:cs="Arial"/>
        </w:rPr>
        <w:t xml:space="preserve">he </w:t>
      </w:r>
      <w:r w:rsidR="0013418B">
        <w:rPr>
          <w:rFonts w:cs="Arial"/>
        </w:rPr>
        <w:t>status quo</w:t>
      </w:r>
      <w:r w:rsidRPr="00EC5379">
        <w:rPr>
          <w:rFonts w:cs="Arial"/>
        </w:rPr>
        <w:t xml:space="preserve"> </w:t>
      </w:r>
      <w:r w:rsidR="00807495" w:rsidRPr="00EC5379">
        <w:rPr>
          <w:rFonts w:cs="Arial"/>
        </w:rPr>
        <w:t xml:space="preserve">would leave the definition of </w:t>
      </w:r>
      <w:r w:rsidR="00763CD5">
        <w:rPr>
          <w:rFonts w:cs="Arial"/>
        </w:rPr>
        <w:t xml:space="preserve">who is </w:t>
      </w:r>
      <w:r w:rsidR="0071726F">
        <w:rPr>
          <w:rFonts w:cs="Arial"/>
          <w:color w:val="auto"/>
        </w:rPr>
        <w:t xml:space="preserve">regarded as </w:t>
      </w:r>
      <w:r w:rsidR="00763CD5">
        <w:rPr>
          <w:rFonts w:cs="Arial"/>
        </w:rPr>
        <w:t>an employee in the community services sector</w:t>
      </w:r>
      <w:r w:rsidR="00807495" w:rsidRPr="00EC5379">
        <w:rPr>
          <w:rFonts w:cs="Arial"/>
        </w:rPr>
        <w:t xml:space="preserve"> as it currently stands in the Interim Regulations. </w:t>
      </w:r>
      <w:r w:rsidR="00E54DBF" w:rsidRPr="004B3C99">
        <w:rPr>
          <w:rFonts w:cs="Arial"/>
          <w:color w:val="auto"/>
        </w:rPr>
        <w:t xml:space="preserve">Leaving the current definition unchanged means employers, employees and the Authority would lack clarity as to </w:t>
      </w:r>
      <w:r w:rsidR="00E54DBF">
        <w:rPr>
          <w:rFonts w:cs="Arial"/>
          <w:color w:val="auto"/>
        </w:rPr>
        <w:t xml:space="preserve">who is </w:t>
      </w:r>
      <w:r w:rsidR="0071726F">
        <w:rPr>
          <w:rFonts w:cs="Arial"/>
          <w:color w:val="auto"/>
        </w:rPr>
        <w:t xml:space="preserve">regarded as </w:t>
      </w:r>
      <w:r w:rsidR="00E54DBF">
        <w:rPr>
          <w:rFonts w:cs="Arial"/>
          <w:color w:val="auto"/>
        </w:rPr>
        <w:t>an employee in the community services sector.</w:t>
      </w:r>
      <w:r w:rsidR="00BC035C">
        <w:rPr>
          <w:rFonts w:cs="Arial"/>
          <w:color w:val="auto"/>
        </w:rPr>
        <w:t xml:space="preserve"> </w:t>
      </w:r>
    </w:p>
    <w:p w14:paraId="49EE4880" w14:textId="5E5BE38D" w:rsidR="00ED6A77" w:rsidRPr="004B3C99" w:rsidRDefault="00ED6A77" w:rsidP="00ED6A77">
      <w:pPr>
        <w:pStyle w:val="BodyText"/>
        <w:numPr>
          <w:ilvl w:val="0"/>
          <w:numId w:val="70"/>
        </w:numPr>
        <w:rPr>
          <w:rFonts w:cs="Arial"/>
          <w:color w:val="auto"/>
        </w:rPr>
      </w:pPr>
      <w:r w:rsidRPr="004B3C99">
        <w:rPr>
          <w:rFonts w:cs="Arial"/>
          <w:color w:val="auto"/>
        </w:rPr>
        <w:t xml:space="preserve">The lack of clarity </w:t>
      </w:r>
      <w:r>
        <w:rPr>
          <w:rFonts w:cs="Arial"/>
          <w:color w:val="auto"/>
        </w:rPr>
        <w:t xml:space="preserve">could result in </w:t>
      </w:r>
      <w:r w:rsidRPr="004B3C99">
        <w:rPr>
          <w:rFonts w:cs="Arial"/>
          <w:color w:val="auto"/>
        </w:rPr>
        <w:t xml:space="preserve">eligible </w:t>
      </w:r>
      <w:r w:rsidR="00BA4E89">
        <w:rPr>
          <w:rFonts w:cs="Arial"/>
          <w:color w:val="auto"/>
        </w:rPr>
        <w:t>employee</w:t>
      </w:r>
      <w:r w:rsidRPr="004B3C99">
        <w:rPr>
          <w:rFonts w:cs="Arial"/>
          <w:color w:val="auto"/>
        </w:rPr>
        <w:t>s</w:t>
      </w:r>
      <w:r>
        <w:rPr>
          <w:rFonts w:cs="Arial"/>
          <w:color w:val="auto"/>
        </w:rPr>
        <w:t xml:space="preserve"> incorrectly</w:t>
      </w:r>
      <w:r w:rsidRPr="004B3C99">
        <w:rPr>
          <w:rFonts w:cs="Arial"/>
          <w:color w:val="auto"/>
        </w:rPr>
        <w:t xml:space="preserve"> </w:t>
      </w:r>
      <w:r>
        <w:rPr>
          <w:rFonts w:cs="Arial"/>
          <w:color w:val="auto"/>
        </w:rPr>
        <w:t xml:space="preserve">being </w:t>
      </w:r>
      <w:r w:rsidRPr="004B3C99">
        <w:rPr>
          <w:rFonts w:cs="Arial"/>
          <w:color w:val="auto"/>
        </w:rPr>
        <w:t>denied access</w:t>
      </w:r>
      <w:r>
        <w:rPr>
          <w:rFonts w:cs="Arial"/>
          <w:color w:val="auto"/>
        </w:rPr>
        <w:t xml:space="preserve"> to, or ineligible </w:t>
      </w:r>
      <w:r w:rsidR="00BA4E89">
        <w:rPr>
          <w:rFonts w:cs="Arial"/>
          <w:color w:val="auto"/>
        </w:rPr>
        <w:t>employee</w:t>
      </w:r>
      <w:r>
        <w:rPr>
          <w:rFonts w:cs="Arial"/>
          <w:color w:val="auto"/>
        </w:rPr>
        <w:t>s incorrectly being given access</w:t>
      </w:r>
      <w:r w:rsidRPr="004B3C99">
        <w:rPr>
          <w:rFonts w:cs="Arial"/>
          <w:color w:val="auto"/>
        </w:rPr>
        <w:t xml:space="preserve"> to</w:t>
      </w:r>
      <w:r>
        <w:rPr>
          <w:rFonts w:cs="Arial"/>
          <w:color w:val="auto"/>
        </w:rPr>
        <w:t>,</w:t>
      </w:r>
      <w:r w:rsidRPr="004B3C99">
        <w:rPr>
          <w:rFonts w:cs="Arial"/>
          <w:color w:val="auto"/>
        </w:rPr>
        <w:t xml:space="preserve"> porta</w:t>
      </w:r>
      <w:r>
        <w:rPr>
          <w:rFonts w:cs="Arial"/>
          <w:color w:val="auto"/>
        </w:rPr>
        <w:t>ble long service benefits under the Scheme;</w:t>
      </w:r>
    </w:p>
    <w:p w14:paraId="55602AA5" w14:textId="408D0E28" w:rsidR="00ED6A77" w:rsidRDefault="00ED6A77" w:rsidP="00ED6A77">
      <w:pPr>
        <w:pStyle w:val="BodyText"/>
        <w:numPr>
          <w:ilvl w:val="0"/>
          <w:numId w:val="70"/>
        </w:numPr>
        <w:rPr>
          <w:rFonts w:cs="Arial"/>
          <w:color w:val="auto"/>
        </w:rPr>
      </w:pPr>
      <w:r w:rsidRPr="004B3C99">
        <w:rPr>
          <w:rFonts w:cs="Arial"/>
          <w:color w:val="auto"/>
        </w:rPr>
        <w:t xml:space="preserve">The lack of clarity would continue to add to the administrative burden </w:t>
      </w:r>
      <w:r>
        <w:rPr>
          <w:rFonts w:cs="Arial"/>
          <w:color w:val="auto"/>
        </w:rPr>
        <w:t xml:space="preserve">of uncertainty </w:t>
      </w:r>
      <w:r w:rsidRPr="004B3C99">
        <w:rPr>
          <w:rFonts w:cs="Arial"/>
          <w:color w:val="auto"/>
        </w:rPr>
        <w:t xml:space="preserve">on employers </w:t>
      </w:r>
      <w:r>
        <w:rPr>
          <w:rFonts w:cs="Arial"/>
          <w:color w:val="auto"/>
        </w:rPr>
        <w:t>in determining whether their employees are covered by the Scheme; and</w:t>
      </w:r>
      <w:r w:rsidRPr="004B3C99">
        <w:rPr>
          <w:rFonts w:cs="Arial"/>
          <w:color w:val="auto"/>
        </w:rPr>
        <w:t xml:space="preserve"> </w:t>
      </w:r>
    </w:p>
    <w:p w14:paraId="41D339E3" w14:textId="30196F4D" w:rsidR="00ED6A77" w:rsidRPr="00ED6A77" w:rsidRDefault="00ED6A77" w:rsidP="00337958">
      <w:pPr>
        <w:pStyle w:val="BodyText"/>
        <w:numPr>
          <w:ilvl w:val="0"/>
          <w:numId w:val="70"/>
        </w:numPr>
        <w:rPr>
          <w:rFonts w:cs="Arial"/>
        </w:rPr>
      </w:pPr>
      <w:r>
        <w:rPr>
          <w:rFonts w:cs="Arial"/>
        </w:rPr>
        <w:t>The Authority would continue to be burdened by questio</w:t>
      </w:r>
      <w:r w:rsidR="00FF631A">
        <w:rPr>
          <w:rFonts w:cs="Arial"/>
        </w:rPr>
        <w:t>ns from the sector and be in no</w:t>
      </w:r>
      <w:r>
        <w:rPr>
          <w:rFonts w:cs="Arial"/>
        </w:rPr>
        <w:t xml:space="preserve"> better position to provide clear guidance.</w:t>
      </w:r>
    </w:p>
    <w:p w14:paraId="551D5A4C" w14:textId="14FE51BC" w:rsidR="00786F76" w:rsidRPr="00CE3DED" w:rsidRDefault="00786F76" w:rsidP="004A514D">
      <w:pPr>
        <w:pStyle w:val="Heading6"/>
      </w:pPr>
      <w:r w:rsidRPr="00337958">
        <w:t xml:space="preserve">Option 1 – Provide additional clarity around the application of the employee predominance test </w:t>
      </w:r>
    </w:p>
    <w:p w14:paraId="5916EC87" w14:textId="44AFEA7C" w:rsidR="009E1A07" w:rsidRPr="00337958" w:rsidRDefault="009E1A07" w:rsidP="004A514D">
      <w:pPr>
        <w:pStyle w:val="Heading7"/>
        <w:rPr>
          <w:b/>
        </w:rPr>
      </w:pPr>
      <w:r w:rsidRPr="00F5772B">
        <w:t>Equity</w:t>
      </w:r>
      <w:r w:rsidR="00C3019B">
        <w:t xml:space="preserve"> for employees</w:t>
      </w:r>
    </w:p>
    <w:p w14:paraId="3E9C6727" w14:textId="41E25C5B" w:rsidR="00F35678" w:rsidRPr="00337958" w:rsidRDefault="009E1A07" w:rsidP="009E1A07">
      <w:pPr>
        <w:pStyle w:val="BodyText"/>
        <w:rPr>
          <w:rFonts w:cs="Arial"/>
          <w:color w:val="auto"/>
        </w:rPr>
      </w:pPr>
      <w:r w:rsidRPr="004B3C99">
        <w:rPr>
          <w:rFonts w:cs="Arial"/>
          <w:color w:val="auto"/>
        </w:rPr>
        <w:t>Th</w:t>
      </w:r>
      <w:r w:rsidR="00175F2E">
        <w:rPr>
          <w:rFonts w:cs="Arial"/>
          <w:color w:val="auto"/>
        </w:rPr>
        <w:t>is</w:t>
      </w:r>
      <w:r w:rsidRPr="004B3C99">
        <w:rPr>
          <w:rFonts w:cs="Arial"/>
          <w:color w:val="auto"/>
        </w:rPr>
        <w:t xml:space="preserve"> option </w:t>
      </w:r>
      <w:r w:rsidR="003951FF">
        <w:rPr>
          <w:rFonts w:cs="Arial"/>
          <w:color w:val="auto"/>
        </w:rPr>
        <w:t xml:space="preserve">is somewhat more aligned to the </w:t>
      </w:r>
      <w:r w:rsidR="000B4581">
        <w:rPr>
          <w:rFonts w:cs="Arial"/>
          <w:color w:val="auto"/>
        </w:rPr>
        <w:t>criterion</w:t>
      </w:r>
      <w:r w:rsidR="003951FF">
        <w:rPr>
          <w:rFonts w:cs="Arial"/>
          <w:color w:val="auto"/>
        </w:rPr>
        <w:t xml:space="preserve"> compared to the status quo. </w:t>
      </w:r>
      <w:r w:rsidRPr="004B3C99">
        <w:rPr>
          <w:rFonts w:cs="Arial"/>
          <w:color w:val="auto"/>
        </w:rPr>
        <w:t xml:space="preserve">Clearer guidance would reduce the opportunities for employers to </w:t>
      </w:r>
      <w:r w:rsidR="003951FF">
        <w:rPr>
          <w:rFonts w:cs="Arial"/>
          <w:color w:val="auto"/>
        </w:rPr>
        <w:t xml:space="preserve">misapply or inconsistently apply the test. This would marginally increase equity for </w:t>
      </w:r>
      <w:r w:rsidR="00BA4E89">
        <w:rPr>
          <w:rFonts w:cs="Arial"/>
          <w:color w:val="auto"/>
        </w:rPr>
        <w:t>employee</w:t>
      </w:r>
      <w:r w:rsidR="003951FF">
        <w:rPr>
          <w:rFonts w:cs="Arial"/>
          <w:color w:val="auto"/>
        </w:rPr>
        <w:t xml:space="preserve">s within the social services sector. </w:t>
      </w:r>
      <w:r w:rsidRPr="004B3C99">
        <w:rPr>
          <w:rFonts w:cs="Arial"/>
          <w:color w:val="auto"/>
        </w:rPr>
        <w:t xml:space="preserve">However, some employees </w:t>
      </w:r>
      <w:r w:rsidR="003951FF">
        <w:rPr>
          <w:rFonts w:cs="Arial"/>
          <w:color w:val="auto"/>
        </w:rPr>
        <w:t xml:space="preserve">in the sector </w:t>
      </w:r>
      <w:r w:rsidRPr="004B3C99">
        <w:rPr>
          <w:rFonts w:cs="Arial"/>
          <w:color w:val="auto"/>
        </w:rPr>
        <w:t xml:space="preserve">who </w:t>
      </w:r>
      <w:r>
        <w:rPr>
          <w:rFonts w:cs="Arial"/>
          <w:color w:val="auto"/>
        </w:rPr>
        <w:t xml:space="preserve">do not predominantly </w:t>
      </w:r>
      <w:r w:rsidR="005F4508">
        <w:rPr>
          <w:rFonts w:cs="Arial"/>
          <w:color w:val="auto"/>
        </w:rPr>
        <w:t xml:space="preserve">perform </w:t>
      </w:r>
      <w:r>
        <w:rPr>
          <w:rFonts w:cs="Arial"/>
          <w:color w:val="auto"/>
        </w:rPr>
        <w:t>community service work would continue to be denied access to p</w:t>
      </w:r>
      <w:r w:rsidR="00146CBD">
        <w:rPr>
          <w:rFonts w:cs="Arial"/>
          <w:color w:val="auto"/>
        </w:rPr>
        <w:t xml:space="preserve">ortable long service benefits. It would </w:t>
      </w:r>
      <w:r w:rsidR="005F4508">
        <w:rPr>
          <w:rFonts w:cs="Arial"/>
          <w:color w:val="auto"/>
        </w:rPr>
        <w:t>remain unclear as to</w:t>
      </w:r>
      <w:r w:rsidR="00146CBD">
        <w:rPr>
          <w:rFonts w:cs="Arial"/>
          <w:color w:val="auto"/>
        </w:rPr>
        <w:t xml:space="preserve"> whether administrative and managerial employees are eligible for the Scheme</w:t>
      </w:r>
      <w:r w:rsidR="003951FF">
        <w:rPr>
          <w:rFonts w:cs="Arial"/>
          <w:color w:val="auto"/>
        </w:rPr>
        <w:t>, which may result in some employees in the sector who perform this work being denied access to the Scheme.</w:t>
      </w:r>
      <w:r w:rsidR="00F35678">
        <w:rPr>
          <w:rFonts w:cs="Arial"/>
          <w:color w:val="auto"/>
        </w:rPr>
        <w:t xml:space="preserve"> These employees were intended to be included within the scope of the Scheme as </w:t>
      </w:r>
      <w:r w:rsidR="00AC1C2E">
        <w:rPr>
          <w:rFonts w:cs="Arial"/>
          <w:color w:val="auto"/>
        </w:rPr>
        <w:t>they play an indivisible role supporting the delivery</w:t>
      </w:r>
      <w:r w:rsidR="00F35678">
        <w:rPr>
          <w:rFonts w:cs="Arial"/>
          <w:color w:val="auto"/>
        </w:rPr>
        <w:t xml:space="preserve"> of community service work.</w:t>
      </w:r>
    </w:p>
    <w:p w14:paraId="03A496E4" w14:textId="5042497C" w:rsidR="003951FF" w:rsidRDefault="003951FF" w:rsidP="004A514D">
      <w:pPr>
        <w:pStyle w:val="Heading7"/>
      </w:pPr>
      <w:r>
        <w:t>I</w:t>
      </w:r>
      <w:r w:rsidRPr="00866686">
        <w:t xml:space="preserve">mpact on </w:t>
      </w:r>
      <w:r w:rsidR="00DB01D9">
        <w:t>employers</w:t>
      </w:r>
      <w:r>
        <w:t xml:space="preserve"> – financial cost</w:t>
      </w:r>
    </w:p>
    <w:p w14:paraId="37925EF3" w14:textId="239BC6A4" w:rsidR="003951FF" w:rsidRPr="00337958" w:rsidRDefault="003951FF" w:rsidP="00337958">
      <w:pPr>
        <w:pStyle w:val="BodyText"/>
        <w:rPr>
          <w:rFonts w:cs="Arial"/>
          <w:color w:val="auto"/>
        </w:rPr>
      </w:pPr>
      <w:r>
        <w:rPr>
          <w:rFonts w:cs="Arial"/>
          <w:color w:val="auto"/>
        </w:rPr>
        <w:t>Th</w:t>
      </w:r>
      <w:r w:rsidR="00175F2E">
        <w:rPr>
          <w:rFonts w:cs="Arial"/>
          <w:color w:val="auto"/>
        </w:rPr>
        <w:t>is</w:t>
      </w:r>
      <w:r>
        <w:rPr>
          <w:rFonts w:cs="Arial"/>
          <w:color w:val="auto"/>
        </w:rPr>
        <w:t xml:space="preserve"> option is somewhat less aligned with the </w:t>
      </w:r>
      <w:r w:rsidR="000B4581">
        <w:rPr>
          <w:rFonts w:cs="Arial"/>
          <w:color w:val="auto"/>
        </w:rPr>
        <w:t>criterion</w:t>
      </w:r>
      <w:r>
        <w:rPr>
          <w:rFonts w:cs="Arial"/>
          <w:color w:val="auto"/>
        </w:rPr>
        <w:t xml:space="preserve"> compared to the status quo.</w:t>
      </w:r>
      <w:r w:rsidR="00ED3939">
        <w:rPr>
          <w:rFonts w:cs="Arial"/>
          <w:color w:val="auto"/>
        </w:rPr>
        <w:t xml:space="preserve"> </w:t>
      </w:r>
      <w:r>
        <w:rPr>
          <w:rFonts w:cs="Arial"/>
          <w:color w:val="auto"/>
        </w:rPr>
        <w:t>Providing greater clarity around the application of the employee predominance test is expected to bring marginally more employees within scope of the Scheme compared to the status quo</w:t>
      </w:r>
      <w:r w:rsidR="00175F2E">
        <w:rPr>
          <w:rFonts w:cs="Arial"/>
          <w:color w:val="auto"/>
        </w:rPr>
        <w:t>,</w:t>
      </w:r>
      <w:r w:rsidR="00F35678">
        <w:rPr>
          <w:rFonts w:cs="Arial"/>
          <w:color w:val="auto"/>
        </w:rPr>
        <w:t xml:space="preserve"> but it is not possible to precisely quantify</w:t>
      </w:r>
      <w:r>
        <w:rPr>
          <w:rFonts w:cs="Arial"/>
          <w:color w:val="auto"/>
        </w:rPr>
        <w:t xml:space="preserve"> the number of employers who have incorrectly applied the predominance test under the status quo.</w:t>
      </w:r>
    </w:p>
    <w:p w14:paraId="5C3D527D" w14:textId="1A0A0619" w:rsidR="003951FF" w:rsidRDefault="003951FF" w:rsidP="004A514D">
      <w:pPr>
        <w:pStyle w:val="Heading7"/>
      </w:pPr>
      <w:r>
        <w:t>I</w:t>
      </w:r>
      <w:r w:rsidRPr="00866686">
        <w:t xml:space="preserve">mpact on </w:t>
      </w:r>
      <w:r w:rsidR="00DB01D9">
        <w:t>employers</w:t>
      </w:r>
      <w:r>
        <w:t xml:space="preserve"> – cost of uncertainty and administration</w:t>
      </w:r>
    </w:p>
    <w:p w14:paraId="0E051B7C" w14:textId="3482BF03" w:rsidR="009E1A07" w:rsidRPr="004B3C99" w:rsidRDefault="003951FF" w:rsidP="009E1A07">
      <w:pPr>
        <w:pStyle w:val="BodyText"/>
        <w:rPr>
          <w:rFonts w:cs="Arial"/>
          <w:color w:val="auto"/>
        </w:rPr>
      </w:pPr>
      <w:r>
        <w:rPr>
          <w:rFonts w:cs="Arial"/>
          <w:color w:val="auto"/>
        </w:rPr>
        <w:t>Th</w:t>
      </w:r>
      <w:r w:rsidR="00175F2E">
        <w:rPr>
          <w:rFonts w:cs="Arial"/>
          <w:color w:val="auto"/>
        </w:rPr>
        <w:t>is</w:t>
      </w:r>
      <w:r>
        <w:rPr>
          <w:rFonts w:cs="Arial"/>
          <w:color w:val="auto"/>
        </w:rPr>
        <w:t xml:space="preserve"> option is somewhat more aligned with the </w:t>
      </w:r>
      <w:r w:rsidR="000B4581">
        <w:rPr>
          <w:rFonts w:cs="Arial"/>
          <w:color w:val="auto"/>
        </w:rPr>
        <w:t>criterion</w:t>
      </w:r>
      <w:r>
        <w:rPr>
          <w:rFonts w:cs="Arial"/>
          <w:color w:val="auto"/>
        </w:rPr>
        <w:t xml:space="preserve"> compared to the status quo. </w:t>
      </w:r>
      <w:r w:rsidR="009E1A07" w:rsidRPr="004B3C99">
        <w:rPr>
          <w:rFonts w:cs="Arial"/>
          <w:color w:val="auto"/>
        </w:rPr>
        <w:t>Providing additional guidance on measuring predominance would make it easier for employers to apply the test</w:t>
      </w:r>
      <w:r w:rsidR="009E1A07">
        <w:rPr>
          <w:rFonts w:cs="Arial"/>
          <w:color w:val="auto"/>
        </w:rPr>
        <w:t xml:space="preserve"> to determine who is </w:t>
      </w:r>
      <w:r w:rsidR="0071726F">
        <w:rPr>
          <w:rFonts w:cs="Arial"/>
          <w:color w:val="auto"/>
        </w:rPr>
        <w:t xml:space="preserve">regarded as </w:t>
      </w:r>
      <w:r w:rsidR="009E1A07">
        <w:rPr>
          <w:rFonts w:cs="Arial"/>
          <w:color w:val="auto"/>
        </w:rPr>
        <w:t>an eligible employee</w:t>
      </w:r>
      <w:r w:rsidR="009E1A07" w:rsidRPr="004B3C99">
        <w:rPr>
          <w:rFonts w:cs="Arial"/>
          <w:color w:val="auto"/>
        </w:rPr>
        <w:t xml:space="preserve">. However, </w:t>
      </w:r>
      <w:r w:rsidR="009E1A07" w:rsidRPr="004B3C99">
        <w:rPr>
          <w:rFonts w:cs="Arial"/>
          <w:color w:val="auto"/>
        </w:rPr>
        <w:lastRenderedPageBreak/>
        <w:t>they would s</w:t>
      </w:r>
      <w:r w:rsidR="009E1A07">
        <w:rPr>
          <w:rFonts w:cs="Arial"/>
          <w:color w:val="auto"/>
        </w:rPr>
        <w:t>till be required to undertake an activity-based</w:t>
      </w:r>
      <w:r w:rsidR="009E1A07" w:rsidRPr="004B3C99">
        <w:rPr>
          <w:rFonts w:cs="Arial"/>
          <w:color w:val="auto"/>
        </w:rPr>
        <w:t xml:space="preserve"> assessment</w:t>
      </w:r>
      <w:r w:rsidR="009E1A07">
        <w:rPr>
          <w:rFonts w:cs="Arial"/>
          <w:color w:val="auto"/>
        </w:rPr>
        <w:t xml:space="preserve"> for each employee to determine which employees should be registered </w:t>
      </w:r>
      <w:r w:rsidR="009E1A07" w:rsidRPr="004B3C99">
        <w:rPr>
          <w:rFonts w:cs="Arial"/>
          <w:color w:val="auto"/>
        </w:rPr>
        <w:t xml:space="preserve">with the Authority. </w:t>
      </w:r>
      <w:r>
        <w:rPr>
          <w:rFonts w:cs="Arial"/>
          <w:color w:val="auto"/>
        </w:rPr>
        <w:t>Stakeholders have reported that this task is administratively burdensome and requires a large degree of judgement.</w:t>
      </w:r>
      <w:r w:rsidR="00146CBD">
        <w:rPr>
          <w:rFonts w:cs="Arial"/>
          <w:color w:val="auto"/>
        </w:rPr>
        <w:t xml:space="preserve"> </w:t>
      </w:r>
    </w:p>
    <w:p w14:paraId="74FC1F3D" w14:textId="77777777" w:rsidR="009E1A07" w:rsidRPr="00866686" w:rsidRDefault="009E1A07" w:rsidP="004A514D">
      <w:pPr>
        <w:pStyle w:val="Heading7"/>
      </w:pPr>
      <w:r w:rsidRPr="00866686">
        <w:t>Impact on the Authority</w:t>
      </w:r>
    </w:p>
    <w:p w14:paraId="3CFF46DE" w14:textId="29EF9B08" w:rsidR="003951FF" w:rsidRDefault="003951FF" w:rsidP="003951FF">
      <w:pPr>
        <w:pStyle w:val="BodyText"/>
        <w:rPr>
          <w:rFonts w:cs="Arial"/>
          <w:color w:val="auto"/>
        </w:rPr>
      </w:pPr>
      <w:r>
        <w:rPr>
          <w:rFonts w:cs="Arial"/>
          <w:color w:val="auto"/>
        </w:rPr>
        <w:t>Th</w:t>
      </w:r>
      <w:r w:rsidR="00175F2E">
        <w:rPr>
          <w:rFonts w:cs="Arial"/>
          <w:color w:val="auto"/>
        </w:rPr>
        <w:t>is</w:t>
      </w:r>
      <w:r>
        <w:rPr>
          <w:rFonts w:cs="Arial"/>
          <w:color w:val="auto"/>
        </w:rPr>
        <w:t xml:space="preserve"> option is somewhat more aligned with the </w:t>
      </w:r>
      <w:r w:rsidR="000B4581">
        <w:rPr>
          <w:rFonts w:cs="Arial"/>
          <w:color w:val="auto"/>
        </w:rPr>
        <w:t>criterion</w:t>
      </w:r>
      <w:r>
        <w:rPr>
          <w:rFonts w:cs="Arial"/>
          <w:color w:val="auto"/>
        </w:rPr>
        <w:t xml:space="preserve"> compared to the status quo.</w:t>
      </w:r>
      <w:r w:rsidR="00ED3939">
        <w:rPr>
          <w:rFonts w:cs="Arial"/>
          <w:color w:val="auto"/>
        </w:rPr>
        <w:t xml:space="preserve"> </w:t>
      </w:r>
      <w:r>
        <w:rPr>
          <w:rFonts w:cs="Arial"/>
          <w:color w:val="auto"/>
        </w:rPr>
        <w:t>A</w:t>
      </w:r>
      <w:r w:rsidRPr="004B3C99">
        <w:rPr>
          <w:rFonts w:cs="Arial"/>
          <w:color w:val="auto"/>
        </w:rPr>
        <w:t xml:space="preserve">dditional clarity around </w:t>
      </w:r>
      <w:r w:rsidR="00ED3939">
        <w:rPr>
          <w:rFonts w:cs="Arial"/>
          <w:color w:val="auto"/>
        </w:rPr>
        <w:t xml:space="preserve">the application of the employee predominance test in the </w:t>
      </w:r>
      <w:r w:rsidRPr="004B3C99">
        <w:rPr>
          <w:rFonts w:cs="Arial"/>
          <w:color w:val="auto"/>
        </w:rPr>
        <w:t xml:space="preserve">Regulations would assist the Authority </w:t>
      </w:r>
      <w:r w:rsidR="00F35678">
        <w:rPr>
          <w:rFonts w:cs="Arial"/>
          <w:color w:val="auto"/>
        </w:rPr>
        <w:t xml:space="preserve">to </w:t>
      </w:r>
      <w:r w:rsidRPr="004B3C99">
        <w:rPr>
          <w:rFonts w:cs="Arial"/>
          <w:color w:val="auto"/>
        </w:rPr>
        <w:t>provide clearer guidance to the sector</w:t>
      </w:r>
      <w:r>
        <w:rPr>
          <w:rFonts w:cs="Arial"/>
          <w:color w:val="auto"/>
        </w:rPr>
        <w:t xml:space="preserve"> compared to the status quo</w:t>
      </w:r>
      <w:r w:rsidRPr="004B3C99">
        <w:rPr>
          <w:rFonts w:cs="Arial"/>
          <w:color w:val="auto"/>
        </w:rPr>
        <w:t xml:space="preserve">. </w:t>
      </w:r>
      <w:r>
        <w:rPr>
          <w:rFonts w:cs="Arial"/>
          <w:color w:val="auto"/>
        </w:rPr>
        <w:t>The</w:t>
      </w:r>
      <w:r w:rsidRPr="004B3C99">
        <w:rPr>
          <w:rFonts w:cs="Arial"/>
          <w:color w:val="auto"/>
        </w:rPr>
        <w:t xml:space="preserve"> Authority</w:t>
      </w:r>
      <w:r>
        <w:rPr>
          <w:rFonts w:cs="Arial"/>
          <w:color w:val="auto"/>
        </w:rPr>
        <w:t xml:space="preserve"> would be required</w:t>
      </w:r>
      <w:r w:rsidRPr="004B3C99">
        <w:rPr>
          <w:rFonts w:cs="Arial"/>
          <w:color w:val="auto"/>
        </w:rPr>
        <w:t xml:space="preserve"> to update their guidance </w:t>
      </w:r>
      <w:r>
        <w:rPr>
          <w:rFonts w:cs="Arial"/>
          <w:color w:val="auto"/>
        </w:rPr>
        <w:t xml:space="preserve">notes </w:t>
      </w:r>
      <w:r w:rsidRPr="004B3C99">
        <w:rPr>
          <w:rFonts w:cs="Arial"/>
          <w:color w:val="auto"/>
        </w:rPr>
        <w:t>to the sector.</w:t>
      </w:r>
    </w:p>
    <w:p w14:paraId="284E7C3B" w14:textId="681B56CC" w:rsidR="003951FF" w:rsidRDefault="003951FF" w:rsidP="003951FF">
      <w:pPr>
        <w:pStyle w:val="BodyText"/>
        <w:rPr>
          <w:rFonts w:cs="Arial"/>
          <w:color w:val="auto"/>
        </w:rPr>
      </w:pPr>
      <w:r>
        <w:rPr>
          <w:rFonts w:cs="Arial"/>
          <w:color w:val="auto"/>
        </w:rPr>
        <w:t>While there would be an overall reduction in pressure on the Authority compared to the status quo, the Authority would still</w:t>
      </w:r>
      <w:r w:rsidR="00F35678">
        <w:rPr>
          <w:rFonts w:cs="Arial"/>
          <w:color w:val="auto"/>
        </w:rPr>
        <w:t xml:space="preserve"> be</w:t>
      </w:r>
      <w:r>
        <w:rPr>
          <w:rFonts w:cs="Arial"/>
          <w:color w:val="auto"/>
        </w:rPr>
        <w:t xml:space="preserve"> expect</w:t>
      </w:r>
      <w:r w:rsidR="00F35678">
        <w:rPr>
          <w:rFonts w:cs="Arial"/>
          <w:color w:val="auto"/>
        </w:rPr>
        <w:t>ed</w:t>
      </w:r>
      <w:r>
        <w:rPr>
          <w:rFonts w:cs="Arial"/>
          <w:color w:val="auto"/>
        </w:rPr>
        <w:t xml:space="preserve"> to field a large number of </w:t>
      </w:r>
      <w:r w:rsidR="00175F2E">
        <w:rPr>
          <w:rFonts w:cs="Arial"/>
          <w:color w:val="auto"/>
        </w:rPr>
        <w:t xml:space="preserve">requests </w:t>
      </w:r>
      <w:r>
        <w:rPr>
          <w:rFonts w:cs="Arial"/>
          <w:color w:val="auto"/>
        </w:rPr>
        <w:t>from employers seeking</w:t>
      </w:r>
      <w:r w:rsidRPr="004B3C99">
        <w:rPr>
          <w:rFonts w:cs="Arial"/>
          <w:color w:val="auto"/>
        </w:rPr>
        <w:t xml:space="preserve"> assistance </w:t>
      </w:r>
      <w:r>
        <w:rPr>
          <w:rFonts w:cs="Arial"/>
          <w:color w:val="auto"/>
        </w:rPr>
        <w:t>with measuring predominance under the test. This</w:t>
      </w:r>
      <w:r w:rsidRPr="004B3C99">
        <w:rPr>
          <w:rFonts w:cs="Arial"/>
          <w:color w:val="auto"/>
        </w:rPr>
        <w:t xml:space="preserve"> is burdensome for the Au</w:t>
      </w:r>
      <w:r w:rsidR="008A7A0A">
        <w:rPr>
          <w:rFonts w:cs="Arial"/>
          <w:color w:val="auto"/>
        </w:rPr>
        <w:t>thority as it is the responsibility</w:t>
      </w:r>
      <w:r w:rsidRPr="004B3C99">
        <w:rPr>
          <w:rFonts w:cs="Arial"/>
          <w:color w:val="auto"/>
        </w:rPr>
        <w:t xml:space="preserve"> of the</w:t>
      </w:r>
      <w:r w:rsidR="00ED3939">
        <w:rPr>
          <w:rFonts w:cs="Arial"/>
          <w:color w:val="auto"/>
        </w:rPr>
        <w:t xml:space="preserve"> employer to apply the employee </w:t>
      </w:r>
      <w:r w:rsidRPr="004B3C99">
        <w:rPr>
          <w:rFonts w:cs="Arial"/>
          <w:color w:val="auto"/>
        </w:rPr>
        <w:t>predominance test.</w:t>
      </w:r>
    </w:p>
    <w:p w14:paraId="24AE65FE" w14:textId="579CD541" w:rsidR="00364563" w:rsidRPr="00F211F6" w:rsidRDefault="00786F76" w:rsidP="00B53F17">
      <w:pPr>
        <w:pStyle w:val="Heading6"/>
      </w:pPr>
      <w:r>
        <w:t>Option 2</w:t>
      </w:r>
      <w:r w:rsidR="00012E12">
        <w:t xml:space="preserve"> – Replace the e</w:t>
      </w:r>
      <w:r w:rsidR="00364563" w:rsidRPr="00F211F6">
        <w:t>mployee predominance test with a</w:t>
      </w:r>
      <w:r w:rsidR="005F4508">
        <w:t xml:space="preserve"> modern award </w:t>
      </w:r>
      <w:r w:rsidR="00364563" w:rsidRPr="00F211F6">
        <w:t>coverage test</w:t>
      </w:r>
    </w:p>
    <w:p w14:paraId="519ABD2B" w14:textId="6D033268" w:rsidR="00DF2E27" w:rsidRPr="00866686" w:rsidRDefault="00DF2E27" w:rsidP="00B53F17">
      <w:pPr>
        <w:pStyle w:val="Heading6"/>
      </w:pPr>
      <w:r w:rsidRPr="00866686">
        <w:t>Equity</w:t>
      </w:r>
      <w:r w:rsidR="00ED3939">
        <w:t xml:space="preserve"> for employees</w:t>
      </w:r>
    </w:p>
    <w:p w14:paraId="2F4BC414" w14:textId="2A7F6826" w:rsidR="008A7A0A" w:rsidRDefault="008A7A0A" w:rsidP="00582390">
      <w:pPr>
        <w:pStyle w:val="BodyText"/>
        <w:rPr>
          <w:rFonts w:cs="Arial"/>
          <w:color w:val="auto"/>
        </w:rPr>
      </w:pPr>
      <w:r>
        <w:rPr>
          <w:rFonts w:cs="Arial"/>
          <w:color w:val="auto"/>
        </w:rPr>
        <w:t>Th</w:t>
      </w:r>
      <w:r w:rsidR="00175F2E">
        <w:rPr>
          <w:rFonts w:cs="Arial"/>
          <w:color w:val="auto"/>
        </w:rPr>
        <w:t>is</w:t>
      </w:r>
      <w:r>
        <w:rPr>
          <w:rFonts w:cs="Arial"/>
          <w:color w:val="auto"/>
        </w:rPr>
        <w:t xml:space="preserve"> option is much more aligned with the </w:t>
      </w:r>
      <w:r w:rsidR="000B4581">
        <w:rPr>
          <w:rFonts w:cs="Arial"/>
          <w:color w:val="auto"/>
        </w:rPr>
        <w:t>criterion</w:t>
      </w:r>
      <w:r>
        <w:rPr>
          <w:rFonts w:cs="Arial"/>
          <w:color w:val="auto"/>
        </w:rPr>
        <w:t xml:space="preserve"> compared to the status quo. It vastly</w:t>
      </w:r>
      <w:r w:rsidR="00BF6059">
        <w:rPr>
          <w:rFonts w:cs="Arial"/>
          <w:color w:val="auto"/>
        </w:rPr>
        <w:t xml:space="preserve"> </w:t>
      </w:r>
      <w:r w:rsidR="00582390">
        <w:rPr>
          <w:rFonts w:cs="Arial"/>
          <w:color w:val="auto"/>
        </w:rPr>
        <w:t>improves</w:t>
      </w:r>
      <w:r w:rsidR="00582390" w:rsidRPr="004B3C99">
        <w:rPr>
          <w:rFonts w:cs="Arial"/>
          <w:color w:val="auto"/>
        </w:rPr>
        <w:t xml:space="preserve"> equity of long service entitlements within the sector.</w:t>
      </w:r>
      <w:r w:rsidR="00582390">
        <w:rPr>
          <w:rFonts w:cs="Arial"/>
          <w:color w:val="auto"/>
        </w:rPr>
        <w:t xml:space="preserve"> </w:t>
      </w:r>
      <w:r>
        <w:rPr>
          <w:rFonts w:cs="Arial"/>
          <w:color w:val="auto"/>
        </w:rPr>
        <w:t>Th</w:t>
      </w:r>
      <w:r w:rsidR="00175F2E">
        <w:rPr>
          <w:rFonts w:cs="Arial"/>
          <w:color w:val="auto"/>
        </w:rPr>
        <w:t>is</w:t>
      </w:r>
      <w:r>
        <w:rPr>
          <w:rFonts w:cs="Arial"/>
          <w:color w:val="auto"/>
        </w:rPr>
        <w:t xml:space="preserve"> option is expected to ensure that the </w:t>
      </w:r>
      <w:r w:rsidRPr="00B95D05">
        <w:rPr>
          <w:rFonts w:cs="Arial"/>
          <w:color w:val="auto"/>
        </w:rPr>
        <w:t xml:space="preserve">100,000 employees </w:t>
      </w:r>
      <w:r>
        <w:rPr>
          <w:rFonts w:cs="Arial"/>
          <w:color w:val="auto"/>
        </w:rPr>
        <w:t xml:space="preserve">estimated in the 2019 RIS to work </w:t>
      </w:r>
      <w:r w:rsidRPr="00B95D05">
        <w:rPr>
          <w:rFonts w:cs="Arial"/>
          <w:color w:val="auto"/>
        </w:rPr>
        <w:t>in the sector</w:t>
      </w:r>
      <w:r>
        <w:rPr>
          <w:rFonts w:cs="Arial"/>
          <w:color w:val="auto"/>
        </w:rPr>
        <w:t xml:space="preserve"> are covered by the Scheme</w:t>
      </w:r>
      <w:r w:rsidRPr="00B95D05">
        <w:rPr>
          <w:rFonts w:cs="Arial"/>
          <w:color w:val="auto"/>
        </w:rPr>
        <w:t>.</w:t>
      </w:r>
      <w:r w:rsidRPr="00B95D05">
        <w:rPr>
          <w:rFonts w:cs="Arial"/>
          <w:color w:val="auto"/>
          <w:vertAlign w:val="superscript"/>
        </w:rPr>
        <w:footnoteReference w:id="29"/>
      </w:r>
      <w:r w:rsidRPr="00B95D05">
        <w:rPr>
          <w:rFonts w:cs="Arial"/>
          <w:color w:val="auto"/>
        </w:rPr>
        <w:t xml:space="preserve"> However, it is possible that the total number of </w:t>
      </w:r>
      <w:r w:rsidR="00BA4E89">
        <w:rPr>
          <w:rFonts w:cs="Arial"/>
          <w:color w:val="auto"/>
        </w:rPr>
        <w:t>employee</w:t>
      </w:r>
      <w:r w:rsidRPr="00B95D05">
        <w:rPr>
          <w:rFonts w:cs="Arial"/>
          <w:color w:val="auto"/>
        </w:rPr>
        <w:t>s covered by the Scheme could be greater</w:t>
      </w:r>
      <w:r>
        <w:rPr>
          <w:rFonts w:cs="Arial"/>
          <w:color w:val="auto"/>
        </w:rPr>
        <w:t xml:space="preserve"> depending on what modern award they are covered by</w:t>
      </w:r>
      <w:r w:rsidRPr="00B95D05">
        <w:rPr>
          <w:rFonts w:cs="Arial"/>
          <w:color w:val="auto"/>
        </w:rPr>
        <w:t>. The Victorian Council of Social S</w:t>
      </w:r>
      <w:r>
        <w:rPr>
          <w:rFonts w:cs="Arial"/>
          <w:color w:val="auto"/>
        </w:rPr>
        <w:t>ervice</w:t>
      </w:r>
      <w:r w:rsidRPr="00B95D05">
        <w:rPr>
          <w:rFonts w:cs="Arial"/>
          <w:color w:val="auto"/>
        </w:rPr>
        <w:t xml:space="preserve"> </w:t>
      </w:r>
      <w:r>
        <w:rPr>
          <w:rFonts w:cs="Arial"/>
          <w:color w:val="auto"/>
        </w:rPr>
        <w:t>estimates</w:t>
      </w:r>
      <w:r w:rsidRPr="00B95D05">
        <w:rPr>
          <w:rFonts w:cs="Arial"/>
          <w:color w:val="auto"/>
        </w:rPr>
        <w:t xml:space="preserve"> that there were approximately 150,000</w:t>
      </w:r>
      <w:r w:rsidR="00175F2E">
        <w:rPr>
          <w:rFonts w:cs="Arial"/>
          <w:color w:val="auto"/>
        </w:rPr>
        <w:noBreakHyphen/>
      </w:r>
      <w:r w:rsidRPr="00B95D05">
        <w:rPr>
          <w:rFonts w:cs="Arial"/>
          <w:color w:val="auto"/>
        </w:rPr>
        <w:t>160,000 employees working in the sector.</w:t>
      </w:r>
      <w:r>
        <w:rPr>
          <w:rStyle w:val="FootnoteReference"/>
          <w:rFonts w:cs="Arial"/>
          <w:color w:val="auto"/>
        </w:rPr>
        <w:footnoteReference w:id="30"/>
      </w:r>
      <w:r w:rsidRPr="00B95D05">
        <w:rPr>
          <w:rFonts w:cs="Arial"/>
          <w:color w:val="auto"/>
        </w:rPr>
        <w:t xml:space="preserve"> </w:t>
      </w:r>
    </w:p>
    <w:p w14:paraId="258C50F6" w14:textId="74CB530B" w:rsidR="00C45C73" w:rsidRDefault="00582390" w:rsidP="00582390">
      <w:pPr>
        <w:pStyle w:val="BodyText"/>
        <w:rPr>
          <w:rFonts w:cs="Arial"/>
          <w:color w:val="auto"/>
        </w:rPr>
      </w:pPr>
      <w:r>
        <w:rPr>
          <w:rFonts w:cs="Arial"/>
          <w:color w:val="auto"/>
        </w:rPr>
        <w:t>Employees, regardless of their level or role, who are covered by any of the</w:t>
      </w:r>
      <w:r w:rsidRPr="001D0F5C">
        <w:rPr>
          <w:rFonts w:cs="Arial"/>
          <w:color w:val="auto"/>
        </w:rPr>
        <w:t xml:space="preserve"> </w:t>
      </w:r>
      <w:r w:rsidR="00814070">
        <w:rPr>
          <w:rFonts w:cs="Arial"/>
          <w:color w:val="auto"/>
        </w:rPr>
        <w:t>four</w:t>
      </w:r>
      <w:r w:rsidRPr="001D0F5C">
        <w:rPr>
          <w:rFonts w:cs="Arial"/>
          <w:color w:val="auto"/>
        </w:rPr>
        <w:t xml:space="preserve"> </w:t>
      </w:r>
      <w:r>
        <w:rPr>
          <w:rFonts w:cs="Arial"/>
          <w:color w:val="auto"/>
        </w:rPr>
        <w:t>modern a</w:t>
      </w:r>
      <w:r w:rsidRPr="001D0F5C">
        <w:rPr>
          <w:rFonts w:cs="Arial"/>
          <w:color w:val="auto"/>
        </w:rPr>
        <w:t>wards</w:t>
      </w:r>
      <w:r>
        <w:rPr>
          <w:rFonts w:cs="Arial"/>
          <w:color w:val="auto"/>
        </w:rPr>
        <w:t xml:space="preserve"> that cover that sector,</w:t>
      </w:r>
      <w:r w:rsidRPr="001D0F5C">
        <w:rPr>
          <w:rFonts w:cs="Arial"/>
          <w:color w:val="auto"/>
        </w:rPr>
        <w:t xml:space="preserve"> </w:t>
      </w:r>
      <w:r w:rsidR="00814070">
        <w:rPr>
          <w:rFonts w:cs="Arial"/>
          <w:color w:val="auto"/>
        </w:rPr>
        <w:t xml:space="preserve">and </w:t>
      </w:r>
      <w:r>
        <w:rPr>
          <w:rFonts w:cs="Arial"/>
          <w:color w:val="auto"/>
        </w:rPr>
        <w:t>who perform community service work as defined by the Regulations</w:t>
      </w:r>
      <w:r w:rsidR="00F35678">
        <w:rPr>
          <w:rFonts w:cs="Arial"/>
          <w:color w:val="auto"/>
        </w:rPr>
        <w:t xml:space="preserve"> as required by the multi-factorial test of eligibility for this sector (see </w:t>
      </w:r>
      <w:r w:rsidR="00F35678">
        <w:rPr>
          <w:rFonts w:cs="Arial"/>
          <w:color w:val="auto"/>
        </w:rPr>
        <w:fldChar w:fldCharType="begin"/>
      </w:r>
      <w:r w:rsidR="00F35678">
        <w:rPr>
          <w:rFonts w:cs="Arial"/>
          <w:color w:val="auto"/>
        </w:rPr>
        <w:instrText xml:space="preserve"> REF _Ref36560099 \h </w:instrText>
      </w:r>
      <w:r w:rsidR="00F35678">
        <w:rPr>
          <w:rFonts w:cs="Arial"/>
          <w:color w:val="auto"/>
        </w:rPr>
      </w:r>
      <w:r w:rsidR="00F35678">
        <w:rPr>
          <w:rFonts w:cs="Arial"/>
          <w:color w:val="auto"/>
        </w:rPr>
        <w:fldChar w:fldCharType="separate"/>
      </w:r>
      <w:r w:rsidR="00F35678" w:rsidRPr="003A15C8">
        <w:rPr>
          <w:rFonts w:cs="Arial"/>
          <w:color w:val="auto"/>
        </w:rPr>
        <w:t xml:space="preserve">Figure </w:t>
      </w:r>
      <w:r w:rsidR="00F35678">
        <w:rPr>
          <w:rFonts w:cs="Arial"/>
          <w:noProof/>
          <w:color w:val="auto"/>
        </w:rPr>
        <w:t>2</w:t>
      </w:r>
      <w:r w:rsidR="00F35678">
        <w:rPr>
          <w:rFonts w:cs="Arial"/>
          <w:color w:val="auto"/>
        </w:rPr>
        <w:fldChar w:fldCharType="end"/>
      </w:r>
      <w:r w:rsidR="00F35678">
        <w:rPr>
          <w:rFonts w:cs="Arial"/>
          <w:color w:val="auto"/>
        </w:rPr>
        <w:t>)</w:t>
      </w:r>
      <w:r>
        <w:rPr>
          <w:rFonts w:cs="Arial"/>
          <w:color w:val="auto"/>
        </w:rPr>
        <w:t xml:space="preserve">, </w:t>
      </w:r>
      <w:r w:rsidRPr="001D0F5C">
        <w:rPr>
          <w:rFonts w:cs="Arial"/>
          <w:color w:val="auto"/>
        </w:rPr>
        <w:t>would be covered by the Scheme.</w:t>
      </w:r>
      <w:r>
        <w:rPr>
          <w:rFonts w:cs="Arial"/>
          <w:color w:val="auto"/>
        </w:rPr>
        <w:t xml:space="preserve"> </w:t>
      </w:r>
      <w:r w:rsidR="00012E12">
        <w:rPr>
          <w:rFonts w:cs="Arial"/>
          <w:color w:val="auto"/>
        </w:rPr>
        <w:t xml:space="preserve">Feedback from stakeholders suggested this would be a more equitable test </w:t>
      </w:r>
      <w:r w:rsidR="0011258C">
        <w:rPr>
          <w:rFonts w:cs="Arial"/>
          <w:color w:val="auto"/>
        </w:rPr>
        <w:t xml:space="preserve">than the current predominance test </w:t>
      </w:r>
      <w:r w:rsidR="00012E12">
        <w:rPr>
          <w:rFonts w:cs="Arial"/>
          <w:color w:val="auto"/>
        </w:rPr>
        <w:t xml:space="preserve">as it would ensure employees </w:t>
      </w:r>
      <w:r w:rsidR="00175F2E">
        <w:rPr>
          <w:rFonts w:cs="Arial"/>
          <w:color w:val="auto"/>
        </w:rPr>
        <w:t xml:space="preserve">working </w:t>
      </w:r>
      <w:r w:rsidR="00012E12">
        <w:rPr>
          <w:rFonts w:cs="Arial"/>
          <w:color w:val="auto"/>
        </w:rPr>
        <w:t>next to each other each day</w:t>
      </w:r>
      <w:r w:rsidR="005F4508">
        <w:rPr>
          <w:rFonts w:cs="Arial"/>
          <w:color w:val="auto"/>
        </w:rPr>
        <w:t>,</w:t>
      </w:r>
      <w:r w:rsidR="00012E12">
        <w:rPr>
          <w:rFonts w:cs="Arial"/>
          <w:color w:val="auto"/>
        </w:rPr>
        <w:t xml:space="preserve"> doing essentially the same task</w:t>
      </w:r>
      <w:r w:rsidR="005F4508">
        <w:rPr>
          <w:rFonts w:cs="Arial"/>
          <w:color w:val="auto"/>
        </w:rPr>
        <w:t>,</w:t>
      </w:r>
      <w:r w:rsidR="00012E12">
        <w:rPr>
          <w:rFonts w:cs="Arial"/>
          <w:color w:val="auto"/>
        </w:rPr>
        <w:t xml:space="preserve"> would both have access to the Scheme.</w:t>
      </w:r>
      <w:r w:rsidR="00814070">
        <w:rPr>
          <w:rFonts w:cs="Arial"/>
          <w:color w:val="auto"/>
        </w:rPr>
        <w:t xml:space="preserve"> It would also provide a clearer justification as to why an employee was not eligible for the Scheme.</w:t>
      </w:r>
    </w:p>
    <w:p w14:paraId="64DE6566" w14:textId="772DDA06" w:rsidR="00582390" w:rsidRPr="00C45C73" w:rsidRDefault="00AC1C2E" w:rsidP="00582390">
      <w:pPr>
        <w:pStyle w:val="BodyText"/>
      </w:pPr>
      <w:r>
        <w:rPr>
          <w:rFonts w:cs="Arial"/>
          <w:color w:val="auto"/>
        </w:rPr>
        <w:t xml:space="preserve">Consistent with the intent of the Scheme, this </w:t>
      </w:r>
      <w:r w:rsidR="00582390">
        <w:rPr>
          <w:rFonts w:cs="Arial"/>
          <w:color w:val="auto"/>
        </w:rPr>
        <w:t xml:space="preserve">option recognises that </w:t>
      </w:r>
      <w:r>
        <w:rPr>
          <w:rFonts w:cs="Arial"/>
          <w:color w:val="auto"/>
        </w:rPr>
        <w:t>administrative and managerial</w:t>
      </w:r>
      <w:r w:rsidR="00C45C73">
        <w:rPr>
          <w:rFonts w:cs="Arial"/>
          <w:color w:val="auto"/>
        </w:rPr>
        <w:t xml:space="preserve"> employees support the delivery of community service work</w:t>
      </w:r>
      <w:r>
        <w:rPr>
          <w:rFonts w:cs="Arial"/>
          <w:color w:val="auto"/>
        </w:rPr>
        <w:t xml:space="preserve"> in the sector</w:t>
      </w:r>
      <w:r w:rsidR="00C45C73">
        <w:rPr>
          <w:rFonts w:cs="Arial"/>
          <w:color w:val="auto"/>
        </w:rPr>
        <w:t>. This is not the case with contract cleaning or the security industry</w:t>
      </w:r>
      <w:r w:rsidR="00814070">
        <w:rPr>
          <w:rFonts w:cs="Arial"/>
          <w:color w:val="auto"/>
        </w:rPr>
        <w:t>, where the distinction between these roles is clearer</w:t>
      </w:r>
      <w:r w:rsidR="00C45C73">
        <w:rPr>
          <w:rFonts w:cs="Arial"/>
          <w:color w:val="auto"/>
        </w:rPr>
        <w:t xml:space="preserve">. </w:t>
      </w:r>
    </w:p>
    <w:p w14:paraId="5F6ACA9A" w14:textId="32E72489" w:rsidR="00ED3939" w:rsidRDefault="00ED3939" w:rsidP="004A514D">
      <w:pPr>
        <w:pStyle w:val="Heading7"/>
      </w:pPr>
      <w:r>
        <w:t>I</w:t>
      </w:r>
      <w:r w:rsidRPr="00866686">
        <w:t xml:space="preserve">mpact on </w:t>
      </w:r>
      <w:r w:rsidR="00DB01D9">
        <w:t>employers</w:t>
      </w:r>
      <w:r>
        <w:t xml:space="preserve"> – financial cost</w:t>
      </w:r>
    </w:p>
    <w:p w14:paraId="2B6B42BE" w14:textId="5CC22207" w:rsidR="008A7A0A" w:rsidRPr="00337958" w:rsidRDefault="008A7A0A" w:rsidP="00337958">
      <w:pPr>
        <w:pStyle w:val="BodyText"/>
        <w:rPr>
          <w:rFonts w:cs="Arial"/>
          <w:color w:val="auto"/>
        </w:rPr>
      </w:pPr>
      <w:r>
        <w:rPr>
          <w:rFonts w:cs="Arial"/>
          <w:color w:val="auto"/>
        </w:rPr>
        <w:t>Th</w:t>
      </w:r>
      <w:r w:rsidR="00175F2E">
        <w:rPr>
          <w:rFonts w:cs="Arial"/>
          <w:color w:val="auto"/>
        </w:rPr>
        <w:t>is</w:t>
      </w:r>
      <w:r>
        <w:rPr>
          <w:rFonts w:cs="Arial"/>
          <w:color w:val="auto"/>
        </w:rPr>
        <w:t xml:space="preserve"> option is </w:t>
      </w:r>
      <w:r w:rsidR="000B4581">
        <w:rPr>
          <w:rFonts w:cs="Arial"/>
          <w:color w:val="auto"/>
        </w:rPr>
        <w:t>less aligned</w:t>
      </w:r>
      <w:r>
        <w:rPr>
          <w:rFonts w:cs="Arial"/>
          <w:color w:val="auto"/>
        </w:rPr>
        <w:t xml:space="preserve"> with the </w:t>
      </w:r>
      <w:r w:rsidR="000B4581">
        <w:rPr>
          <w:rFonts w:cs="Arial"/>
          <w:color w:val="auto"/>
        </w:rPr>
        <w:t>criterion</w:t>
      </w:r>
      <w:r>
        <w:rPr>
          <w:rFonts w:cs="Arial"/>
          <w:color w:val="auto"/>
        </w:rPr>
        <w:t xml:space="preserve"> compared to the status quo. Th</w:t>
      </w:r>
      <w:r w:rsidR="00175F2E">
        <w:rPr>
          <w:rFonts w:cs="Arial"/>
          <w:color w:val="auto"/>
        </w:rPr>
        <w:t>is</w:t>
      </w:r>
      <w:r w:rsidRPr="00B95D05">
        <w:rPr>
          <w:rFonts w:cs="Arial"/>
          <w:color w:val="auto"/>
        </w:rPr>
        <w:t xml:space="preserve"> option is expected to result in more employees being covered by the Scheme, </w:t>
      </w:r>
      <w:r>
        <w:rPr>
          <w:rFonts w:cs="Arial"/>
          <w:color w:val="auto"/>
        </w:rPr>
        <w:t>which would increase</w:t>
      </w:r>
      <w:r w:rsidRPr="00B95D05">
        <w:rPr>
          <w:rFonts w:cs="Arial"/>
          <w:color w:val="auto"/>
        </w:rPr>
        <w:t xml:space="preserve"> the financial impact on </w:t>
      </w:r>
      <w:r w:rsidR="00DB01D9">
        <w:rPr>
          <w:rFonts w:cs="Arial"/>
          <w:color w:val="auto"/>
        </w:rPr>
        <w:t>employers</w:t>
      </w:r>
      <w:r>
        <w:rPr>
          <w:rFonts w:cs="Arial"/>
          <w:color w:val="auto"/>
        </w:rPr>
        <w:t xml:space="preserve"> as </w:t>
      </w:r>
      <w:r w:rsidR="00DB01D9">
        <w:rPr>
          <w:rFonts w:cs="Arial"/>
          <w:color w:val="auto"/>
        </w:rPr>
        <w:t>employers</w:t>
      </w:r>
      <w:r>
        <w:rPr>
          <w:rFonts w:cs="Arial"/>
          <w:color w:val="auto"/>
        </w:rPr>
        <w:t xml:space="preserve"> would </w:t>
      </w:r>
      <w:r w:rsidR="00175F2E">
        <w:rPr>
          <w:rFonts w:cs="Arial"/>
          <w:color w:val="auto"/>
        </w:rPr>
        <w:t xml:space="preserve">be required </w:t>
      </w:r>
      <w:r>
        <w:rPr>
          <w:rFonts w:cs="Arial"/>
          <w:color w:val="auto"/>
        </w:rPr>
        <w:t>to pay a levy to the Authority on behalf of more employees</w:t>
      </w:r>
      <w:r w:rsidRPr="00B95D05">
        <w:rPr>
          <w:rFonts w:cs="Arial"/>
          <w:color w:val="auto"/>
        </w:rPr>
        <w:t xml:space="preserve">. </w:t>
      </w:r>
      <w:r>
        <w:rPr>
          <w:rFonts w:cs="Arial"/>
          <w:color w:val="auto"/>
        </w:rPr>
        <w:t>Feedback from s</w:t>
      </w:r>
      <w:r w:rsidRPr="00B95D05">
        <w:rPr>
          <w:rFonts w:cs="Arial"/>
          <w:color w:val="auto"/>
        </w:rPr>
        <w:t xml:space="preserve">takeholders and service providers </w:t>
      </w:r>
      <w:r>
        <w:rPr>
          <w:rFonts w:cs="Arial"/>
          <w:color w:val="auto"/>
        </w:rPr>
        <w:lastRenderedPageBreak/>
        <w:t>estimated</w:t>
      </w:r>
      <w:r w:rsidRPr="00B95D05">
        <w:rPr>
          <w:rFonts w:cs="Arial"/>
          <w:color w:val="auto"/>
        </w:rPr>
        <w:t xml:space="preserve"> that this option would increase the number of eligible employees by </w:t>
      </w:r>
      <w:r w:rsidR="00175F2E">
        <w:rPr>
          <w:rFonts w:cs="Arial"/>
          <w:color w:val="auto"/>
        </w:rPr>
        <w:t>10</w:t>
      </w:r>
      <w:r w:rsidR="00175F2E">
        <w:rPr>
          <w:rFonts w:cs="Arial"/>
          <w:color w:val="auto"/>
        </w:rPr>
        <w:noBreakHyphen/>
        <w:t>20 </w:t>
      </w:r>
      <w:r>
        <w:rPr>
          <w:rFonts w:cs="Arial"/>
          <w:color w:val="auto"/>
        </w:rPr>
        <w:t>percent compared to the status quo under the current employee predominance test</w:t>
      </w:r>
      <w:r w:rsidRPr="00B95D05">
        <w:rPr>
          <w:rFonts w:cs="Arial"/>
          <w:color w:val="auto"/>
        </w:rPr>
        <w:t xml:space="preserve">. This is because it would now be clear that administrative and managerial </w:t>
      </w:r>
      <w:r w:rsidR="00BA4E89">
        <w:rPr>
          <w:rFonts w:cs="Arial"/>
          <w:color w:val="auto"/>
        </w:rPr>
        <w:t>employee</w:t>
      </w:r>
      <w:r w:rsidRPr="00B95D05">
        <w:rPr>
          <w:rFonts w:cs="Arial"/>
          <w:color w:val="auto"/>
        </w:rPr>
        <w:t xml:space="preserve">s </w:t>
      </w:r>
      <w:r>
        <w:rPr>
          <w:rFonts w:cs="Arial"/>
          <w:color w:val="auto"/>
        </w:rPr>
        <w:t>covered by</w:t>
      </w:r>
      <w:r w:rsidRPr="00B95D05">
        <w:rPr>
          <w:rFonts w:cs="Arial"/>
          <w:color w:val="auto"/>
        </w:rPr>
        <w:t xml:space="preserve"> these </w:t>
      </w:r>
      <w:r>
        <w:rPr>
          <w:rFonts w:cs="Arial"/>
          <w:color w:val="auto"/>
        </w:rPr>
        <w:t>modern awards</w:t>
      </w:r>
      <w:r w:rsidRPr="00B95D05">
        <w:rPr>
          <w:rFonts w:cs="Arial"/>
          <w:color w:val="auto"/>
        </w:rPr>
        <w:t xml:space="preserve"> would be covered in the Scheme. </w:t>
      </w:r>
      <w:r>
        <w:rPr>
          <w:rFonts w:cs="Arial"/>
          <w:color w:val="auto"/>
        </w:rPr>
        <w:t>Employees who were not predomina</w:t>
      </w:r>
      <w:r w:rsidR="0060532D">
        <w:rPr>
          <w:rFonts w:cs="Arial"/>
          <w:color w:val="auto"/>
        </w:rPr>
        <w:t>n</w:t>
      </w:r>
      <w:r>
        <w:rPr>
          <w:rFonts w:cs="Arial"/>
          <w:color w:val="auto"/>
        </w:rPr>
        <w:t xml:space="preserve">tly performing community service work and were excluded under the current employee predominance test would also be covered if they </w:t>
      </w:r>
      <w:r w:rsidR="00A931F0">
        <w:rPr>
          <w:rFonts w:cs="Arial"/>
          <w:color w:val="auto"/>
        </w:rPr>
        <w:t>are covered by</w:t>
      </w:r>
      <w:r>
        <w:rPr>
          <w:rFonts w:cs="Arial"/>
          <w:color w:val="auto"/>
        </w:rPr>
        <w:t xml:space="preserve"> an applicable modern award.</w:t>
      </w:r>
    </w:p>
    <w:p w14:paraId="1EEB5E9F" w14:textId="3A95AEF2" w:rsidR="00ED3939" w:rsidRDefault="00ED3939" w:rsidP="004A514D">
      <w:pPr>
        <w:pStyle w:val="Heading7"/>
      </w:pPr>
      <w:r>
        <w:t>I</w:t>
      </w:r>
      <w:r w:rsidRPr="00866686">
        <w:t xml:space="preserve">mpact on </w:t>
      </w:r>
      <w:r w:rsidR="00DB01D9">
        <w:t>employers</w:t>
      </w:r>
      <w:r>
        <w:t xml:space="preserve"> – cost of uncertainty and administration</w:t>
      </w:r>
    </w:p>
    <w:p w14:paraId="762877B3" w14:textId="05627AD0" w:rsidR="00E43522" w:rsidRDefault="008A7A0A" w:rsidP="00DF2E27">
      <w:pPr>
        <w:pStyle w:val="BodyText"/>
        <w:rPr>
          <w:rFonts w:cs="Arial"/>
          <w:color w:val="auto"/>
        </w:rPr>
      </w:pPr>
      <w:r>
        <w:rPr>
          <w:rFonts w:cs="Arial"/>
          <w:color w:val="auto"/>
        </w:rPr>
        <w:t>Th</w:t>
      </w:r>
      <w:r w:rsidR="00175F2E">
        <w:rPr>
          <w:rFonts w:cs="Arial"/>
          <w:color w:val="auto"/>
        </w:rPr>
        <w:t>is</w:t>
      </w:r>
      <w:r>
        <w:rPr>
          <w:rFonts w:cs="Arial"/>
          <w:color w:val="auto"/>
        </w:rPr>
        <w:t xml:space="preserve"> option is much more aligned with the </w:t>
      </w:r>
      <w:r w:rsidR="000B4581">
        <w:rPr>
          <w:rFonts w:cs="Arial"/>
          <w:color w:val="auto"/>
        </w:rPr>
        <w:t>criterion</w:t>
      </w:r>
      <w:r>
        <w:rPr>
          <w:rFonts w:cs="Arial"/>
          <w:color w:val="auto"/>
        </w:rPr>
        <w:t xml:space="preserve"> compared to the status quo. </w:t>
      </w:r>
      <w:r w:rsidR="00E43522" w:rsidRPr="00B95D05">
        <w:rPr>
          <w:rFonts w:cs="Arial"/>
          <w:color w:val="auto"/>
        </w:rPr>
        <w:t>The introduction of a</w:t>
      </w:r>
      <w:r w:rsidR="007B349F">
        <w:rPr>
          <w:rFonts w:cs="Arial"/>
          <w:color w:val="auto"/>
        </w:rPr>
        <w:t xml:space="preserve"> modern award </w:t>
      </w:r>
      <w:r w:rsidR="00E43522" w:rsidRPr="00B95D05">
        <w:rPr>
          <w:rFonts w:cs="Arial"/>
          <w:color w:val="auto"/>
        </w:rPr>
        <w:t xml:space="preserve">coverage test would make it </w:t>
      </w:r>
      <w:r w:rsidR="007B349F">
        <w:rPr>
          <w:rFonts w:cs="Arial"/>
          <w:color w:val="auto"/>
        </w:rPr>
        <w:t>easier</w:t>
      </w:r>
      <w:r w:rsidR="007B349F" w:rsidRPr="00B95D05">
        <w:rPr>
          <w:rFonts w:cs="Arial"/>
          <w:color w:val="auto"/>
        </w:rPr>
        <w:t xml:space="preserve"> </w:t>
      </w:r>
      <w:r w:rsidR="00E43522" w:rsidRPr="00B95D05">
        <w:rPr>
          <w:rFonts w:cs="Arial"/>
          <w:color w:val="auto"/>
        </w:rPr>
        <w:t xml:space="preserve">for employers to determine who is </w:t>
      </w:r>
      <w:r w:rsidR="0071726F">
        <w:rPr>
          <w:rFonts w:cs="Arial"/>
          <w:color w:val="auto"/>
        </w:rPr>
        <w:t xml:space="preserve">regarded as </w:t>
      </w:r>
      <w:r w:rsidR="00E43522" w:rsidRPr="00B95D05">
        <w:rPr>
          <w:rFonts w:cs="Arial"/>
          <w:color w:val="auto"/>
        </w:rPr>
        <w:t xml:space="preserve">an eligible employee, reducing the administrative burden. </w:t>
      </w:r>
      <w:r w:rsidR="007B349F">
        <w:rPr>
          <w:rFonts w:cs="Arial"/>
          <w:color w:val="auto"/>
        </w:rPr>
        <w:t>Generally speaking, e</w:t>
      </w:r>
      <w:r w:rsidR="00E43522" w:rsidRPr="00B95D05">
        <w:rPr>
          <w:rFonts w:cs="Arial"/>
          <w:color w:val="auto"/>
        </w:rPr>
        <w:t xml:space="preserve">mployers </w:t>
      </w:r>
      <w:r w:rsidR="007B349F">
        <w:rPr>
          <w:rFonts w:cs="Arial"/>
          <w:color w:val="auto"/>
        </w:rPr>
        <w:t>are aware of which modern award(s) cover the employment of their employees (including the modern award which may underpin their enterprise agreement)</w:t>
      </w:r>
      <w:r w:rsidR="00E43522" w:rsidRPr="00B95D05">
        <w:rPr>
          <w:rFonts w:cs="Arial"/>
          <w:color w:val="auto"/>
        </w:rPr>
        <w:t xml:space="preserve">. </w:t>
      </w:r>
    </w:p>
    <w:p w14:paraId="233E4E0A" w14:textId="77777777" w:rsidR="00DF2E27" w:rsidRPr="00866686" w:rsidRDefault="00DF2E27" w:rsidP="004A514D">
      <w:pPr>
        <w:pStyle w:val="Heading7"/>
      </w:pPr>
      <w:r w:rsidRPr="00866686">
        <w:t>Impact on the Authority</w:t>
      </w:r>
    </w:p>
    <w:p w14:paraId="75994DA7" w14:textId="53BA5D28" w:rsidR="000B7CAE" w:rsidRPr="000B7CAE" w:rsidRDefault="008A7A0A" w:rsidP="00DF2E27">
      <w:pPr>
        <w:pStyle w:val="BodyText"/>
        <w:rPr>
          <w:rFonts w:cs="Arial"/>
          <w:color w:val="auto"/>
        </w:rPr>
      </w:pPr>
      <w:r>
        <w:rPr>
          <w:rFonts w:cs="Arial"/>
          <w:color w:val="auto"/>
        </w:rPr>
        <w:t>Th</w:t>
      </w:r>
      <w:r w:rsidR="00175F2E">
        <w:rPr>
          <w:rFonts w:cs="Arial"/>
          <w:color w:val="auto"/>
        </w:rPr>
        <w:t>is</w:t>
      </w:r>
      <w:r>
        <w:rPr>
          <w:rFonts w:cs="Arial"/>
          <w:color w:val="auto"/>
        </w:rPr>
        <w:t xml:space="preserve"> option is much more aligned with the </w:t>
      </w:r>
      <w:r w:rsidR="000B4581">
        <w:rPr>
          <w:rFonts w:cs="Arial"/>
          <w:color w:val="auto"/>
        </w:rPr>
        <w:t>criterion</w:t>
      </w:r>
      <w:r>
        <w:rPr>
          <w:rFonts w:cs="Arial"/>
          <w:color w:val="auto"/>
        </w:rPr>
        <w:t xml:space="preserve"> compared to the status quo. T</w:t>
      </w:r>
      <w:r w:rsidR="000B7CAE" w:rsidRPr="000B7CAE">
        <w:rPr>
          <w:rFonts w:cs="Arial"/>
          <w:color w:val="auto"/>
        </w:rPr>
        <w:t>he greater clari</w:t>
      </w:r>
      <w:r w:rsidR="000B48D6">
        <w:rPr>
          <w:rFonts w:cs="Arial"/>
          <w:color w:val="auto"/>
        </w:rPr>
        <w:t>ty would assist the Authority</w:t>
      </w:r>
      <w:r w:rsidR="00A931F0">
        <w:rPr>
          <w:rFonts w:cs="Arial"/>
          <w:color w:val="auto"/>
        </w:rPr>
        <w:t xml:space="preserve"> to</w:t>
      </w:r>
      <w:r w:rsidR="000B48D6">
        <w:rPr>
          <w:rFonts w:cs="Arial"/>
          <w:color w:val="auto"/>
        </w:rPr>
        <w:t xml:space="preserve"> implement</w:t>
      </w:r>
      <w:r w:rsidR="000B7CAE" w:rsidRPr="000B7CAE">
        <w:rPr>
          <w:rFonts w:cs="Arial"/>
          <w:color w:val="auto"/>
        </w:rPr>
        <w:t xml:space="preserve"> the Scheme, register eligible employees</w:t>
      </w:r>
      <w:r w:rsidR="0011258C">
        <w:rPr>
          <w:rFonts w:cs="Arial"/>
          <w:color w:val="auto"/>
        </w:rPr>
        <w:t>,</w:t>
      </w:r>
      <w:r w:rsidR="000B7CAE" w:rsidRPr="000B7CAE">
        <w:rPr>
          <w:rFonts w:cs="Arial"/>
          <w:color w:val="auto"/>
        </w:rPr>
        <w:t xml:space="preserve"> provide clearer guidance to the sector</w:t>
      </w:r>
      <w:r w:rsidR="0011258C">
        <w:rPr>
          <w:rFonts w:cs="Arial"/>
          <w:color w:val="auto"/>
        </w:rPr>
        <w:t>, and result in fewer enquiries to the Authority</w:t>
      </w:r>
      <w:r w:rsidR="000B7CAE" w:rsidRPr="000B7CAE">
        <w:rPr>
          <w:rFonts w:cs="Arial"/>
          <w:color w:val="auto"/>
        </w:rPr>
        <w:t>.</w:t>
      </w:r>
      <w:r>
        <w:rPr>
          <w:rFonts w:cs="Arial"/>
          <w:color w:val="auto"/>
        </w:rPr>
        <w:t xml:space="preserve"> </w:t>
      </w:r>
      <w:r w:rsidRPr="000B7CAE">
        <w:rPr>
          <w:rFonts w:cs="Arial"/>
          <w:color w:val="auto"/>
        </w:rPr>
        <w:t>Th</w:t>
      </w:r>
      <w:r w:rsidR="00175F2E">
        <w:rPr>
          <w:rFonts w:cs="Arial"/>
          <w:color w:val="auto"/>
        </w:rPr>
        <w:t>is</w:t>
      </w:r>
      <w:r w:rsidRPr="000B7CAE">
        <w:rPr>
          <w:rFonts w:cs="Arial"/>
          <w:color w:val="auto"/>
        </w:rPr>
        <w:t xml:space="preserve"> option would require the Authority to update their guidance to the sector.</w:t>
      </w:r>
    </w:p>
    <w:p w14:paraId="71D8D39A" w14:textId="35F80C59" w:rsidR="00364563" w:rsidRPr="00CF0C6E" w:rsidRDefault="00786F76" w:rsidP="00DB3ADD">
      <w:pPr>
        <w:rPr>
          <w:rFonts w:ascii="Arial" w:hAnsi="Arial"/>
          <w:color w:val="auto"/>
        </w:rPr>
      </w:pPr>
      <w:r w:rsidRPr="00DB3ADD">
        <w:rPr>
          <w:rFonts w:ascii="Arial" w:hAnsi="Arial"/>
          <w:b/>
          <w:color w:val="auto"/>
        </w:rPr>
        <w:t>Option 3</w:t>
      </w:r>
      <w:r w:rsidR="00364563" w:rsidRPr="00DB3ADD">
        <w:rPr>
          <w:rFonts w:ascii="Arial" w:hAnsi="Arial"/>
          <w:b/>
          <w:color w:val="auto"/>
        </w:rPr>
        <w:t xml:space="preserve"> – Exclude management and administrative activities from the existing </w:t>
      </w:r>
      <w:r w:rsidR="008B720C" w:rsidRPr="00DB3ADD">
        <w:rPr>
          <w:rFonts w:ascii="Arial" w:hAnsi="Arial"/>
          <w:b/>
          <w:color w:val="auto"/>
        </w:rPr>
        <w:t xml:space="preserve">employee </w:t>
      </w:r>
      <w:r w:rsidR="00364563" w:rsidRPr="00DB3ADD">
        <w:rPr>
          <w:rFonts w:ascii="Arial" w:hAnsi="Arial"/>
          <w:b/>
          <w:color w:val="auto"/>
        </w:rPr>
        <w:t>predominance test</w:t>
      </w:r>
    </w:p>
    <w:p w14:paraId="6A01B52F" w14:textId="2EB1AE87" w:rsidR="00DF2E27" w:rsidRPr="00DB3ADD" w:rsidRDefault="00DF2E27" w:rsidP="004A514D">
      <w:pPr>
        <w:pStyle w:val="Heading7"/>
        <w:rPr>
          <w:b/>
        </w:rPr>
      </w:pPr>
      <w:r w:rsidRPr="00CB4236">
        <w:t>Equity</w:t>
      </w:r>
      <w:r w:rsidR="00ED3939" w:rsidRPr="00CB4236">
        <w:t xml:space="preserve"> for employees</w:t>
      </w:r>
    </w:p>
    <w:p w14:paraId="003B88BD" w14:textId="305EC84A" w:rsidR="008B720C" w:rsidRDefault="008A7A0A" w:rsidP="008B720C">
      <w:pPr>
        <w:pStyle w:val="BodyText"/>
        <w:rPr>
          <w:rFonts w:cs="Arial"/>
          <w:color w:val="auto"/>
        </w:rPr>
      </w:pPr>
      <w:r>
        <w:rPr>
          <w:rFonts w:cs="Arial"/>
          <w:color w:val="auto"/>
        </w:rPr>
        <w:t>Th</w:t>
      </w:r>
      <w:r w:rsidR="00175F2E">
        <w:rPr>
          <w:rFonts w:cs="Arial"/>
          <w:color w:val="auto"/>
        </w:rPr>
        <w:t>is</w:t>
      </w:r>
      <w:r>
        <w:rPr>
          <w:rFonts w:cs="Arial"/>
          <w:color w:val="auto"/>
        </w:rPr>
        <w:t xml:space="preserve"> option is </w:t>
      </w:r>
      <w:r w:rsidR="000B4581">
        <w:rPr>
          <w:rFonts w:cs="Arial"/>
          <w:color w:val="auto"/>
        </w:rPr>
        <w:t>less aligned</w:t>
      </w:r>
      <w:r>
        <w:rPr>
          <w:rFonts w:cs="Arial"/>
          <w:color w:val="auto"/>
        </w:rPr>
        <w:t xml:space="preserve"> with the </w:t>
      </w:r>
      <w:r w:rsidR="000B4581">
        <w:rPr>
          <w:rFonts w:cs="Arial"/>
          <w:color w:val="auto"/>
        </w:rPr>
        <w:t>criterion</w:t>
      </w:r>
      <w:r>
        <w:rPr>
          <w:rFonts w:cs="Arial"/>
          <w:color w:val="auto"/>
        </w:rPr>
        <w:t xml:space="preserve"> compared to the status quo. It</w:t>
      </w:r>
      <w:r w:rsidR="008B720C">
        <w:rPr>
          <w:rFonts w:cs="Arial"/>
          <w:color w:val="auto"/>
        </w:rPr>
        <w:t xml:space="preserve"> reduces</w:t>
      </w:r>
      <w:r w:rsidR="008B720C" w:rsidRPr="004B3C99">
        <w:rPr>
          <w:rFonts w:cs="Arial"/>
          <w:color w:val="auto"/>
        </w:rPr>
        <w:t xml:space="preserve"> equity of long service entitlements within the sector</w:t>
      </w:r>
      <w:r>
        <w:rPr>
          <w:rFonts w:cs="Arial"/>
          <w:color w:val="auto"/>
        </w:rPr>
        <w:t xml:space="preserve"> by excluding management and administrative activities from the definition of community services work</w:t>
      </w:r>
      <w:r w:rsidR="008B720C">
        <w:rPr>
          <w:rFonts w:cs="Arial"/>
          <w:color w:val="auto"/>
        </w:rPr>
        <w:t>. This is</w:t>
      </w:r>
      <w:r>
        <w:rPr>
          <w:rFonts w:cs="Arial"/>
          <w:color w:val="auto"/>
        </w:rPr>
        <w:t xml:space="preserve"> inequitable</w:t>
      </w:r>
      <w:r w:rsidR="008B720C">
        <w:rPr>
          <w:rFonts w:cs="Arial"/>
          <w:color w:val="auto"/>
        </w:rPr>
        <w:t xml:space="preserve"> because </w:t>
      </w:r>
      <w:r w:rsidR="00AC1C2E">
        <w:rPr>
          <w:rFonts w:cs="Arial"/>
          <w:color w:val="auto"/>
        </w:rPr>
        <w:t>these</w:t>
      </w:r>
      <w:r w:rsidR="008B720C">
        <w:rPr>
          <w:rFonts w:cs="Arial"/>
          <w:color w:val="auto"/>
        </w:rPr>
        <w:t xml:space="preserve"> employees support the delivery of community service work through </w:t>
      </w:r>
      <w:r w:rsidR="00AC1C2E">
        <w:rPr>
          <w:rFonts w:cs="Arial"/>
          <w:color w:val="auto"/>
        </w:rPr>
        <w:t xml:space="preserve">their </w:t>
      </w:r>
      <w:r w:rsidR="008B720C">
        <w:rPr>
          <w:rFonts w:cs="Arial"/>
          <w:color w:val="auto"/>
        </w:rPr>
        <w:t>administrative or managerial roles. These activities are often indivisible</w:t>
      </w:r>
      <w:r w:rsidR="00AC1C2E">
        <w:rPr>
          <w:rFonts w:cs="Arial"/>
          <w:color w:val="auto"/>
        </w:rPr>
        <w:t xml:space="preserve"> with direct service delivery</w:t>
      </w:r>
      <w:r w:rsidR="008B720C">
        <w:rPr>
          <w:rFonts w:cs="Arial"/>
          <w:color w:val="auto"/>
        </w:rPr>
        <w:t xml:space="preserve"> in the sector</w:t>
      </w:r>
      <w:r w:rsidR="0011258C">
        <w:rPr>
          <w:rFonts w:cs="Arial"/>
          <w:color w:val="auto"/>
        </w:rPr>
        <w:t xml:space="preserve"> and were intended to be within scope of the Scheme.</w:t>
      </w:r>
    </w:p>
    <w:p w14:paraId="43397195" w14:textId="3F36797A" w:rsidR="008B720C" w:rsidRPr="008B720C" w:rsidRDefault="008B720C" w:rsidP="008B720C">
      <w:pPr>
        <w:pStyle w:val="BodyText"/>
        <w:rPr>
          <w:rFonts w:cs="Arial"/>
          <w:color w:val="auto"/>
        </w:rPr>
      </w:pPr>
      <w:r>
        <w:rPr>
          <w:rFonts w:cs="Arial"/>
          <w:color w:val="auto"/>
        </w:rPr>
        <w:t xml:space="preserve">Excluding management and administrative activities from the share of an employee’s work </w:t>
      </w:r>
      <w:r w:rsidR="00A931F0">
        <w:rPr>
          <w:rFonts w:cs="Arial"/>
          <w:color w:val="auto"/>
        </w:rPr>
        <w:t>which is included</w:t>
      </w:r>
      <w:r>
        <w:rPr>
          <w:rFonts w:cs="Arial"/>
          <w:color w:val="auto"/>
        </w:rPr>
        <w:t xml:space="preserve"> as community service work under the employee predominance test is expected to reduce the number of </w:t>
      </w:r>
      <w:r w:rsidR="00BA4E89">
        <w:rPr>
          <w:rFonts w:cs="Arial"/>
          <w:color w:val="auto"/>
        </w:rPr>
        <w:t>employee</w:t>
      </w:r>
      <w:r>
        <w:rPr>
          <w:rFonts w:cs="Arial"/>
          <w:color w:val="auto"/>
        </w:rPr>
        <w:t>s covered by the Scheme. In some cases, it would remove an existing entitlement to portable long service benefits from an employee currently registered under the Scheme. Given the inconsistent application of the current employee predominance test and the challenge in clearly defining roles and activities, it is not possible to estimate how many employees would be impacted by this option.</w:t>
      </w:r>
    </w:p>
    <w:p w14:paraId="14EA7D0B" w14:textId="1B2DCF10" w:rsidR="00ED3939" w:rsidRDefault="00ED3939" w:rsidP="004A514D">
      <w:pPr>
        <w:pStyle w:val="Heading7"/>
      </w:pPr>
      <w:r>
        <w:t>I</w:t>
      </w:r>
      <w:r w:rsidRPr="00866686">
        <w:t xml:space="preserve">mpact on </w:t>
      </w:r>
      <w:r w:rsidR="00DB01D9">
        <w:t>employers</w:t>
      </w:r>
      <w:r>
        <w:t xml:space="preserve"> – financial cost</w:t>
      </w:r>
    </w:p>
    <w:p w14:paraId="2495CC14" w14:textId="66BB1AA8" w:rsidR="008A7A0A" w:rsidRPr="00337958" w:rsidRDefault="008A7A0A" w:rsidP="00337958">
      <w:pPr>
        <w:pStyle w:val="BodyText"/>
        <w:rPr>
          <w:rFonts w:cs="Arial"/>
          <w:color w:val="auto"/>
        </w:rPr>
      </w:pPr>
      <w:r w:rsidRPr="00337958">
        <w:rPr>
          <w:rFonts w:cs="Arial"/>
          <w:color w:val="auto"/>
        </w:rPr>
        <w:t>Th</w:t>
      </w:r>
      <w:r w:rsidR="00175F2E">
        <w:rPr>
          <w:rFonts w:cs="Arial"/>
          <w:color w:val="auto"/>
        </w:rPr>
        <w:t>is</w:t>
      </w:r>
      <w:r w:rsidRPr="00337958">
        <w:rPr>
          <w:rFonts w:cs="Arial"/>
          <w:color w:val="auto"/>
        </w:rPr>
        <w:t xml:space="preserve"> option is </w:t>
      </w:r>
      <w:r w:rsidR="00AC1C2E">
        <w:rPr>
          <w:rFonts w:cs="Arial"/>
          <w:color w:val="auto"/>
        </w:rPr>
        <w:t xml:space="preserve">somewhat </w:t>
      </w:r>
      <w:r w:rsidRPr="00337958">
        <w:rPr>
          <w:rFonts w:cs="Arial"/>
          <w:color w:val="auto"/>
        </w:rPr>
        <w:t xml:space="preserve">more aligned with the </w:t>
      </w:r>
      <w:r w:rsidR="000B4581">
        <w:rPr>
          <w:rFonts w:cs="Arial"/>
          <w:color w:val="auto"/>
        </w:rPr>
        <w:t>criterion</w:t>
      </w:r>
      <w:r w:rsidRPr="00337958">
        <w:rPr>
          <w:rFonts w:cs="Arial"/>
          <w:color w:val="auto"/>
        </w:rPr>
        <w:t xml:space="preserve"> than the status quo.</w:t>
      </w:r>
      <w:r>
        <w:rPr>
          <w:rFonts w:cs="Arial"/>
          <w:color w:val="auto"/>
        </w:rPr>
        <w:t xml:space="preserve"> </w:t>
      </w:r>
      <w:r w:rsidRPr="0074738D">
        <w:rPr>
          <w:rFonts w:cs="Arial"/>
          <w:color w:val="auto"/>
        </w:rPr>
        <w:t>It</w:t>
      </w:r>
      <w:r w:rsidRPr="00DF59EF">
        <w:rPr>
          <w:rFonts w:cs="Arial"/>
          <w:color w:val="auto"/>
        </w:rPr>
        <w:t xml:space="preserve"> is expected to reduce the financial impact on employers. In response to the lack of clarity in applying the current employee predominance test</w:t>
      </w:r>
      <w:r>
        <w:rPr>
          <w:rFonts w:cs="Arial"/>
          <w:color w:val="auto"/>
        </w:rPr>
        <w:t xml:space="preserve"> under the status quo</w:t>
      </w:r>
      <w:r w:rsidRPr="00DF59EF">
        <w:rPr>
          <w:rFonts w:cs="Arial"/>
          <w:color w:val="auto"/>
        </w:rPr>
        <w:t xml:space="preserve">, feedback from stakeholders and service providers suggests that employers have been registering employees who predominantly engage in management or administrative activities. Under this </w:t>
      </w:r>
      <w:r>
        <w:rPr>
          <w:rFonts w:cs="Arial"/>
          <w:color w:val="auto"/>
        </w:rPr>
        <w:t>option</w:t>
      </w:r>
      <w:r w:rsidRPr="00DF59EF">
        <w:rPr>
          <w:rFonts w:cs="Arial"/>
          <w:color w:val="auto"/>
        </w:rPr>
        <w:t xml:space="preserve">, employers would no longer </w:t>
      </w:r>
      <w:r w:rsidR="005A3ACE">
        <w:rPr>
          <w:rFonts w:cs="Arial"/>
          <w:color w:val="auto"/>
        </w:rPr>
        <w:t>be required</w:t>
      </w:r>
      <w:r w:rsidR="005A3ACE" w:rsidRPr="00DF59EF">
        <w:rPr>
          <w:rFonts w:cs="Arial"/>
          <w:color w:val="auto"/>
        </w:rPr>
        <w:t xml:space="preserve"> </w:t>
      </w:r>
      <w:r w:rsidRPr="00DF59EF">
        <w:rPr>
          <w:rFonts w:cs="Arial"/>
          <w:color w:val="auto"/>
        </w:rPr>
        <w:t xml:space="preserve">to pay a levy to the Authority on behalf of these employees. </w:t>
      </w:r>
    </w:p>
    <w:p w14:paraId="02CBDAAD" w14:textId="476D4A0A" w:rsidR="00ED3939" w:rsidRDefault="00ED3939" w:rsidP="004A514D">
      <w:pPr>
        <w:pStyle w:val="Heading7"/>
      </w:pPr>
      <w:r>
        <w:lastRenderedPageBreak/>
        <w:t>I</w:t>
      </w:r>
      <w:r w:rsidRPr="00866686">
        <w:t xml:space="preserve">mpact on </w:t>
      </w:r>
      <w:r w:rsidR="00DB01D9">
        <w:t>employers</w:t>
      </w:r>
      <w:r>
        <w:t xml:space="preserve"> – cost of uncertainty and administration</w:t>
      </w:r>
    </w:p>
    <w:p w14:paraId="47DADDD5" w14:textId="533A384A" w:rsidR="008A7A0A" w:rsidRDefault="008A7A0A" w:rsidP="007971E9">
      <w:pPr>
        <w:pStyle w:val="BodyText"/>
        <w:rPr>
          <w:rFonts w:cs="Arial"/>
          <w:color w:val="auto"/>
        </w:rPr>
      </w:pPr>
      <w:r w:rsidRPr="0074738D">
        <w:rPr>
          <w:rFonts w:cs="Arial"/>
          <w:color w:val="auto"/>
        </w:rPr>
        <w:t>Th</w:t>
      </w:r>
      <w:r w:rsidR="005A3ACE">
        <w:rPr>
          <w:rFonts w:cs="Arial"/>
          <w:color w:val="auto"/>
        </w:rPr>
        <w:t>is</w:t>
      </w:r>
      <w:r w:rsidRPr="0074738D">
        <w:rPr>
          <w:rFonts w:cs="Arial"/>
          <w:color w:val="auto"/>
        </w:rPr>
        <w:t xml:space="preserve"> option is </w:t>
      </w:r>
      <w:r w:rsidR="00AC1C2E">
        <w:rPr>
          <w:rFonts w:cs="Arial"/>
          <w:color w:val="auto"/>
        </w:rPr>
        <w:t xml:space="preserve">somewhat </w:t>
      </w:r>
      <w:r w:rsidRPr="0074738D">
        <w:rPr>
          <w:rFonts w:cs="Arial"/>
          <w:color w:val="auto"/>
        </w:rPr>
        <w:t xml:space="preserve">more aligned with the </w:t>
      </w:r>
      <w:r w:rsidR="000B4581">
        <w:rPr>
          <w:rFonts w:cs="Arial"/>
          <w:color w:val="auto"/>
        </w:rPr>
        <w:t>criterion</w:t>
      </w:r>
      <w:r w:rsidRPr="0074738D">
        <w:rPr>
          <w:rFonts w:cs="Arial"/>
          <w:color w:val="auto"/>
        </w:rPr>
        <w:t xml:space="preserve"> than the status quo.</w:t>
      </w:r>
      <w:r>
        <w:rPr>
          <w:rFonts w:cs="Arial"/>
          <w:color w:val="auto"/>
        </w:rPr>
        <w:t xml:space="preserve"> It</w:t>
      </w:r>
      <w:r w:rsidR="00DF59EF" w:rsidRPr="00DF59EF">
        <w:rPr>
          <w:rFonts w:cs="Arial"/>
          <w:color w:val="auto"/>
        </w:rPr>
        <w:t xml:space="preserve"> would </w:t>
      </w:r>
      <w:r w:rsidR="00621E5A">
        <w:rPr>
          <w:rFonts w:cs="Arial"/>
          <w:color w:val="auto"/>
        </w:rPr>
        <w:t>clarify</w:t>
      </w:r>
      <w:r w:rsidR="00DF59EF" w:rsidRPr="00DF59EF">
        <w:rPr>
          <w:rFonts w:cs="Arial"/>
          <w:color w:val="auto"/>
        </w:rPr>
        <w:t xml:space="preserve"> that management and administrative activities are not </w:t>
      </w:r>
      <w:r w:rsidR="00621E5A">
        <w:rPr>
          <w:rFonts w:cs="Arial"/>
          <w:color w:val="auto"/>
        </w:rPr>
        <w:t>considered</w:t>
      </w:r>
      <w:r w:rsidR="00DF59EF" w:rsidRPr="00DF59EF">
        <w:rPr>
          <w:rFonts w:cs="Arial"/>
          <w:color w:val="auto"/>
        </w:rPr>
        <w:t xml:space="preserve"> community service work for the purposes of applying the current employee predominance test</w:t>
      </w:r>
      <w:r>
        <w:rPr>
          <w:rFonts w:cs="Arial"/>
          <w:color w:val="auto"/>
        </w:rPr>
        <w:t>. This has been a key area of uncertainty for stakeholders.</w:t>
      </w:r>
    </w:p>
    <w:p w14:paraId="0DDD5CBF" w14:textId="74D1C573" w:rsidR="00DF59EF" w:rsidRPr="00DF59EF" w:rsidRDefault="008A7A0A" w:rsidP="007971E9">
      <w:pPr>
        <w:pStyle w:val="BodyText"/>
        <w:rPr>
          <w:rFonts w:cs="Arial"/>
          <w:color w:val="auto"/>
        </w:rPr>
      </w:pPr>
      <w:r>
        <w:rPr>
          <w:rFonts w:cs="Arial"/>
          <w:color w:val="auto"/>
        </w:rPr>
        <w:t>However,</w:t>
      </w:r>
      <w:r w:rsidR="00DF59EF" w:rsidRPr="00DF59EF">
        <w:rPr>
          <w:rFonts w:cs="Arial"/>
          <w:color w:val="auto"/>
        </w:rPr>
        <w:t xml:space="preserve"> applying this test for each </w:t>
      </w:r>
      <w:r w:rsidR="008B720C">
        <w:rPr>
          <w:rFonts w:cs="Arial"/>
          <w:color w:val="auto"/>
        </w:rPr>
        <w:t>employee</w:t>
      </w:r>
      <w:r>
        <w:rPr>
          <w:rFonts w:cs="Arial"/>
          <w:color w:val="auto"/>
        </w:rPr>
        <w:t xml:space="preserve"> would</w:t>
      </w:r>
      <w:r w:rsidR="00DF59EF" w:rsidRPr="00DF59EF">
        <w:rPr>
          <w:rFonts w:cs="Arial"/>
          <w:color w:val="auto"/>
        </w:rPr>
        <w:t xml:space="preserve"> remain administratively burdensome.</w:t>
      </w:r>
      <w:r w:rsidR="007A55BC">
        <w:rPr>
          <w:rFonts w:cs="Arial"/>
          <w:color w:val="auto"/>
        </w:rPr>
        <w:t xml:space="preserve"> The </w:t>
      </w:r>
      <w:r w:rsidR="007A55BC" w:rsidRPr="007A55BC">
        <w:rPr>
          <w:rFonts w:cs="Arial"/>
          <w:color w:val="252525"/>
        </w:rPr>
        <w:t>inclusi</w:t>
      </w:r>
      <w:r w:rsidR="007A55BC">
        <w:rPr>
          <w:rFonts w:cs="Arial"/>
          <w:color w:val="252525"/>
        </w:rPr>
        <w:t>on of terms such as ‘management’ and ‘administration’ would add</w:t>
      </w:r>
      <w:r w:rsidR="007A55BC" w:rsidRPr="007A55BC">
        <w:rPr>
          <w:rFonts w:cs="Arial"/>
          <w:color w:val="252525"/>
        </w:rPr>
        <w:t xml:space="preserve"> another layer of definitional complexity.</w:t>
      </w:r>
      <w:r w:rsidR="007A55BC">
        <w:rPr>
          <w:rFonts w:cs="Arial"/>
          <w:color w:val="auto"/>
        </w:rPr>
        <w:t xml:space="preserve"> </w:t>
      </w:r>
      <w:r w:rsidR="00DF59EF">
        <w:rPr>
          <w:rFonts w:cs="Arial"/>
          <w:color w:val="auto"/>
        </w:rPr>
        <w:t>In many cases</w:t>
      </w:r>
      <w:r w:rsidR="005A3ACE">
        <w:rPr>
          <w:rFonts w:cs="Arial"/>
          <w:color w:val="auto"/>
        </w:rPr>
        <w:t>,</w:t>
      </w:r>
      <w:r w:rsidR="00DF59EF">
        <w:rPr>
          <w:rFonts w:cs="Arial"/>
          <w:color w:val="auto"/>
        </w:rPr>
        <w:t xml:space="preserve"> it </w:t>
      </w:r>
      <w:r>
        <w:rPr>
          <w:rFonts w:cs="Arial"/>
          <w:color w:val="auto"/>
        </w:rPr>
        <w:t xml:space="preserve">may </w:t>
      </w:r>
      <w:r w:rsidR="00DF59EF">
        <w:rPr>
          <w:rFonts w:cs="Arial"/>
          <w:color w:val="auto"/>
        </w:rPr>
        <w:t xml:space="preserve">not be possible to clearly divide the share of </w:t>
      </w:r>
      <w:r w:rsidR="00A931F0">
        <w:rPr>
          <w:rFonts w:cs="Arial"/>
          <w:color w:val="auto"/>
        </w:rPr>
        <w:t xml:space="preserve">an </w:t>
      </w:r>
      <w:r w:rsidR="00DF59EF">
        <w:rPr>
          <w:rFonts w:cs="Arial"/>
          <w:color w:val="auto"/>
        </w:rPr>
        <w:t xml:space="preserve">employee’s work </w:t>
      </w:r>
      <w:r w:rsidR="008B720C">
        <w:rPr>
          <w:rFonts w:cs="Arial"/>
          <w:color w:val="auto"/>
        </w:rPr>
        <w:t xml:space="preserve">because of the indivisibility of administrative and managerial roles from community service delivery. </w:t>
      </w:r>
    </w:p>
    <w:p w14:paraId="720567F7" w14:textId="77777777" w:rsidR="00DF2E27" w:rsidRPr="00866686" w:rsidRDefault="00DF2E27" w:rsidP="004A514D">
      <w:pPr>
        <w:pStyle w:val="Heading7"/>
      </w:pPr>
      <w:r w:rsidRPr="00866686">
        <w:t>Impact on the Authority</w:t>
      </w:r>
    </w:p>
    <w:p w14:paraId="171F1CA2" w14:textId="1B831EA6" w:rsidR="008A7A0A" w:rsidRPr="0074738D" w:rsidRDefault="008A7A0A" w:rsidP="008A7A0A">
      <w:pPr>
        <w:pStyle w:val="BodyText"/>
        <w:rPr>
          <w:rFonts w:cs="Arial"/>
          <w:color w:val="auto"/>
        </w:rPr>
      </w:pPr>
      <w:r w:rsidRPr="0074738D">
        <w:rPr>
          <w:rFonts w:cs="Arial"/>
          <w:color w:val="auto"/>
        </w:rPr>
        <w:t>Th</w:t>
      </w:r>
      <w:r w:rsidR="005A3ACE">
        <w:rPr>
          <w:rFonts w:cs="Arial"/>
          <w:color w:val="auto"/>
        </w:rPr>
        <w:t>is</w:t>
      </w:r>
      <w:r w:rsidRPr="0074738D">
        <w:rPr>
          <w:rFonts w:cs="Arial"/>
          <w:color w:val="auto"/>
        </w:rPr>
        <w:t xml:space="preserve"> option is </w:t>
      </w:r>
      <w:r w:rsidR="00AC1C2E">
        <w:rPr>
          <w:rFonts w:cs="Arial"/>
          <w:color w:val="auto"/>
        </w:rPr>
        <w:t xml:space="preserve">somewhat </w:t>
      </w:r>
      <w:r w:rsidRPr="0074738D">
        <w:rPr>
          <w:rFonts w:cs="Arial"/>
          <w:color w:val="auto"/>
        </w:rPr>
        <w:t xml:space="preserve">more aligned with the </w:t>
      </w:r>
      <w:r w:rsidR="000B4581">
        <w:rPr>
          <w:rFonts w:cs="Arial"/>
          <w:color w:val="auto"/>
        </w:rPr>
        <w:t>criterion</w:t>
      </w:r>
      <w:r w:rsidRPr="0074738D">
        <w:rPr>
          <w:rFonts w:cs="Arial"/>
          <w:color w:val="auto"/>
        </w:rPr>
        <w:t xml:space="preserve"> than the status quo.</w:t>
      </w:r>
      <w:r w:rsidR="0011258C">
        <w:rPr>
          <w:rFonts w:cs="Arial"/>
          <w:color w:val="auto"/>
        </w:rPr>
        <w:t xml:space="preserve"> Overall, a</w:t>
      </w:r>
      <w:r w:rsidR="0011258C" w:rsidRPr="004B3C99">
        <w:rPr>
          <w:rFonts w:cs="Arial"/>
          <w:color w:val="auto"/>
        </w:rPr>
        <w:t xml:space="preserve">dditional clarity around </w:t>
      </w:r>
      <w:r w:rsidR="0011258C">
        <w:rPr>
          <w:rFonts w:cs="Arial"/>
          <w:color w:val="auto"/>
        </w:rPr>
        <w:t xml:space="preserve">the exclusion of managerial and administrative activities under the employee predominance test </w:t>
      </w:r>
      <w:r w:rsidR="0011258C" w:rsidRPr="004B3C99">
        <w:rPr>
          <w:rFonts w:cs="Arial"/>
          <w:color w:val="auto"/>
        </w:rPr>
        <w:t>would assist the Authority provide clearer guidance to the sector</w:t>
      </w:r>
      <w:r w:rsidR="0011258C">
        <w:rPr>
          <w:rFonts w:cs="Arial"/>
          <w:color w:val="auto"/>
        </w:rPr>
        <w:t xml:space="preserve"> compared to the status quo</w:t>
      </w:r>
      <w:r w:rsidR="0011258C" w:rsidRPr="004B3C99">
        <w:rPr>
          <w:rFonts w:cs="Arial"/>
          <w:color w:val="auto"/>
        </w:rPr>
        <w:t xml:space="preserve">. </w:t>
      </w:r>
      <w:r w:rsidR="0011258C">
        <w:rPr>
          <w:rFonts w:cs="Arial"/>
          <w:color w:val="auto"/>
        </w:rPr>
        <w:t>The</w:t>
      </w:r>
      <w:r w:rsidR="0011258C" w:rsidRPr="004B3C99">
        <w:rPr>
          <w:rFonts w:cs="Arial"/>
          <w:color w:val="auto"/>
        </w:rPr>
        <w:t xml:space="preserve"> Authority</w:t>
      </w:r>
      <w:r w:rsidR="0011258C">
        <w:rPr>
          <w:rFonts w:cs="Arial"/>
          <w:color w:val="auto"/>
        </w:rPr>
        <w:t xml:space="preserve"> would be required</w:t>
      </w:r>
      <w:r w:rsidR="0011258C" w:rsidRPr="004B3C99">
        <w:rPr>
          <w:rFonts w:cs="Arial"/>
          <w:color w:val="auto"/>
        </w:rPr>
        <w:t xml:space="preserve"> to update their guidance </w:t>
      </w:r>
      <w:r w:rsidR="0011258C">
        <w:rPr>
          <w:rFonts w:cs="Arial"/>
          <w:color w:val="auto"/>
        </w:rPr>
        <w:t xml:space="preserve">notes </w:t>
      </w:r>
      <w:r w:rsidR="0011258C" w:rsidRPr="004B3C99">
        <w:rPr>
          <w:rFonts w:cs="Arial"/>
          <w:color w:val="auto"/>
        </w:rPr>
        <w:t>to the sector.</w:t>
      </w:r>
    </w:p>
    <w:p w14:paraId="1850D83F" w14:textId="103B9728" w:rsidR="0011258C" w:rsidRDefault="0011258C" w:rsidP="00DF2E27">
      <w:pPr>
        <w:pStyle w:val="BodyText"/>
        <w:rPr>
          <w:rFonts w:cs="Arial"/>
          <w:color w:val="auto"/>
        </w:rPr>
      </w:pPr>
      <w:r>
        <w:rPr>
          <w:rFonts w:cs="Arial"/>
          <w:color w:val="auto"/>
        </w:rPr>
        <w:t>While there would be an overall reduction in pressure on the Authority compared to the status quo, the Authority would still</w:t>
      </w:r>
      <w:r w:rsidR="00A931F0">
        <w:rPr>
          <w:rFonts w:cs="Arial"/>
          <w:color w:val="auto"/>
        </w:rPr>
        <w:t xml:space="preserve"> be</w:t>
      </w:r>
      <w:r>
        <w:rPr>
          <w:rFonts w:cs="Arial"/>
          <w:color w:val="auto"/>
        </w:rPr>
        <w:t xml:space="preserve"> expect</w:t>
      </w:r>
      <w:r w:rsidR="00A931F0">
        <w:rPr>
          <w:rFonts w:cs="Arial"/>
          <w:color w:val="auto"/>
        </w:rPr>
        <w:t>ed</w:t>
      </w:r>
      <w:r>
        <w:rPr>
          <w:rFonts w:cs="Arial"/>
          <w:color w:val="auto"/>
        </w:rPr>
        <w:t xml:space="preserve"> to field a large number of </w:t>
      </w:r>
      <w:r w:rsidR="005A3ACE">
        <w:rPr>
          <w:rFonts w:cs="Arial"/>
          <w:color w:val="auto"/>
        </w:rPr>
        <w:t xml:space="preserve">requests </w:t>
      </w:r>
      <w:r>
        <w:rPr>
          <w:rFonts w:cs="Arial"/>
          <w:color w:val="auto"/>
        </w:rPr>
        <w:t>from employers seeking</w:t>
      </w:r>
      <w:r w:rsidRPr="004B3C99">
        <w:rPr>
          <w:rFonts w:cs="Arial"/>
          <w:color w:val="auto"/>
        </w:rPr>
        <w:t xml:space="preserve"> assistance </w:t>
      </w:r>
      <w:r>
        <w:rPr>
          <w:rFonts w:cs="Arial"/>
          <w:color w:val="auto"/>
        </w:rPr>
        <w:t>with measuring predominance under the test. This</w:t>
      </w:r>
      <w:r w:rsidRPr="004B3C99">
        <w:rPr>
          <w:rFonts w:cs="Arial"/>
          <w:color w:val="auto"/>
        </w:rPr>
        <w:t xml:space="preserve"> is burdensome for the Au</w:t>
      </w:r>
      <w:r>
        <w:rPr>
          <w:rFonts w:cs="Arial"/>
          <w:color w:val="auto"/>
        </w:rPr>
        <w:t>thority as it is the responsibility</w:t>
      </w:r>
      <w:r w:rsidRPr="004B3C99">
        <w:rPr>
          <w:rFonts w:cs="Arial"/>
          <w:color w:val="auto"/>
        </w:rPr>
        <w:t xml:space="preserve"> of the</w:t>
      </w:r>
      <w:r>
        <w:rPr>
          <w:rFonts w:cs="Arial"/>
          <w:color w:val="auto"/>
        </w:rPr>
        <w:t xml:space="preserve"> employer to apply the employee </w:t>
      </w:r>
      <w:r w:rsidRPr="004B3C99">
        <w:rPr>
          <w:rFonts w:cs="Arial"/>
          <w:color w:val="auto"/>
        </w:rPr>
        <w:t>predominance test.</w:t>
      </w:r>
      <w:r>
        <w:rPr>
          <w:rFonts w:cs="Arial"/>
          <w:color w:val="auto"/>
        </w:rPr>
        <w:t xml:space="preserve"> </w:t>
      </w:r>
    </w:p>
    <w:p w14:paraId="22D8A884" w14:textId="3823537A" w:rsidR="00DF59EF" w:rsidRPr="00DF59EF" w:rsidRDefault="0011258C" w:rsidP="00DF2E27">
      <w:pPr>
        <w:pStyle w:val="BodyText"/>
        <w:rPr>
          <w:rFonts w:cs="Arial"/>
          <w:color w:val="auto"/>
        </w:rPr>
      </w:pPr>
      <w:r>
        <w:rPr>
          <w:rFonts w:cs="Arial"/>
          <w:color w:val="auto"/>
        </w:rPr>
        <w:t>The complexity in separating management and administrative activities from service delivery within the community services sector would add to the administrative burden on the Authority in monitoring enrolment and ensuring compliance.</w:t>
      </w:r>
      <w:r w:rsidR="00DF59EF">
        <w:rPr>
          <w:rFonts w:cs="Arial"/>
          <w:color w:val="auto"/>
        </w:rPr>
        <w:t xml:space="preserve"> </w:t>
      </w:r>
    </w:p>
    <w:tbl>
      <w:tblPr>
        <w:tblStyle w:val="TableGrid"/>
        <w:tblW w:w="9026" w:type="dxa"/>
        <w:tblLook w:val="04A0" w:firstRow="1" w:lastRow="0" w:firstColumn="1" w:lastColumn="0" w:noHBand="0" w:noVBand="1"/>
      </w:tblPr>
      <w:tblGrid>
        <w:gridCol w:w="9026"/>
      </w:tblGrid>
      <w:tr w:rsidR="00CE7123" w:rsidRPr="00F738AD" w14:paraId="77B6EC6D" w14:textId="77777777" w:rsidTr="005120FF">
        <w:trPr>
          <w:tblHeader/>
        </w:trPr>
        <w:tc>
          <w:tcPr>
            <w:tcW w:w="9026" w:type="dxa"/>
            <w:tcBorders>
              <w:left w:val="nil"/>
            </w:tcBorders>
            <w:shd w:val="clear" w:color="auto" w:fill="002060"/>
          </w:tcPr>
          <w:p w14:paraId="140750E4" w14:textId="77777777" w:rsidR="00CE7123" w:rsidRPr="00F738AD" w:rsidRDefault="00CE7123" w:rsidP="005120FF">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CE7123" w:rsidRPr="00EC5379" w14:paraId="6FB6E6EC" w14:textId="77777777" w:rsidTr="005120FF">
        <w:trPr>
          <w:trHeight w:val="788"/>
        </w:trPr>
        <w:tc>
          <w:tcPr>
            <w:tcW w:w="9026" w:type="dxa"/>
            <w:tcBorders>
              <w:left w:val="nil"/>
            </w:tcBorders>
            <w:shd w:val="clear" w:color="auto" w:fill="DEEAF6" w:themeFill="accent1" w:themeFillTint="33"/>
          </w:tcPr>
          <w:p w14:paraId="3269042C" w14:textId="545E9045" w:rsidR="00CE7123" w:rsidRDefault="00DF2E27">
            <w:pPr>
              <w:pStyle w:val="BodyText"/>
              <w:ind w:left="601" w:hanging="601"/>
              <w:rPr>
                <w:rFonts w:cs="Arial"/>
              </w:rPr>
            </w:pPr>
            <w:r>
              <w:rPr>
                <w:rFonts w:cs="Arial"/>
                <w:b/>
              </w:rPr>
              <w:t>S.</w:t>
            </w:r>
            <w:r w:rsidR="00D50857">
              <w:rPr>
                <w:rFonts w:cs="Arial"/>
                <w:b/>
              </w:rPr>
              <w:t>17</w:t>
            </w:r>
            <w:r w:rsidR="0055008B">
              <w:rPr>
                <w:rFonts w:cs="Arial"/>
                <w:b/>
              </w:rPr>
              <w:t xml:space="preserve"> </w:t>
            </w:r>
            <w:r w:rsidR="007010B9">
              <w:rPr>
                <w:rFonts w:cs="Arial"/>
                <w:b/>
              </w:rPr>
              <w:tab/>
            </w:r>
            <w:r w:rsidR="00EF15FE" w:rsidRPr="00A21F88">
              <w:rPr>
                <w:rFonts w:cs="Arial"/>
              </w:rPr>
              <w:t xml:space="preserve">Does this assessment accurately represent the </w:t>
            </w:r>
            <w:r w:rsidR="0011258C">
              <w:rPr>
                <w:rFonts w:cs="Arial"/>
              </w:rPr>
              <w:t xml:space="preserve">likely change in </w:t>
            </w:r>
            <w:r w:rsidR="00015F56">
              <w:rPr>
                <w:rFonts w:cs="Arial"/>
              </w:rPr>
              <w:t xml:space="preserve">the number of </w:t>
            </w:r>
            <w:r w:rsidR="0011258C">
              <w:rPr>
                <w:rFonts w:cs="Arial"/>
              </w:rPr>
              <w:t xml:space="preserve">employees covered </w:t>
            </w:r>
            <w:r w:rsidR="00EF15FE">
              <w:rPr>
                <w:rFonts w:cs="Arial"/>
              </w:rPr>
              <w:t xml:space="preserve">under each of these options relative to the </w:t>
            </w:r>
            <w:r w:rsidR="0011258C">
              <w:rPr>
                <w:rFonts w:cs="Arial"/>
              </w:rPr>
              <w:t xml:space="preserve">number of employees covered under the </w:t>
            </w:r>
            <w:r w:rsidR="00EF15FE">
              <w:rPr>
                <w:rFonts w:cs="Arial"/>
              </w:rPr>
              <w:t>current employee predominance test?</w:t>
            </w:r>
          </w:p>
          <w:p w14:paraId="0A9579CE" w14:textId="4AD193DD" w:rsidR="0011258C" w:rsidRDefault="0011258C">
            <w:pPr>
              <w:pStyle w:val="BodyText"/>
              <w:ind w:left="601" w:hanging="601"/>
              <w:rPr>
                <w:rFonts w:cs="Arial"/>
              </w:rPr>
            </w:pPr>
            <w:r>
              <w:rPr>
                <w:rFonts w:cs="Arial"/>
                <w:b/>
              </w:rPr>
              <w:t>S.</w:t>
            </w:r>
            <w:r w:rsidR="00D50857">
              <w:rPr>
                <w:rFonts w:cs="Arial"/>
                <w:b/>
              </w:rPr>
              <w:t>18</w:t>
            </w:r>
            <w:r w:rsidR="0055008B">
              <w:rPr>
                <w:rFonts w:cs="Arial"/>
                <w:b/>
              </w:rPr>
              <w:t xml:space="preserve"> </w:t>
            </w:r>
            <w:r w:rsidR="007010B9">
              <w:rPr>
                <w:rFonts w:cs="Arial"/>
                <w:b/>
              </w:rPr>
              <w:tab/>
            </w:r>
            <w:r>
              <w:rPr>
                <w:rFonts w:cs="Arial"/>
              </w:rPr>
              <w:t xml:space="preserve">Does this assessment accurately represent the financial and administrative costs to </w:t>
            </w:r>
            <w:r w:rsidR="00B82CEE">
              <w:rPr>
                <w:rFonts w:cs="Arial"/>
              </w:rPr>
              <w:t xml:space="preserve">employers </w:t>
            </w:r>
            <w:r>
              <w:rPr>
                <w:rFonts w:cs="Arial"/>
              </w:rPr>
              <w:t>associated with each option?</w:t>
            </w:r>
          </w:p>
          <w:p w14:paraId="64C23D48" w14:textId="6522553B" w:rsidR="00015F56" w:rsidRDefault="00D50857" w:rsidP="00015F56">
            <w:pPr>
              <w:pStyle w:val="BodyText"/>
              <w:ind w:left="601" w:hanging="567"/>
              <w:rPr>
                <w:rFonts w:cs="Arial"/>
              </w:rPr>
            </w:pPr>
            <w:r>
              <w:rPr>
                <w:rFonts w:cs="Arial"/>
                <w:b/>
              </w:rPr>
              <w:t>S.19</w:t>
            </w:r>
            <w:r w:rsidR="0055008B">
              <w:rPr>
                <w:rFonts w:cs="Arial"/>
                <w:b/>
              </w:rPr>
              <w:t xml:space="preserve"> </w:t>
            </w:r>
            <w:r w:rsidR="007010B9">
              <w:rPr>
                <w:rFonts w:cs="Arial"/>
                <w:b/>
              </w:rPr>
              <w:tab/>
            </w:r>
            <w:r w:rsidR="00015F56" w:rsidRPr="00E95DC9">
              <w:rPr>
                <w:rFonts w:cs="Arial"/>
              </w:rPr>
              <w:t>Which option best ensures that employees across the community services sector have fair and equitable access to the Scheme?</w:t>
            </w:r>
          </w:p>
          <w:p w14:paraId="3F991B3E" w14:textId="712CB15D" w:rsidR="00015F56" w:rsidRPr="00DB3ADD" w:rsidRDefault="00D50857" w:rsidP="00DB3ADD">
            <w:pPr>
              <w:ind w:left="601" w:hanging="567"/>
            </w:pPr>
            <w:r>
              <w:rPr>
                <w:rFonts w:ascii="Arial" w:hAnsi="Arial" w:cs="Arial"/>
                <w:b/>
              </w:rPr>
              <w:t>S.20</w:t>
            </w:r>
            <w:r w:rsidR="0055008B">
              <w:rPr>
                <w:rFonts w:ascii="Arial" w:hAnsi="Arial" w:cs="Arial"/>
                <w:b/>
              </w:rPr>
              <w:t xml:space="preserve"> </w:t>
            </w:r>
            <w:r w:rsidR="007010B9">
              <w:rPr>
                <w:rFonts w:ascii="Arial" w:hAnsi="Arial" w:cs="Arial"/>
                <w:b/>
              </w:rPr>
              <w:tab/>
            </w:r>
            <w:r w:rsidR="00015F56" w:rsidRPr="00E95DC9">
              <w:rPr>
                <w:rFonts w:ascii="Arial" w:hAnsi="Arial" w:cs="Arial"/>
              </w:rPr>
              <w:t xml:space="preserve">Would the adoption of a modern awards test to determine who is </w:t>
            </w:r>
            <w:r w:rsidR="0071726F">
              <w:rPr>
                <w:rFonts w:ascii="Arial" w:hAnsi="Arial" w:cs="Arial"/>
                <w:color w:val="auto"/>
              </w:rPr>
              <w:t xml:space="preserve">regarded as </w:t>
            </w:r>
            <w:r w:rsidR="00015F56" w:rsidRPr="00E95DC9">
              <w:rPr>
                <w:rFonts w:ascii="Arial" w:hAnsi="Arial" w:cs="Arial"/>
              </w:rPr>
              <w:t>an employee in the community services sector exclude employees from the Scheme who should otherwise be included?</w:t>
            </w:r>
          </w:p>
        </w:tc>
      </w:tr>
    </w:tbl>
    <w:p w14:paraId="3FFB1DE5" w14:textId="691C570F" w:rsidR="00807495" w:rsidRPr="00EC5379" w:rsidRDefault="00807495" w:rsidP="00556277">
      <w:pPr>
        <w:pStyle w:val="Heading3"/>
        <w:tabs>
          <w:tab w:val="clear" w:pos="5115"/>
        </w:tabs>
        <w:ind w:left="709"/>
        <w:rPr>
          <w:rFonts w:ascii="Arial" w:hAnsi="Arial" w:cs="Arial"/>
        </w:rPr>
      </w:pPr>
      <w:r w:rsidRPr="00EC5379">
        <w:rPr>
          <w:rFonts w:ascii="Arial" w:hAnsi="Arial" w:cs="Arial"/>
        </w:rPr>
        <w:t xml:space="preserve">Who is </w:t>
      </w:r>
      <w:r w:rsidR="0071726F" w:rsidRPr="00AD518C">
        <w:rPr>
          <w:rFonts w:ascii="Arial" w:hAnsi="Arial" w:cs="Arial"/>
        </w:rPr>
        <w:t xml:space="preserve">regarded as </w:t>
      </w:r>
      <w:r w:rsidRPr="00EC5379">
        <w:rPr>
          <w:rFonts w:ascii="Arial" w:hAnsi="Arial" w:cs="Arial"/>
        </w:rPr>
        <w:t>an employee in the security industry</w:t>
      </w:r>
    </w:p>
    <w:p w14:paraId="696C0FEC" w14:textId="7F44C272" w:rsidR="006B7F36" w:rsidRPr="006B7F36" w:rsidRDefault="00807495" w:rsidP="00807495">
      <w:pPr>
        <w:pStyle w:val="BodyText"/>
        <w:rPr>
          <w:rFonts w:cs="Arial"/>
        </w:rPr>
      </w:pPr>
      <w:r w:rsidRPr="00106B02">
        <w:rPr>
          <w:rFonts w:cs="Arial"/>
          <w:color w:val="auto"/>
        </w:rPr>
        <w:t>As discussed in section</w:t>
      </w:r>
      <w:r w:rsidR="00C3499C">
        <w:rPr>
          <w:rFonts w:cs="Arial"/>
          <w:color w:val="auto"/>
        </w:rPr>
        <w:t xml:space="preserve"> </w:t>
      </w:r>
      <w:r w:rsidR="0001065F">
        <w:rPr>
          <w:rFonts w:cs="Arial"/>
          <w:color w:val="auto"/>
        </w:rPr>
        <w:fldChar w:fldCharType="begin"/>
      </w:r>
      <w:r w:rsidR="0001065F">
        <w:rPr>
          <w:rFonts w:cs="Arial"/>
          <w:color w:val="auto"/>
        </w:rPr>
        <w:instrText xml:space="preserve"> REF _Ref35937901 \r \h </w:instrText>
      </w:r>
      <w:r w:rsidR="0001065F">
        <w:rPr>
          <w:rFonts w:cs="Arial"/>
          <w:color w:val="auto"/>
        </w:rPr>
      </w:r>
      <w:r w:rsidR="0001065F">
        <w:rPr>
          <w:rFonts w:cs="Arial"/>
          <w:color w:val="auto"/>
        </w:rPr>
        <w:fldChar w:fldCharType="separate"/>
      </w:r>
      <w:r w:rsidR="0001065F">
        <w:rPr>
          <w:rFonts w:cs="Arial"/>
          <w:color w:val="auto"/>
        </w:rPr>
        <w:t>3.4</w:t>
      </w:r>
      <w:r w:rsidR="0001065F">
        <w:rPr>
          <w:rFonts w:cs="Arial"/>
          <w:color w:val="auto"/>
        </w:rPr>
        <w:fldChar w:fldCharType="end"/>
      </w:r>
      <w:r w:rsidRPr="00106B02">
        <w:rPr>
          <w:rFonts w:cs="Arial"/>
          <w:color w:val="auto"/>
        </w:rPr>
        <w:t xml:space="preserve">, the definition of </w:t>
      </w:r>
      <w:r w:rsidR="00106B02" w:rsidRPr="00106B02">
        <w:rPr>
          <w:rFonts w:cs="Arial"/>
          <w:color w:val="auto"/>
        </w:rPr>
        <w:t xml:space="preserve">who is </w:t>
      </w:r>
      <w:r w:rsidR="0071726F">
        <w:rPr>
          <w:rFonts w:cs="Arial"/>
          <w:color w:val="auto"/>
        </w:rPr>
        <w:t xml:space="preserve">regarded as </w:t>
      </w:r>
      <w:r w:rsidR="00106B02" w:rsidRPr="00106B02">
        <w:rPr>
          <w:rFonts w:cs="Arial"/>
          <w:color w:val="auto"/>
        </w:rPr>
        <w:t xml:space="preserve">an employee </w:t>
      </w:r>
      <w:r w:rsidR="004A1BE4">
        <w:rPr>
          <w:rFonts w:cs="Arial"/>
          <w:color w:val="auto"/>
        </w:rPr>
        <w:t>in the security industry should p</w:t>
      </w:r>
      <w:r w:rsidR="004A1BE4" w:rsidRPr="007F4727">
        <w:rPr>
          <w:rFonts w:cs="Arial"/>
        </w:rPr>
        <w:t xml:space="preserve">rovide certainty to </w:t>
      </w:r>
      <w:r w:rsidR="00DB01D9">
        <w:rPr>
          <w:rFonts w:cs="Arial"/>
        </w:rPr>
        <w:t>employers</w:t>
      </w:r>
      <w:r w:rsidR="004A1BE4" w:rsidRPr="007F4727">
        <w:rPr>
          <w:rFonts w:cs="Arial"/>
        </w:rPr>
        <w:t xml:space="preserve"> on which employees will need to have levies paid t</w:t>
      </w:r>
      <w:r w:rsidR="006B7F36">
        <w:rPr>
          <w:rFonts w:cs="Arial"/>
        </w:rPr>
        <w:t>o the Authority on their behalf, and ensure employees across the security sector have fair and equitable access to the Scheme.</w:t>
      </w:r>
    </w:p>
    <w:p w14:paraId="63F7E909" w14:textId="42FF6C1B" w:rsidR="00807495" w:rsidRPr="00EC5379" w:rsidRDefault="00807495" w:rsidP="00807495">
      <w:pPr>
        <w:pStyle w:val="BodyText"/>
        <w:rPr>
          <w:rFonts w:cs="Arial"/>
        </w:rPr>
      </w:pPr>
      <w:r w:rsidRPr="00EC5379">
        <w:rPr>
          <w:rFonts w:cs="Arial"/>
        </w:rPr>
        <w:t>A summary of the options for defining employees</w:t>
      </w:r>
      <w:r w:rsidR="005A3ACE">
        <w:rPr>
          <w:rFonts w:cs="Arial"/>
        </w:rPr>
        <w:t xml:space="preserve"> in the security industry</w:t>
      </w:r>
      <w:r w:rsidRPr="00EC5379">
        <w:rPr>
          <w:rFonts w:cs="Arial"/>
        </w:rPr>
        <w:t>, along with their rela</w:t>
      </w:r>
      <w:r w:rsidR="00C17C3F">
        <w:rPr>
          <w:rFonts w:cs="Arial"/>
        </w:rPr>
        <w:t>tive scores compared to the status quo</w:t>
      </w:r>
      <w:r w:rsidRPr="00EC5379">
        <w:rPr>
          <w:rFonts w:cs="Arial"/>
        </w:rPr>
        <w:t>, is as follows:</w:t>
      </w:r>
    </w:p>
    <w:p w14:paraId="23573B79" w14:textId="3933C57D" w:rsidR="00AD3670" w:rsidRDefault="00807495" w:rsidP="00337958">
      <w:pPr>
        <w:pStyle w:val="Caption"/>
      </w:pPr>
      <w:r w:rsidRPr="00EC5379">
        <w:rPr>
          <w:rFonts w:ascii="Arial" w:hAnsi="Arial" w:cs="Arial"/>
        </w:rPr>
        <w:lastRenderedPageBreak/>
        <w:t xml:space="preserve">Table </w:t>
      </w:r>
      <w:r w:rsidRPr="00EC5379">
        <w:rPr>
          <w:rFonts w:ascii="Arial" w:hAnsi="Arial" w:cs="Arial"/>
          <w:i w:val="0"/>
          <w:iCs w:val="0"/>
          <w:noProof/>
        </w:rPr>
        <w:fldChar w:fldCharType="begin"/>
      </w:r>
      <w:r w:rsidRPr="00EC5379">
        <w:rPr>
          <w:rFonts w:ascii="Arial" w:hAnsi="Arial" w:cs="Arial"/>
          <w:noProof/>
        </w:rPr>
        <w:instrText xml:space="preserve"> SEQ Table \* ARABIC </w:instrText>
      </w:r>
      <w:r w:rsidRPr="00EC5379">
        <w:rPr>
          <w:rFonts w:ascii="Arial" w:hAnsi="Arial" w:cs="Arial"/>
          <w:i w:val="0"/>
          <w:iCs w:val="0"/>
          <w:noProof/>
        </w:rPr>
        <w:fldChar w:fldCharType="separate"/>
      </w:r>
      <w:r w:rsidR="00F11F33">
        <w:rPr>
          <w:rFonts w:ascii="Arial" w:hAnsi="Arial" w:cs="Arial"/>
          <w:noProof/>
        </w:rPr>
        <w:t>14</w:t>
      </w:r>
      <w:r w:rsidRPr="00EC5379">
        <w:rPr>
          <w:rFonts w:ascii="Arial" w:hAnsi="Arial" w:cs="Arial"/>
          <w:i w:val="0"/>
          <w:iCs w:val="0"/>
          <w:noProof/>
        </w:rPr>
        <w:fldChar w:fldCharType="end"/>
      </w:r>
      <w:r w:rsidRPr="00EC5379">
        <w:rPr>
          <w:rFonts w:ascii="Arial" w:hAnsi="Arial" w:cs="Arial"/>
        </w:rPr>
        <w:t xml:space="preserve">: Summary of definition of employee </w:t>
      </w:r>
      <w:r w:rsidR="00D430EE">
        <w:rPr>
          <w:rFonts w:ascii="Arial" w:hAnsi="Arial" w:cs="Arial"/>
        </w:rPr>
        <w:t>in the security sector</w:t>
      </w:r>
      <w:r w:rsidRPr="00EC5379">
        <w:rPr>
          <w:rFonts w:ascii="Arial" w:hAnsi="Arial" w:cs="Arial"/>
        </w:rPr>
        <w:t xml:space="preserve"> impact analysis</w:t>
      </w:r>
    </w:p>
    <w:tbl>
      <w:tblPr>
        <w:tblStyle w:val="TableGrid"/>
        <w:tblW w:w="9072" w:type="dxa"/>
        <w:tblLayout w:type="fixed"/>
        <w:tblLook w:val="04A0" w:firstRow="1" w:lastRow="0" w:firstColumn="1" w:lastColumn="0" w:noHBand="0" w:noVBand="1"/>
      </w:tblPr>
      <w:tblGrid>
        <w:gridCol w:w="2552"/>
        <w:gridCol w:w="1304"/>
        <w:gridCol w:w="1304"/>
        <w:gridCol w:w="1304"/>
        <w:gridCol w:w="1304"/>
        <w:gridCol w:w="1304"/>
      </w:tblGrid>
      <w:tr w:rsidR="00AD3670" w:rsidRPr="00F738AD" w14:paraId="47F2069E" w14:textId="77777777" w:rsidTr="00AD3670">
        <w:trPr>
          <w:trHeight w:val="442"/>
        </w:trPr>
        <w:tc>
          <w:tcPr>
            <w:tcW w:w="2552" w:type="dxa"/>
            <w:vMerge w:val="restart"/>
            <w:tcBorders>
              <w:top w:val="single" w:sz="4" w:space="0" w:color="auto"/>
              <w:left w:val="nil"/>
              <w:right w:val="single" w:sz="4" w:space="0" w:color="auto"/>
            </w:tcBorders>
            <w:shd w:val="clear" w:color="auto" w:fill="002060"/>
            <w:vAlign w:val="center"/>
          </w:tcPr>
          <w:p w14:paraId="383C96FB" w14:textId="77777777" w:rsidR="00AD3670" w:rsidRPr="00F738AD" w:rsidRDefault="00AD3670" w:rsidP="00AD3670">
            <w:pPr>
              <w:keepNext/>
              <w:rPr>
                <w:rFonts w:ascii="Arial" w:hAnsi="Arial" w:cs="Arial"/>
                <w:b/>
                <w:color w:val="FFFFFF" w:themeColor="background1"/>
              </w:rPr>
            </w:pPr>
            <w:r w:rsidRPr="00F738AD">
              <w:rPr>
                <w:rFonts w:ascii="Arial" w:hAnsi="Arial" w:cs="Arial"/>
                <w:b/>
                <w:color w:val="FFFFFF" w:themeColor="background1"/>
              </w:rPr>
              <w:t>Option</w:t>
            </w:r>
          </w:p>
        </w:tc>
        <w:tc>
          <w:tcPr>
            <w:tcW w:w="6520" w:type="dxa"/>
            <w:gridSpan w:val="5"/>
            <w:tcBorders>
              <w:top w:val="single" w:sz="4" w:space="0" w:color="auto"/>
              <w:left w:val="single" w:sz="4" w:space="0" w:color="auto"/>
              <w:right w:val="nil"/>
            </w:tcBorders>
            <w:shd w:val="clear" w:color="auto" w:fill="002060"/>
            <w:vAlign w:val="center"/>
          </w:tcPr>
          <w:p w14:paraId="0778FF97" w14:textId="77777777" w:rsidR="00AD3670" w:rsidRPr="00F738AD" w:rsidRDefault="00AD3670" w:rsidP="00AD3670">
            <w:pPr>
              <w:keepNext/>
              <w:jc w:val="center"/>
              <w:rPr>
                <w:rFonts w:ascii="Arial" w:hAnsi="Arial" w:cs="Arial"/>
                <w:b/>
                <w:color w:val="FFFFFF" w:themeColor="background1"/>
              </w:rPr>
            </w:pPr>
            <w:r w:rsidRPr="00F738AD">
              <w:rPr>
                <w:rFonts w:ascii="Arial" w:hAnsi="Arial" w:cs="Arial"/>
                <w:b/>
                <w:color w:val="FFFFFF" w:themeColor="background1"/>
              </w:rPr>
              <w:t>Scores</w:t>
            </w:r>
          </w:p>
        </w:tc>
      </w:tr>
      <w:tr w:rsidR="00AD3670" w:rsidRPr="00F738AD" w14:paraId="077B27A4" w14:textId="77777777" w:rsidTr="00AD3670">
        <w:trPr>
          <w:trHeight w:val="924"/>
        </w:trPr>
        <w:tc>
          <w:tcPr>
            <w:tcW w:w="2552" w:type="dxa"/>
            <w:vMerge/>
            <w:tcBorders>
              <w:left w:val="nil"/>
              <w:bottom w:val="single" w:sz="4" w:space="0" w:color="auto"/>
              <w:right w:val="single" w:sz="4" w:space="0" w:color="auto"/>
            </w:tcBorders>
            <w:shd w:val="clear" w:color="auto" w:fill="002060"/>
          </w:tcPr>
          <w:p w14:paraId="2AF4AF2B" w14:textId="77777777" w:rsidR="00AD3670" w:rsidRPr="00F738AD" w:rsidRDefault="00AD3670" w:rsidP="00AD3670">
            <w:pPr>
              <w:pStyle w:val="Tableheading"/>
              <w:keepNext/>
              <w:rPr>
                <w:rFonts w:ascii="Arial" w:hAnsi="Arial" w:cs="Arial"/>
              </w:rPr>
            </w:pPr>
          </w:p>
        </w:tc>
        <w:tc>
          <w:tcPr>
            <w:tcW w:w="1304" w:type="dxa"/>
            <w:tcBorders>
              <w:top w:val="single" w:sz="4" w:space="0" w:color="auto"/>
              <w:left w:val="single" w:sz="4" w:space="0" w:color="auto"/>
              <w:right w:val="nil"/>
            </w:tcBorders>
            <w:shd w:val="clear" w:color="auto" w:fill="002060"/>
            <w:vAlign w:val="center"/>
          </w:tcPr>
          <w:p w14:paraId="07F0E150" w14:textId="77777777" w:rsidR="00AD3670" w:rsidRPr="00F738AD" w:rsidRDefault="00AD3670" w:rsidP="00AD3670">
            <w:pPr>
              <w:keepNext/>
              <w:jc w:val="center"/>
              <w:rPr>
                <w:rFonts w:ascii="Arial" w:hAnsi="Arial" w:cs="Arial"/>
                <w:color w:val="FFFFFF" w:themeColor="background1"/>
              </w:rPr>
            </w:pPr>
            <w:r w:rsidRPr="00F738AD">
              <w:rPr>
                <w:rFonts w:ascii="Arial" w:hAnsi="Arial" w:cs="Arial"/>
                <w:color w:val="FFFFFF" w:themeColor="background1"/>
              </w:rPr>
              <w:t>E</w:t>
            </w:r>
            <w:r>
              <w:rPr>
                <w:rFonts w:ascii="Arial" w:hAnsi="Arial" w:cs="Arial"/>
                <w:color w:val="FFFFFF" w:themeColor="background1"/>
              </w:rPr>
              <w:t>mployee e</w:t>
            </w:r>
            <w:r w:rsidRPr="00F738AD">
              <w:rPr>
                <w:rFonts w:ascii="Arial" w:hAnsi="Arial" w:cs="Arial"/>
                <w:color w:val="FFFFFF" w:themeColor="background1"/>
              </w:rPr>
              <w:t>quity (50%)</w:t>
            </w:r>
          </w:p>
        </w:tc>
        <w:tc>
          <w:tcPr>
            <w:tcW w:w="1304" w:type="dxa"/>
            <w:tcBorders>
              <w:top w:val="single" w:sz="4" w:space="0" w:color="auto"/>
              <w:left w:val="single" w:sz="4" w:space="0" w:color="auto"/>
              <w:right w:val="nil"/>
            </w:tcBorders>
            <w:shd w:val="clear" w:color="auto" w:fill="002060"/>
            <w:vAlign w:val="center"/>
          </w:tcPr>
          <w:p w14:paraId="3F0061A0" w14:textId="217F16D7" w:rsidR="00AD3670" w:rsidRPr="00F738AD" w:rsidRDefault="00B82CEE" w:rsidP="00AD3670">
            <w:pPr>
              <w:keepNext/>
              <w:jc w:val="center"/>
              <w:rPr>
                <w:rFonts w:ascii="Arial" w:hAnsi="Arial" w:cs="Arial"/>
                <w:b/>
                <w:color w:val="FFFFFF" w:themeColor="background1"/>
              </w:rPr>
            </w:pPr>
            <w:r>
              <w:rPr>
                <w:rFonts w:ascii="Arial" w:hAnsi="Arial" w:cs="Arial"/>
                <w:color w:val="FFFFFF" w:themeColor="background1"/>
              </w:rPr>
              <w:t>Employer</w:t>
            </w:r>
            <w:r w:rsidR="00AD3670">
              <w:rPr>
                <w:rFonts w:ascii="Arial" w:hAnsi="Arial" w:cs="Arial"/>
                <w:color w:val="FFFFFF" w:themeColor="background1"/>
              </w:rPr>
              <w:t xml:space="preserve"> financial cost </w:t>
            </w:r>
            <w:r w:rsidR="00AD3670" w:rsidRPr="00F738AD">
              <w:rPr>
                <w:rFonts w:ascii="Arial" w:hAnsi="Arial" w:cs="Arial"/>
                <w:color w:val="FFFFFF" w:themeColor="background1"/>
              </w:rPr>
              <w:t>(2</w:t>
            </w:r>
            <w:r w:rsidR="00AD3670">
              <w:rPr>
                <w:rFonts w:ascii="Arial" w:hAnsi="Arial" w:cs="Arial"/>
                <w:color w:val="FFFFFF" w:themeColor="background1"/>
              </w:rPr>
              <w:t>0</w:t>
            </w:r>
            <w:r w:rsidR="00AD3670" w:rsidRPr="00F738AD">
              <w:rPr>
                <w:rFonts w:ascii="Arial" w:hAnsi="Arial" w:cs="Arial"/>
                <w:color w:val="FFFFFF" w:themeColor="background1"/>
              </w:rPr>
              <w:t>%)</w:t>
            </w:r>
          </w:p>
        </w:tc>
        <w:tc>
          <w:tcPr>
            <w:tcW w:w="1304" w:type="dxa"/>
            <w:tcBorders>
              <w:top w:val="single" w:sz="4" w:space="0" w:color="auto"/>
              <w:left w:val="single" w:sz="4" w:space="0" w:color="auto"/>
              <w:right w:val="nil"/>
            </w:tcBorders>
            <w:shd w:val="clear" w:color="auto" w:fill="002060"/>
            <w:vAlign w:val="center"/>
          </w:tcPr>
          <w:p w14:paraId="0CAE0D5F" w14:textId="239C01C9" w:rsidR="00AD3670" w:rsidRPr="0074738D" w:rsidRDefault="00B82CEE" w:rsidP="00AD3670">
            <w:pPr>
              <w:keepNext/>
              <w:jc w:val="center"/>
              <w:rPr>
                <w:rFonts w:ascii="Arial" w:hAnsi="Arial" w:cs="Arial"/>
                <w:color w:val="FFFFFF" w:themeColor="background1"/>
              </w:rPr>
            </w:pPr>
            <w:r>
              <w:rPr>
                <w:rFonts w:ascii="Arial" w:hAnsi="Arial" w:cs="Arial"/>
                <w:color w:val="FFFFFF" w:themeColor="background1"/>
              </w:rPr>
              <w:t>Employer</w:t>
            </w:r>
            <w:r w:rsidR="00AD3670" w:rsidRPr="0074738D">
              <w:rPr>
                <w:rFonts w:ascii="Arial" w:hAnsi="Arial" w:cs="Arial"/>
                <w:color w:val="FFFFFF" w:themeColor="background1"/>
              </w:rPr>
              <w:t xml:space="preserve"> uncertainty</w:t>
            </w:r>
            <w:r w:rsidR="00AD3670">
              <w:rPr>
                <w:rFonts w:ascii="Arial" w:hAnsi="Arial" w:cs="Arial"/>
                <w:color w:val="FFFFFF" w:themeColor="background1"/>
              </w:rPr>
              <w:t xml:space="preserve"> cost</w:t>
            </w:r>
            <w:r w:rsidR="00AD3670" w:rsidRPr="0074738D">
              <w:rPr>
                <w:rFonts w:ascii="Arial" w:hAnsi="Arial" w:cs="Arial"/>
                <w:color w:val="FFFFFF" w:themeColor="background1"/>
              </w:rPr>
              <w:t xml:space="preserve"> (20%)</w:t>
            </w:r>
          </w:p>
        </w:tc>
        <w:tc>
          <w:tcPr>
            <w:tcW w:w="1304" w:type="dxa"/>
            <w:tcBorders>
              <w:top w:val="single" w:sz="4" w:space="0" w:color="auto"/>
              <w:left w:val="single" w:sz="4" w:space="0" w:color="auto"/>
              <w:right w:val="nil"/>
            </w:tcBorders>
            <w:shd w:val="clear" w:color="auto" w:fill="002060"/>
            <w:vAlign w:val="center"/>
          </w:tcPr>
          <w:p w14:paraId="0C43AB9D" w14:textId="77777777" w:rsidR="00AD3670" w:rsidRPr="00F738AD" w:rsidRDefault="00AD3670" w:rsidP="00AD3670">
            <w:pPr>
              <w:keepNext/>
              <w:jc w:val="center"/>
              <w:rPr>
                <w:rFonts w:ascii="Arial" w:hAnsi="Arial" w:cs="Arial"/>
                <w:color w:val="FFFFFF" w:themeColor="background1"/>
              </w:rPr>
            </w:pPr>
            <w:r>
              <w:rPr>
                <w:rFonts w:ascii="Arial" w:hAnsi="Arial" w:cs="Arial"/>
                <w:color w:val="FFFFFF" w:themeColor="background1"/>
              </w:rPr>
              <w:t>Impact on Authority</w:t>
            </w:r>
          </w:p>
          <w:p w14:paraId="1B1B5F0F" w14:textId="77777777" w:rsidR="00AD3670" w:rsidRPr="00F738AD" w:rsidRDefault="00AD3670" w:rsidP="00AD3670">
            <w:pPr>
              <w:keepNext/>
              <w:jc w:val="center"/>
              <w:rPr>
                <w:rFonts w:ascii="Arial" w:hAnsi="Arial" w:cs="Arial"/>
                <w:color w:val="FFFFFF" w:themeColor="background1"/>
              </w:rPr>
            </w:pPr>
            <w:r w:rsidRPr="00F738AD">
              <w:rPr>
                <w:rFonts w:ascii="Arial" w:hAnsi="Arial" w:cs="Arial"/>
                <w:color w:val="FFFFFF" w:themeColor="background1"/>
              </w:rPr>
              <w:t>(</w:t>
            </w:r>
            <w:r>
              <w:rPr>
                <w:rFonts w:ascii="Arial" w:hAnsi="Arial" w:cs="Arial"/>
                <w:color w:val="FFFFFF" w:themeColor="background1"/>
              </w:rPr>
              <w:t>10</w:t>
            </w:r>
            <w:r w:rsidRPr="00F738AD">
              <w:rPr>
                <w:rFonts w:ascii="Arial" w:hAnsi="Arial" w:cs="Arial"/>
                <w:color w:val="FFFFFF" w:themeColor="background1"/>
              </w:rPr>
              <w:t>%)</w:t>
            </w:r>
          </w:p>
        </w:tc>
        <w:tc>
          <w:tcPr>
            <w:tcW w:w="1304" w:type="dxa"/>
            <w:tcBorders>
              <w:top w:val="single" w:sz="4" w:space="0" w:color="auto"/>
              <w:left w:val="single" w:sz="4" w:space="0" w:color="auto"/>
              <w:right w:val="nil"/>
            </w:tcBorders>
            <w:shd w:val="clear" w:color="auto" w:fill="002060"/>
            <w:vAlign w:val="center"/>
          </w:tcPr>
          <w:p w14:paraId="041A7EB2" w14:textId="77777777" w:rsidR="00AD3670" w:rsidRPr="00F738AD" w:rsidRDefault="00AD3670" w:rsidP="00AD3670">
            <w:pPr>
              <w:keepNext/>
              <w:jc w:val="center"/>
              <w:rPr>
                <w:rFonts w:ascii="Arial" w:hAnsi="Arial" w:cs="Arial"/>
                <w:b/>
                <w:color w:val="FFFFFF" w:themeColor="background1"/>
              </w:rPr>
            </w:pPr>
            <w:r w:rsidRPr="00F738AD">
              <w:rPr>
                <w:rFonts w:ascii="Arial" w:hAnsi="Arial" w:cs="Arial"/>
                <w:b/>
                <w:color w:val="FFFFFF" w:themeColor="background1"/>
              </w:rPr>
              <w:t>Weighted score</w:t>
            </w:r>
          </w:p>
        </w:tc>
      </w:tr>
      <w:tr w:rsidR="00AD3670" w:rsidRPr="00EC5379" w14:paraId="2B0903D3" w14:textId="77777777" w:rsidTr="00337958">
        <w:trPr>
          <w:trHeight w:val="598"/>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1AAC822B" w14:textId="77777777" w:rsidR="00AD3670" w:rsidRPr="00EC5379" w:rsidRDefault="00AD3670" w:rsidP="00AD3670">
            <w:pPr>
              <w:keepNext/>
              <w:spacing w:before="100" w:beforeAutospacing="1"/>
              <w:rPr>
                <w:rFonts w:ascii="Arial" w:hAnsi="Arial" w:cs="Arial"/>
              </w:rPr>
            </w:pPr>
            <w:r>
              <w:rPr>
                <w:rFonts w:ascii="Arial" w:hAnsi="Arial" w:cs="Arial"/>
              </w:rPr>
              <w:t>Status</w:t>
            </w:r>
            <w:r w:rsidRPr="00EC5379">
              <w:rPr>
                <w:rFonts w:ascii="Arial" w:hAnsi="Arial" w:cs="Arial"/>
              </w:rPr>
              <w:t xml:space="preserve"> quo under the Interim Regulations</w:t>
            </w:r>
          </w:p>
        </w:tc>
        <w:tc>
          <w:tcPr>
            <w:tcW w:w="1304" w:type="dxa"/>
            <w:tcBorders>
              <w:left w:val="single" w:sz="4" w:space="0" w:color="auto"/>
              <w:right w:val="nil"/>
            </w:tcBorders>
            <w:shd w:val="clear" w:color="auto" w:fill="DEEAF6" w:themeFill="accent1" w:themeFillTint="33"/>
            <w:vAlign w:val="center"/>
          </w:tcPr>
          <w:p w14:paraId="670A58F3" w14:textId="77777777" w:rsidR="00AD3670" w:rsidRPr="00EC5379" w:rsidRDefault="00AD3670" w:rsidP="00AD3670">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13035E5D" w14:textId="77777777" w:rsidR="00AD3670" w:rsidRPr="00EC5379" w:rsidRDefault="00AD3670" w:rsidP="00AD3670">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0347C179" w14:textId="77777777" w:rsidR="00AD3670" w:rsidRPr="00EC5379" w:rsidRDefault="00AD3670" w:rsidP="00AD3670">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72D5EE75" w14:textId="77777777" w:rsidR="00AD3670" w:rsidRPr="00EC5379" w:rsidRDefault="00AD3670" w:rsidP="00AD3670">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142A04DB" w14:textId="77777777" w:rsidR="00AD3670" w:rsidRPr="00EC5379" w:rsidRDefault="00AD3670" w:rsidP="00AD3670">
            <w:pPr>
              <w:keepNext/>
              <w:jc w:val="center"/>
              <w:rPr>
                <w:rFonts w:ascii="Arial" w:hAnsi="Arial" w:cs="Arial"/>
                <w:b/>
              </w:rPr>
            </w:pPr>
            <w:r>
              <w:rPr>
                <w:rFonts w:ascii="Arial" w:hAnsi="Arial" w:cs="Arial"/>
                <w:b/>
              </w:rPr>
              <w:t>0</w:t>
            </w:r>
          </w:p>
        </w:tc>
      </w:tr>
      <w:tr w:rsidR="00AD3670" w:rsidRPr="00EC5379" w14:paraId="54D7A712" w14:textId="77777777" w:rsidTr="00337958">
        <w:trPr>
          <w:trHeight w:val="564"/>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13E48D52" w14:textId="76664BEE" w:rsidR="00AD3670" w:rsidRPr="00EC5379" w:rsidRDefault="00AD3670" w:rsidP="00AD3670">
            <w:pPr>
              <w:keepNext/>
              <w:spacing w:before="100" w:beforeAutospacing="1"/>
              <w:rPr>
                <w:rFonts w:ascii="Arial" w:hAnsi="Arial" w:cs="Arial"/>
              </w:rPr>
            </w:pPr>
            <w:r w:rsidRPr="00EC5379">
              <w:rPr>
                <w:rFonts w:ascii="Arial" w:hAnsi="Arial" w:cs="Arial"/>
              </w:rPr>
              <w:t>Option 1 –</w:t>
            </w:r>
            <w:r>
              <w:rPr>
                <w:rFonts w:ascii="Arial" w:hAnsi="Arial" w:cs="Arial"/>
              </w:rPr>
              <w:t xml:space="preserve"> Introduce a predominance test</w:t>
            </w:r>
          </w:p>
        </w:tc>
        <w:tc>
          <w:tcPr>
            <w:tcW w:w="1304" w:type="dxa"/>
            <w:tcBorders>
              <w:left w:val="single" w:sz="4" w:space="0" w:color="auto"/>
              <w:right w:val="nil"/>
            </w:tcBorders>
            <w:shd w:val="clear" w:color="auto" w:fill="DEEAF6" w:themeFill="accent1" w:themeFillTint="33"/>
            <w:vAlign w:val="center"/>
          </w:tcPr>
          <w:p w14:paraId="420E4A32" w14:textId="6DFA28F8" w:rsidR="00AD3670" w:rsidRPr="00EC5379" w:rsidRDefault="00AD3670" w:rsidP="00AD3670">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39413DFA" w14:textId="0149ECCC" w:rsidR="00AD3670" w:rsidRPr="00EC5379" w:rsidRDefault="00AD3670" w:rsidP="00AD3670">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16F3632F" w14:textId="38AF6499" w:rsidR="00AD3670" w:rsidRPr="00EC5379" w:rsidRDefault="00AD3670" w:rsidP="00AD3670">
            <w:pPr>
              <w:keepNext/>
              <w:jc w:val="center"/>
              <w:rPr>
                <w:rFonts w:ascii="Arial" w:hAnsi="Arial" w:cs="Arial"/>
              </w:rPr>
            </w:pPr>
            <w:r>
              <w:rPr>
                <w:rFonts w:ascii="Arial" w:hAnsi="Arial" w:cs="Arial"/>
              </w:rPr>
              <w:t>2</w:t>
            </w:r>
          </w:p>
        </w:tc>
        <w:tc>
          <w:tcPr>
            <w:tcW w:w="1304" w:type="dxa"/>
            <w:tcBorders>
              <w:left w:val="single" w:sz="4" w:space="0" w:color="auto"/>
              <w:right w:val="nil"/>
            </w:tcBorders>
            <w:shd w:val="clear" w:color="auto" w:fill="DEEAF6" w:themeFill="accent1" w:themeFillTint="33"/>
            <w:vAlign w:val="center"/>
          </w:tcPr>
          <w:p w14:paraId="1230C0DE" w14:textId="41737BBF" w:rsidR="00AD3670" w:rsidRPr="00EC5379" w:rsidRDefault="00AD3670" w:rsidP="00AD3670">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7363C05D" w14:textId="0C0DF12E" w:rsidR="00AD3670" w:rsidRPr="00EC5379" w:rsidRDefault="00AD3670" w:rsidP="00AD3670">
            <w:pPr>
              <w:keepNext/>
              <w:jc w:val="center"/>
              <w:rPr>
                <w:rFonts w:ascii="Arial" w:hAnsi="Arial" w:cs="Arial"/>
                <w:b/>
              </w:rPr>
            </w:pPr>
            <w:r>
              <w:rPr>
                <w:rFonts w:ascii="Arial" w:hAnsi="Arial" w:cs="Arial"/>
                <w:b/>
              </w:rPr>
              <w:t>0.7</w:t>
            </w:r>
          </w:p>
        </w:tc>
      </w:tr>
      <w:tr w:rsidR="00AD3670" w:rsidRPr="00EC5379" w14:paraId="0B68FD0D" w14:textId="77777777" w:rsidTr="00337958">
        <w:trPr>
          <w:trHeight w:val="1072"/>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70313DF8" w14:textId="3F674597" w:rsidR="00AD3670" w:rsidRPr="00EC5379" w:rsidRDefault="00AD3670" w:rsidP="00AD3670">
            <w:pPr>
              <w:keepNext/>
              <w:spacing w:before="100" w:beforeAutospacing="1"/>
              <w:rPr>
                <w:rFonts w:ascii="Arial" w:hAnsi="Arial" w:cs="Arial"/>
              </w:rPr>
            </w:pPr>
            <w:r w:rsidRPr="00EC5379">
              <w:rPr>
                <w:rFonts w:ascii="Arial" w:hAnsi="Arial" w:cs="Arial"/>
              </w:rPr>
              <w:t xml:space="preserve">Option 2 – </w:t>
            </w:r>
            <w:r>
              <w:rPr>
                <w:rFonts w:ascii="Arial" w:hAnsi="Arial" w:cs="Arial"/>
              </w:rPr>
              <w:t xml:space="preserve">Define employees in reference to the </w:t>
            </w:r>
            <w:r w:rsidRPr="00467A57">
              <w:rPr>
                <w:rFonts w:ascii="Arial" w:hAnsi="Arial" w:cs="Arial"/>
                <w:i/>
              </w:rPr>
              <w:t>Private Security Act 2004</w:t>
            </w:r>
          </w:p>
        </w:tc>
        <w:tc>
          <w:tcPr>
            <w:tcW w:w="1304" w:type="dxa"/>
            <w:tcBorders>
              <w:left w:val="single" w:sz="4" w:space="0" w:color="auto"/>
              <w:right w:val="nil"/>
            </w:tcBorders>
            <w:shd w:val="clear" w:color="auto" w:fill="DEEAF6" w:themeFill="accent1" w:themeFillTint="33"/>
            <w:vAlign w:val="center"/>
          </w:tcPr>
          <w:p w14:paraId="2C234A88" w14:textId="4F3FA233" w:rsidR="00AD3670" w:rsidRDefault="00AD3670" w:rsidP="00AD3670">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60EF0B8F" w14:textId="10E19C84" w:rsidR="00AD3670" w:rsidRDefault="00AD3670" w:rsidP="00AD3670">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4D9B6A14" w14:textId="3BB31534" w:rsidR="00AD3670" w:rsidRDefault="00AD3670" w:rsidP="00AD3670">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5E416824" w14:textId="065F23E2" w:rsidR="00AD3670" w:rsidRDefault="00AD3670" w:rsidP="00AD3670">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0E4515FB" w14:textId="0DEA257E" w:rsidR="00AD3670" w:rsidRDefault="00AD3670" w:rsidP="00AD3670">
            <w:pPr>
              <w:keepNext/>
              <w:jc w:val="center"/>
              <w:rPr>
                <w:rFonts w:ascii="Arial" w:hAnsi="Arial" w:cs="Arial"/>
                <w:b/>
              </w:rPr>
            </w:pPr>
            <w:r>
              <w:rPr>
                <w:rFonts w:ascii="Arial" w:hAnsi="Arial" w:cs="Arial"/>
                <w:b/>
              </w:rPr>
              <w:t>0.6</w:t>
            </w:r>
          </w:p>
        </w:tc>
      </w:tr>
      <w:tr w:rsidR="00AD3670" w:rsidRPr="00EC5379" w14:paraId="22F39353" w14:textId="77777777" w:rsidTr="00337958">
        <w:trPr>
          <w:trHeight w:val="605"/>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55C09E68" w14:textId="59228CA2" w:rsidR="00AD3670" w:rsidRPr="00EC5379" w:rsidRDefault="00AD3670" w:rsidP="00AD3670">
            <w:pPr>
              <w:keepNext/>
              <w:spacing w:before="100" w:beforeAutospacing="1"/>
              <w:rPr>
                <w:rFonts w:ascii="Arial" w:hAnsi="Arial" w:cs="Arial"/>
              </w:rPr>
            </w:pPr>
            <w:r>
              <w:rPr>
                <w:rFonts w:ascii="Arial" w:hAnsi="Arial" w:cs="Arial"/>
              </w:rPr>
              <w:t>Option 3 – Introduce an awards coverage test</w:t>
            </w:r>
          </w:p>
        </w:tc>
        <w:tc>
          <w:tcPr>
            <w:tcW w:w="1304" w:type="dxa"/>
            <w:tcBorders>
              <w:left w:val="single" w:sz="4" w:space="0" w:color="auto"/>
              <w:right w:val="nil"/>
            </w:tcBorders>
            <w:shd w:val="clear" w:color="auto" w:fill="DEEAF6" w:themeFill="accent1" w:themeFillTint="33"/>
            <w:vAlign w:val="center"/>
          </w:tcPr>
          <w:p w14:paraId="5989EEF2" w14:textId="1D79F80C" w:rsidR="00AD3670" w:rsidRDefault="00AB404C" w:rsidP="00AD3670">
            <w:pPr>
              <w:keepNext/>
              <w:jc w:val="center"/>
              <w:rPr>
                <w:rFonts w:ascii="Arial" w:hAnsi="Arial" w:cs="Arial"/>
              </w:rPr>
            </w:pPr>
            <w:r>
              <w:rPr>
                <w:rFonts w:ascii="Arial" w:hAnsi="Arial" w:cs="Arial"/>
              </w:rPr>
              <w:t>-</w:t>
            </w:r>
            <w:r w:rsidR="00AC1C2E">
              <w:rPr>
                <w:rFonts w:ascii="Arial" w:hAnsi="Arial" w:cs="Arial"/>
              </w:rPr>
              <w:t>2</w:t>
            </w:r>
          </w:p>
        </w:tc>
        <w:tc>
          <w:tcPr>
            <w:tcW w:w="1304" w:type="dxa"/>
            <w:tcBorders>
              <w:left w:val="single" w:sz="4" w:space="0" w:color="auto"/>
              <w:right w:val="nil"/>
            </w:tcBorders>
            <w:shd w:val="clear" w:color="auto" w:fill="DEEAF6" w:themeFill="accent1" w:themeFillTint="33"/>
            <w:vAlign w:val="center"/>
          </w:tcPr>
          <w:p w14:paraId="1BA09AB9" w14:textId="6B2DABFD" w:rsidR="00AD3670" w:rsidRDefault="00AC1C2E" w:rsidP="00AD3670">
            <w:pPr>
              <w:keepNext/>
              <w:jc w:val="center"/>
              <w:rPr>
                <w:rFonts w:ascii="Arial" w:hAnsi="Arial" w:cs="Arial"/>
              </w:rPr>
            </w:pPr>
            <w:r>
              <w:rPr>
                <w:rFonts w:ascii="Arial" w:hAnsi="Arial" w:cs="Arial"/>
              </w:rPr>
              <w:t>2</w:t>
            </w:r>
          </w:p>
        </w:tc>
        <w:tc>
          <w:tcPr>
            <w:tcW w:w="1304" w:type="dxa"/>
            <w:tcBorders>
              <w:left w:val="single" w:sz="4" w:space="0" w:color="auto"/>
              <w:right w:val="nil"/>
            </w:tcBorders>
            <w:shd w:val="clear" w:color="auto" w:fill="DEEAF6" w:themeFill="accent1" w:themeFillTint="33"/>
            <w:vAlign w:val="center"/>
          </w:tcPr>
          <w:p w14:paraId="7B5C78C1" w14:textId="60413AA3" w:rsidR="00AD3670" w:rsidRDefault="00AD3670" w:rsidP="00AD3670">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2591843E" w14:textId="0AF0523F" w:rsidR="00AD3670" w:rsidRDefault="00AD3670" w:rsidP="00AD3670">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5A8B0960" w14:textId="522BFBA0" w:rsidR="00AD3670" w:rsidRDefault="00AB404C" w:rsidP="00AD3670">
            <w:pPr>
              <w:keepNext/>
              <w:jc w:val="center"/>
              <w:rPr>
                <w:rFonts w:ascii="Arial" w:hAnsi="Arial" w:cs="Arial"/>
                <w:b/>
              </w:rPr>
            </w:pPr>
            <w:r>
              <w:rPr>
                <w:rFonts w:ascii="Arial" w:hAnsi="Arial" w:cs="Arial"/>
                <w:b/>
              </w:rPr>
              <w:t>0.</w:t>
            </w:r>
            <w:r w:rsidR="00AC1C2E">
              <w:rPr>
                <w:rFonts w:ascii="Arial" w:hAnsi="Arial" w:cs="Arial"/>
                <w:b/>
              </w:rPr>
              <w:t>3</w:t>
            </w:r>
          </w:p>
        </w:tc>
      </w:tr>
    </w:tbl>
    <w:p w14:paraId="56927DD1" w14:textId="77777777" w:rsidR="00807495" w:rsidRPr="00EC5379" w:rsidRDefault="00807495" w:rsidP="00807495">
      <w:pPr>
        <w:spacing w:before="240"/>
        <w:rPr>
          <w:rFonts w:ascii="Arial" w:hAnsi="Arial" w:cs="Arial"/>
        </w:rPr>
      </w:pPr>
      <w:r w:rsidRPr="00EC5379">
        <w:rPr>
          <w:rFonts w:ascii="Arial" w:hAnsi="Arial" w:cs="Arial"/>
        </w:rPr>
        <w:t>The rationale for these scores is summarised for each option in the following sub-sections.</w:t>
      </w:r>
    </w:p>
    <w:p w14:paraId="61A3AC71" w14:textId="122C1A44" w:rsidR="006E6E42" w:rsidRPr="00CF0C6E" w:rsidRDefault="006E6E42" w:rsidP="004A514D">
      <w:pPr>
        <w:pStyle w:val="Heading6"/>
      </w:pPr>
      <w:r w:rsidRPr="00DB3ADD">
        <w:t xml:space="preserve">Analysis of the </w:t>
      </w:r>
      <w:r w:rsidR="0013418B" w:rsidRPr="00DB3ADD">
        <w:t>status quo</w:t>
      </w:r>
    </w:p>
    <w:p w14:paraId="71208446" w14:textId="5B12EA62" w:rsidR="00E54DBF" w:rsidRDefault="00C17C3F" w:rsidP="00E54DBF">
      <w:pPr>
        <w:pStyle w:val="BodyText"/>
        <w:rPr>
          <w:rFonts w:cs="Arial"/>
          <w:color w:val="auto"/>
        </w:rPr>
      </w:pPr>
      <w:r w:rsidRPr="00EC5379">
        <w:rPr>
          <w:rFonts w:cs="Arial"/>
        </w:rPr>
        <w:t xml:space="preserve">The </w:t>
      </w:r>
      <w:r w:rsidR="0013418B">
        <w:rPr>
          <w:rFonts w:cs="Arial"/>
        </w:rPr>
        <w:t>status quo</w:t>
      </w:r>
      <w:r w:rsidRPr="00EC5379">
        <w:rPr>
          <w:rFonts w:cs="Arial"/>
        </w:rPr>
        <w:t xml:space="preserve"> is analysed to provide a point of comparison for the options which follow. </w:t>
      </w:r>
      <w:r w:rsidR="00ED6A77">
        <w:rPr>
          <w:rFonts w:cs="Arial"/>
        </w:rPr>
        <w:t>T</w:t>
      </w:r>
      <w:r w:rsidRPr="00EC5379">
        <w:rPr>
          <w:rFonts w:cs="Arial"/>
        </w:rPr>
        <w:t xml:space="preserve">he </w:t>
      </w:r>
      <w:r w:rsidR="0013418B">
        <w:rPr>
          <w:rFonts w:cs="Arial"/>
        </w:rPr>
        <w:t>status quo</w:t>
      </w:r>
      <w:r w:rsidRPr="00EC5379">
        <w:rPr>
          <w:rFonts w:cs="Arial"/>
        </w:rPr>
        <w:t xml:space="preserve"> </w:t>
      </w:r>
      <w:r w:rsidR="00807495" w:rsidRPr="00EC5379">
        <w:rPr>
          <w:rFonts w:cs="Arial"/>
        </w:rPr>
        <w:t xml:space="preserve">would </w:t>
      </w:r>
      <w:r w:rsidR="00763CD5">
        <w:rPr>
          <w:rFonts w:cs="Arial"/>
        </w:rPr>
        <w:t xml:space="preserve">maintain the current approach in the Interim Regulations to not provide a definition for who is </w:t>
      </w:r>
      <w:r w:rsidR="0071726F">
        <w:rPr>
          <w:rFonts w:cs="Arial"/>
          <w:color w:val="auto"/>
        </w:rPr>
        <w:t xml:space="preserve">regarded as </w:t>
      </w:r>
      <w:r w:rsidR="00763CD5">
        <w:rPr>
          <w:rFonts w:cs="Arial"/>
        </w:rPr>
        <w:t>an employee in the security industry.</w:t>
      </w:r>
      <w:r w:rsidR="00E54DBF">
        <w:rPr>
          <w:rFonts w:cs="Arial"/>
        </w:rPr>
        <w:t xml:space="preserve"> </w:t>
      </w:r>
      <w:r w:rsidR="0081781F">
        <w:rPr>
          <w:rFonts w:cs="Arial"/>
          <w:color w:val="auto"/>
        </w:rPr>
        <w:t>This would</w:t>
      </w:r>
      <w:r w:rsidR="0016484C">
        <w:rPr>
          <w:rFonts w:cs="Arial"/>
          <w:color w:val="auto"/>
        </w:rPr>
        <w:t xml:space="preserve"> mean</w:t>
      </w:r>
      <w:r w:rsidR="00E54DBF" w:rsidRPr="004B3C99">
        <w:rPr>
          <w:rFonts w:cs="Arial"/>
          <w:color w:val="auto"/>
        </w:rPr>
        <w:t xml:space="preserve"> employers, employees and the Authority would lack clarity as to </w:t>
      </w:r>
      <w:r w:rsidR="00E54DBF">
        <w:rPr>
          <w:rFonts w:cs="Arial"/>
          <w:color w:val="auto"/>
        </w:rPr>
        <w:t xml:space="preserve">who is </w:t>
      </w:r>
      <w:r w:rsidR="0071726F">
        <w:rPr>
          <w:rFonts w:cs="Arial"/>
          <w:color w:val="auto"/>
        </w:rPr>
        <w:t xml:space="preserve">regarded as </w:t>
      </w:r>
      <w:r w:rsidR="00E54DBF">
        <w:rPr>
          <w:rFonts w:cs="Arial"/>
          <w:color w:val="auto"/>
        </w:rPr>
        <w:t>an employee in the security industry</w:t>
      </w:r>
      <w:r w:rsidR="00FF631A">
        <w:rPr>
          <w:rFonts w:cs="Arial"/>
          <w:color w:val="auto"/>
        </w:rPr>
        <w:t>.</w:t>
      </w:r>
      <w:r w:rsidR="00903F53">
        <w:rPr>
          <w:rFonts w:cs="Arial"/>
          <w:color w:val="auto"/>
        </w:rPr>
        <w:t xml:space="preserve"> Under the status quo, almost all the employees from the sector currently registered with the Authority are intended to be covered by the Scheme</w:t>
      </w:r>
      <w:r w:rsidR="0055008B">
        <w:rPr>
          <w:rFonts w:cs="Arial"/>
          <w:color w:val="auto"/>
        </w:rPr>
        <w:t xml:space="preserve">. </w:t>
      </w:r>
    </w:p>
    <w:p w14:paraId="64EE0DB7" w14:textId="38B48E8C" w:rsidR="00ED6A77" w:rsidRPr="004B3C99" w:rsidRDefault="00ED6A77" w:rsidP="00ED6A77">
      <w:pPr>
        <w:pStyle w:val="BodyText"/>
        <w:numPr>
          <w:ilvl w:val="0"/>
          <w:numId w:val="70"/>
        </w:numPr>
        <w:rPr>
          <w:rFonts w:cs="Arial"/>
          <w:color w:val="auto"/>
        </w:rPr>
      </w:pPr>
      <w:r w:rsidRPr="004B3C99">
        <w:rPr>
          <w:rFonts w:cs="Arial"/>
          <w:color w:val="auto"/>
        </w:rPr>
        <w:t xml:space="preserve">The lack of clarity </w:t>
      </w:r>
      <w:r>
        <w:rPr>
          <w:rFonts w:cs="Arial"/>
          <w:color w:val="auto"/>
        </w:rPr>
        <w:t xml:space="preserve">could result in </w:t>
      </w:r>
      <w:r w:rsidRPr="004B3C99">
        <w:rPr>
          <w:rFonts w:cs="Arial"/>
          <w:color w:val="auto"/>
        </w:rPr>
        <w:t xml:space="preserve">eligible </w:t>
      </w:r>
      <w:r w:rsidR="00BA4E89">
        <w:rPr>
          <w:rFonts w:cs="Arial"/>
          <w:color w:val="auto"/>
        </w:rPr>
        <w:t>employee</w:t>
      </w:r>
      <w:r w:rsidRPr="004B3C99">
        <w:rPr>
          <w:rFonts w:cs="Arial"/>
          <w:color w:val="auto"/>
        </w:rPr>
        <w:t>s</w:t>
      </w:r>
      <w:r>
        <w:rPr>
          <w:rFonts w:cs="Arial"/>
          <w:color w:val="auto"/>
        </w:rPr>
        <w:t xml:space="preserve"> incorrectly</w:t>
      </w:r>
      <w:r w:rsidRPr="004B3C99">
        <w:rPr>
          <w:rFonts w:cs="Arial"/>
          <w:color w:val="auto"/>
        </w:rPr>
        <w:t xml:space="preserve"> </w:t>
      </w:r>
      <w:r>
        <w:rPr>
          <w:rFonts w:cs="Arial"/>
          <w:color w:val="auto"/>
        </w:rPr>
        <w:t xml:space="preserve">being </w:t>
      </w:r>
      <w:r w:rsidRPr="004B3C99">
        <w:rPr>
          <w:rFonts w:cs="Arial"/>
          <w:color w:val="auto"/>
        </w:rPr>
        <w:t>denied access</w:t>
      </w:r>
      <w:r>
        <w:rPr>
          <w:rFonts w:cs="Arial"/>
          <w:color w:val="auto"/>
        </w:rPr>
        <w:t xml:space="preserve"> to, or ineligible </w:t>
      </w:r>
      <w:r w:rsidR="00BA4E89">
        <w:rPr>
          <w:rFonts w:cs="Arial"/>
          <w:color w:val="auto"/>
        </w:rPr>
        <w:t>employee</w:t>
      </w:r>
      <w:r>
        <w:rPr>
          <w:rFonts w:cs="Arial"/>
          <w:color w:val="auto"/>
        </w:rPr>
        <w:t>s incorrectly being given access</w:t>
      </w:r>
      <w:r w:rsidRPr="004B3C99">
        <w:rPr>
          <w:rFonts w:cs="Arial"/>
          <w:color w:val="auto"/>
        </w:rPr>
        <w:t xml:space="preserve"> to</w:t>
      </w:r>
      <w:r>
        <w:rPr>
          <w:rFonts w:cs="Arial"/>
          <w:color w:val="auto"/>
        </w:rPr>
        <w:t>,</w:t>
      </w:r>
      <w:r w:rsidRPr="004B3C99">
        <w:rPr>
          <w:rFonts w:cs="Arial"/>
          <w:color w:val="auto"/>
        </w:rPr>
        <w:t xml:space="preserve"> porta</w:t>
      </w:r>
      <w:r>
        <w:rPr>
          <w:rFonts w:cs="Arial"/>
          <w:color w:val="auto"/>
        </w:rPr>
        <w:t>ble long service benefits under the Scheme;</w:t>
      </w:r>
    </w:p>
    <w:p w14:paraId="1B910DC8" w14:textId="77777777" w:rsidR="00ED6A77" w:rsidRDefault="00ED6A77" w:rsidP="00ED6A77">
      <w:pPr>
        <w:pStyle w:val="BodyText"/>
        <w:numPr>
          <w:ilvl w:val="0"/>
          <w:numId w:val="70"/>
        </w:numPr>
        <w:rPr>
          <w:rFonts w:cs="Arial"/>
          <w:color w:val="auto"/>
        </w:rPr>
      </w:pPr>
      <w:r w:rsidRPr="004B3C99">
        <w:rPr>
          <w:rFonts w:cs="Arial"/>
          <w:color w:val="auto"/>
        </w:rPr>
        <w:t xml:space="preserve">The lack of clarity would continue to add to the administrative burden </w:t>
      </w:r>
      <w:r>
        <w:rPr>
          <w:rFonts w:cs="Arial"/>
          <w:color w:val="auto"/>
        </w:rPr>
        <w:t xml:space="preserve">of uncertainty </w:t>
      </w:r>
      <w:r w:rsidRPr="004B3C99">
        <w:rPr>
          <w:rFonts w:cs="Arial"/>
          <w:color w:val="auto"/>
        </w:rPr>
        <w:t xml:space="preserve">on employers </w:t>
      </w:r>
      <w:r>
        <w:rPr>
          <w:rFonts w:cs="Arial"/>
          <w:color w:val="auto"/>
        </w:rPr>
        <w:t>in determining whether their employees are covered by the Scheme; and</w:t>
      </w:r>
      <w:r w:rsidRPr="004B3C99">
        <w:rPr>
          <w:rFonts w:cs="Arial"/>
          <w:color w:val="auto"/>
        </w:rPr>
        <w:t xml:space="preserve"> </w:t>
      </w:r>
    </w:p>
    <w:p w14:paraId="51A93F4B" w14:textId="42312917" w:rsidR="00ED6A77" w:rsidRPr="00ED6A77" w:rsidRDefault="00ED6A77" w:rsidP="00337958">
      <w:pPr>
        <w:pStyle w:val="BodyText"/>
        <w:numPr>
          <w:ilvl w:val="0"/>
          <w:numId w:val="70"/>
        </w:numPr>
        <w:rPr>
          <w:rFonts w:cs="Arial"/>
        </w:rPr>
      </w:pPr>
      <w:r>
        <w:rPr>
          <w:rFonts w:cs="Arial"/>
        </w:rPr>
        <w:t xml:space="preserve">The Authority would continue to be burdened by questions from the security </w:t>
      </w:r>
      <w:r w:rsidR="00FF631A">
        <w:rPr>
          <w:rFonts w:cs="Arial"/>
        </w:rPr>
        <w:t>sector and be in no</w:t>
      </w:r>
      <w:r>
        <w:rPr>
          <w:rFonts w:cs="Arial"/>
        </w:rPr>
        <w:t xml:space="preserve"> better position to provide clear guidance.</w:t>
      </w:r>
    </w:p>
    <w:p w14:paraId="30929A3B" w14:textId="0D75C976" w:rsidR="00467A57" w:rsidRPr="00CF0C6E" w:rsidRDefault="00467A57" w:rsidP="00AD518C">
      <w:pPr>
        <w:pStyle w:val="Heading6"/>
      </w:pPr>
      <w:r w:rsidRPr="00DB3ADD">
        <w:t xml:space="preserve">Option 1 – Introduce a predominance test for the security industry </w:t>
      </w:r>
    </w:p>
    <w:p w14:paraId="24412504" w14:textId="3ED043CD" w:rsidR="00DF2E27" w:rsidRPr="00DB3ADD" w:rsidRDefault="00DF2E27" w:rsidP="004A514D">
      <w:pPr>
        <w:pStyle w:val="Heading7"/>
        <w:rPr>
          <w:b/>
        </w:rPr>
      </w:pPr>
      <w:r w:rsidRPr="00CB4236">
        <w:t>Equity</w:t>
      </w:r>
      <w:r w:rsidR="009242AA" w:rsidRPr="00CB4236">
        <w:t xml:space="preserve"> for employees</w:t>
      </w:r>
    </w:p>
    <w:p w14:paraId="74D52412" w14:textId="7C61068F" w:rsidR="00203494" w:rsidRDefault="00203494" w:rsidP="00DF2E27">
      <w:pPr>
        <w:pStyle w:val="BodyText"/>
        <w:rPr>
          <w:rFonts w:cs="Arial"/>
          <w:color w:val="auto"/>
        </w:rPr>
      </w:pPr>
      <w:r w:rsidRPr="004B3C99">
        <w:rPr>
          <w:rFonts w:cs="Arial"/>
          <w:color w:val="auto"/>
        </w:rPr>
        <w:t>Th</w:t>
      </w:r>
      <w:r w:rsidR="005A3ACE">
        <w:rPr>
          <w:rFonts w:cs="Arial"/>
          <w:color w:val="auto"/>
        </w:rPr>
        <w:t>is</w:t>
      </w:r>
      <w:r w:rsidRPr="004B3C99">
        <w:rPr>
          <w:rFonts w:cs="Arial"/>
          <w:color w:val="auto"/>
        </w:rPr>
        <w:t xml:space="preserve"> option would </w:t>
      </w:r>
      <w:r w:rsidR="009242AA">
        <w:rPr>
          <w:rFonts w:cs="Arial"/>
          <w:color w:val="auto"/>
        </w:rPr>
        <w:t>result in no change to the status quo</w:t>
      </w:r>
      <w:r>
        <w:rPr>
          <w:rFonts w:cs="Arial"/>
          <w:color w:val="auto"/>
        </w:rPr>
        <w:t xml:space="preserve">. </w:t>
      </w:r>
      <w:r w:rsidR="009242AA">
        <w:rPr>
          <w:rFonts w:cs="Arial"/>
          <w:color w:val="auto"/>
        </w:rPr>
        <w:t xml:space="preserve">Employees who predominantly perform security activities have access to portable long service benefits under the status quo. </w:t>
      </w:r>
      <w:r>
        <w:rPr>
          <w:rFonts w:cs="Arial"/>
          <w:color w:val="auto"/>
        </w:rPr>
        <w:t>It</w:t>
      </w:r>
      <w:r w:rsidRPr="004B3C99">
        <w:rPr>
          <w:rFonts w:cs="Arial"/>
          <w:color w:val="auto"/>
        </w:rPr>
        <w:t xml:space="preserve"> would not change the </w:t>
      </w:r>
      <w:r>
        <w:rPr>
          <w:rFonts w:cs="Arial"/>
          <w:color w:val="auto"/>
        </w:rPr>
        <w:t xml:space="preserve">intended </w:t>
      </w:r>
      <w:r w:rsidR="00AC1C2E">
        <w:rPr>
          <w:rFonts w:cs="Arial"/>
          <w:color w:val="auto"/>
        </w:rPr>
        <w:t xml:space="preserve">or actual </w:t>
      </w:r>
      <w:r w:rsidRPr="004B3C99">
        <w:rPr>
          <w:rFonts w:cs="Arial"/>
          <w:color w:val="auto"/>
        </w:rPr>
        <w:t>scope of employees to be covered by the Scheme.</w:t>
      </w:r>
      <w:r>
        <w:rPr>
          <w:rFonts w:cs="Arial"/>
          <w:color w:val="auto"/>
        </w:rPr>
        <w:t xml:space="preserve"> </w:t>
      </w:r>
    </w:p>
    <w:p w14:paraId="5B66EAE1" w14:textId="01CD6502" w:rsidR="009242AA" w:rsidRDefault="009242AA" w:rsidP="004A514D">
      <w:pPr>
        <w:pStyle w:val="Heading7"/>
      </w:pPr>
      <w:r>
        <w:t>I</w:t>
      </w:r>
      <w:r w:rsidRPr="00866686">
        <w:t xml:space="preserve">mpact on </w:t>
      </w:r>
      <w:r w:rsidR="00DB01D9">
        <w:t>employers</w:t>
      </w:r>
      <w:r>
        <w:t xml:space="preserve"> – financial cost</w:t>
      </w:r>
    </w:p>
    <w:p w14:paraId="3F536982" w14:textId="53AD16B5" w:rsidR="009242AA" w:rsidRPr="00337958" w:rsidRDefault="009242AA" w:rsidP="00337958">
      <w:pPr>
        <w:pStyle w:val="BodyText"/>
        <w:rPr>
          <w:rFonts w:cs="Arial"/>
          <w:b/>
          <w:color w:val="auto"/>
          <w:u w:val="single"/>
        </w:rPr>
      </w:pPr>
      <w:r>
        <w:rPr>
          <w:rFonts w:cs="Arial"/>
          <w:color w:val="auto"/>
        </w:rPr>
        <w:t>Th</w:t>
      </w:r>
      <w:r w:rsidR="005A3ACE">
        <w:rPr>
          <w:rFonts w:cs="Arial"/>
          <w:color w:val="auto"/>
        </w:rPr>
        <w:t>is</w:t>
      </w:r>
      <w:r w:rsidRPr="004B3C99">
        <w:rPr>
          <w:rFonts w:cs="Arial"/>
          <w:color w:val="auto"/>
        </w:rPr>
        <w:t xml:space="preserve"> option would </w:t>
      </w:r>
      <w:r>
        <w:rPr>
          <w:rFonts w:cs="Arial"/>
          <w:color w:val="auto"/>
        </w:rPr>
        <w:t xml:space="preserve">result in no change to </w:t>
      </w:r>
      <w:r w:rsidR="00AC1C2E">
        <w:rPr>
          <w:rFonts w:cs="Arial"/>
          <w:color w:val="auto"/>
        </w:rPr>
        <w:t xml:space="preserve">financial costs relative to </w:t>
      </w:r>
      <w:r>
        <w:rPr>
          <w:rFonts w:cs="Arial"/>
          <w:color w:val="auto"/>
        </w:rPr>
        <w:t xml:space="preserve">the status quo. It </w:t>
      </w:r>
      <w:r w:rsidRPr="000F2163">
        <w:rPr>
          <w:rFonts w:cs="Arial"/>
          <w:color w:val="auto"/>
        </w:rPr>
        <w:t xml:space="preserve">is not expected to have a financial impact on </w:t>
      </w:r>
      <w:r w:rsidR="00DB01D9">
        <w:rPr>
          <w:rFonts w:cs="Arial"/>
          <w:color w:val="auto"/>
        </w:rPr>
        <w:t>employers</w:t>
      </w:r>
      <w:r w:rsidRPr="000F2163">
        <w:rPr>
          <w:rFonts w:cs="Arial"/>
          <w:color w:val="auto"/>
        </w:rPr>
        <w:t xml:space="preserve"> as it would not increase o</w:t>
      </w:r>
      <w:r w:rsidR="00AC1C2E">
        <w:rPr>
          <w:rFonts w:cs="Arial"/>
          <w:color w:val="auto"/>
        </w:rPr>
        <w:t>r</w:t>
      </w:r>
      <w:r w:rsidRPr="000F2163">
        <w:rPr>
          <w:rFonts w:cs="Arial"/>
          <w:color w:val="auto"/>
        </w:rPr>
        <w:t xml:space="preserve"> decrease the number of covered employees.</w:t>
      </w:r>
    </w:p>
    <w:p w14:paraId="164DABC8" w14:textId="45890ABB" w:rsidR="009242AA" w:rsidRDefault="009242AA" w:rsidP="004A514D">
      <w:pPr>
        <w:pStyle w:val="Heading7"/>
      </w:pPr>
      <w:r>
        <w:lastRenderedPageBreak/>
        <w:t>I</w:t>
      </w:r>
      <w:r w:rsidRPr="00866686">
        <w:t xml:space="preserve">mpact on </w:t>
      </w:r>
      <w:r w:rsidR="00DB01D9">
        <w:t>employers</w:t>
      </w:r>
      <w:r>
        <w:t xml:space="preserve"> – cost of uncertainty and administration</w:t>
      </w:r>
    </w:p>
    <w:p w14:paraId="7597A2C2" w14:textId="232DB885" w:rsidR="00DF2E27" w:rsidRPr="000F2163" w:rsidRDefault="009242AA">
      <w:pPr>
        <w:pStyle w:val="BodyText"/>
        <w:rPr>
          <w:rFonts w:cs="Arial"/>
          <w:color w:val="auto"/>
        </w:rPr>
      </w:pPr>
      <w:r>
        <w:rPr>
          <w:rFonts w:cs="Arial"/>
          <w:color w:val="auto"/>
        </w:rPr>
        <w:t>Th</w:t>
      </w:r>
      <w:r w:rsidR="005A3ACE">
        <w:rPr>
          <w:rFonts w:cs="Arial"/>
          <w:color w:val="auto"/>
        </w:rPr>
        <w:t>is</w:t>
      </w:r>
      <w:r>
        <w:rPr>
          <w:rFonts w:cs="Arial"/>
          <w:color w:val="auto"/>
        </w:rPr>
        <w:t xml:space="preserve"> option is mostly aligned with the </w:t>
      </w:r>
      <w:r w:rsidR="000B4581">
        <w:rPr>
          <w:rFonts w:cs="Arial"/>
          <w:color w:val="auto"/>
        </w:rPr>
        <w:t>criterion</w:t>
      </w:r>
      <w:r>
        <w:rPr>
          <w:rFonts w:cs="Arial"/>
          <w:color w:val="auto"/>
        </w:rPr>
        <w:t xml:space="preserve"> compared to the status quo. </w:t>
      </w:r>
      <w:r w:rsidRPr="00337958">
        <w:rPr>
          <w:rFonts w:cs="Arial"/>
          <w:color w:val="auto"/>
        </w:rPr>
        <w:t>It</w:t>
      </w:r>
      <w:r w:rsidR="00DF2E27" w:rsidRPr="000F2163">
        <w:rPr>
          <w:rFonts w:cs="Arial"/>
          <w:color w:val="auto"/>
        </w:rPr>
        <w:t xml:space="preserve"> would increase clarity for employers in the sector as to which of their employees they </w:t>
      </w:r>
      <w:r w:rsidR="005A3ACE">
        <w:rPr>
          <w:rFonts w:cs="Arial"/>
          <w:color w:val="auto"/>
        </w:rPr>
        <w:t>are required</w:t>
      </w:r>
      <w:r w:rsidR="005A3ACE" w:rsidRPr="000F2163">
        <w:rPr>
          <w:rFonts w:cs="Arial"/>
          <w:color w:val="auto"/>
        </w:rPr>
        <w:t xml:space="preserve"> </w:t>
      </w:r>
      <w:r w:rsidR="00DF2E27" w:rsidRPr="000F2163">
        <w:rPr>
          <w:rFonts w:cs="Arial"/>
          <w:color w:val="auto"/>
        </w:rPr>
        <w:t xml:space="preserve">to register with the Authority. </w:t>
      </w:r>
      <w:r w:rsidR="000D7993">
        <w:rPr>
          <w:rFonts w:cs="Arial"/>
          <w:color w:val="auto"/>
        </w:rPr>
        <w:t xml:space="preserve">Under the status quo, there is no definition of who is </w:t>
      </w:r>
      <w:r w:rsidR="0071726F">
        <w:rPr>
          <w:rFonts w:cs="Arial"/>
          <w:color w:val="auto"/>
        </w:rPr>
        <w:t xml:space="preserve">regarded as </w:t>
      </w:r>
      <w:r w:rsidR="000D7993">
        <w:rPr>
          <w:rFonts w:cs="Arial"/>
          <w:color w:val="auto"/>
        </w:rPr>
        <w:t xml:space="preserve">an employee in the sector for employers to use in determining eligibility. </w:t>
      </w:r>
      <w:r w:rsidR="00301929">
        <w:rPr>
          <w:rFonts w:cs="Arial"/>
          <w:color w:val="auto"/>
        </w:rPr>
        <w:t xml:space="preserve">The test is consistent </w:t>
      </w:r>
      <w:r w:rsidR="00AC1C2E">
        <w:rPr>
          <w:rFonts w:cs="Arial"/>
          <w:color w:val="auto"/>
        </w:rPr>
        <w:t xml:space="preserve">with </w:t>
      </w:r>
      <w:r w:rsidR="00301929">
        <w:rPr>
          <w:rFonts w:cs="Arial"/>
          <w:color w:val="auto"/>
        </w:rPr>
        <w:t xml:space="preserve">the existing test in the Interim Regulations for the contract cleaning sector, which has been simple for employers to implement. </w:t>
      </w:r>
    </w:p>
    <w:p w14:paraId="159E4449" w14:textId="77777777" w:rsidR="00DF2E27" w:rsidRPr="00866686" w:rsidRDefault="00DF2E27" w:rsidP="004A514D">
      <w:pPr>
        <w:pStyle w:val="Heading7"/>
      </w:pPr>
      <w:r w:rsidRPr="00866686">
        <w:t>Impact on the Authority</w:t>
      </w:r>
    </w:p>
    <w:p w14:paraId="2DE427A8" w14:textId="7A01A05E" w:rsidR="00B45BD9" w:rsidRPr="00B45BD9" w:rsidRDefault="005742B8" w:rsidP="00DF2E27">
      <w:pPr>
        <w:pStyle w:val="BodyText"/>
        <w:rPr>
          <w:rFonts w:cs="Arial"/>
          <w:color w:val="auto"/>
        </w:rPr>
      </w:pPr>
      <w:r>
        <w:rPr>
          <w:rFonts w:cs="Arial"/>
          <w:color w:val="auto"/>
        </w:rPr>
        <w:t>Th</w:t>
      </w:r>
      <w:r w:rsidR="005A3ACE">
        <w:rPr>
          <w:rFonts w:cs="Arial"/>
          <w:color w:val="auto"/>
        </w:rPr>
        <w:t>is</w:t>
      </w:r>
      <w:r>
        <w:rPr>
          <w:rFonts w:cs="Arial"/>
          <w:color w:val="auto"/>
        </w:rPr>
        <w:t xml:space="preserve"> option is much more aligned with the </w:t>
      </w:r>
      <w:r w:rsidR="000B4581">
        <w:rPr>
          <w:rFonts w:cs="Arial"/>
          <w:color w:val="auto"/>
        </w:rPr>
        <w:t>criterion</w:t>
      </w:r>
      <w:r>
        <w:rPr>
          <w:rFonts w:cs="Arial"/>
          <w:color w:val="auto"/>
        </w:rPr>
        <w:t xml:space="preserve"> compared to the status quo. </w:t>
      </w:r>
      <w:r w:rsidR="00B45BD9">
        <w:rPr>
          <w:rFonts w:cs="Arial"/>
          <w:color w:val="auto"/>
        </w:rPr>
        <w:t>T</w:t>
      </w:r>
      <w:r w:rsidR="00B45BD9" w:rsidRPr="00B45BD9">
        <w:rPr>
          <w:rFonts w:cs="Arial"/>
          <w:color w:val="auto"/>
        </w:rPr>
        <w:t>he greater clari</w:t>
      </w:r>
      <w:r w:rsidR="000B48D6">
        <w:rPr>
          <w:rFonts w:cs="Arial"/>
          <w:color w:val="auto"/>
        </w:rPr>
        <w:t xml:space="preserve">ty would assist the Authority </w:t>
      </w:r>
      <w:r w:rsidR="001749D5">
        <w:rPr>
          <w:rFonts w:cs="Arial"/>
          <w:color w:val="auto"/>
        </w:rPr>
        <w:t xml:space="preserve">to </w:t>
      </w:r>
      <w:r w:rsidR="000B48D6">
        <w:rPr>
          <w:rFonts w:cs="Arial"/>
          <w:color w:val="auto"/>
        </w:rPr>
        <w:t>implement</w:t>
      </w:r>
      <w:r w:rsidR="00B45BD9" w:rsidRPr="00B45BD9">
        <w:rPr>
          <w:rFonts w:cs="Arial"/>
          <w:color w:val="auto"/>
        </w:rPr>
        <w:t xml:space="preserve"> the Scheme, register eligible employees and provide clearer guidance to the sector.</w:t>
      </w:r>
      <w:r w:rsidR="00B45BD9">
        <w:rPr>
          <w:rFonts w:cs="Arial"/>
          <w:color w:val="auto"/>
        </w:rPr>
        <w:t xml:space="preserve"> </w:t>
      </w:r>
    </w:p>
    <w:p w14:paraId="6E64CD9A" w14:textId="77777777" w:rsidR="00467A57" w:rsidRPr="00CF0C6E" w:rsidRDefault="00467A57" w:rsidP="004A514D">
      <w:pPr>
        <w:pStyle w:val="Heading6"/>
      </w:pPr>
      <w:r w:rsidRPr="00DB3ADD">
        <w:t xml:space="preserve">Option 2 – Define employees in reference to the </w:t>
      </w:r>
      <w:r w:rsidRPr="00DB3ADD">
        <w:rPr>
          <w:i/>
        </w:rPr>
        <w:t>Private Security Act 2004</w:t>
      </w:r>
      <w:r w:rsidRPr="00DB3ADD">
        <w:t xml:space="preserve"> </w:t>
      </w:r>
    </w:p>
    <w:p w14:paraId="73AE72F7" w14:textId="3CC3DCAA" w:rsidR="00DF2E27" w:rsidRPr="00DB3ADD" w:rsidRDefault="00DF2E27" w:rsidP="004A514D">
      <w:pPr>
        <w:pStyle w:val="Heading7"/>
        <w:rPr>
          <w:b/>
        </w:rPr>
      </w:pPr>
      <w:r w:rsidRPr="00CB4236">
        <w:t>Equity</w:t>
      </w:r>
      <w:r w:rsidR="009242AA" w:rsidRPr="00CB4236">
        <w:t xml:space="preserve"> for employees</w:t>
      </w:r>
    </w:p>
    <w:p w14:paraId="77F5CAD4" w14:textId="4789FE3B" w:rsidR="000F2163" w:rsidRPr="000F2163" w:rsidRDefault="000D7993" w:rsidP="000F2163">
      <w:pPr>
        <w:pStyle w:val="BodyText"/>
        <w:rPr>
          <w:rFonts w:cs="Arial"/>
          <w:color w:val="auto"/>
        </w:rPr>
      </w:pPr>
      <w:r>
        <w:rPr>
          <w:rFonts w:cs="Arial"/>
          <w:color w:val="auto"/>
        </w:rPr>
        <w:t>Th</w:t>
      </w:r>
      <w:r w:rsidR="005A3ACE">
        <w:rPr>
          <w:rFonts w:cs="Arial"/>
          <w:color w:val="auto"/>
        </w:rPr>
        <w:t>is</w:t>
      </w:r>
      <w:r>
        <w:rPr>
          <w:rFonts w:cs="Arial"/>
          <w:color w:val="auto"/>
        </w:rPr>
        <w:t xml:space="preserve"> option is somewhat less aligned with the </w:t>
      </w:r>
      <w:r w:rsidR="000B4581">
        <w:rPr>
          <w:rFonts w:cs="Arial"/>
          <w:color w:val="auto"/>
        </w:rPr>
        <w:t>criterion</w:t>
      </w:r>
      <w:r>
        <w:rPr>
          <w:rFonts w:cs="Arial"/>
          <w:color w:val="auto"/>
        </w:rPr>
        <w:t xml:space="preserve"> compared to the status quo. It</w:t>
      </w:r>
      <w:r w:rsidR="000F2163" w:rsidRPr="004B3C99">
        <w:rPr>
          <w:rFonts w:cs="Arial"/>
          <w:color w:val="auto"/>
        </w:rPr>
        <w:t xml:space="preserve"> would have </w:t>
      </w:r>
      <w:r w:rsidR="00301929">
        <w:rPr>
          <w:rFonts w:cs="Arial"/>
          <w:color w:val="auto"/>
        </w:rPr>
        <w:t>a marginally negative</w:t>
      </w:r>
      <w:r w:rsidR="000F2163" w:rsidRPr="004B3C99">
        <w:rPr>
          <w:rFonts w:cs="Arial"/>
          <w:color w:val="auto"/>
        </w:rPr>
        <w:t xml:space="preserve"> impact on equity</w:t>
      </w:r>
      <w:r>
        <w:rPr>
          <w:rFonts w:cs="Arial"/>
          <w:color w:val="auto"/>
        </w:rPr>
        <w:t xml:space="preserve"> within the sector</w:t>
      </w:r>
      <w:r w:rsidR="000F2163">
        <w:rPr>
          <w:rFonts w:cs="Arial"/>
          <w:color w:val="auto"/>
        </w:rPr>
        <w:t xml:space="preserve">. </w:t>
      </w:r>
      <w:r w:rsidR="00AB404C">
        <w:rPr>
          <w:rFonts w:cs="Arial"/>
          <w:color w:val="auto"/>
        </w:rPr>
        <w:t>I</w:t>
      </w:r>
      <w:r>
        <w:rPr>
          <w:rFonts w:cs="Arial"/>
          <w:color w:val="auto"/>
        </w:rPr>
        <w:t xml:space="preserve">ntroducing </w:t>
      </w:r>
      <w:r w:rsidR="00D85A2D">
        <w:rPr>
          <w:rFonts w:cs="Arial"/>
          <w:color w:val="auto"/>
        </w:rPr>
        <w:t>a</w:t>
      </w:r>
      <w:r w:rsidR="00301929">
        <w:rPr>
          <w:rFonts w:cs="Arial"/>
          <w:color w:val="auto"/>
        </w:rPr>
        <w:t xml:space="preserve"> ‘bright line’ test</w:t>
      </w:r>
      <w:r w:rsidR="00D85A2D">
        <w:rPr>
          <w:rFonts w:cs="Arial"/>
          <w:color w:val="auto"/>
        </w:rPr>
        <w:t xml:space="preserve"> such as this may</w:t>
      </w:r>
      <w:r w:rsidR="00301929">
        <w:rPr>
          <w:rFonts w:cs="Arial"/>
          <w:color w:val="auto"/>
        </w:rPr>
        <w:t xml:space="preserve"> exclude some people who are currently covered by the Scheme.</w:t>
      </w:r>
      <w:r w:rsidR="00D85A2D">
        <w:rPr>
          <w:rFonts w:cs="Arial"/>
          <w:color w:val="auto"/>
        </w:rPr>
        <w:t xml:space="preserve"> It may also include some people who are not predomina</w:t>
      </w:r>
      <w:r w:rsidR="0060532D">
        <w:rPr>
          <w:rFonts w:cs="Arial"/>
          <w:color w:val="auto"/>
        </w:rPr>
        <w:t>n</w:t>
      </w:r>
      <w:r w:rsidR="00D85A2D">
        <w:rPr>
          <w:rFonts w:cs="Arial"/>
          <w:color w:val="auto"/>
        </w:rPr>
        <w:t xml:space="preserve">tly performing security activities and </w:t>
      </w:r>
      <w:r>
        <w:rPr>
          <w:rFonts w:cs="Arial"/>
          <w:color w:val="auto"/>
        </w:rPr>
        <w:t>who are not intended to be within scope of the Scheme.</w:t>
      </w:r>
    </w:p>
    <w:p w14:paraId="1D41EEFD" w14:textId="356D70B1" w:rsidR="009242AA" w:rsidRDefault="009242AA" w:rsidP="004A514D">
      <w:pPr>
        <w:pStyle w:val="Heading7"/>
      </w:pPr>
      <w:r>
        <w:t>I</w:t>
      </w:r>
      <w:r w:rsidRPr="00866686">
        <w:t xml:space="preserve">mpact on </w:t>
      </w:r>
      <w:r w:rsidR="00DB01D9">
        <w:t>employers</w:t>
      </w:r>
      <w:r>
        <w:t xml:space="preserve"> – financial cost</w:t>
      </w:r>
    </w:p>
    <w:p w14:paraId="1AF1D6DF" w14:textId="14C570C9" w:rsidR="000D7993" w:rsidRPr="00337958" w:rsidRDefault="00AB404C" w:rsidP="00337958">
      <w:pPr>
        <w:pStyle w:val="BodyText"/>
        <w:rPr>
          <w:rFonts w:cs="Arial"/>
          <w:color w:val="auto"/>
        </w:rPr>
      </w:pPr>
      <w:r>
        <w:rPr>
          <w:rFonts w:cs="Arial"/>
          <w:color w:val="auto"/>
        </w:rPr>
        <w:t>Th</w:t>
      </w:r>
      <w:r w:rsidR="005A3ACE">
        <w:rPr>
          <w:rFonts w:cs="Arial"/>
          <w:color w:val="auto"/>
        </w:rPr>
        <w:t>is</w:t>
      </w:r>
      <w:r>
        <w:rPr>
          <w:rFonts w:cs="Arial"/>
          <w:color w:val="auto"/>
        </w:rPr>
        <w:t xml:space="preserve"> option is </w:t>
      </w:r>
      <w:r w:rsidR="00AC1C2E">
        <w:rPr>
          <w:rFonts w:cs="Arial"/>
          <w:color w:val="auto"/>
        </w:rPr>
        <w:t xml:space="preserve">somewhat more </w:t>
      </w:r>
      <w:r>
        <w:rPr>
          <w:rFonts w:cs="Arial"/>
          <w:color w:val="auto"/>
        </w:rPr>
        <w:t xml:space="preserve">aligned with the </w:t>
      </w:r>
      <w:r w:rsidR="000B4581">
        <w:rPr>
          <w:rFonts w:cs="Arial"/>
          <w:color w:val="auto"/>
        </w:rPr>
        <w:t>criterion</w:t>
      </w:r>
      <w:r>
        <w:rPr>
          <w:rFonts w:cs="Arial"/>
          <w:color w:val="auto"/>
        </w:rPr>
        <w:t xml:space="preserve"> compared to the status quo. Employers who have registered employees under the status quo, but who are not performing a security activity under the </w:t>
      </w:r>
      <w:r w:rsidRPr="00AD518C">
        <w:rPr>
          <w:rFonts w:cs="Arial"/>
          <w:i/>
          <w:color w:val="auto"/>
        </w:rPr>
        <w:t>Private Security Act</w:t>
      </w:r>
      <w:r w:rsidR="0060163D">
        <w:rPr>
          <w:rFonts w:cs="Arial"/>
          <w:i/>
          <w:color w:val="auto"/>
        </w:rPr>
        <w:t xml:space="preserve"> 2004</w:t>
      </w:r>
      <w:r>
        <w:rPr>
          <w:rFonts w:cs="Arial"/>
          <w:color w:val="auto"/>
        </w:rPr>
        <w:t xml:space="preserve">, would no longer </w:t>
      </w:r>
      <w:r w:rsidR="005A3ACE">
        <w:rPr>
          <w:rFonts w:cs="Arial"/>
          <w:color w:val="auto"/>
        </w:rPr>
        <w:t xml:space="preserve">be required </w:t>
      </w:r>
      <w:r>
        <w:rPr>
          <w:rFonts w:cs="Arial"/>
          <w:color w:val="auto"/>
        </w:rPr>
        <w:t xml:space="preserve">to pay </w:t>
      </w:r>
      <w:r w:rsidR="00F35678">
        <w:rPr>
          <w:rFonts w:cs="Arial"/>
          <w:color w:val="auto"/>
        </w:rPr>
        <w:t>levie</w:t>
      </w:r>
      <w:r>
        <w:rPr>
          <w:rFonts w:cs="Arial"/>
          <w:color w:val="auto"/>
        </w:rPr>
        <w:t xml:space="preserve">s to the Authority on their behalf. </w:t>
      </w:r>
    </w:p>
    <w:p w14:paraId="057A12B7" w14:textId="4288F817" w:rsidR="009242AA" w:rsidRDefault="009242AA" w:rsidP="004A514D">
      <w:pPr>
        <w:pStyle w:val="Heading7"/>
      </w:pPr>
      <w:r>
        <w:t>I</w:t>
      </w:r>
      <w:r w:rsidRPr="00866686">
        <w:t xml:space="preserve">mpact on </w:t>
      </w:r>
      <w:r w:rsidR="00DB01D9">
        <w:t>employers</w:t>
      </w:r>
      <w:r>
        <w:t xml:space="preserve"> – cost of uncertainty and administration</w:t>
      </w:r>
    </w:p>
    <w:p w14:paraId="5D3984BB" w14:textId="76CE7C78" w:rsidR="00B45BD9" w:rsidRPr="000D7993" w:rsidRDefault="000D7993">
      <w:pPr>
        <w:pStyle w:val="BodyText"/>
        <w:rPr>
          <w:rFonts w:cs="Arial"/>
          <w:color w:val="auto"/>
        </w:rPr>
      </w:pPr>
      <w:r w:rsidRPr="00337958">
        <w:rPr>
          <w:rFonts w:cs="Arial"/>
          <w:color w:val="auto"/>
        </w:rPr>
        <w:t>Th</w:t>
      </w:r>
      <w:r w:rsidR="005A3ACE">
        <w:rPr>
          <w:rFonts w:cs="Arial"/>
          <w:color w:val="auto"/>
        </w:rPr>
        <w:t>is</w:t>
      </w:r>
      <w:r w:rsidRPr="00337958">
        <w:rPr>
          <w:rFonts w:cs="Arial"/>
          <w:color w:val="auto"/>
        </w:rPr>
        <w:t xml:space="preserve"> option is much more aligned with the </w:t>
      </w:r>
      <w:r w:rsidR="000B4581">
        <w:rPr>
          <w:rFonts w:cs="Arial"/>
          <w:color w:val="auto"/>
        </w:rPr>
        <w:t>criterion</w:t>
      </w:r>
      <w:r w:rsidRPr="00337958">
        <w:rPr>
          <w:rFonts w:cs="Arial"/>
          <w:color w:val="auto"/>
        </w:rPr>
        <w:t xml:space="preserve"> compared to the status quo. </w:t>
      </w:r>
      <w:r w:rsidR="00AB404C">
        <w:rPr>
          <w:rFonts w:cs="Arial"/>
          <w:color w:val="auto"/>
        </w:rPr>
        <w:t xml:space="preserve">Defining employees in reference to the </w:t>
      </w:r>
      <w:r w:rsidR="00AB404C">
        <w:rPr>
          <w:rFonts w:cs="Arial"/>
          <w:i/>
          <w:color w:val="auto"/>
        </w:rPr>
        <w:t>Private Security Act 2004</w:t>
      </w:r>
      <w:r w:rsidR="00DF2E27" w:rsidRPr="000D7993">
        <w:rPr>
          <w:rFonts w:cs="Arial"/>
          <w:color w:val="auto"/>
        </w:rPr>
        <w:t xml:space="preserve"> would increase clarity for employers in the sector as to which of their employees </w:t>
      </w:r>
      <w:r w:rsidR="00B45BD9" w:rsidRPr="000D7993">
        <w:rPr>
          <w:rFonts w:cs="Arial"/>
          <w:color w:val="auto"/>
        </w:rPr>
        <w:t>are covered by the Scheme</w:t>
      </w:r>
      <w:r w:rsidR="00DF2E27" w:rsidRPr="000D7993">
        <w:rPr>
          <w:rFonts w:cs="Arial"/>
          <w:color w:val="auto"/>
        </w:rPr>
        <w:t xml:space="preserve">. </w:t>
      </w:r>
      <w:r w:rsidR="00AB404C">
        <w:rPr>
          <w:rFonts w:cs="Arial"/>
          <w:color w:val="auto"/>
        </w:rPr>
        <w:t xml:space="preserve">Under the status quo, there is no definition of who is </w:t>
      </w:r>
      <w:r w:rsidR="0071726F">
        <w:rPr>
          <w:rFonts w:cs="Arial"/>
          <w:color w:val="auto"/>
        </w:rPr>
        <w:t xml:space="preserve">regarded as </w:t>
      </w:r>
      <w:r w:rsidR="00AB404C">
        <w:rPr>
          <w:rFonts w:cs="Arial"/>
          <w:color w:val="auto"/>
        </w:rPr>
        <w:t xml:space="preserve">an employee in the sector for employers to use in determining eligibility. </w:t>
      </w:r>
      <w:r w:rsidR="00DF2E27" w:rsidRPr="000D7993">
        <w:rPr>
          <w:rFonts w:cs="Arial"/>
          <w:color w:val="auto"/>
        </w:rPr>
        <w:t>Stakeholders in the sector reported that this option woul</w:t>
      </w:r>
      <w:r w:rsidR="00B45BD9" w:rsidRPr="000D7993">
        <w:rPr>
          <w:rFonts w:cs="Arial"/>
          <w:color w:val="auto"/>
        </w:rPr>
        <w:t xml:space="preserve">d not be an administrative burden on employers. </w:t>
      </w:r>
    </w:p>
    <w:p w14:paraId="15F4CFE1" w14:textId="77777777" w:rsidR="00DF2E27" w:rsidRPr="00866686" w:rsidRDefault="00DF2E27" w:rsidP="004A514D">
      <w:pPr>
        <w:pStyle w:val="Heading7"/>
      </w:pPr>
      <w:r w:rsidRPr="00866686">
        <w:t>Impact on the Authority</w:t>
      </w:r>
    </w:p>
    <w:p w14:paraId="4E3CC336" w14:textId="4D6DE271" w:rsidR="00B45BD9" w:rsidRPr="00B45BD9" w:rsidRDefault="005742B8" w:rsidP="00DF2E27">
      <w:pPr>
        <w:pStyle w:val="BodyText"/>
        <w:rPr>
          <w:rFonts w:cs="Arial"/>
          <w:color w:val="auto"/>
        </w:rPr>
      </w:pPr>
      <w:r>
        <w:rPr>
          <w:rFonts w:cs="Arial"/>
          <w:color w:val="auto"/>
        </w:rPr>
        <w:t>Th</w:t>
      </w:r>
      <w:r w:rsidR="003846BB">
        <w:rPr>
          <w:rFonts w:cs="Arial"/>
          <w:color w:val="auto"/>
        </w:rPr>
        <w:t>is</w:t>
      </w:r>
      <w:r>
        <w:rPr>
          <w:rFonts w:cs="Arial"/>
          <w:color w:val="auto"/>
        </w:rPr>
        <w:t xml:space="preserve"> option is much more aligned with the </w:t>
      </w:r>
      <w:r w:rsidR="000B4581">
        <w:rPr>
          <w:rFonts w:cs="Arial"/>
          <w:color w:val="auto"/>
        </w:rPr>
        <w:t>criterion</w:t>
      </w:r>
      <w:r>
        <w:rPr>
          <w:rFonts w:cs="Arial"/>
          <w:color w:val="auto"/>
        </w:rPr>
        <w:t xml:space="preserve"> compared to the status quo. T</w:t>
      </w:r>
      <w:r w:rsidRPr="00B45BD9">
        <w:rPr>
          <w:rFonts w:cs="Arial"/>
          <w:color w:val="auto"/>
        </w:rPr>
        <w:t>he greater clari</w:t>
      </w:r>
      <w:r>
        <w:rPr>
          <w:rFonts w:cs="Arial"/>
          <w:color w:val="auto"/>
        </w:rPr>
        <w:t>ty would assist the Authority to implement</w:t>
      </w:r>
      <w:r w:rsidRPr="00B45BD9">
        <w:rPr>
          <w:rFonts w:cs="Arial"/>
          <w:color w:val="auto"/>
        </w:rPr>
        <w:t xml:space="preserve"> the Scheme, register eligible employees and provide clearer guidance to the sector.</w:t>
      </w:r>
      <w:r>
        <w:rPr>
          <w:rFonts w:cs="Arial"/>
          <w:color w:val="auto"/>
        </w:rPr>
        <w:t xml:space="preserve"> </w:t>
      </w:r>
      <w:r w:rsidR="00301929" w:rsidRPr="00B45BD9">
        <w:rPr>
          <w:rFonts w:cs="Arial"/>
          <w:color w:val="auto"/>
        </w:rPr>
        <w:t xml:space="preserve">Any future changes to the definitions of security work in the </w:t>
      </w:r>
      <w:r w:rsidR="00301929" w:rsidRPr="00757EA2">
        <w:rPr>
          <w:rFonts w:cs="Arial"/>
          <w:i/>
          <w:color w:val="auto"/>
        </w:rPr>
        <w:t>Private Security Act</w:t>
      </w:r>
      <w:r w:rsidR="00301929">
        <w:rPr>
          <w:rFonts w:cs="Arial"/>
          <w:i/>
          <w:color w:val="auto"/>
        </w:rPr>
        <w:t xml:space="preserve"> 2004</w:t>
      </w:r>
      <w:r w:rsidR="00301929" w:rsidRPr="00B45BD9">
        <w:rPr>
          <w:rFonts w:cs="Arial"/>
          <w:color w:val="auto"/>
        </w:rPr>
        <w:t xml:space="preserve"> would be</w:t>
      </w:r>
      <w:r w:rsidR="00301929">
        <w:rPr>
          <w:rFonts w:cs="Arial"/>
          <w:color w:val="auto"/>
        </w:rPr>
        <w:t xml:space="preserve"> reflected in the LSBP </w:t>
      </w:r>
      <w:r w:rsidR="00D85A2D">
        <w:rPr>
          <w:rFonts w:cs="Arial"/>
          <w:color w:val="auto"/>
        </w:rPr>
        <w:t xml:space="preserve">Act </w:t>
      </w:r>
      <w:r w:rsidR="00301929">
        <w:rPr>
          <w:rFonts w:cs="Arial"/>
          <w:color w:val="auto"/>
        </w:rPr>
        <w:t>and Regulations, and would therefore be reflected in the</w:t>
      </w:r>
      <w:r w:rsidR="00301929" w:rsidRPr="00B45BD9">
        <w:rPr>
          <w:rFonts w:cs="Arial"/>
          <w:color w:val="auto"/>
        </w:rPr>
        <w:t xml:space="preserve"> Scheme.</w:t>
      </w:r>
    </w:p>
    <w:p w14:paraId="22EF71BE" w14:textId="5915B43E" w:rsidR="00467A57" w:rsidRPr="00CF0C6E" w:rsidRDefault="00467A57" w:rsidP="004A514D">
      <w:pPr>
        <w:pStyle w:val="Heading6"/>
      </w:pPr>
      <w:r w:rsidRPr="00DB3ADD">
        <w:t>Option 3 – Define employees in reference to the</w:t>
      </w:r>
      <w:r w:rsidR="0060163D">
        <w:t xml:space="preserve"> coverage of the</w:t>
      </w:r>
      <w:r w:rsidRPr="00DB3ADD">
        <w:t xml:space="preserve"> </w:t>
      </w:r>
      <w:r w:rsidRPr="00DB3ADD">
        <w:rPr>
          <w:i/>
        </w:rPr>
        <w:t>Security Services Industry Award</w:t>
      </w:r>
      <w:r w:rsidR="00757EA2" w:rsidRPr="00DB3ADD">
        <w:rPr>
          <w:i/>
        </w:rPr>
        <w:t> </w:t>
      </w:r>
      <w:r w:rsidR="001749D5" w:rsidRPr="00DB3ADD">
        <w:rPr>
          <w:i/>
        </w:rPr>
        <w:t>2010</w:t>
      </w:r>
    </w:p>
    <w:p w14:paraId="6BD7B451" w14:textId="372CAFCD" w:rsidR="00DF2E27" w:rsidRPr="00DB3ADD" w:rsidRDefault="00DF2E27" w:rsidP="004A514D">
      <w:pPr>
        <w:pStyle w:val="Heading7"/>
        <w:rPr>
          <w:b/>
        </w:rPr>
      </w:pPr>
      <w:r w:rsidRPr="00CB4236">
        <w:t>Equity</w:t>
      </w:r>
      <w:r w:rsidR="009242AA" w:rsidRPr="00CB4236">
        <w:t xml:space="preserve"> for employees</w:t>
      </w:r>
    </w:p>
    <w:p w14:paraId="4572D5CD" w14:textId="4DB2D6B9" w:rsidR="00B45BD9" w:rsidRDefault="00AB404C" w:rsidP="00B45BD9">
      <w:pPr>
        <w:pStyle w:val="BodyText"/>
        <w:rPr>
          <w:rFonts w:cs="Arial"/>
          <w:color w:val="auto"/>
        </w:rPr>
      </w:pPr>
      <w:r>
        <w:rPr>
          <w:rFonts w:cs="Arial"/>
          <w:color w:val="auto"/>
        </w:rPr>
        <w:t>Th</w:t>
      </w:r>
      <w:r w:rsidR="003846BB">
        <w:rPr>
          <w:rFonts w:cs="Arial"/>
          <w:color w:val="auto"/>
        </w:rPr>
        <w:t>is</w:t>
      </w:r>
      <w:r>
        <w:rPr>
          <w:rFonts w:cs="Arial"/>
          <w:color w:val="auto"/>
        </w:rPr>
        <w:t xml:space="preserve"> option is </w:t>
      </w:r>
      <w:r w:rsidR="000B4581">
        <w:rPr>
          <w:rFonts w:cs="Arial"/>
          <w:color w:val="auto"/>
        </w:rPr>
        <w:t>less aligned</w:t>
      </w:r>
      <w:r>
        <w:rPr>
          <w:rFonts w:cs="Arial"/>
          <w:color w:val="auto"/>
        </w:rPr>
        <w:t xml:space="preserve"> with the </w:t>
      </w:r>
      <w:r w:rsidR="000B4581">
        <w:rPr>
          <w:rFonts w:cs="Arial"/>
          <w:color w:val="auto"/>
        </w:rPr>
        <w:t>criterion</w:t>
      </w:r>
      <w:r>
        <w:rPr>
          <w:rFonts w:cs="Arial"/>
          <w:color w:val="auto"/>
        </w:rPr>
        <w:t xml:space="preserve"> compared to the status quo. It</w:t>
      </w:r>
      <w:r w:rsidR="00EE05DA">
        <w:rPr>
          <w:rFonts w:cs="Arial"/>
          <w:color w:val="auto"/>
        </w:rPr>
        <w:t xml:space="preserve"> would </w:t>
      </w:r>
      <w:r>
        <w:rPr>
          <w:rFonts w:cs="Arial"/>
          <w:color w:val="auto"/>
        </w:rPr>
        <w:t xml:space="preserve">remove employees from the scope of the Scheme who are intended to be within </w:t>
      </w:r>
      <w:r w:rsidR="00AC1C2E">
        <w:rPr>
          <w:rFonts w:cs="Arial"/>
          <w:color w:val="auto"/>
        </w:rPr>
        <w:t xml:space="preserve">scope. </w:t>
      </w:r>
      <w:r w:rsidR="00903F53">
        <w:rPr>
          <w:rFonts w:cs="Arial"/>
          <w:color w:val="auto"/>
        </w:rPr>
        <w:t>The</w:t>
      </w:r>
      <w:r w:rsidR="00B45BD9" w:rsidRPr="00B45BD9">
        <w:rPr>
          <w:rFonts w:cs="Arial"/>
          <w:color w:val="auto"/>
        </w:rPr>
        <w:t xml:space="preserve"> </w:t>
      </w:r>
      <w:r w:rsidR="00B45BD9" w:rsidRPr="00757EA2">
        <w:rPr>
          <w:rFonts w:cs="Arial"/>
          <w:i/>
          <w:color w:val="auto"/>
        </w:rPr>
        <w:t>Security Services Industry Award</w:t>
      </w:r>
      <w:r w:rsidR="001749D5">
        <w:rPr>
          <w:rFonts w:cs="Arial"/>
          <w:i/>
          <w:color w:val="auto"/>
        </w:rPr>
        <w:t xml:space="preserve"> 2010</w:t>
      </w:r>
      <w:r w:rsidR="00B45BD9" w:rsidRPr="00B45BD9">
        <w:rPr>
          <w:rFonts w:cs="Arial"/>
          <w:color w:val="auto"/>
        </w:rPr>
        <w:t xml:space="preserve"> excludes</w:t>
      </w:r>
      <w:r w:rsidR="0016484C">
        <w:rPr>
          <w:rFonts w:cs="Arial"/>
          <w:color w:val="auto"/>
        </w:rPr>
        <w:t xml:space="preserve"> employees who transport and/or deliver cash or valuables and who install, maintain or repair electronic alarm and/or monitoring systems as </w:t>
      </w:r>
      <w:r w:rsidR="0016484C">
        <w:rPr>
          <w:rFonts w:cs="Arial"/>
          <w:color w:val="auto"/>
        </w:rPr>
        <w:lastRenderedPageBreak/>
        <w:t>their primary activity</w:t>
      </w:r>
      <w:r w:rsidR="001749D5">
        <w:rPr>
          <w:rFonts w:cs="Arial"/>
          <w:color w:val="auto"/>
        </w:rPr>
        <w:t>.</w:t>
      </w:r>
      <w:r w:rsidR="00AC1C2E">
        <w:rPr>
          <w:rFonts w:cs="Arial"/>
          <w:color w:val="auto"/>
        </w:rPr>
        <w:t xml:space="preserve"> </w:t>
      </w:r>
      <w:r w:rsidR="00903F53">
        <w:rPr>
          <w:rFonts w:cs="Arial"/>
          <w:color w:val="auto"/>
        </w:rPr>
        <w:t>Employees performing these roles have the same challenges accessing long service benefits with one employer.</w:t>
      </w:r>
    </w:p>
    <w:p w14:paraId="519F22B5" w14:textId="1BA25044" w:rsidR="009242AA" w:rsidRDefault="009242AA" w:rsidP="004A514D">
      <w:pPr>
        <w:pStyle w:val="Heading7"/>
      </w:pPr>
      <w:r>
        <w:t>I</w:t>
      </w:r>
      <w:r w:rsidRPr="00866686">
        <w:t xml:space="preserve">mpact on </w:t>
      </w:r>
      <w:r w:rsidR="00DB01D9">
        <w:t>employers</w:t>
      </w:r>
      <w:r>
        <w:t xml:space="preserve"> – financial cost</w:t>
      </w:r>
    </w:p>
    <w:p w14:paraId="75DE1C5B" w14:textId="0A01DA26" w:rsidR="00AB404C" w:rsidRDefault="00AB404C" w:rsidP="00337958">
      <w:pPr>
        <w:pStyle w:val="BodyText"/>
        <w:rPr>
          <w:rFonts w:cs="Arial"/>
          <w:color w:val="auto"/>
          <w:u w:val="single"/>
        </w:rPr>
      </w:pPr>
      <w:r>
        <w:rPr>
          <w:rFonts w:cs="Arial"/>
          <w:color w:val="auto"/>
        </w:rPr>
        <w:t>Th</w:t>
      </w:r>
      <w:r w:rsidR="003846BB">
        <w:rPr>
          <w:rFonts w:cs="Arial"/>
          <w:color w:val="auto"/>
        </w:rPr>
        <w:t>is</w:t>
      </w:r>
      <w:r>
        <w:rPr>
          <w:rFonts w:cs="Arial"/>
          <w:color w:val="auto"/>
        </w:rPr>
        <w:t xml:space="preserve"> option is more aligned with the </w:t>
      </w:r>
      <w:r w:rsidR="000B4581">
        <w:rPr>
          <w:rFonts w:cs="Arial"/>
          <w:color w:val="auto"/>
        </w:rPr>
        <w:t>criterion</w:t>
      </w:r>
      <w:r>
        <w:rPr>
          <w:rFonts w:cs="Arial"/>
          <w:color w:val="auto"/>
        </w:rPr>
        <w:t xml:space="preserve"> compared to the status quo. It</w:t>
      </w:r>
      <w:r w:rsidRPr="00B45BD9">
        <w:rPr>
          <w:rFonts w:cs="Arial"/>
          <w:color w:val="auto"/>
        </w:rPr>
        <w:t xml:space="preserve"> would have a small positive financial impact for </w:t>
      </w:r>
      <w:r w:rsidR="00DB01D9">
        <w:rPr>
          <w:rFonts w:cs="Arial"/>
          <w:color w:val="auto"/>
        </w:rPr>
        <w:t>employers</w:t>
      </w:r>
      <w:r w:rsidRPr="00B45BD9">
        <w:rPr>
          <w:rFonts w:cs="Arial"/>
          <w:color w:val="auto"/>
        </w:rPr>
        <w:t xml:space="preserve">, as </w:t>
      </w:r>
      <w:r>
        <w:rPr>
          <w:rFonts w:cs="Arial"/>
          <w:color w:val="auto"/>
        </w:rPr>
        <w:t>a small number of</w:t>
      </w:r>
      <w:r w:rsidRPr="00B45BD9">
        <w:rPr>
          <w:rFonts w:cs="Arial"/>
          <w:color w:val="auto"/>
        </w:rPr>
        <w:t xml:space="preserve"> </w:t>
      </w:r>
      <w:r>
        <w:rPr>
          <w:rFonts w:cs="Arial"/>
          <w:color w:val="auto"/>
        </w:rPr>
        <w:t>employees</w:t>
      </w:r>
      <w:r w:rsidRPr="00B45BD9">
        <w:rPr>
          <w:rFonts w:cs="Arial"/>
          <w:color w:val="auto"/>
        </w:rPr>
        <w:t xml:space="preserve"> would no longer be covered by the Scheme. Employers would no longer </w:t>
      </w:r>
      <w:r w:rsidR="003846BB">
        <w:rPr>
          <w:rFonts w:cs="Arial"/>
          <w:color w:val="auto"/>
        </w:rPr>
        <w:t>be required</w:t>
      </w:r>
      <w:r w:rsidR="003846BB" w:rsidRPr="00B45BD9">
        <w:rPr>
          <w:rFonts w:cs="Arial"/>
          <w:color w:val="auto"/>
        </w:rPr>
        <w:t xml:space="preserve"> </w:t>
      </w:r>
      <w:r w:rsidRPr="00B45BD9">
        <w:rPr>
          <w:rFonts w:cs="Arial"/>
          <w:color w:val="auto"/>
        </w:rPr>
        <w:t>to pay a levy to the Authority on behalf of these employees</w:t>
      </w:r>
      <w:r>
        <w:rPr>
          <w:rFonts w:cs="Arial"/>
          <w:color w:val="auto"/>
        </w:rPr>
        <w:t>.</w:t>
      </w:r>
    </w:p>
    <w:p w14:paraId="61036533" w14:textId="12721B38" w:rsidR="009242AA" w:rsidRDefault="009242AA" w:rsidP="004A514D">
      <w:pPr>
        <w:pStyle w:val="Heading7"/>
      </w:pPr>
      <w:r>
        <w:t>I</w:t>
      </w:r>
      <w:r w:rsidRPr="00866686">
        <w:t xml:space="preserve">mpact on </w:t>
      </w:r>
      <w:r w:rsidR="00DB01D9">
        <w:t>employers</w:t>
      </w:r>
      <w:r>
        <w:t xml:space="preserve"> – cost of uncertainty and administration</w:t>
      </w:r>
    </w:p>
    <w:p w14:paraId="4FF2A7F0" w14:textId="093C0D13" w:rsidR="00B45BD9" w:rsidRPr="00B45BD9" w:rsidRDefault="00AB404C" w:rsidP="00DF2E27">
      <w:pPr>
        <w:pStyle w:val="BodyText"/>
        <w:rPr>
          <w:rFonts w:cs="Arial"/>
          <w:color w:val="auto"/>
        </w:rPr>
      </w:pPr>
      <w:r>
        <w:rPr>
          <w:rFonts w:cs="Arial"/>
          <w:color w:val="auto"/>
        </w:rPr>
        <w:t>Th</w:t>
      </w:r>
      <w:r w:rsidR="003846BB">
        <w:rPr>
          <w:rFonts w:cs="Arial"/>
          <w:color w:val="auto"/>
        </w:rPr>
        <w:t>is</w:t>
      </w:r>
      <w:r>
        <w:rPr>
          <w:rFonts w:cs="Arial"/>
          <w:color w:val="auto"/>
        </w:rPr>
        <w:t xml:space="preserve"> option is much more aligned with the </w:t>
      </w:r>
      <w:r w:rsidR="000B4581">
        <w:rPr>
          <w:rFonts w:cs="Arial"/>
          <w:color w:val="auto"/>
        </w:rPr>
        <w:t>criterion</w:t>
      </w:r>
      <w:r>
        <w:rPr>
          <w:rFonts w:cs="Arial"/>
          <w:color w:val="auto"/>
        </w:rPr>
        <w:t xml:space="preserve"> compared to the status quo. </w:t>
      </w:r>
      <w:r w:rsidRPr="00337958">
        <w:rPr>
          <w:rFonts w:cs="Arial"/>
          <w:color w:val="auto"/>
        </w:rPr>
        <w:t>It</w:t>
      </w:r>
      <w:r w:rsidR="00B45BD9" w:rsidRPr="00B45BD9">
        <w:rPr>
          <w:rFonts w:cs="Arial"/>
          <w:color w:val="auto"/>
        </w:rPr>
        <w:t xml:space="preserve"> would increase clarity for employers in the sector as to which of their employees are covered by the Scheme. </w:t>
      </w:r>
      <w:r>
        <w:rPr>
          <w:rFonts w:cs="Arial"/>
          <w:color w:val="auto"/>
        </w:rPr>
        <w:t xml:space="preserve">Under the status quo, there is no definition of who is </w:t>
      </w:r>
      <w:r w:rsidR="0071726F">
        <w:rPr>
          <w:rFonts w:cs="Arial"/>
          <w:color w:val="auto"/>
        </w:rPr>
        <w:t xml:space="preserve">regarded as </w:t>
      </w:r>
      <w:r>
        <w:rPr>
          <w:rFonts w:cs="Arial"/>
          <w:color w:val="auto"/>
        </w:rPr>
        <w:t xml:space="preserve">an employee in the sector for employers to use in determining eligibility. </w:t>
      </w:r>
      <w:r w:rsidR="00B45BD9" w:rsidRPr="00B45BD9">
        <w:rPr>
          <w:rFonts w:cs="Arial"/>
          <w:color w:val="auto"/>
        </w:rPr>
        <w:t xml:space="preserve">As an employer </w:t>
      </w:r>
      <w:r w:rsidR="001749D5">
        <w:rPr>
          <w:rFonts w:cs="Arial"/>
          <w:color w:val="auto"/>
        </w:rPr>
        <w:t xml:space="preserve">is likely </w:t>
      </w:r>
      <w:r w:rsidR="003846BB">
        <w:rPr>
          <w:rFonts w:cs="Arial"/>
          <w:color w:val="auto"/>
        </w:rPr>
        <w:t xml:space="preserve">to be </w:t>
      </w:r>
      <w:r w:rsidR="001749D5">
        <w:rPr>
          <w:rFonts w:cs="Arial"/>
          <w:color w:val="auto"/>
        </w:rPr>
        <w:t>aware of which employees’ employment is covered by this modern award</w:t>
      </w:r>
      <w:r w:rsidR="00B45BD9" w:rsidRPr="00B45BD9">
        <w:rPr>
          <w:rFonts w:cs="Arial"/>
          <w:color w:val="auto"/>
        </w:rPr>
        <w:t xml:space="preserve">, this option </w:t>
      </w:r>
      <w:r w:rsidR="001749D5">
        <w:rPr>
          <w:rFonts w:cs="Arial"/>
          <w:color w:val="auto"/>
        </w:rPr>
        <w:t>is unlikely to</w:t>
      </w:r>
      <w:r w:rsidR="00B45BD9" w:rsidRPr="00B45BD9">
        <w:rPr>
          <w:rFonts w:cs="Arial"/>
          <w:color w:val="auto"/>
        </w:rPr>
        <w:t xml:space="preserve"> be administratively burdensome.</w:t>
      </w:r>
    </w:p>
    <w:p w14:paraId="631B66E0" w14:textId="77777777" w:rsidR="00DF2E27" w:rsidRPr="00866686" w:rsidRDefault="00DF2E27" w:rsidP="004A514D">
      <w:pPr>
        <w:pStyle w:val="Heading7"/>
      </w:pPr>
      <w:r w:rsidRPr="00866686">
        <w:t>Impact on the Authority</w:t>
      </w:r>
    </w:p>
    <w:p w14:paraId="07A2117B" w14:textId="09F48D22" w:rsidR="005742B8" w:rsidRPr="00B45BD9" w:rsidRDefault="005742B8" w:rsidP="005742B8">
      <w:pPr>
        <w:pStyle w:val="BodyText"/>
        <w:rPr>
          <w:rFonts w:cs="Arial"/>
          <w:color w:val="auto"/>
        </w:rPr>
      </w:pPr>
      <w:r>
        <w:rPr>
          <w:rFonts w:cs="Arial"/>
          <w:color w:val="auto"/>
        </w:rPr>
        <w:t>Th</w:t>
      </w:r>
      <w:r w:rsidR="003846BB">
        <w:rPr>
          <w:rFonts w:cs="Arial"/>
          <w:color w:val="auto"/>
        </w:rPr>
        <w:t>is</w:t>
      </w:r>
      <w:r>
        <w:rPr>
          <w:rFonts w:cs="Arial"/>
          <w:color w:val="auto"/>
        </w:rPr>
        <w:t xml:space="preserve"> option is much more aligned with the </w:t>
      </w:r>
      <w:r w:rsidR="000B4581">
        <w:rPr>
          <w:rFonts w:cs="Arial"/>
          <w:color w:val="auto"/>
        </w:rPr>
        <w:t>criterion</w:t>
      </w:r>
      <w:r>
        <w:rPr>
          <w:rFonts w:cs="Arial"/>
          <w:color w:val="auto"/>
        </w:rPr>
        <w:t xml:space="preserve"> compared to the status quo. T</w:t>
      </w:r>
      <w:r w:rsidRPr="00B45BD9">
        <w:rPr>
          <w:rFonts w:cs="Arial"/>
          <w:color w:val="auto"/>
        </w:rPr>
        <w:t>he greater clari</w:t>
      </w:r>
      <w:r>
        <w:rPr>
          <w:rFonts w:cs="Arial"/>
          <w:color w:val="auto"/>
        </w:rPr>
        <w:t>ty would assist the Authority to implement</w:t>
      </w:r>
      <w:r w:rsidRPr="00B45BD9">
        <w:rPr>
          <w:rFonts w:cs="Arial"/>
          <w:color w:val="auto"/>
        </w:rPr>
        <w:t xml:space="preserve"> the Scheme, register eligible employees and provide clearer guidance to the sector.</w:t>
      </w:r>
      <w:r>
        <w:rPr>
          <w:rFonts w:cs="Arial"/>
          <w:color w:val="auto"/>
        </w:rPr>
        <w:t xml:space="preserve"> </w:t>
      </w:r>
    </w:p>
    <w:tbl>
      <w:tblPr>
        <w:tblStyle w:val="TableGrid"/>
        <w:tblW w:w="9026" w:type="dxa"/>
        <w:tblLook w:val="04A0" w:firstRow="1" w:lastRow="0" w:firstColumn="1" w:lastColumn="0" w:noHBand="0" w:noVBand="1"/>
      </w:tblPr>
      <w:tblGrid>
        <w:gridCol w:w="9026"/>
      </w:tblGrid>
      <w:tr w:rsidR="0011258C" w:rsidRPr="00F738AD" w14:paraId="159FAAA1" w14:textId="77777777" w:rsidTr="00C85C8C">
        <w:trPr>
          <w:tblHeader/>
        </w:trPr>
        <w:tc>
          <w:tcPr>
            <w:tcW w:w="9026" w:type="dxa"/>
            <w:tcBorders>
              <w:left w:val="nil"/>
            </w:tcBorders>
            <w:shd w:val="clear" w:color="auto" w:fill="002060"/>
          </w:tcPr>
          <w:p w14:paraId="7D49DC91" w14:textId="77777777" w:rsidR="0011258C" w:rsidRPr="00F738AD" w:rsidRDefault="0011258C" w:rsidP="00C85C8C">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11258C" w:rsidRPr="00EC5379" w14:paraId="274C5A07" w14:textId="77777777" w:rsidTr="00C85C8C">
        <w:trPr>
          <w:trHeight w:val="788"/>
        </w:trPr>
        <w:tc>
          <w:tcPr>
            <w:tcW w:w="9026" w:type="dxa"/>
            <w:tcBorders>
              <w:left w:val="nil"/>
            </w:tcBorders>
            <w:shd w:val="clear" w:color="auto" w:fill="DEEAF6" w:themeFill="accent1" w:themeFillTint="33"/>
          </w:tcPr>
          <w:p w14:paraId="6E6DA290" w14:textId="5A9D436E" w:rsidR="0081142D" w:rsidRDefault="0011258C">
            <w:pPr>
              <w:pStyle w:val="BodyText"/>
              <w:ind w:left="601" w:hanging="601"/>
              <w:rPr>
                <w:rFonts w:cs="Arial"/>
              </w:rPr>
            </w:pPr>
            <w:r>
              <w:rPr>
                <w:rFonts w:cs="Arial"/>
                <w:b/>
              </w:rPr>
              <w:t>S.2</w:t>
            </w:r>
            <w:r w:rsidR="00D50857">
              <w:rPr>
                <w:rFonts w:cs="Arial"/>
                <w:b/>
              </w:rPr>
              <w:t>1</w:t>
            </w:r>
            <w:r w:rsidR="0055008B">
              <w:rPr>
                <w:rFonts w:cs="Arial"/>
                <w:b/>
              </w:rPr>
              <w:t xml:space="preserve"> </w:t>
            </w:r>
            <w:r w:rsidR="007010B9">
              <w:rPr>
                <w:rFonts w:cs="Arial"/>
                <w:b/>
              </w:rPr>
              <w:tab/>
            </w:r>
            <w:r w:rsidR="0081142D" w:rsidRPr="00A21F88">
              <w:rPr>
                <w:rFonts w:cs="Arial"/>
              </w:rPr>
              <w:t xml:space="preserve">Does this assessment accurately represent the </w:t>
            </w:r>
            <w:r w:rsidR="0081142D">
              <w:rPr>
                <w:rFonts w:cs="Arial"/>
              </w:rPr>
              <w:t>likely change in employees covered under each of these options relative to how stakeholders are currently defining employees under the status quo?</w:t>
            </w:r>
          </w:p>
          <w:p w14:paraId="7F0267FE" w14:textId="5E30BC89" w:rsidR="00015F56" w:rsidRDefault="00D50857" w:rsidP="00015F56">
            <w:pPr>
              <w:pStyle w:val="BodyText"/>
              <w:ind w:left="601" w:hanging="601"/>
              <w:rPr>
                <w:rFonts w:cs="Arial"/>
              </w:rPr>
            </w:pPr>
            <w:r>
              <w:rPr>
                <w:rFonts w:cs="Arial"/>
                <w:b/>
              </w:rPr>
              <w:t>S.22</w:t>
            </w:r>
            <w:r w:rsidR="0055008B">
              <w:rPr>
                <w:rFonts w:cs="Arial"/>
              </w:rPr>
              <w:t xml:space="preserve"> </w:t>
            </w:r>
            <w:r w:rsidR="007010B9">
              <w:rPr>
                <w:rFonts w:cs="Arial"/>
              </w:rPr>
              <w:tab/>
            </w:r>
            <w:r w:rsidR="00015F56">
              <w:rPr>
                <w:rFonts w:cs="Arial"/>
              </w:rPr>
              <w:t>Which option provides employers with the greatest clarity in relation to when employees in the security industry are in-scope?</w:t>
            </w:r>
          </w:p>
          <w:p w14:paraId="1F053EF1" w14:textId="0EBDAAFD" w:rsidR="00015F56" w:rsidRPr="0074738D" w:rsidRDefault="00D50857" w:rsidP="00D50857">
            <w:pPr>
              <w:pStyle w:val="BodyText"/>
              <w:ind w:left="601" w:hanging="601"/>
              <w:rPr>
                <w:rFonts w:cs="Arial"/>
              </w:rPr>
            </w:pPr>
            <w:r>
              <w:rPr>
                <w:rFonts w:cs="Arial"/>
                <w:b/>
              </w:rPr>
              <w:t>S.23</w:t>
            </w:r>
            <w:r w:rsidR="0055008B">
              <w:rPr>
                <w:rFonts w:cs="Arial"/>
                <w:b/>
              </w:rPr>
              <w:t xml:space="preserve"> </w:t>
            </w:r>
            <w:r w:rsidR="007010B9">
              <w:rPr>
                <w:rFonts w:cs="Arial"/>
                <w:b/>
              </w:rPr>
              <w:tab/>
            </w:r>
            <w:r w:rsidR="00015F56" w:rsidRPr="00E95DC9">
              <w:rPr>
                <w:rFonts w:cs="Arial"/>
              </w:rPr>
              <w:t xml:space="preserve">Which option best ensures that employees across the </w:t>
            </w:r>
            <w:r w:rsidR="00015F56">
              <w:rPr>
                <w:rFonts w:cs="Arial"/>
              </w:rPr>
              <w:t>security</w:t>
            </w:r>
            <w:r w:rsidR="00015F56" w:rsidRPr="00E95DC9">
              <w:rPr>
                <w:rFonts w:cs="Arial"/>
              </w:rPr>
              <w:t xml:space="preserve"> sector have fair and equitable access to the Scheme?</w:t>
            </w:r>
          </w:p>
        </w:tc>
      </w:tr>
    </w:tbl>
    <w:p w14:paraId="3FBAED51" w14:textId="023B0699" w:rsidR="00807495" w:rsidRPr="00EC5379" w:rsidRDefault="00CF5417" w:rsidP="00D44303">
      <w:pPr>
        <w:pStyle w:val="Heading3"/>
        <w:tabs>
          <w:tab w:val="clear" w:pos="5115"/>
        </w:tabs>
        <w:spacing w:before="100" w:beforeAutospacing="1" w:after="100" w:afterAutospacing="1"/>
        <w:ind w:left="709"/>
        <w:rPr>
          <w:rFonts w:ascii="Arial" w:hAnsi="Arial" w:cs="Arial"/>
        </w:rPr>
      </w:pPr>
      <w:r>
        <w:rPr>
          <w:rFonts w:ascii="Arial" w:hAnsi="Arial" w:cs="Arial"/>
        </w:rPr>
        <w:t xml:space="preserve">Reimbursing employers for </w:t>
      </w:r>
      <w:r w:rsidR="00DB3ADD">
        <w:rPr>
          <w:rFonts w:ascii="Arial" w:hAnsi="Arial" w:cs="Arial"/>
        </w:rPr>
        <w:t>double-dipping</w:t>
      </w:r>
      <w:r w:rsidR="000500F9">
        <w:rPr>
          <w:rFonts w:ascii="Arial" w:hAnsi="Arial" w:cs="Arial"/>
        </w:rPr>
        <w:t xml:space="preserve"> claims</w:t>
      </w:r>
      <w:r w:rsidR="00807495" w:rsidRPr="00EC5379">
        <w:rPr>
          <w:rFonts w:ascii="Arial" w:hAnsi="Arial" w:cs="Arial"/>
        </w:rPr>
        <w:t xml:space="preserve"> in the community services sector</w:t>
      </w:r>
      <w:r w:rsidR="00AD7B94">
        <w:rPr>
          <w:rFonts w:ascii="Arial" w:hAnsi="Arial" w:cs="Arial"/>
        </w:rPr>
        <w:t xml:space="preserve"> under the Long Service Leave Act</w:t>
      </w:r>
      <w:r w:rsidR="001749D5">
        <w:rPr>
          <w:rFonts w:ascii="Arial" w:hAnsi="Arial" w:cs="Arial"/>
        </w:rPr>
        <w:t xml:space="preserve"> 2018</w:t>
      </w:r>
    </w:p>
    <w:p w14:paraId="645A07D7" w14:textId="6406437A" w:rsidR="004A1BE4" w:rsidRPr="00EC5379" w:rsidRDefault="00807495" w:rsidP="00807495">
      <w:pPr>
        <w:pStyle w:val="BodyText"/>
        <w:rPr>
          <w:rFonts w:cs="Arial"/>
          <w:color w:val="FF0000"/>
        </w:rPr>
      </w:pPr>
      <w:r w:rsidRPr="00106B02">
        <w:rPr>
          <w:rFonts w:cs="Arial"/>
          <w:color w:val="auto"/>
        </w:rPr>
        <w:t>As discussed in section</w:t>
      </w:r>
      <w:r w:rsidR="001749D5">
        <w:rPr>
          <w:rFonts w:cs="Arial"/>
          <w:color w:val="auto"/>
        </w:rPr>
        <w:t xml:space="preserve"> </w:t>
      </w:r>
      <w:r w:rsidR="0001065F">
        <w:rPr>
          <w:rFonts w:cs="Arial"/>
          <w:color w:val="auto"/>
        </w:rPr>
        <w:fldChar w:fldCharType="begin"/>
      </w:r>
      <w:r w:rsidR="0001065F">
        <w:rPr>
          <w:rFonts w:cs="Arial"/>
          <w:color w:val="auto"/>
        </w:rPr>
        <w:instrText xml:space="preserve"> REF _Ref36731333 \r \h </w:instrText>
      </w:r>
      <w:r w:rsidR="0001065F">
        <w:rPr>
          <w:rFonts w:cs="Arial"/>
          <w:color w:val="auto"/>
        </w:rPr>
      </w:r>
      <w:r w:rsidR="0001065F">
        <w:rPr>
          <w:rFonts w:cs="Arial"/>
          <w:color w:val="auto"/>
        </w:rPr>
        <w:fldChar w:fldCharType="separate"/>
      </w:r>
      <w:r w:rsidR="0001065F">
        <w:rPr>
          <w:rFonts w:cs="Arial"/>
          <w:color w:val="auto"/>
        </w:rPr>
        <w:t>3.5</w:t>
      </w:r>
      <w:r w:rsidR="0001065F">
        <w:rPr>
          <w:rFonts w:cs="Arial"/>
          <w:color w:val="auto"/>
        </w:rPr>
        <w:fldChar w:fldCharType="end"/>
      </w:r>
      <w:r w:rsidR="00106B02" w:rsidRPr="00106B02">
        <w:rPr>
          <w:rFonts w:cs="Arial"/>
          <w:color w:val="auto"/>
        </w:rPr>
        <w:t xml:space="preserve">, solutions to </w:t>
      </w:r>
      <w:r w:rsidR="003B2EDF">
        <w:rPr>
          <w:rFonts w:cs="Arial"/>
          <w:color w:val="auto"/>
        </w:rPr>
        <w:t>reimburse employers</w:t>
      </w:r>
      <w:r w:rsidR="0060163D">
        <w:rPr>
          <w:rFonts w:cs="Arial"/>
          <w:color w:val="auto"/>
        </w:rPr>
        <w:t xml:space="preserve"> in the community services sector</w:t>
      </w:r>
      <w:r w:rsidR="003B2EDF">
        <w:rPr>
          <w:rFonts w:cs="Arial"/>
          <w:color w:val="auto"/>
        </w:rPr>
        <w:t xml:space="preserve"> for</w:t>
      </w:r>
      <w:r w:rsidR="00106B02" w:rsidRPr="00106B02">
        <w:rPr>
          <w:rFonts w:cs="Arial"/>
          <w:color w:val="auto"/>
        </w:rPr>
        <w:t xml:space="preserve"> </w:t>
      </w:r>
      <w:r w:rsidR="0060163D">
        <w:rPr>
          <w:rFonts w:cs="Arial"/>
          <w:color w:val="auto"/>
        </w:rPr>
        <w:t>employees double-</w:t>
      </w:r>
      <w:r w:rsidR="00106B02" w:rsidRPr="00106B02">
        <w:rPr>
          <w:rFonts w:cs="Arial"/>
          <w:color w:val="auto"/>
        </w:rPr>
        <w:t xml:space="preserve">dipping </w:t>
      </w:r>
      <w:r w:rsidR="003B2EDF">
        <w:rPr>
          <w:rFonts w:cs="Arial"/>
          <w:color w:val="auto"/>
        </w:rPr>
        <w:t xml:space="preserve">under the </w:t>
      </w:r>
      <w:r w:rsidR="003B2EDF" w:rsidRPr="003B2EDF">
        <w:rPr>
          <w:rFonts w:cs="Arial"/>
          <w:i/>
          <w:color w:val="auto"/>
        </w:rPr>
        <w:t>Long Service Leave Act 2018</w:t>
      </w:r>
      <w:r w:rsidR="003B2EDF">
        <w:rPr>
          <w:rFonts w:cs="Arial"/>
          <w:color w:val="auto"/>
        </w:rPr>
        <w:t xml:space="preserve"> </w:t>
      </w:r>
      <w:r w:rsidR="00614A90">
        <w:rPr>
          <w:rFonts w:cs="Arial"/>
          <w:color w:val="auto"/>
        </w:rPr>
        <w:t>aim to</w:t>
      </w:r>
      <w:r w:rsidR="00614A90" w:rsidRPr="00106B02">
        <w:rPr>
          <w:rFonts w:cs="Arial"/>
          <w:color w:val="auto"/>
        </w:rPr>
        <w:t xml:space="preserve"> </w:t>
      </w:r>
      <w:r w:rsidR="0060163D">
        <w:rPr>
          <w:rFonts w:cs="Arial"/>
          <w:color w:val="auto"/>
        </w:rPr>
        <w:t xml:space="preserve">avoid situations where </w:t>
      </w:r>
      <w:r w:rsidR="00614A90">
        <w:rPr>
          <w:rFonts w:cs="Arial"/>
          <w:color w:val="auto"/>
        </w:rPr>
        <w:t>employers pay</w:t>
      </w:r>
      <w:r w:rsidR="00614A90" w:rsidRPr="00EC5379">
        <w:rPr>
          <w:rFonts w:cs="Arial"/>
        </w:rPr>
        <w:t xml:space="preserve"> a</w:t>
      </w:r>
      <w:r w:rsidR="00BA4E89">
        <w:rPr>
          <w:rFonts w:cs="Arial"/>
        </w:rPr>
        <w:t>n</w:t>
      </w:r>
      <w:r w:rsidR="00614A90" w:rsidRPr="00EC5379">
        <w:rPr>
          <w:rFonts w:cs="Arial"/>
        </w:rPr>
        <w:t xml:space="preserve"> </w:t>
      </w:r>
      <w:r w:rsidR="00BA4E89">
        <w:rPr>
          <w:rFonts w:cs="Arial"/>
        </w:rPr>
        <w:t>employee</w:t>
      </w:r>
      <w:r w:rsidR="00614A90">
        <w:rPr>
          <w:rFonts w:cs="Arial"/>
        </w:rPr>
        <w:t xml:space="preserve"> for long service leave under an existing workplace law or industrial instrument </w:t>
      </w:r>
      <w:r w:rsidR="00614A90" w:rsidRPr="00EC5379">
        <w:rPr>
          <w:rFonts w:cs="Arial"/>
        </w:rPr>
        <w:t xml:space="preserve">and </w:t>
      </w:r>
      <w:r w:rsidR="004736E9">
        <w:rPr>
          <w:rFonts w:cs="Arial"/>
        </w:rPr>
        <w:t xml:space="preserve">also pay </w:t>
      </w:r>
      <w:r w:rsidR="00614A90" w:rsidRPr="00EC5379">
        <w:rPr>
          <w:rFonts w:cs="Arial"/>
        </w:rPr>
        <w:t>a levy under the LSBP Act</w:t>
      </w:r>
      <w:r w:rsidR="00614A90" w:rsidRPr="00EC5379" w:rsidDel="00EE442D">
        <w:rPr>
          <w:rFonts w:cs="Arial"/>
        </w:rPr>
        <w:t xml:space="preserve"> </w:t>
      </w:r>
      <w:r w:rsidR="00614A90" w:rsidRPr="00EC5379">
        <w:rPr>
          <w:rFonts w:cs="Arial"/>
        </w:rPr>
        <w:t xml:space="preserve">for the </w:t>
      </w:r>
      <w:r w:rsidR="00BA4E89">
        <w:rPr>
          <w:rFonts w:cs="Arial"/>
        </w:rPr>
        <w:t>employee</w:t>
      </w:r>
      <w:r w:rsidR="00614A90" w:rsidRPr="00EC5379">
        <w:rPr>
          <w:rFonts w:cs="Arial"/>
        </w:rPr>
        <w:t xml:space="preserve"> in respect of the same service period</w:t>
      </w:r>
      <w:r w:rsidR="00614A90">
        <w:rPr>
          <w:rFonts w:cs="Arial"/>
        </w:rPr>
        <w:t xml:space="preserve"> (without reimbursement)</w:t>
      </w:r>
      <w:r w:rsidR="004A1BE4">
        <w:rPr>
          <w:rFonts w:cs="Arial"/>
          <w:color w:val="auto"/>
        </w:rPr>
        <w:t>.</w:t>
      </w:r>
    </w:p>
    <w:p w14:paraId="6B2AFA3B" w14:textId="6E6D9215" w:rsidR="00807495" w:rsidRPr="00EC5379" w:rsidRDefault="00807495" w:rsidP="00807495">
      <w:pPr>
        <w:pStyle w:val="BodyText"/>
        <w:rPr>
          <w:rFonts w:cs="Arial"/>
        </w:rPr>
      </w:pPr>
      <w:r w:rsidRPr="00EC5379">
        <w:rPr>
          <w:rFonts w:cs="Arial"/>
        </w:rPr>
        <w:t xml:space="preserve">A summary of the options for </w:t>
      </w:r>
      <w:r w:rsidR="00CF5417">
        <w:rPr>
          <w:rFonts w:cs="Arial"/>
        </w:rPr>
        <w:t xml:space="preserve">reimbursing employers </w:t>
      </w:r>
      <w:r w:rsidR="00106B02">
        <w:rPr>
          <w:rFonts w:cs="Arial"/>
        </w:rPr>
        <w:t>in the community services sector</w:t>
      </w:r>
      <w:r w:rsidR="0060163D">
        <w:rPr>
          <w:rFonts w:cs="Arial"/>
        </w:rPr>
        <w:t xml:space="preserve"> for employees doubling-dipping</w:t>
      </w:r>
      <w:r w:rsidR="00AD7B94">
        <w:rPr>
          <w:rFonts w:cs="Arial"/>
        </w:rPr>
        <w:t xml:space="preserve"> under the </w:t>
      </w:r>
      <w:r w:rsidR="00AD7B94" w:rsidRPr="001A238C">
        <w:rPr>
          <w:rFonts w:cs="Arial"/>
          <w:i/>
        </w:rPr>
        <w:t>Long Service Leave Act</w:t>
      </w:r>
      <w:r w:rsidR="00614A90" w:rsidRPr="001A238C">
        <w:rPr>
          <w:rFonts w:cs="Arial"/>
          <w:i/>
        </w:rPr>
        <w:t xml:space="preserve"> 2018</w:t>
      </w:r>
      <w:r w:rsidRPr="00EC5379">
        <w:rPr>
          <w:rFonts w:cs="Arial"/>
        </w:rPr>
        <w:t xml:space="preserve">, along with their relative </w:t>
      </w:r>
      <w:r w:rsidR="00C17C3F">
        <w:rPr>
          <w:rFonts w:cs="Arial"/>
        </w:rPr>
        <w:t xml:space="preserve">scores compared to the </w:t>
      </w:r>
      <w:r w:rsidR="0013418B">
        <w:rPr>
          <w:rFonts w:cs="Arial"/>
        </w:rPr>
        <w:t>status quo</w:t>
      </w:r>
      <w:r w:rsidRPr="00EC5379">
        <w:rPr>
          <w:rFonts w:cs="Arial"/>
        </w:rPr>
        <w:t>, is as follows:</w:t>
      </w:r>
    </w:p>
    <w:p w14:paraId="480AE729" w14:textId="190A199A" w:rsidR="00AD3670" w:rsidRDefault="00807495" w:rsidP="00337958">
      <w:pPr>
        <w:pStyle w:val="Caption"/>
      </w:pPr>
      <w:r w:rsidRPr="00EC5379">
        <w:rPr>
          <w:rFonts w:ascii="Arial" w:hAnsi="Arial" w:cs="Arial"/>
        </w:rPr>
        <w:lastRenderedPageBreak/>
        <w:t xml:space="preserve">Table </w:t>
      </w:r>
      <w:r w:rsidRPr="00EC5379">
        <w:rPr>
          <w:rFonts w:ascii="Arial" w:hAnsi="Arial" w:cs="Arial"/>
          <w:i w:val="0"/>
          <w:iCs w:val="0"/>
          <w:noProof/>
        </w:rPr>
        <w:fldChar w:fldCharType="begin"/>
      </w:r>
      <w:r w:rsidRPr="00EC5379">
        <w:rPr>
          <w:rFonts w:ascii="Arial" w:hAnsi="Arial" w:cs="Arial"/>
          <w:noProof/>
        </w:rPr>
        <w:instrText xml:space="preserve"> SEQ Table \* ARABIC </w:instrText>
      </w:r>
      <w:r w:rsidRPr="00EC5379">
        <w:rPr>
          <w:rFonts w:ascii="Arial" w:hAnsi="Arial" w:cs="Arial"/>
          <w:i w:val="0"/>
          <w:iCs w:val="0"/>
          <w:noProof/>
        </w:rPr>
        <w:fldChar w:fldCharType="separate"/>
      </w:r>
      <w:r w:rsidR="00F11F33">
        <w:rPr>
          <w:rFonts w:ascii="Arial" w:hAnsi="Arial" w:cs="Arial"/>
          <w:noProof/>
        </w:rPr>
        <w:t>15</w:t>
      </w:r>
      <w:r w:rsidRPr="00EC5379">
        <w:rPr>
          <w:rFonts w:ascii="Arial" w:hAnsi="Arial" w:cs="Arial"/>
          <w:i w:val="0"/>
          <w:iCs w:val="0"/>
          <w:noProof/>
        </w:rPr>
        <w:fldChar w:fldCharType="end"/>
      </w:r>
      <w:r w:rsidRPr="00EC5379">
        <w:rPr>
          <w:rFonts w:ascii="Arial" w:hAnsi="Arial" w:cs="Arial"/>
        </w:rPr>
        <w:t xml:space="preserve">: Summary of </w:t>
      </w:r>
      <w:r w:rsidR="00DB3ADD">
        <w:rPr>
          <w:rFonts w:ascii="Arial" w:hAnsi="Arial" w:cs="Arial"/>
        </w:rPr>
        <w:t>double-dipping</w:t>
      </w:r>
      <w:r w:rsidR="00D430EE">
        <w:rPr>
          <w:rFonts w:ascii="Arial" w:hAnsi="Arial" w:cs="Arial"/>
        </w:rPr>
        <w:t xml:space="preserve"> in the community services sector</w:t>
      </w:r>
      <w:r w:rsidRPr="00EC5379">
        <w:rPr>
          <w:rFonts w:ascii="Arial" w:hAnsi="Arial" w:cs="Arial"/>
        </w:rPr>
        <w:t xml:space="preserve"> impact analysis</w:t>
      </w:r>
    </w:p>
    <w:tbl>
      <w:tblPr>
        <w:tblStyle w:val="TableGrid"/>
        <w:tblW w:w="9072" w:type="dxa"/>
        <w:tblLayout w:type="fixed"/>
        <w:tblLook w:val="04A0" w:firstRow="1" w:lastRow="0" w:firstColumn="1" w:lastColumn="0" w:noHBand="0" w:noVBand="1"/>
      </w:tblPr>
      <w:tblGrid>
        <w:gridCol w:w="2552"/>
        <w:gridCol w:w="1304"/>
        <w:gridCol w:w="1304"/>
        <w:gridCol w:w="1304"/>
        <w:gridCol w:w="1304"/>
        <w:gridCol w:w="1304"/>
      </w:tblGrid>
      <w:tr w:rsidR="00AD3670" w:rsidRPr="00F738AD" w14:paraId="264C3A56" w14:textId="77777777" w:rsidTr="00AD3670">
        <w:trPr>
          <w:trHeight w:val="442"/>
        </w:trPr>
        <w:tc>
          <w:tcPr>
            <w:tcW w:w="2552" w:type="dxa"/>
            <w:vMerge w:val="restart"/>
            <w:tcBorders>
              <w:top w:val="single" w:sz="4" w:space="0" w:color="auto"/>
              <w:left w:val="nil"/>
              <w:right w:val="single" w:sz="4" w:space="0" w:color="auto"/>
            </w:tcBorders>
            <w:shd w:val="clear" w:color="auto" w:fill="002060"/>
            <w:vAlign w:val="center"/>
          </w:tcPr>
          <w:p w14:paraId="27D97B4C" w14:textId="77777777" w:rsidR="00AD3670" w:rsidRPr="00F738AD" w:rsidRDefault="00AD3670" w:rsidP="00AD3670">
            <w:pPr>
              <w:keepNext/>
              <w:rPr>
                <w:rFonts w:ascii="Arial" w:hAnsi="Arial" w:cs="Arial"/>
                <w:b/>
                <w:color w:val="FFFFFF" w:themeColor="background1"/>
              </w:rPr>
            </w:pPr>
            <w:r w:rsidRPr="00F738AD">
              <w:rPr>
                <w:rFonts w:ascii="Arial" w:hAnsi="Arial" w:cs="Arial"/>
                <w:b/>
                <w:color w:val="FFFFFF" w:themeColor="background1"/>
              </w:rPr>
              <w:t>Option</w:t>
            </w:r>
          </w:p>
        </w:tc>
        <w:tc>
          <w:tcPr>
            <w:tcW w:w="6520" w:type="dxa"/>
            <w:gridSpan w:val="5"/>
            <w:tcBorders>
              <w:top w:val="single" w:sz="4" w:space="0" w:color="auto"/>
              <w:left w:val="single" w:sz="4" w:space="0" w:color="auto"/>
              <w:right w:val="nil"/>
            </w:tcBorders>
            <w:shd w:val="clear" w:color="auto" w:fill="002060"/>
            <w:vAlign w:val="center"/>
          </w:tcPr>
          <w:p w14:paraId="5D5BD020" w14:textId="77777777" w:rsidR="00AD3670" w:rsidRPr="00F738AD" w:rsidRDefault="00AD3670" w:rsidP="00AD3670">
            <w:pPr>
              <w:keepNext/>
              <w:jc w:val="center"/>
              <w:rPr>
                <w:rFonts w:ascii="Arial" w:hAnsi="Arial" w:cs="Arial"/>
                <w:b/>
                <w:color w:val="FFFFFF" w:themeColor="background1"/>
              </w:rPr>
            </w:pPr>
            <w:r w:rsidRPr="00F738AD">
              <w:rPr>
                <w:rFonts w:ascii="Arial" w:hAnsi="Arial" w:cs="Arial"/>
                <w:b/>
                <w:color w:val="FFFFFF" w:themeColor="background1"/>
              </w:rPr>
              <w:t>Scores</w:t>
            </w:r>
          </w:p>
        </w:tc>
      </w:tr>
      <w:tr w:rsidR="00AD3670" w:rsidRPr="00F738AD" w14:paraId="000A2521" w14:textId="77777777" w:rsidTr="00AD3670">
        <w:trPr>
          <w:trHeight w:val="924"/>
        </w:trPr>
        <w:tc>
          <w:tcPr>
            <w:tcW w:w="2552" w:type="dxa"/>
            <w:vMerge/>
            <w:tcBorders>
              <w:left w:val="nil"/>
              <w:bottom w:val="single" w:sz="4" w:space="0" w:color="auto"/>
              <w:right w:val="single" w:sz="4" w:space="0" w:color="auto"/>
            </w:tcBorders>
            <w:shd w:val="clear" w:color="auto" w:fill="002060"/>
          </w:tcPr>
          <w:p w14:paraId="5566BF7F" w14:textId="77777777" w:rsidR="00AD3670" w:rsidRPr="00F738AD" w:rsidRDefault="00AD3670" w:rsidP="00AD3670">
            <w:pPr>
              <w:pStyle w:val="Tableheading"/>
              <w:keepNext/>
              <w:rPr>
                <w:rFonts w:ascii="Arial" w:hAnsi="Arial" w:cs="Arial"/>
              </w:rPr>
            </w:pPr>
          </w:p>
        </w:tc>
        <w:tc>
          <w:tcPr>
            <w:tcW w:w="1304" w:type="dxa"/>
            <w:tcBorders>
              <w:top w:val="single" w:sz="4" w:space="0" w:color="auto"/>
              <w:left w:val="single" w:sz="4" w:space="0" w:color="auto"/>
              <w:right w:val="nil"/>
            </w:tcBorders>
            <w:shd w:val="clear" w:color="auto" w:fill="002060"/>
            <w:vAlign w:val="center"/>
          </w:tcPr>
          <w:p w14:paraId="61CD4533" w14:textId="77777777" w:rsidR="00AD3670" w:rsidRPr="00F738AD" w:rsidRDefault="00AD3670" w:rsidP="00AD3670">
            <w:pPr>
              <w:keepNext/>
              <w:jc w:val="center"/>
              <w:rPr>
                <w:rFonts w:ascii="Arial" w:hAnsi="Arial" w:cs="Arial"/>
                <w:color w:val="FFFFFF" w:themeColor="background1"/>
              </w:rPr>
            </w:pPr>
            <w:r w:rsidRPr="00F738AD">
              <w:rPr>
                <w:rFonts w:ascii="Arial" w:hAnsi="Arial" w:cs="Arial"/>
                <w:color w:val="FFFFFF" w:themeColor="background1"/>
              </w:rPr>
              <w:t>E</w:t>
            </w:r>
            <w:r>
              <w:rPr>
                <w:rFonts w:ascii="Arial" w:hAnsi="Arial" w:cs="Arial"/>
                <w:color w:val="FFFFFF" w:themeColor="background1"/>
              </w:rPr>
              <w:t>mployee e</w:t>
            </w:r>
            <w:r w:rsidRPr="00F738AD">
              <w:rPr>
                <w:rFonts w:ascii="Arial" w:hAnsi="Arial" w:cs="Arial"/>
                <w:color w:val="FFFFFF" w:themeColor="background1"/>
              </w:rPr>
              <w:t>quity (50%)</w:t>
            </w:r>
          </w:p>
        </w:tc>
        <w:tc>
          <w:tcPr>
            <w:tcW w:w="1304" w:type="dxa"/>
            <w:tcBorders>
              <w:top w:val="single" w:sz="4" w:space="0" w:color="auto"/>
              <w:left w:val="single" w:sz="4" w:space="0" w:color="auto"/>
              <w:right w:val="nil"/>
            </w:tcBorders>
            <w:shd w:val="clear" w:color="auto" w:fill="002060"/>
            <w:vAlign w:val="center"/>
          </w:tcPr>
          <w:p w14:paraId="1AE49C1B" w14:textId="57E425F6" w:rsidR="00AD3670" w:rsidRPr="00F738AD" w:rsidRDefault="00B82CEE" w:rsidP="00AD3670">
            <w:pPr>
              <w:keepNext/>
              <w:jc w:val="center"/>
              <w:rPr>
                <w:rFonts w:ascii="Arial" w:hAnsi="Arial" w:cs="Arial"/>
                <w:b/>
                <w:color w:val="FFFFFF" w:themeColor="background1"/>
              </w:rPr>
            </w:pPr>
            <w:r>
              <w:rPr>
                <w:rFonts w:ascii="Arial" w:hAnsi="Arial" w:cs="Arial"/>
                <w:color w:val="FFFFFF" w:themeColor="background1"/>
              </w:rPr>
              <w:t>Employer</w:t>
            </w:r>
            <w:r w:rsidR="00AD3670">
              <w:rPr>
                <w:rFonts w:ascii="Arial" w:hAnsi="Arial" w:cs="Arial"/>
                <w:color w:val="FFFFFF" w:themeColor="background1"/>
              </w:rPr>
              <w:t xml:space="preserve"> financial cost </w:t>
            </w:r>
            <w:r w:rsidR="00AD3670" w:rsidRPr="00F738AD">
              <w:rPr>
                <w:rFonts w:ascii="Arial" w:hAnsi="Arial" w:cs="Arial"/>
                <w:color w:val="FFFFFF" w:themeColor="background1"/>
              </w:rPr>
              <w:t>(2</w:t>
            </w:r>
            <w:r w:rsidR="00AD3670">
              <w:rPr>
                <w:rFonts w:ascii="Arial" w:hAnsi="Arial" w:cs="Arial"/>
                <w:color w:val="FFFFFF" w:themeColor="background1"/>
              </w:rPr>
              <w:t>0</w:t>
            </w:r>
            <w:r w:rsidR="00AD3670" w:rsidRPr="00F738AD">
              <w:rPr>
                <w:rFonts w:ascii="Arial" w:hAnsi="Arial" w:cs="Arial"/>
                <w:color w:val="FFFFFF" w:themeColor="background1"/>
              </w:rPr>
              <w:t>%)</w:t>
            </w:r>
          </w:p>
        </w:tc>
        <w:tc>
          <w:tcPr>
            <w:tcW w:w="1304" w:type="dxa"/>
            <w:tcBorders>
              <w:top w:val="single" w:sz="4" w:space="0" w:color="auto"/>
              <w:left w:val="single" w:sz="4" w:space="0" w:color="auto"/>
              <w:right w:val="nil"/>
            </w:tcBorders>
            <w:shd w:val="clear" w:color="auto" w:fill="002060"/>
            <w:vAlign w:val="center"/>
          </w:tcPr>
          <w:p w14:paraId="4F4584D6" w14:textId="669131A5" w:rsidR="00AD3670" w:rsidRPr="0074738D" w:rsidRDefault="00B82CEE" w:rsidP="00AD3670">
            <w:pPr>
              <w:keepNext/>
              <w:jc w:val="center"/>
              <w:rPr>
                <w:rFonts w:ascii="Arial" w:hAnsi="Arial" w:cs="Arial"/>
                <w:color w:val="FFFFFF" w:themeColor="background1"/>
              </w:rPr>
            </w:pPr>
            <w:r>
              <w:rPr>
                <w:rFonts w:ascii="Arial" w:hAnsi="Arial" w:cs="Arial"/>
                <w:color w:val="FFFFFF" w:themeColor="background1"/>
              </w:rPr>
              <w:t>Employer</w:t>
            </w:r>
            <w:r w:rsidR="00AD3670" w:rsidRPr="0074738D">
              <w:rPr>
                <w:rFonts w:ascii="Arial" w:hAnsi="Arial" w:cs="Arial"/>
                <w:color w:val="FFFFFF" w:themeColor="background1"/>
              </w:rPr>
              <w:t xml:space="preserve"> uncertainty</w:t>
            </w:r>
            <w:r w:rsidR="00AD3670">
              <w:rPr>
                <w:rFonts w:ascii="Arial" w:hAnsi="Arial" w:cs="Arial"/>
                <w:color w:val="FFFFFF" w:themeColor="background1"/>
              </w:rPr>
              <w:t xml:space="preserve"> cost</w:t>
            </w:r>
            <w:r w:rsidR="00AD3670" w:rsidRPr="0074738D">
              <w:rPr>
                <w:rFonts w:ascii="Arial" w:hAnsi="Arial" w:cs="Arial"/>
                <w:color w:val="FFFFFF" w:themeColor="background1"/>
              </w:rPr>
              <w:t xml:space="preserve"> (20%)</w:t>
            </w:r>
          </w:p>
        </w:tc>
        <w:tc>
          <w:tcPr>
            <w:tcW w:w="1304" w:type="dxa"/>
            <w:tcBorders>
              <w:top w:val="single" w:sz="4" w:space="0" w:color="auto"/>
              <w:left w:val="single" w:sz="4" w:space="0" w:color="auto"/>
              <w:right w:val="nil"/>
            </w:tcBorders>
            <w:shd w:val="clear" w:color="auto" w:fill="002060"/>
            <w:vAlign w:val="center"/>
          </w:tcPr>
          <w:p w14:paraId="3905D518" w14:textId="77777777" w:rsidR="00AD3670" w:rsidRPr="00F738AD" w:rsidRDefault="00AD3670" w:rsidP="00AD3670">
            <w:pPr>
              <w:keepNext/>
              <w:jc w:val="center"/>
              <w:rPr>
                <w:rFonts w:ascii="Arial" w:hAnsi="Arial" w:cs="Arial"/>
                <w:color w:val="FFFFFF" w:themeColor="background1"/>
              </w:rPr>
            </w:pPr>
            <w:r>
              <w:rPr>
                <w:rFonts w:ascii="Arial" w:hAnsi="Arial" w:cs="Arial"/>
                <w:color w:val="FFFFFF" w:themeColor="background1"/>
              </w:rPr>
              <w:t>Impact on Authority</w:t>
            </w:r>
          </w:p>
          <w:p w14:paraId="2FCCBAE8" w14:textId="77777777" w:rsidR="00AD3670" w:rsidRPr="00F738AD" w:rsidRDefault="00AD3670" w:rsidP="00AD3670">
            <w:pPr>
              <w:keepNext/>
              <w:jc w:val="center"/>
              <w:rPr>
                <w:rFonts w:ascii="Arial" w:hAnsi="Arial" w:cs="Arial"/>
                <w:color w:val="FFFFFF" w:themeColor="background1"/>
              </w:rPr>
            </w:pPr>
            <w:r w:rsidRPr="00F738AD">
              <w:rPr>
                <w:rFonts w:ascii="Arial" w:hAnsi="Arial" w:cs="Arial"/>
                <w:color w:val="FFFFFF" w:themeColor="background1"/>
              </w:rPr>
              <w:t>(</w:t>
            </w:r>
            <w:r>
              <w:rPr>
                <w:rFonts w:ascii="Arial" w:hAnsi="Arial" w:cs="Arial"/>
                <w:color w:val="FFFFFF" w:themeColor="background1"/>
              </w:rPr>
              <w:t>10</w:t>
            </w:r>
            <w:r w:rsidRPr="00F738AD">
              <w:rPr>
                <w:rFonts w:ascii="Arial" w:hAnsi="Arial" w:cs="Arial"/>
                <w:color w:val="FFFFFF" w:themeColor="background1"/>
              </w:rPr>
              <w:t>%)</w:t>
            </w:r>
          </w:p>
        </w:tc>
        <w:tc>
          <w:tcPr>
            <w:tcW w:w="1304" w:type="dxa"/>
            <w:tcBorders>
              <w:top w:val="single" w:sz="4" w:space="0" w:color="auto"/>
              <w:left w:val="single" w:sz="4" w:space="0" w:color="auto"/>
              <w:right w:val="nil"/>
            </w:tcBorders>
            <w:shd w:val="clear" w:color="auto" w:fill="002060"/>
            <w:vAlign w:val="center"/>
          </w:tcPr>
          <w:p w14:paraId="5C2B312B" w14:textId="77777777" w:rsidR="00AD3670" w:rsidRPr="00F738AD" w:rsidRDefault="00AD3670" w:rsidP="00AD3670">
            <w:pPr>
              <w:keepNext/>
              <w:jc w:val="center"/>
              <w:rPr>
                <w:rFonts w:ascii="Arial" w:hAnsi="Arial" w:cs="Arial"/>
                <w:b/>
                <w:color w:val="FFFFFF" w:themeColor="background1"/>
              </w:rPr>
            </w:pPr>
            <w:r w:rsidRPr="00F738AD">
              <w:rPr>
                <w:rFonts w:ascii="Arial" w:hAnsi="Arial" w:cs="Arial"/>
                <w:b/>
                <w:color w:val="FFFFFF" w:themeColor="background1"/>
              </w:rPr>
              <w:t>Weighted score</w:t>
            </w:r>
          </w:p>
        </w:tc>
      </w:tr>
      <w:tr w:rsidR="00AD3670" w:rsidRPr="00EC5379" w14:paraId="5D05BE1E" w14:textId="77777777" w:rsidTr="00337958">
        <w:trPr>
          <w:trHeight w:val="585"/>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203F02AF" w14:textId="77777777" w:rsidR="00AD3670" w:rsidRPr="00EC5379" w:rsidRDefault="00AD3670" w:rsidP="00AD3670">
            <w:pPr>
              <w:keepNext/>
              <w:spacing w:before="100" w:beforeAutospacing="1"/>
              <w:rPr>
                <w:rFonts w:ascii="Arial" w:hAnsi="Arial" w:cs="Arial"/>
              </w:rPr>
            </w:pPr>
            <w:r>
              <w:rPr>
                <w:rFonts w:ascii="Arial" w:hAnsi="Arial" w:cs="Arial"/>
              </w:rPr>
              <w:t>Status</w:t>
            </w:r>
            <w:r w:rsidRPr="00EC5379">
              <w:rPr>
                <w:rFonts w:ascii="Arial" w:hAnsi="Arial" w:cs="Arial"/>
              </w:rPr>
              <w:t xml:space="preserve"> quo under the Interim Regulations</w:t>
            </w:r>
          </w:p>
        </w:tc>
        <w:tc>
          <w:tcPr>
            <w:tcW w:w="1304" w:type="dxa"/>
            <w:tcBorders>
              <w:left w:val="single" w:sz="4" w:space="0" w:color="auto"/>
              <w:right w:val="nil"/>
            </w:tcBorders>
            <w:shd w:val="clear" w:color="auto" w:fill="DEEAF6" w:themeFill="accent1" w:themeFillTint="33"/>
            <w:vAlign w:val="center"/>
          </w:tcPr>
          <w:p w14:paraId="2C56C70C" w14:textId="77777777" w:rsidR="00AD3670" w:rsidRPr="00EC5379" w:rsidRDefault="00AD3670" w:rsidP="00AD3670">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181EE5D0" w14:textId="77777777" w:rsidR="00AD3670" w:rsidRPr="00EC5379" w:rsidRDefault="00AD3670" w:rsidP="00AD3670">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746316DB" w14:textId="77777777" w:rsidR="00AD3670" w:rsidRPr="00EC5379" w:rsidRDefault="00AD3670" w:rsidP="00AD3670">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1870B58A" w14:textId="77777777" w:rsidR="00AD3670" w:rsidRPr="00EC5379" w:rsidRDefault="00AD3670" w:rsidP="00AD3670">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36F12ADA" w14:textId="77777777" w:rsidR="00AD3670" w:rsidRPr="00EC5379" w:rsidRDefault="00AD3670" w:rsidP="00AD3670">
            <w:pPr>
              <w:keepNext/>
              <w:jc w:val="center"/>
              <w:rPr>
                <w:rFonts w:ascii="Arial" w:hAnsi="Arial" w:cs="Arial"/>
                <w:b/>
              </w:rPr>
            </w:pPr>
            <w:r>
              <w:rPr>
                <w:rFonts w:ascii="Arial" w:hAnsi="Arial" w:cs="Arial"/>
                <w:b/>
              </w:rPr>
              <w:t>0</w:t>
            </w:r>
          </w:p>
        </w:tc>
      </w:tr>
      <w:tr w:rsidR="00AD3670" w:rsidRPr="00EC5379" w14:paraId="550BE64B" w14:textId="77777777" w:rsidTr="00337958">
        <w:trPr>
          <w:trHeight w:val="1315"/>
        </w:trPr>
        <w:tc>
          <w:tcPr>
            <w:tcW w:w="2552" w:type="dxa"/>
            <w:tcBorders>
              <w:top w:val="single" w:sz="4" w:space="0" w:color="auto"/>
              <w:left w:val="nil"/>
              <w:bottom w:val="single" w:sz="4" w:space="0" w:color="auto"/>
              <w:right w:val="single" w:sz="4" w:space="0" w:color="auto"/>
            </w:tcBorders>
            <w:shd w:val="clear" w:color="auto" w:fill="DEEAF6" w:themeFill="accent1" w:themeFillTint="33"/>
            <w:vAlign w:val="center"/>
          </w:tcPr>
          <w:p w14:paraId="405B6555" w14:textId="62186F07" w:rsidR="00AD3670" w:rsidRPr="00EC5379" w:rsidRDefault="00AD3670" w:rsidP="00AD3670">
            <w:pPr>
              <w:keepNext/>
              <w:spacing w:before="100" w:beforeAutospacing="1"/>
              <w:rPr>
                <w:rFonts w:ascii="Arial" w:hAnsi="Arial" w:cs="Arial"/>
              </w:rPr>
            </w:pPr>
            <w:r w:rsidRPr="00EC5379">
              <w:rPr>
                <w:rFonts w:ascii="Arial" w:hAnsi="Arial" w:cs="Arial"/>
              </w:rPr>
              <w:t xml:space="preserve">Option 1 – </w:t>
            </w:r>
            <w:r>
              <w:rPr>
                <w:rFonts w:ascii="Arial" w:hAnsi="Arial" w:cs="Arial"/>
              </w:rPr>
              <w:t xml:space="preserve">Allow employers who pay entitlements under the </w:t>
            </w:r>
            <w:r w:rsidRPr="001A238C">
              <w:rPr>
                <w:rFonts w:ascii="Arial" w:hAnsi="Arial" w:cs="Arial"/>
                <w:i/>
              </w:rPr>
              <w:t>Long Service Leave Act 2018</w:t>
            </w:r>
            <w:r>
              <w:rPr>
                <w:rFonts w:ascii="Arial" w:hAnsi="Arial" w:cs="Arial"/>
              </w:rPr>
              <w:t xml:space="preserve"> to be reimbursed</w:t>
            </w:r>
          </w:p>
        </w:tc>
        <w:tc>
          <w:tcPr>
            <w:tcW w:w="1304" w:type="dxa"/>
            <w:tcBorders>
              <w:left w:val="single" w:sz="4" w:space="0" w:color="auto"/>
              <w:right w:val="nil"/>
            </w:tcBorders>
            <w:shd w:val="clear" w:color="auto" w:fill="DEEAF6" w:themeFill="accent1" w:themeFillTint="33"/>
            <w:vAlign w:val="center"/>
          </w:tcPr>
          <w:p w14:paraId="0D4B3EF4" w14:textId="3310BFDD" w:rsidR="00AD3670" w:rsidRPr="00EC5379" w:rsidRDefault="00AD3670" w:rsidP="00AD3670">
            <w:pPr>
              <w:keepNext/>
              <w:jc w:val="center"/>
              <w:rPr>
                <w:rFonts w:ascii="Arial" w:hAnsi="Arial" w:cs="Arial"/>
              </w:rPr>
            </w:pPr>
            <w:r>
              <w:rPr>
                <w:rFonts w:ascii="Arial" w:hAnsi="Arial" w:cs="Arial"/>
              </w:rPr>
              <w:t>0</w:t>
            </w:r>
          </w:p>
        </w:tc>
        <w:tc>
          <w:tcPr>
            <w:tcW w:w="1304" w:type="dxa"/>
            <w:tcBorders>
              <w:left w:val="single" w:sz="4" w:space="0" w:color="auto"/>
              <w:right w:val="nil"/>
            </w:tcBorders>
            <w:shd w:val="clear" w:color="auto" w:fill="DEEAF6" w:themeFill="accent1" w:themeFillTint="33"/>
            <w:vAlign w:val="center"/>
          </w:tcPr>
          <w:p w14:paraId="1ABADEA6" w14:textId="249D5090" w:rsidR="00AD3670" w:rsidRPr="00EC5379" w:rsidRDefault="00AD3670" w:rsidP="00AD3670">
            <w:pPr>
              <w:keepNext/>
              <w:jc w:val="center"/>
              <w:rPr>
                <w:rFonts w:ascii="Arial" w:hAnsi="Arial" w:cs="Arial"/>
              </w:rPr>
            </w:pPr>
            <w:r>
              <w:rPr>
                <w:rFonts w:ascii="Arial" w:hAnsi="Arial" w:cs="Arial"/>
              </w:rPr>
              <w:t>3</w:t>
            </w:r>
          </w:p>
        </w:tc>
        <w:tc>
          <w:tcPr>
            <w:tcW w:w="1304" w:type="dxa"/>
            <w:tcBorders>
              <w:left w:val="single" w:sz="4" w:space="0" w:color="auto"/>
              <w:right w:val="nil"/>
            </w:tcBorders>
            <w:shd w:val="clear" w:color="auto" w:fill="DEEAF6" w:themeFill="accent1" w:themeFillTint="33"/>
            <w:vAlign w:val="center"/>
          </w:tcPr>
          <w:p w14:paraId="0DFC4F23" w14:textId="7C8A16E0" w:rsidR="00AD3670" w:rsidRPr="00EC5379" w:rsidRDefault="00903F53" w:rsidP="00AD3670">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2374BA79" w14:textId="1BA0376C" w:rsidR="00AD3670" w:rsidRPr="00EC5379" w:rsidRDefault="00BF46C8" w:rsidP="00AD3670">
            <w:pPr>
              <w:keepNext/>
              <w:jc w:val="center"/>
              <w:rPr>
                <w:rFonts w:ascii="Arial" w:hAnsi="Arial" w:cs="Arial"/>
              </w:rPr>
            </w:pPr>
            <w:r>
              <w:rPr>
                <w:rFonts w:ascii="Arial" w:hAnsi="Arial" w:cs="Arial"/>
              </w:rPr>
              <w:t>1</w:t>
            </w:r>
          </w:p>
        </w:tc>
        <w:tc>
          <w:tcPr>
            <w:tcW w:w="1304" w:type="dxa"/>
            <w:tcBorders>
              <w:left w:val="single" w:sz="4" w:space="0" w:color="auto"/>
              <w:right w:val="nil"/>
            </w:tcBorders>
            <w:shd w:val="clear" w:color="auto" w:fill="DEEAF6" w:themeFill="accent1" w:themeFillTint="33"/>
            <w:vAlign w:val="center"/>
          </w:tcPr>
          <w:p w14:paraId="502275BE" w14:textId="589C9B44" w:rsidR="00AD3670" w:rsidRPr="00EC5379" w:rsidRDefault="00903F53" w:rsidP="00AD3670">
            <w:pPr>
              <w:keepNext/>
              <w:jc w:val="center"/>
              <w:rPr>
                <w:rFonts w:ascii="Arial" w:hAnsi="Arial" w:cs="Arial"/>
                <w:b/>
              </w:rPr>
            </w:pPr>
            <w:r>
              <w:rPr>
                <w:rFonts w:ascii="Arial" w:hAnsi="Arial" w:cs="Arial"/>
                <w:b/>
              </w:rPr>
              <w:t>0.9</w:t>
            </w:r>
          </w:p>
        </w:tc>
      </w:tr>
    </w:tbl>
    <w:p w14:paraId="2DA79A99" w14:textId="77777777" w:rsidR="00807495" w:rsidRPr="00EC5379" w:rsidRDefault="00807495" w:rsidP="00807495">
      <w:pPr>
        <w:spacing w:before="240"/>
        <w:rPr>
          <w:rFonts w:ascii="Arial" w:hAnsi="Arial" w:cs="Arial"/>
        </w:rPr>
      </w:pPr>
      <w:r w:rsidRPr="00EC5379">
        <w:rPr>
          <w:rFonts w:ascii="Arial" w:hAnsi="Arial" w:cs="Arial"/>
        </w:rPr>
        <w:t>The rationale for these scores is summarised for each option in the following sub-sections.</w:t>
      </w:r>
    </w:p>
    <w:p w14:paraId="37E345D3" w14:textId="1229C48A" w:rsidR="006E6E42" w:rsidRPr="00CF0C6E" w:rsidRDefault="006E6E42" w:rsidP="004A514D">
      <w:pPr>
        <w:pStyle w:val="Heading6"/>
      </w:pPr>
      <w:r w:rsidRPr="00DB3ADD">
        <w:t xml:space="preserve">Analysis of the </w:t>
      </w:r>
      <w:r w:rsidR="0013418B" w:rsidRPr="00DB3ADD">
        <w:t>status quo</w:t>
      </w:r>
    </w:p>
    <w:p w14:paraId="3F9A50CE" w14:textId="0AFD5E57" w:rsidR="00807495" w:rsidRDefault="00C17C3F" w:rsidP="00807495">
      <w:pPr>
        <w:pStyle w:val="BodyText"/>
        <w:rPr>
          <w:rFonts w:cs="Arial"/>
        </w:rPr>
      </w:pPr>
      <w:r w:rsidRPr="00EC5379">
        <w:rPr>
          <w:rFonts w:cs="Arial"/>
        </w:rPr>
        <w:t xml:space="preserve">The </w:t>
      </w:r>
      <w:r w:rsidR="0013418B">
        <w:rPr>
          <w:rFonts w:cs="Arial"/>
        </w:rPr>
        <w:t>status quo</w:t>
      </w:r>
      <w:r w:rsidRPr="00EC5379">
        <w:rPr>
          <w:rFonts w:cs="Arial"/>
        </w:rPr>
        <w:t xml:space="preserve"> is analysed to provide a point of comparison for the options which follow. </w:t>
      </w:r>
      <w:r w:rsidR="0011292C">
        <w:rPr>
          <w:rFonts w:cs="Arial"/>
        </w:rPr>
        <w:t>M</w:t>
      </w:r>
      <w:r w:rsidR="0016484C">
        <w:rPr>
          <w:rFonts w:cs="Arial"/>
        </w:rPr>
        <w:t>aintaining the</w:t>
      </w:r>
      <w:r w:rsidRPr="00EC5379">
        <w:rPr>
          <w:rFonts w:cs="Arial"/>
        </w:rPr>
        <w:t xml:space="preserve"> </w:t>
      </w:r>
      <w:r w:rsidR="0013418B">
        <w:rPr>
          <w:rFonts w:cs="Arial"/>
        </w:rPr>
        <w:t>status quo</w:t>
      </w:r>
      <w:r w:rsidRPr="00EC5379">
        <w:rPr>
          <w:rFonts w:cs="Arial"/>
        </w:rPr>
        <w:t xml:space="preserve"> </w:t>
      </w:r>
      <w:r w:rsidR="00807495" w:rsidRPr="00EC5379">
        <w:rPr>
          <w:rFonts w:cs="Arial"/>
        </w:rPr>
        <w:t xml:space="preserve">would </w:t>
      </w:r>
      <w:r w:rsidR="0016484C">
        <w:rPr>
          <w:rFonts w:cs="Arial"/>
        </w:rPr>
        <w:t xml:space="preserve">mean the existing </w:t>
      </w:r>
      <w:r w:rsidR="00763CD5">
        <w:rPr>
          <w:rFonts w:cs="Arial"/>
        </w:rPr>
        <w:t xml:space="preserve">arrangements in the </w:t>
      </w:r>
      <w:r w:rsidR="00807495" w:rsidRPr="00EC5379">
        <w:rPr>
          <w:rFonts w:cs="Arial"/>
        </w:rPr>
        <w:t>Interim Regulations</w:t>
      </w:r>
      <w:r w:rsidR="00763CD5">
        <w:rPr>
          <w:rFonts w:cs="Arial"/>
        </w:rPr>
        <w:t xml:space="preserve"> for dealing with </w:t>
      </w:r>
      <w:r w:rsidR="00DB3ADD">
        <w:rPr>
          <w:rFonts w:cs="Arial"/>
        </w:rPr>
        <w:t>double-dipping</w:t>
      </w:r>
      <w:r w:rsidR="0016484C">
        <w:rPr>
          <w:rFonts w:cs="Arial"/>
        </w:rPr>
        <w:t xml:space="preserve"> would not change</w:t>
      </w:r>
      <w:r w:rsidR="00807495" w:rsidRPr="00EC5379">
        <w:rPr>
          <w:rFonts w:cs="Arial"/>
        </w:rPr>
        <w:t xml:space="preserve">. </w:t>
      </w:r>
      <w:r w:rsidR="00A27EB0">
        <w:rPr>
          <w:rFonts w:cs="Arial"/>
          <w:color w:val="auto"/>
        </w:rPr>
        <w:t>E</w:t>
      </w:r>
      <w:r w:rsidR="00A27EB0" w:rsidRPr="00C22E90">
        <w:rPr>
          <w:rFonts w:cs="Arial"/>
          <w:color w:val="auto"/>
        </w:rPr>
        <w:t xml:space="preserve">mployers </w:t>
      </w:r>
      <w:r w:rsidR="00A27EB0">
        <w:rPr>
          <w:rFonts w:cs="Arial"/>
          <w:color w:val="auto"/>
        </w:rPr>
        <w:t>would continue to not be</w:t>
      </w:r>
      <w:r w:rsidR="00A27EB0" w:rsidRPr="00C22E90">
        <w:rPr>
          <w:rFonts w:cs="Arial"/>
          <w:color w:val="auto"/>
        </w:rPr>
        <w:t xml:space="preserve"> entitled to reimbursement </w:t>
      </w:r>
      <w:r w:rsidR="00A27EB0">
        <w:rPr>
          <w:rFonts w:cs="Arial"/>
          <w:color w:val="auto"/>
        </w:rPr>
        <w:t>from the Authority if they paid</w:t>
      </w:r>
      <w:r w:rsidR="00A27EB0" w:rsidRPr="00C22E90">
        <w:rPr>
          <w:rFonts w:cs="Arial"/>
          <w:color w:val="auto"/>
        </w:rPr>
        <w:t xml:space="preserve"> an entitlement under the </w:t>
      </w:r>
      <w:r w:rsidR="00A27EB0" w:rsidRPr="00C22E90">
        <w:rPr>
          <w:rFonts w:cs="Arial"/>
          <w:i/>
          <w:color w:val="auto"/>
        </w:rPr>
        <w:t>Long Service Leave Act 2018</w:t>
      </w:r>
      <w:r w:rsidR="00614A90">
        <w:rPr>
          <w:rFonts w:cs="Arial"/>
          <w:i/>
          <w:color w:val="auto"/>
        </w:rPr>
        <w:t xml:space="preserve"> </w:t>
      </w:r>
      <w:r w:rsidR="00614A90">
        <w:rPr>
          <w:rFonts w:cs="Arial"/>
          <w:color w:val="auto"/>
        </w:rPr>
        <w:t>for the same period of service</w:t>
      </w:r>
      <w:r w:rsidR="00A27EB0" w:rsidRPr="00C22E90">
        <w:rPr>
          <w:rFonts w:cs="Arial"/>
          <w:color w:val="auto"/>
        </w:rPr>
        <w:t>.</w:t>
      </w:r>
      <w:r w:rsidR="00903F53">
        <w:rPr>
          <w:rFonts w:cs="Arial"/>
          <w:color w:val="auto"/>
        </w:rPr>
        <w:t xml:space="preserve"> Under the status quo, there is significant uncertainty within the s</w:t>
      </w:r>
      <w:r w:rsidR="0060163D">
        <w:rPr>
          <w:rFonts w:cs="Arial"/>
          <w:color w:val="auto"/>
        </w:rPr>
        <w:t>ector about the issue of double-</w:t>
      </w:r>
      <w:r w:rsidR="00903F53">
        <w:rPr>
          <w:rFonts w:cs="Arial"/>
          <w:color w:val="auto"/>
        </w:rPr>
        <w:t>dipping.</w:t>
      </w:r>
    </w:p>
    <w:p w14:paraId="0A113961" w14:textId="3518F2E4" w:rsidR="00807495" w:rsidRPr="00CF0C6E" w:rsidRDefault="00807495" w:rsidP="004A514D">
      <w:pPr>
        <w:pStyle w:val="Heading6"/>
      </w:pPr>
      <w:r w:rsidRPr="00DB3ADD">
        <w:t xml:space="preserve">Option 1 – </w:t>
      </w:r>
      <w:r w:rsidR="00467A57" w:rsidRPr="00DB3ADD">
        <w:t xml:space="preserve">Allow employers who pay entitlements under the </w:t>
      </w:r>
      <w:r w:rsidR="00467A57" w:rsidRPr="00DB3ADD">
        <w:rPr>
          <w:i/>
        </w:rPr>
        <w:t>Long Service Leave Act 2018</w:t>
      </w:r>
      <w:r w:rsidR="00467A57" w:rsidRPr="00DB3ADD">
        <w:t xml:space="preserve"> to claim reimbursement from the Authority</w:t>
      </w:r>
    </w:p>
    <w:p w14:paraId="121FC979" w14:textId="2FD28145" w:rsidR="00A27EB0" w:rsidRPr="00DB3ADD" w:rsidRDefault="00A27EB0" w:rsidP="004A514D">
      <w:pPr>
        <w:pStyle w:val="Heading7"/>
        <w:rPr>
          <w:b/>
        </w:rPr>
      </w:pPr>
      <w:r w:rsidRPr="00CB4236">
        <w:t>Equity</w:t>
      </w:r>
      <w:r w:rsidR="0011292C" w:rsidRPr="00CB4236">
        <w:t xml:space="preserve"> for employees</w:t>
      </w:r>
    </w:p>
    <w:p w14:paraId="6880E332" w14:textId="1FB9A04B" w:rsidR="00A27EB0" w:rsidRPr="004B3C99" w:rsidRDefault="00A27EB0" w:rsidP="00A27EB0">
      <w:pPr>
        <w:pStyle w:val="BodyText"/>
        <w:rPr>
          <w:rFonts w:cs="Arial"/>
          <w:color w:val="auto"/>
        </w:rPr>
      </w:pPr>
      <w:r w:rsidRPr="004B3C99">
        <w:rPr>
          <w:rFonts w:cs="Arial"/>
          <w:color w:val="auto"/>
        </w:rPr>
        <w:t>Th</w:t>
      </w:r>
      <w:r w:rsidR="003846BB">
        <w:rPr>
          <w:rFonts w:cs="Arial"/>
          <w:color w:val="auto"/>
        </w:rPr>
        <w:t>is</w:t>
      </w:r>
      <w:r w:rsidRPr="004B3C99">
        <w:rPr>
          <w:rFonts w:cs="Arial"/>
          <w:color w:val="auto"/>
        </w:rPr>
        <w:t xml:space="preserve"> option would have no impact on equity </w:t>
      </w:r>
      <w:r w:rsidR="0011292C">
        <w:rPr>
          <w:rFonts w:cs="Arial"/>
          <w:color w:val="auto"/>
        </w:rPr>
        <w:t>compared to the status quo. Th</w:t>
      </w:r>
      <w:r w:rsidR="003846BB">
        <w:rPr>
          <w:rFonts w:cs="Arial"/>
          <w:color w:val="auto"/>
        </w:rPr>
        <w:t>is</w:t>
      </w:r>
      <w:r w:rsidR="0011292C">
        <w:rPr>
          <w:rFonts w:cs="Arial"/>
          <w:color w:val="auto"/>
        </w:rPr>
        <w:t xml:space="preserve"> option would</w:t>
      </w:r>
      <w:r>
        <w:rPr>
          <w:rFonts w:cs="Arial"/>
          <w:color w:val="auto"/>
        </w:rPr>
        <w:t xml:space="preserve"> not impact</w:t>
      </w:r>
      <w:r w:rsidR="0060163D">
        <w:rPr>
          <w:rFonts w:cs="Arial"/>
          <w:color w:val="auto"/>
        </w:rPr>
        <w:t xml:space="preserve"> on</w:t>
      </w:r>
      <w:r>
        <w:rPr>
          <w:rFonts w:cs="Arial"/>
          <w:color w:val="auto"/>
        </w:rPr>
        <w:t xml:space="preserve"> </w:t>
      </w:r>
      <w:r w:rsidR="00D85A2D">
        <w:rPr>
          <w:rFonts w:cs="Arial"/>
          <w:color w:val="auto"/>
        </w:rPr>
        <w:t xml:space="preserve">an </w:t>
      </w:r>
      <w:r>
        <w:rPr>
          <w:rFonts w:cs="Arial"/>
          <w:color w:val="auto"/>
        </w:rPr>
        <w:t>employee’s ability to access long service benefits.</w:t>
      </w:r>
    </w:p>
    <w:p w14:paraId="1890CB56" w14:textId="6B2A7AA1" w:rsidR="0011292C" w:rsidRDefault="0011292C" w:rsidP="004A514D">
      <w:pPr>
        <w:pStyle w:val="Heading7"/>
      </w:pPr>
      <w:r>
        <w:t>I</w:t>
      </w:r>
      <w:r w:rsidRPr="00866686">
        <w:t xml:space="preserve">mpact on </w:t>
      </w:r>
      <w:r w:rsidR="00DB01D9">
        <w:t>employers</w:t>
      </w:r>
      <w:r>
        <w:t xml:space="preserve"> – financial cost</w:t>
      </w:r>
    </w:p>
    <w:p w14:paraId="0E43663D" w14:textId="43F5AA54" w:rsidR="00A27EB0" w:rsidRDefault="0011292C" w:rsidP="00A27EB0">
      <w:pPr>
        <w:pStyle w:val="BodyText"/>
        <w:rPr>
          <w:rFonts w:cs="Arial"/>
          <w:color w:val="auto"/>
        </w:rPr>
      </w:pPr>
      <w:r>
        <w:rPr>
          <w:rFonts w:cs="Arial"/>
          <w:color w:val="auto"/>
        </w:rPr>
        <w:t>Th</w:t>
      </w:r>
      <w:r w:rsidR="003846BB">
        <w:rPr>
          <w:rFonts w:cs="Arial"/>
          <w:color w:val="auto"/>
        </w:rPr>
        <w:t>is</w:t>
      </w:r>
      <w:r>
        <w:rPr>
          <w:rFonts w:cs="Arial"/>
          <w:color w:val="auto"/>
        </w:rPr>
        <w:t xml:space="preserve"> option is much more aligned to the </w:t>
      </w:r>
      <w:r w:rsidR="000B4581">
        <w:rPr>
          <w:rFonts w:cs="Arial"/>
          <w:color w:val="auto"/>
        </w:rPr>
        <w:t>criterion</w:t>
      </w:r>
      <w:r>
        <w:rPr>
          <w:rFonts w:cs="Arial"/>
          <w:color w:val="auto"/>
        </w:rPr>
        <w:t xml:space="preserve"> compared to the status quo. </w:t>
      </w:r>
      <w:r w:rsidR="00A27EB0">
        <w:rPr>
          <w:rFonts w:cs="Arial"/>
          <w:color w:val="auto"/>
        </w:rPr>
        <w:t>It</w:t>
      </w:r>
      <w:r w:rsidR="00A27EB0" w:rsidRPr="000A44A4">
        <w:rPr>
          <w:rFonts w:cs="Arial"/>
          <w:color w:val="auto"/>
        </w:rPr>
        <w:t xml:space="preserve"> </w:t>
      </w:r>
      <w:r w:rsidR="00A27EB0" w:rsidRPr="00515AD2">
        <w:rPr>
          <w:rFonts w:cs="Arial"/>
          <w:color w:val="auto"/>
        </w:rPr>
        <w:t>would ensure employers are not required to pay</w:t>
      </w:r>
      <w:r w:rsidR="00A27EB0">
        <w:rPr>
          <w:rFonts w:cs="Arial"/>
          <w:color w:val="auto"/>
        </w:rPr>
        <w:t xml:space="preserve"> both</w:t>
      </w:r>
      <w:r w:rsidR="00A27EB0" w:rsidRPr="00515AD2">
        <w:rPr>
          <w:rFonts w:cs="Arial"/>
          <w:color w:val="auto"/>
        </w:rPr>
        <w:t xml:space="preserve"> a levy to the Authority and pay an employee for a long service entitlement under the </w:t>
      </w:r>
      <w:r w:rsidR="00A27EB0" w:rsidRPr="001A238C">
        <w:rPr>
          <w:rFonts w:cs="Arial"/>
          <w:i/>
          <w:color w:val="auto"/>
        </w:rPr>
        <w:t>Long Service Leave Act</w:t>
      </w:r>
      <w:r w:rsidR="00614A90">
        <w:rPr>
          <w:rFonts w:cs="Arial"/>
          <w:i/>
          <w:color w:val="auto"/>
        </w:rPr>
        <w:t xml:space="preserve"> 2018</w:t>
      </w:r>
      <w:r w:rsidR="00A27EB0" w:rsidRPr="00515AD2">
        <w:rPr>
          <w:rFonts w:cs="Arial"/>
          <w:color w:val="auto"/>
        </w:rPr>
        <w:t xml:space="preserve"> for the same period of service</w:t>
      </w:r>
      <w:r w:rsidR="00BC1C1A">
        <w:rPr>
          <w:rFonts w:cs="Arial"/>
          <w:color w:val="auto"/>
        </w:rPr>
        <w:t xml:space="preserve"> without reimbursement</w:t>
      </w:r>
      <w:r w:rsidR="00A27EB0" w:rsidRPr="00515AD2">
        <w:rPr>
          <w:rFonts w:cs="Arial"/>
          <w:color w:val="auto"/>
        </w:rPr>
        <w:t xml:space="preserve">. </w:t>
      </w:r>
      <w:r w:rsidR="00903F53">
        <w:rPr>
          <w:rFonts w:cs="Arial"/>
          <w:color w:val="auto"/>
        </w:rPr>
        <w:t xml:space="preserve">This would reduce the financial burden of the Scheme for some employers in the medium-term as they would now be </w:t>
      </w:r>
      <w:r w:rsidR="00903F53" w:rsidRPr="00515AD2">
        <w:rPr>
          <w:rFonts w:cs="Arial"/>
          <w:color w:val="auto"/>
        </w:rPr>
        <w:t xml:space="preserve">entitled to a reimbursement from the Authority for any levy paid once an employee accesses an entitlement under the </w:t>
      </w:r>
      <w:r w:rsidR="00903F53" w:rsidRPr="001A238C">
        <w:rPr>
          <w:rFonts w:cs="Arial"/>
          <w:i/>
          <w:color w:val="auto"/>
        </w:rPr>
        <w:t>Long Service Leave Act</w:t>
      </w:r>
      <w:r w:rsidR="00903F53">
        <w:rPr>
          <w:rFonts w:cs="Arial"/>
          <w:i/>
          <w:color w:val="auto"/>
        </w:rPr>
        <w:t xml:space="preserve"> 2018</w:t>
      </w:r>
      <w:r w:rsidR="00903F53" w:rsidRPr="00515AD2">
        <w:rPr>
          <w:rFonts w:cs="Arial"/>
          <w:color w:val="auto"/>
        </w:rPr>
        <w:t>.</w:t>
      </w:r>
    </w:p>
    <w:p w14:paraId="15E0D349" w14:textId="57AF5DB6" w:rsidR="0011292C" w:rsidRDefault="0011292C" w:rsidP="004A514D">
      <w:pPr>
        <w:pStyle w:val="Heading7"/>
      </w:pPr>
      <w:r>
        <w:t>I</w:t>
      </w:r>
      <w:r w:rsidRPr="00866686">
        <w:t xml:space="preserve">mpact on </w:t>
      </w:r>
      <w:r w:rsidR="00DB01D9">
        <w:t>employers</w:t>
      </w:r>
      <w:r>
        <w:t xml:space="preserve"> – cost of uncertainty and administration</w:t>
      </w:r>
    </w:p>
    <w:p w14:paraId="49B3E83A" w14:textId="0E127B2B" w:rsidR="0011292C" w:rsidRPr="0011292C" w:rsidRDefault="00E85818" w:rsidP="00A27EB0">
      <w:pPr>
        <w:pStyle w:val="BodyText"/>
        <w:rPr>
          <w:rFonts w:cs="Arial"/>
          <w:color w:val="auto"/>
        </w:rPr>
      </w:pPr>
      <w:r>
        <w:rPr>
          <w:rFonts w:cs="Arial"/>
          <w:color w:val="auto"/>
        </w:rPr>
        <w:t>Th</w:t>
      </w:r>
      <w:r w:rsidR="003846BB">
        <w:rPr>
          <w:rFonts w:cs="Arial"/>
          <w:color w:val="auto"/>
        </w:rPr>
        <w:t>is</w:t>
      </w:r>
      <w:r>
        <w:rPr>
          <w:rFonts w:cs="Arial"/>
          <w:color w:val="auto"/>
        </w:rPr>
        <w:t xml:space="preserve"> option is </w:t>
      </w:r>
      <w:r w:rsidR="00B15B83">
        <w:rPr>
          <w:rFonts w:cs="Arial"/>
          <w:color w:val="auto"/>
        </w:rPr>
        <w:t xml:space="preserve">somewhat </w:t>
      </w:r>
      <w:r>
        <w:rPr>
          <w:rFonts w:cs="Arial"/>
          <w:color w:val="auto"/>
        </w:rPr>
        <w:t xml:space="preserve">more aligned to the </w:t>
      </w:r>
      <w:r w:rsidR="000B4581">
        <w:rPr>
          <w:rFonts w:cs="Arial"/>
          <w:color w:val="auto"/>
        </w:rPr>
        <w:t>criterion</w:t>
      </w:r>
      <w:r>
        <w:rPr>
          <w:rFonts w:cs="Arial"/>
          <w:color w:val="auto"/>
        </w:rPr>
        <w:t xml:space="preserve"> compared to the status quo. Employers would </w:t>
      </w:r>
      <w:r w:rsidR="00903F53">
        <w:rPr>
          <w:rFonts w:cs="Arial"/>
          <w:color w:val="auto"/>
        </w:rPr>
        <w:t>have clarity</w:t>
      </w:r>
      <w:r>
        <w:rPr>
          <w:rFonts w:cs="Arial"/>
          <w:color w:val="auto"/>
        </w:rPr>
        <w:t xml:space="preserve"> that they will be reimbursed by the Authority for levy payments for any of their employees who double dip. </w:t>
      </w:r>
      <w:r w:rsidR="00903F53">
        <w:rPr>
          <w:rFonts w:cs="Arial"/>
          <w:color w:val="auto"/>
        </w:rPr>
        <w:t>Under the status quo, there is significant uncertainty within the s</w:t>
      </w:r>
      <w:r w:rsidR="0060163D">
        <w:rPr>
          <w:rFonts w:cs="Arial"/>
          <w:color w:val="auto"/>
        </w:rPr>
        <w:t>ector about the issue of double-</w:t>
      </w:r>
      <w:r w:rsidR="00903F53">
        <w:rPr>
          <w:rFonts w:cs="Arial"/>
          <w:color w:val="auto"/>
        </w:rPr>
        <w:t>dipping.</w:t>
      </w:r>
    </w:p>
    <w:p w14:paraId="4AB5DF7E" w14:textId="77777777" w:rsidR="00A27EB0" w:rsidRPr="00866686" w:rsidRDefault="00A27EB0" w:rsidP="004A514D">
      <w:pPr>
        <w:pStyle w:val="Heading7"/>
      </w:pPr>
      <w:r w:rsidRPr="00866686">
        <w:t>Impact on the Authority</w:t>
      </w:r>
    </w:p>
    <w:p w14:paraId="13F3D64E" w14:textId="284B2408" w:rsidR="00807495" w:rsidRDefault="00E85818" w:rsidP="00807495">
      <w:pPr>
        <w:pStyle w:val="BodyText"/>
        <w:rPr>
          <w:rFonts w:cs="Arial"/>
          <w:color w:val="auto"/>
        </w:rPr>
      </w:pPr>
      <w:r>
        <w:rPr>
          <w:rFonts w:cs="Arial"/>
          <w:color w:val="auto"/>
        </w:rPr>
        <w:t>Th</w:t>
      </w:r>
      <w:r w:rsidR="003846BB">
        <w:rPr>
          <w:rFonts w:cs="Arial"/>
          <w:color w:val="auto"/>
        </w:rPr>
        <w:t>is</w:t>
      </w:r>
      <w:r>
        <w:rPr>
          <w:rFonts w:cs="Arial"/>
          <w:color w:val="auto"/>
        </w:rPr>
        <w:t xml:space="preserve"> option is somewhat more aligned to the </w:t>
      </w:r>
      <w:r w:rsidR="000B4581">
        <w:rPr>
          <w:rFonts w:cs="Arial"/>
          <w:color w:val="auto"/>
        </w:rPr>
        <w:t>criterion</w:t>
      </w:r>
      <w:r>
        <w:rPr>
          <w:rFonts w:cs="Arial"/>
          <w:color w:val="auto"/>
        </w:rPr>
        <w:t xml:space="preserve"> compared to the status quo. </w:t>
      </w:r>
      <w:r>
        <w:rPr>
          <w:rFonts w:cs="Arial"/>
        </w:rPr>
        <w:t>It</w:t>
      </w:r>
      <w:r w:rsidR="00E54DBF">
        <w:rPr>
          <w:rFonts w:cs="Arial"/>
        </w:rPr>
        <w:t xml:space="preserve"> would </w:t>
      </w:r>
      <w:r w:rsidR="00653611">
        <w:rPr>
          <w:rFonts w:cs="Arial"/>
        </w:rPr>
        <w:t xml:space="preserve">treat all existing long service entitlements </w:t>
      </w:r>
      <w:r w:rsidR="00682E17">
        <w:rPr>
          <w:rFonts w:cs="Arial"/>
        </w:rPr>
        <w:t>the same</w:t>
      </w:r>
      <w:r w:rsidR="00E54DBF">
        <w:rPr>
          <w:rFonts w:cs="Arial"/>
        </w:rPr>
        <w:t xml:space="preserve">, </w:t>
      </w:r>
      <w:r w:rsidR="00E54DBF">
        <w:rPr>
          <w:rFonts w:cs="Arial"/>
          <w:color w:val="auto"/>
        </w:rPr>
        <w:t xml:space="preserve">reducing the complexity for the Authority of administering the Scheme’s </w:t>
      </w:r>
      <w:r w:rsidR="00DB3ADD">
        <w:rPr>
          <w:rFonts w:cs="Arial"/>
          <w:color w:val="auto"/>
        </w:rPr>
        <w:t>double-dipping</w:t>
      </w:r>
      <w:r w:rsidR="00E54DBF">
        <w:rPr>
          <w:rFonts w:cs="Arial"/>
          <w:color w:val="auto"/>
        </w:rPr>
        <w:t xml:space="preserve"> provisions. However, th</w:t>
      </w:r>
      <w:r w:rsidR="003846BB">
        <w:rPr>
          <w:rFonts w:cs="Arial"/>
          <w:color w:val="auto"/>
        </w:rPr>
        <w:t>is</w:t>
      </w:r>
      <w:r w:rsidR="00E54DBF">
        <w:rPr>
          <w:rFonts w:cs="Arial"/>
          <w:color w:val="auto"/>
        </w:rPr>
        <w:t xml:space="preserve"> option would also </w:t>
      </w:r>
      <w:r w:rsidR="00E54DBF">
        <w:rPr>
          <w:rFonts w:cs="Arial"/>
        </w:rPr>
        <w:lastRenderedPageBreak/>
        <w:t xml:space="preserve">have a small financial impact on the Authority. The Authority would be required to pay back levies to employers </w:t>
      </w:r>
      <w:r w:rsidR="00E54DBF" w:rsidRPr="00515AD2">
        <w:rPr>
          <w:rFonts w:cs="Arial"/>
          <w:color w:val="auto"/>
        </w:rPr>
        <w:t xml:space="preserve">for any levy paid once an employee accesses an entitlement under the </w:t>
      </w:r>
      <w:r w:rsidR="00E54DBF" w:rsidRPr="001A238C">
        <w:rPr>
          <w:rFonts w:cs="Arial"/>
          <w:i/>
          <w:color w:val="auto"/>
        </w:rPr>
        <w:t>Long Service Leave Act</w:t>
      </w:r>
      <w:r w:rsidR="00614A90">
        <w:rPr>
          <w:rFonts w:cs="Arial"/>
          <w:i/>
          <w:color w:val="auto"/>
        </w:rPr>
        <w:t xml:space="preserve"> 2018</w:t>
      </w:r>
      <w:r w:rsidR="00E54DBF" w:rsidRPr="00515AD2">
        <w:rPr>
          <w:rFonts w:cs="Arial"/>
          <w:color w:val="auto"/>
        </w:rPr>
        <w:t>.</w:t>
      </w:r>
      <w:r w:rsidR="00E54DBF">
        <w:rPr>
          <w:rFonts w:cs="Arial"/>
          <w:color w:val="auto"/>
        </w:rPr>
        <w:t xml:space="preserve"> </w:t>
      </w:r>
      <w:r w:rsidR="00BC1C1A">
        <w:rPr>
          <w:rFonts w:cs="Arial"/>
          <w:color w:val="auto"/>
        </w:rPr>
        <w:t xml:space="preserve">The reduction in complexity is expected to outweigh the additional cost impact to the Authority. </w:t>
      </w:r>
    </w:p>
    <w:p w14:paraId="00F708B6" w14:textId="77777777" w:rsidR="004A514D" w:rsidRPr="00E54DBF" w:rsidRDefault="004A514D" w:rsidP="00807495">
      <w:pPr>
        <w:pStyle w:val="BodyText"/>
        <w:rPr>
          <w:rFonts w:cs="Arial"/>
          <w:color w:val="auto"/>
        </w:rPr>
      </w:pPr>
    </w:p>
    <w:p w14:paraId="17A6CD9A" w14:textId="6F2FDAB1" w:rsidR="00E13F2A" w:rsidRPr="00EC5379" w:rsidRDefault="00E13F2A" w:rsidP="00E13F2A">
      <w:pPr>
        <w:pStyle w:val="Heading1"/>
        <w:rPr>
          <w:rFonts w:ascii="Arial" w:hAnsi="Arial" w:cs="Arial"/>
        </w:rPr>
      </w:pPr>
      <w:bookmarkStart w:id="131" w:name="_Toc37921498"/>
      <w:r w:rsidRPr="00EC5379">
        <w:rPr>
          <w:rFonts w:ascii="Arial" w:hAnsi="Arial" w:cs="Arial"/>
        </w:rPr>
        <w:lastRenderedPageBreak/>
        <w:t>PREFERRED OPTION</w:t>
      </w:r>
      <w:bookmarkEnd w:id="113"/>
      <w:bookmarkEnd w:id="114"/>
      <w:bookmarkEnd w:id="131"/>
      <w:r w:rsidR="005562B1">
        <w:rPr>
          <w:rFonts w:ascii="Arial" w:hAnsi="Arial" w:cs="Arial"/>
        </w:rPr>
        <w:t>S</w:t>
      </w:r>
      <w:r w:rsidRPr="00EC5379">
        <w:rPr>
          <w:rFonts w:ascii="Arial" w:hAnsi="Arial" w:cs="Arial"/>
        </w:rPr>
        <w:t xml:space="preserve"> </w:t>
      </w:r>
    </w:p>
    <w:p w14:paraId="752A3C86" w14:textId="5519CE1B" w:rsidR="00E13F2A" w:rsidRPr="00EC5379" w:rsidRDefault="00E13F2A" w:rsidP="00E13F2A">
      <w:pPr>
        <w:spacing w:before="100" w:beforeAutospacing="1" w:after="100" w:afterAutospacing="1"/>
        <w:rPr>
          <w:rFonts w:ascii="Arial" w:hAnsi="Arial" w:cs="Arial"/>
        </w:rPr>
      </w:pPr>
      <w:r w:rsidRPr="00EC5379">
        <w:rPr>
          <w:rFonts w:ascii="Arial" w:hAnsi="Arial" w:cs="Arial"/>
        </w:rPr>
        <w:t>This section summarises the preferred options for solving the residual problems</w:t>
      </w:r>
      <w:r w:rsidR="00364D28">
        <w:rPr>
          <w:rFonts w:ascii="Arial" w:hAnsi="Arial" w:cs="Arial"/>
        </w:rPr>
        <w:t xml:space="preserve"> in the Interim Regulations</w:t>
      </w:r>
      <w:r w:rsidRPr="00EC5379">
        <w:rPr>
          <w:rFonts w:ascii="Arial" w:hAnsi="Arial" w:cs="Arial"/>
        </w:rPr>
        <w:t xml:space="preserve"> identified in section </w:t>
      </w:r>
      <w:r w:rsidR="005871B1" w:rsidRPr="00EC5379">
        <w:rPr>
          <w:rFonts w:ascii="Arial" w:hAnsi="Arial" w:cs="Arial"/>
        </w:rPr>
        <w:fldChar w:fldCharType="begin"/>
      </w:r>
      <w:r w:rsidR="005871B1" w:rsidRPr="00EC5379">
        <w:rPr>
          <w:rFonts w:ascii="Arial" w:hAnsi="Arial" w:cs="Arial"/>
        </w:rPr>
        <w:instrText xml:space="preserve"> REF _Ref5829002 \w \h </w:instrText>
      </w:r>
      <w:r w:rsidR="00EC5379">
        <w:rPr>
          <w:rFonts w:ascii="Arial" w:hAnsi="Arial" w:cs="Arial"/>
        </w:rPr>
        <w:instrText xml:space="preserve"> \* MERGEFORMAT </w:instrText>
      </w:r>
      <w:r w:rsidR="005871B1" w:rsidRPr="00EC5379">
        <w:rPr>
          <w:rFonts w:ascii="Arial" w:hAnsi="Arial" w:cs="Arial"/>
        </w:rPr>
      </w:r>
      <w:r w:rsidR="005871B1" w:rsidRPr="00EC5379">
        <w:rPr>
          <w:rFonts w:ascii="Arial" w:hAnsi="Arial" w:cs="Arial"/>
        </w:rPr>
        <w:fldChar w:fldCharType="separate"/>
      </w:r>
      <w:r w:rsidR="009F48BA">
        <w:rPr>
          <w:rFonts w:ascii="Arial" w:hAnsi="Arial" w:cs="Arial"/>
        </w:rPr>
        <w:t>2</w:t>
      </w:r>
      <w:r w:rsidR="005871B1" w:rsidRPr="00EC5379">
        <w:rPr>
          <w:rFonts w:ascii="Arial" w:hAnsi="Arial" w:cs="Arial"/>
        </w:rPr>
        <w:fldChar w:fldCharType="end"/>
      </w:r>
      <w:r w:rsidRPr="00EC5379">
        <w:rPr>
          <w:rFonts w:ascii="Arial" w:hAnsi="Arial" w:cs="Arial"/>
        </w:rPr>
        <w:t xml:space="preserve"> of this RIS. </w:t>
      </w:r>
    </w:p>
    <w:p w14:paraId="7060C7A1" w14:textId="1261E2DF" w:rsidR="00E13F2A" w:rsidRPr="00EC5379" w:rsidRDefault="00E13F2A" w:rsidP="009B6294">
      <w:pPr>
        <w:pStyle w:val="Heading2"/>
        <w:rPr>
          <w:rFonts w:ascii="Arial" w:hAnsi="Arial" w:cs="Arial"/>
        </w:rPr>
      </w:pPr>
      <w:bookmarkStart w:id="132" w:name="_Toc4768891"/>
      <w:bookmarkStart w:id="133" w:name="_Ref36126050"/>
      <w:bookmarkStart w:id="134" w:name="_Toc37921499"/>
      <w:r w:rsidRPr="00EC5379">
        <w:rPr>
          <w:rFonts w:ascii="Arial" w:hAnsi="Arial" w:cs="Arial"/>
        </w:rPr>
        <w:t>Summary of the Proposed Regulations</w:t>
      </w:r>
      <w:bookmarkEnd w:id="132"/>
      <w:bookmarkEnd w:id="133"/>
      <w:bookmarkEnd w:id="134"/>
      <w:r w:rsidRPr="00EC5379">
        <w:rPr>
          <w:rFonts w:ascii="Arial" w:hAnsi="Arial" w:cs="Arial"/>
        </w:rPr>
        <w:t xml:space="preserve"> </w:t>
      </w:r>
    </w:p>
    <w:p w14:paraId="423C87D4" w14:textId="3B72CD6A" w:rsidR="00DB01D9" w:rsidRDefault="00DB01D9" w:rsidP="00DB01D9">
      <w:pPr>
        <w:pStyle w:val="BodyText"/>
        <w:rPr>
          <w:rFonts w:cs="Arial"/>
        </w:rPr>
      </w:pPr>
      <w:r w:rsidRPr="00EC5379">
        <w:rPr>
          <w:rFonts w:cs="Arial"/>
        </w:rPr>
        <w:t xml:space="preserve">The analysis conducted in section </w:t>
      </w:r>
      <w:r w:rsidRPr="00EC5379">
        <w:rPr>
          <w:rFonts w:cs="Arial"/>
        </w:rPr>
        <w:fldChar w:fldCharType="begin"/>
      </w:r>
      <w:r w:rsidRPr="00EC5379">
        <w:rPr>
          <w:rFonts w:cs="Arial"/>
        </w:rPr>
        <w:instrText xml:space="preserve"> REF _Ref5829002 \w \h </w:instrText>
      </w:r>
      <w:r>
        <w:rPr>
          <w:rFonts w:cs="Arial"/>
        </w:rPr>
        <w:instrText xml:space="preserve"> \* MERGEFORMAT </w:instrText>
      </w:r>
      <w:r w:rsidRPr="00EC5379">
        <w:rPr>
          <w:rFonts w:cs="Arial"/>
        </w:rPr>
      </w:r>
      <w:r w:rsidRPr="00EC5379">
        <w:rPr>
          <w:rFonts w:cs="Arial"/>
        </w:rPr>
        <w:fldChar w:fldCharType="separate"/>
      </w:r>
      <w:r>
        <w:rPr>
          <w:rFonts w:cs="Arial"/>
        </w:rPr>
        <w:t>2</w:t>
      </w:r>
      <w:r w:rsidRPr="00EC5379">
        <w:rPr>
          <w:rFonts w:cs="Arial"/>
        </w:rPr>
        <w:fldChar w:fldCharType="end"/>
      </w:r>
      <w:r w:rsidRPr="00EC5379">
        <w:rPr>
          <w:rFonts w:cs="Arial"/>
        </w:rPr>
        <w:t xml:space="preserve"> of this RIS demonstrates </w:t>
      </w:r>
      <w:r>
        <w:rPr>
          <w:rFonts w:cs="Arial"/>
        </w:rPr>
        <w:t xml:space="preserve">problems with the Interim Regulations and </w:t>
      </w:r>
      <w:r w:rsidRPr="00EC5379">
        <w:rPr>
          <w:rFonts w:cs="Arial"/>
        </w:rPr>
        <w:t xml:space="preserve">the merit in </w:t>
      </w:r>
      <w:r>
        <w:rPr>
          <w:rFonts w:cs="Arial"/>
        </w:rPr>
        <w:t xml:space="preserve">remaking the Interims Regulations. </w:t>
      </w:r>
      <w:r w:rsidR="00C150D2">
        <w:rPr>
          <w:rFonts w:cs="Arial"/>
        </w:rPr>
        <w:t>In order to address these problems, aspects of the</w:t>
      </w:r>
      <w:r>
        <w:rPr>
          <w:rFonts w:cs="Arial"/>
        </w:rPr>
        <w:t xml:space="preserve"> Regulations </w:t>
      </w:r>
      <w:r w:rsidRPr="00EC5379">
        <w:rPr>
          <w:rFonts w:cs="Arial"/>
        </w:rPr>
        <w:t xml:space="preserve">that cover the community services </w:t>
      </w:r>
      <w:r>
        <w:rPr>
          <w:rFonts w:cs="Arial"/>
        </w:rPr>
        <w:t xml:space="preserve">and security </w:t>
      </w:r>
      <w:r w:rsidRPr="00EC5379">
        <w:rPr>
          <w:rFonts w:cs="Arial"/>
        </w:rPr>
        <w:t>sector</w:t>
      </w:r>
      <w:r>
        <w:rPr>
          <w:rFonts w:cs="Arial"/>
        </w:rPr>
        <w:t xml:space="preserve"> </w:t>
      </w:r>
      <w:r w:rsidR="00C150D2">
        <w:rPr>
          <w:rFonts w:cs="Arial"/>
        </w:rPr>
        <w:t xml:space="preserve">need </w:t>
      </w:r>
      <w:r w:rsidR="003846BB">
        <w:rPr>
          <w:rFonts w:cs="Arial"/>
        </w:rPr>
        <w:t>to be amended</w:t>
      </w:r>
      <w:r w:rsidRPr="00EC5379">
        <w:rPr>
          <w:rFonts w:cs="Arial"/>
        </w:rPr>
        <w:t xml:space="preserve">. Sections </w:t>
      </w:r>
      <w:r w:rsidRPr="00EC5379">
        <w:rPr>
          <w:rFonts w:cs="Arial"/>
        </w:rPr>
        <w:fldChar w:fldCharType="begin"/>
      </w:r>
      <w:r w:rsidRPr="00EC5379">
        <w:rPr>
          <w:rFonts w:cs="Arial"/>
        </w:rPr>
        <w:instrText xml:space="preserve"> REF _Ref5829029 \w \h </w:instrText>
      </w:r>
      <w:r>
        <w:rPr>
          <w:rFonts w:cs="Arial"/>
        </w:rPr>
        <w:instrText xml:space="preserve"> \* MERGEFORMAT </w:instrText>
      </w:r>
      <w:r w:rsidRPr="00EC5379">
        <w:rPr>
          <w:rFonts w:cs="Arial"/>
        </w:rPr>
      </w:r>
      <w:r w:rsidRPr="00EC5379">
        <w:rPr>
          <w:rFonts w:cs="Arial"/>
        </w:rPr>
        <w:fldChar w:fldCharType="separate"/>
      </w:r>
      <w:r>
        <w:rPr>
          <w:rFonts w:cs="Arial"/>
        </w:rPr>
        <w:t>3</w:t>
      </w:r>
      <w:r w:rsidRPr="00EC5379">
        <w:rPr>
          <w:rFonts w:cs="Arial"/>
        </w:rPr>
        <w:fldChar w:fldCharType="end"/>
      </w:r>
      <w:r w:rsidRPr="00EC5379">
        <w:rPr>
          <w:rFonts w:cs="Arial"/>
        </w:rPr>
        <w:t xml:space="preserve">, </w:t>
      </w:r>
      <w:r w:rsidRPr="00EC5379">
        <w:rPr>
          <w:rFonts w:cs="Arial"/>
        </w:rPr>
        <w:fldChar w:fldCharType="begin"/>
      </w:r>
      <w:r w:rsidRPr="00EC5379">
        <w:rPr>
          <w:rFonts w:cs="Arial"/>
        </w:rPr>
        <w:instrText xml:space="preserve"> REF _Ref5829036 \w \h </w:instrText>
      </w:r>
      <w:r>
        <w:rPr>
          <w:rFonts w:cs="Arial"/>
        </w:rPr>
        <w:instrText xml:space="preserve"> \* MERGEFORMAT </w:instrText>
      </w:r>
      <w:r w:rsidRPr="00EC5379">
        <w:rPr>
          <w:rFonts w:cs="Arial"/>
        </w:rPr>
      </w:r>
      <w:r w:rsidRPr="00EC5379">
        <w:rPr>
          <w:rFonts w:cs="Arial"/>
        </w:rPr>
        <w:fldChar w:fldCharType="separate"/>
      </w:r>
      <w:r>
        <w:rPr>
          <w:rFonts w:cs="Arial"/>
        </w:rPr>
        <w:t>4</w:t>
      </w:r>
      <w:r w:rsidRPr="00EC5379">
        <w:rPr>
          <w:rFonts w:cs="Arial"/>
        </w:rPr>
        <w:fldChar w:fldCharType="end"/>
      </w:r>
      <w:r w:rsidRPr="00EC5379">
        <w:rPr>
          <w:rFonts w:cs="Arial"/>
        </w:rPr>
        <w:t xml:space="preserve"> and </w:t>
      </w:r>
      <w:r w:rsidRPr="00EC5379">
        <w:rPr>
          <w:rFonts w:cs="Arial"/>
        </w:rPr>
        <w:fldChar w:fldCharType="begin"/>
      </w:r>
      <w:r w:rsidRPr="00EC5379">
        <w:rPr>
          <w:rFonts w:cs="Arial"/>
        </w:rPr>
        <w:instrText xml:space="preserve"> REF _Ref5829042 \w \h </w:instrText>
      </w:r>
      <w:r>
        <w:rPr>
          <w:rFonts w:cs="Arial"/>
        </w:rPr>
        <w:instrText xml:space="preserve"> \* MERGEFORMAT </w:instrText>
      </w:r>
      <w:r w:rsidRPr="00EC5379">
        <w:rPr>
          <w:rFonts w:cs="Arial"/>
        </w:rPr>
      </w:r>
      <w:r w:rsidRPr="00EC5379">
        <w:rPr>
          <w:rFonts w:cs="Arial"/>
        </w:rPr>
        <w:fldChar w:fldCharType="separate"/>
      </w:r>
      <w:r>
        <w:rPr>
          <w:rFonts w:cs="Arial"/>
        </w:rPr>
        <w:t>5</w:t>
      </w:r>
      <w:r w:rsidRPr="00EC5379">
        <w:rPr>
          <w:rFonts w:cs="Arial"/>
        </w:rPr>
        <w:fldChar w:fldCharType="end"/>
      </w:r>
      <w:r w:rsidRPr="00EC5379">
        <w:rPr>
          <w:rFonts w:cs="Arial"/>
        </w:rPr>
        <w:t xml:space="preserve"> of this RIS have established means for the appraisal of options for this purpose, and the following Regulations are now proposed. </w:t>
      </w:r>
    </w:p>
    <w:p w14:paraId="0A2073BD" w14:textId="68398DD7" w:rsidR="0001065F" w:rsidRDefault="0001065F" w:rsidP="00D44303">
      <w:pPr>
        <w:pStyle w:val="Heading3"/>
        <w:tabs>
          <w:tab w:val="clear" w:pos="5115"/>
        </w:tabs>
        <w:spacing w:before="100" w:beforeAutospacing="1" w:after="100" w:afterAutospacing="1"/>
        <w:ind w:left="709"/>
        <w:rPr>
          <w:rFonts w:ascii="Arial" w:hAnsi="Arial" w:cs="Arial"/>
        </w:rPr>
      </w:pPr>
      <w:r>
        <w:rPr>
          <w:rFonts w:ascii="Arial" w:hAnsi="Arial" w:cs="Arial"/>
        </w:rPr>
        <w:t>What is defined as community service work</w:t>
      </w:r>
    </w:p>
    <w:p w14:paraId="7A980291" w14:textId="4A8312C4" w:rsidR="0001065F" w:rsidRPr="006B6C3B" w:rsidRDefault="0001065F" w:rsidP="0001065F">
      <w:pPr>
        <w:pStyle w:val="BodyText"/>
        <w:rPr>
          <w:rFonts w:cs="Arial"/>
          <w:color w:val="auto"/>
        </w:rPr>
      </w:pPr>
      <w:r w:rsidRPr="006B6C3B">
        <w:rPr>
          <w:rFonts w:cs="Arial"/>
          <w:color w:val="auto"/>
        </w:rPr>
        <w:t xml:space="preserve">It is proposed </w:t>
      </w:r>
      <w:r w:rsidRPr="00131734">
        <w:rPr>
          <w:rFonts w:cs="Arial"/>
          <w:b/>
          <w:color w:val="auto"/>
        </w:rPr>
        <w:t xml:space="preserve">to clarify that </w:t>
      </w:r>
      <w:r>
        <w:rPr>
          <w:rFonts w:cs="Arial"/>
          <w:b/>
          <w:color w:val="auto"/>
        </w:rPr>
        <w:t>delivering</w:t>
      </w:r>
      <w:r w:rsidRPr="00131734">
        <w:rPr>
          <w:rFonts w:cs="Arial"/>
          <w:b/>
          <w:color w:val="auto"/>
        </w:rPr>
        <w:t xml:space="preserve"> work in </w:t>
      </w:r>
      <w:r>
        <w:rPr>
          <w:rFonts w:cs="Arial"/>
          <w:b/>
          <w:color w:val="auto"/>
        </w:rPr>
        <w:t>a private residence is defined as community service work for the purposes of the Scheme, regardless of the age of the client</w:t>
      </w:r>
      <w:r w:rsidRPr="006B6C3B">
        <w:rPr>
          <w:rFonts w:cs="Arial"/>
          <w:color w:val="auto"/>
        </w:rPr>
        <w:t>. Health and aged care work performed in a facility that is not a private residence would continue to be excluded from the Scheme.</w:t>
      </w:r>
      <w:r w:rsidR="00E93A69">
        <w:rPr>
          <w:rFonts w:cs="Arial"/>
          <w:color w:val="auto"/>
        </w:rPr>
        <w:t xml:space="preserve"> Healthcare delivered in a private residence would continue to be excluded from the Scheme. </w:t>
      </w:r>
    </w:p>
    <w:p w14:paraId="34A76478" w14:textId="370BEC19" w:rsidR="0001065F" w:rsidRDefault="0001065F" w:rsidP="0001065F">
      <w:pPr>
        <w:tabs>
          <w:tab w:val="num" w:pos="680"/>
        </w:tabs>
        <w:rPr>
          <w:rFonts w:ascii="Arial" w:hAnsi="Arial" w:cs="Arial"/>
          <w:color w:val="auto"/>
        </w:rPr>
      </w:pPr>
      <w:r w:rsidRPr="001024EF">
        <w:rPr>
          <w:rFonts w:ascii="Arial" w:hAnsi="Arial" w:cs="Arial"/>
          <w:color w:val="auto"/>
        </w:rPr>
        <w:t xml:space="preserve">Compared to the status quo, </w:t>
      </w:r>
      <w:r>
        <w:rPr>
          <w:rFonts w:ascii="Arial" w:hAnsi="Arial" w:cs="Arial"/>
          <w:color w:val="auto"/>
        </w:rPr>
        <w:t xml:space="preserve">employers in the community services sector will have clarity </w:t>
      </w:r>
      <w:r w:rsidRPr="001024EF">
        <w:rPr>
          <w:rFonts w:ascii="Arial" w:hAnsi="Arial" w:cs="Arial"/>
          <w:color w:val="auto"/>
        </w:rPr>
        <w:t xml:space="preserve">that </w:t>
      </w:r>
      <w:r>
        <w:rPr>
          <w:rFonts w:ascii="Arial" w:hAnsi="Arial" w:cs="Arial"/>
          <w:color w:val="auto"/>
        </w:rPr>
        <w:t>work in a private residence is</w:t>
      </w:r>
      <w:r w:rsidRPr="001024EF">
        <w:rPr>
          <w:rFonts w:ascii="Arial" w:hAnsi="Arial" w:cs="Arial"/>
          <w:color w:val="auto"/>
        </w:rPr>
        <w:t xml:space="preserve"> covered by the Scheme</w:t>
      </w:r>
      <w:r>
        <w:rPr>
          <w:rFonts w:ascii="Arial" w:hAnsi="Arial" w:cs="Arial"/>
          <w:color w:val="auto"/>
        </w:rPr>
        <w:t>.</w:t>
      </w:r>
      <w:r w:rsidR="00C150D2">
        <w:rPr>
          <w:rFonts w:ascii="Arial" w:hAnsi="Arial" w:cs="Arial"/>
          <w:color w:val="auto"/>
        </w:rPr>
        <w:t xml:space="preserve"> Employees who </w:t>
      </w:r>
      <w:r w:rsidR="00C150D2" w:rsidRPr="004B3C99">
        <w:rPr>
          <w:rFonts w:ascii="Arial" w:hAnsi="Arial" w:cs="Arial"/>
          <w:color w:val="auto"/>
        </w:rPr>
        <w:t>deliver</w:t>
      </w:r>
      <w:r w:rsidR="00C150D2">
        <w:rPr>
          <w:rFonts w:ascii="Arial" w:hAnsi="Arial" w:cs="Arial"/>
          <w:color w:val="auto"/>
        </w:rPr>
        <w:t xml:space="preserve"> </w:t>
      </w:r>
      <w:r w:rsidR="00C150D2" w:rsidRPr="004B3C99">
        <w:rPr>
          <w:rFonts w:ascii="Arial" w:hAnsi="Arial" w:cs="Arial"/>
          <w:color w:val="auto"/>
        </w:rPr>
        <w:t>community service work, regardless of the setting</w:t>
      </w:r>
      <w:r w:rsidR="00C150D2">
        <w:rPr>
          <w:rFonts w:ascii="Arial" w:hAnsi="Arial" w:cs="Arial"/>
          <w:color w:val="auto"/>
        </w:rPr>
        <w:t xml:space="preserve"> or age of the client</w:t>
      </w:r>
      <w:r w:rsidR="00C150D2" w:rsidRPr="004B3C99">
        <w:rPr>
          <w:rFonts w:ascii="Arial" w:hAnsi="Arial" w:cs="Arial"/>
          <w:color w:val="auto"/>
        </w:rPr>
        <w:t>, w</w:t>
      </w:r>
      <w:r w:rsidR="00C150D2">
        <w:rPr>
          <w:rFonts w:ascii="Arial" w:hAnsi="Arial" w:cs="Arial"/>
          <w:color w:val="auto"/>
        </w:rPr>
        <w:t>ould</w:t>
      </w:r>
      <w:r w:rsidR="00C150D2" w:rsidRPr="004B3C99">
        <w:rPr>
          <w:rFonts w:ascii="Arial" w:hAnsi="Arial" w:cs="Arial"/>
          <w:color w:val="auto"/>
        </w:rPr>
        <w:t xml:space="preserve"> be eligible to be covered by the Scheme. This is consistent with the intent of the </w:t>
      </w:r>
      <w:r w:rsidR="00C150D2">
        <w:rPr>
          <w:rFonts w:ascii="Arial" w:hAnsi="Arial" w:cs="Arial"/>
          <w:color w:val="auto"/>
        </w:rPr>
        <w:t>LSBP</w:t>
      </w:r>
      <w:r w:rsidR="00C150D2" w:rsidRPr="004B3C99">
        <w:rPr>
          <w:rFonts w:ascii="Arial" w:hAnsi="Arial" w:cs="Arial"/>
          <w:color w:val="auto"/>
        </w:rPr>
        <w:t xml:space="preserve"> Act.</w:t>
      </w:r>
    </w:p>
    <w:p w14:paraId="6F50D6EC" w14:textId="3E3F332D" w:rsidR="0001065F" w:rsidRPr="00DB3ADD" w:rsidRDefault="0001065F" w:rsidP="00DB3ADD">
      <w:pPr>
        <w:tabs>
          <w:tab w:val="num" w:pos="680"/>
        </w:tabs>
      </w:pPr>
      <w:r w:rsidRPr="005A447D">
        <w:rPr>
          <w:rFonts w:ascii="Arial" w:hAnsi="Arial" w:cs="Arial"/>
          <w:color w:val="auto"/>
        </w:rPr>
        <w:t xml:space="preserve">These changes are found in </w:t>
      </w:r>
      <w:r w:rsidR="00C150D2" w:rsidRPr="00AD518C">
        <w:rPr>
          <w:rFonts w:ascii="Arial" w:hAnsi="Arial" w:cs="Arial"/>
          <w:color w:val="auto"/>
        </w:rPr>
        <w:t>Regulation 8(1)(b)</w:t>
      </w:r>
      <w:r w:rsidRPr="00903F53">
        <w:rPr>
          <w:rFonts w:ascii="Arial" w:hAnsi="Arial" w:cs="Arial"/>
          <w:color w:val="auto"/>
        </w:rPr>
        <w:t xml:space="preserve"> </w:t>
      </w:r>
      <w:r w:rsidR="00C150D2">
        <w:rPr>
          <w:rFonts w:ascii="Arial" w:hAnsi="Arial" w:cs="Arial"/>
          <w:color w:val="auto"/>
        </w:rPr>
        <w:t>of</w:t>
      </w:r>
      <w:r w:rsidRPr="005A447D">
        <w:rPr>
          <w:rFonts w:ascii="Arial" w:hAnsi="Arial" w:cs="Arial"/>
          <w:color w:val="auto"/>
        </w:rPr>
        <w:t xml:space="preserve"> the </w:t>
      </w:r>
      <w:r w:rsidR="005D6ED3">
        <w:rPr>
          <w:rFonts w:ascii="Arial" w:hAnsi="Arial" w:cs="Arial"/>
          <w:color w:val="auto"/>
        </w:rPr>
        <w:t>Proposed</w:t>
      </w:r>
      <w:r w:rsidR="005D6ED3" w:rsidRPr="005A447D">
        <w:rPr>
          <w:rFonts w:ascii="Arial" w:hAnsi="Arial" w:cs="Arial"/>
          <w:color w:val="auto"/>
        </w:rPr>
        <w:t xml:space="preserve"> </w:t>
      </w:r>
      <w:r w:rsidRPr="005A447D">
        <w:rPr>
          <w:rFonts w:ascii="Arial" w:hAnsi="Arial" w:cs="Arial"/>
          <w:color w:val="auto"/>
        </w:rPr>
        <w:t>Regulations.</w:t>
      </w:r>
      <w:r>
        <w:rPr>
          <w:rFonts w:ascii="Arial" w:hAnsi="Arial" w:cs="Arial"/>
          <w:color w:val="auto"/>
        </w:rPr>
        <w:t xml:space="preserve"> </w:t>
      </w:r>
    </w:p>
    <w:p w14:paraId="5625B30D" w14:textId="736C57E7" w:rsidR="00F738AD" w:rsidRPr="00EC5379" w:rsidRDefault="00F738AD" w:rsidP="00D44303">
      <w:pPr>
        <w:pStyle w:val="Heading3"/>
        <w:tabs>
          <w:tab w:val="clear" w:pos="5115"/>
        </w:tabs>
        <w:spacing w:before="100" w:beforeAutospacing="1" w:after="100" w:afterAutospacing="1"/>
        <w:ind w:left="709"/>
        <w:rPr>
          <w:rFonts w:ascii="Arial" w:hAnsi="Arial" w:cs="Arial"/>
        </w:rPr>
      </w:pPr>
      <w:r w:rsidRPr="00EC5379">
        <w:rPr>
          <w:rFonts w:ascii="Arial" w:hAnsi="Arial" w:cs="Arial"/>
        </w:rPr>
        <w:t xml:space="preserve">Who is </w:t>
      </w:r>
      <w:r w:rsidR="0071726F" w:rsidRPr="007B63D7">
        <w:rPr>
          <w:rFonts w:ascii="Arial" w:hAnsi="Arial" w:cs="Arial"/>
        </w:rPr>
        <w:t xml:space="preserve">regarded as </w:t>
      </w:r>
      <w:r w:rsidRPr="00EC5379">
        <w:rPr>
          <w:rFonts w:ascii="Arial" w:hAnsi="Arial" w:cs="Arial"/>
        </w:rPr>
        <w:t>an employer in the community services sector</w:t>
      </w:r>
    </w:p>
    <w:p w14:paraId="41C00FF4" w14:textId="77777777" w:rsidR="006B6C3B" w:rsidRDefault="006B6C3B" w:rsidP="006B6C3B">
      <w:pPr>
        <w:pStyle w:val="Heading4"/>
        <w:ind w:left="709"/>
        <w:rPr>
          <w:rFonts w:ascii="Arial" w:hAnsi="Arial" w:cs="Arial"/>
          <w:sz w:val="20"/>
          <w:szCs w:val="20"/>
        </w:rPr>
      </w:pPr>
      <w:r w:rsidRPr="008D7140">
        <w:rPr>
          <w:rFonts w:ascii="Arial" w:hAnsi="Arial" w:cs="Arial"/>
          <w:sz w:val="20"/>
          <w:szCs w:val="20"/>
        </w:rPr>
        <w:t>Employer predominance test</w:t>
      </w:r>
    </w:p>
    <w:p w14:paraId="132007AA" w14:textId="1C50E8D6" w:rsidR="006B6C3B" w:rsidRDefault="006B6C3B" w:rsidP="006B6C3B">
      <w:pPr>
        <w:tabs>
          <w:tab w:val="num" w:pos="680"/>
        </w:tabs>
        <w:rPr>
          <w:rFonts w:ascii="Arial" w:hAnsi="Arial" w:cs="Arial"/>
          <w:color w:val="auto"/>
        </w:rPr>
      </w:pPr>
      <w:r w:rsidRPr="006B6C3B">
        <w:rPr>
          <w:rFonts w:ascii="Arial" w:hAnsi="Arial" w:cs="Arial"/>
          <w:color w:val="auto"/>
        </w:rPr>
        <w:t xml:space="preserve">It is proposed to </w:t>
      </w:r>
      <w:r w:rsidRPr="00131734">
        <w:rPr>
          <w:rFonts w:ascii="Arial" w:hAnsi="Arial" w:cs="Arial"/>
          <w:b/>
          <w:color w:val="auto"/>
        </w:rPr>
        <w:t xml:space="preserve">abolish the employer predominance test </w:t>
      </w:r>
      <w:r w:rsidR="00364060" w:rsidRPr="00131734">
        <w:rPr>
          <w:rFonts w:ascii="Arial" w:hAnsi="Arial" w:cs="Arial"/>
          <w:b/>
          <w:color w:val="auto"/>
        </w:rPr>
        <w:t>that applies</w:t>
      </w:r>
      <w:r w:rsidRPr="00131734">
        <w:rPr>
          <w:rFonts w:ascii="Arial" w:hAnsi="Arial" w:cs="Arial"/>
          <w:b/>
          <w:color w:val="auto"/>
        </w:rPr>
        <w:t xml:space="preserve"> to health or related services</w:t>
      </w:r>
      <w:r w:rsidRPr="006B6C3B">
        <w:rPr>
          <w:rFonts w:ascii="Arial" w:hAnsi="Arial" w:cs="Arial"/>
          <w:color w:val="auto"/>
        </w:rPr>
        <w:t xml:space="preserve">. Instead, an employer in the community services sector would be defined as one that employs </w:t>
      </w:r>
      <w:r w:rsidR="00364060">
        <w:rPr>
          <w:rFonts w:ascii="Arial" w:hAnsi="Arial" w:cs="Arial"/>
          <w:color w:val="auto"/>
        </w:rPr>
        <w:t xml:space="preserve">at least one </w:t>
      </w:r>
      <w:r w:rsidRPr="006B6C3B">
        <w:rPr>
          <w:rFonts w:ascii="Arial" w:hAnsi="Arial" w:cs="Arial"/>
          <w:color w:val="auto"/>
        </w:rPr>
        <w:t>covered employee who undertakes</w:t>
      </w:r>
      <w:r w:rsidR="00364060">
        <w:rPr>
          <w:rFonts w:ascii="Arial" w:hAnsi="Arial" w:cs="Arial"/>
          <w:color w:val="auto"/>
        </w:rPr>
        <w:t xml:space="preserve"> eligible</w:t>
      </w:r>
      <w:r w:rsidRPr="006B6C3B">
        <w:rPr>
          <w:rFonts w:ascii="Arial" w:hAnsi="Arial" w:cs="Arial"/>
          <w:color w:val="auto"/>
        </w:rPr>
        <w:t xml:space="preserve"> community service work. </w:t>
      </w:r>
    </w:p>
    <w:p w14:paraId="5BCE2D1F" w14:textId="199B0CC2" w:rsidR="006B6C3B" w:rsidRPr="00DB3ADD" w:rsidRDefault="00C150D2" w:rsidP="006B6C3B">
      <w:pPr>
        <w:tabs>
          <w:tab w:val="num" w:pos="680"/>
        </w:tabs>
        <w:rPr>
          <w:rFonts w:ascii="Arial" w:hAnsi="Arial" w:cs="Arial"/>
          <w:color w:val="auto"/>
        </w:rPr>
      </w:pPr>
      <w:r w:rsidRPr="00DB3ADD">
        <w:rPr>
          <w:rFonts w:ascii="Arial" w:hAnsi="Arial" w:cs="Arial"/>
          <w:color w:val="auto"/>
        </w:rPr>
        <w:t xml:space="preserve">No employer predominance test is included in </w:t>
      </w:r>
      <w:r w:rsidRPr="00AD518C">
        <w:rPr>
          <w:rFonts w:ascii="Arial" w:hAnsi="Arial" w:cs="Arial"/>
          <w:color w:val="auto"/>
        </w:rPr>
        <w:t>Regulation 9</w:t>
      </w:r>
      <w:r w:rsidR="006B6C3B" w:rsidRPr="00903F53">
        <w:rPr>
          <w:rFonts w:ascii="Arial" w:hAnsi="Arial" w:cs="Arial"/>
          <w:color w:val="auto"/>
        </w:rPr>
        <w:t xml:space="preserve"> </w:t>
      </w:r>
      <w:r w:rsidRPr="00D50857">
        <w:rPr>
          <w:rFonts w:ascii="Arial" w:hAnsi="Arial" w:cs="Arial"/>
          <w:color w:val="auto"/>
        </w:rPr>
        <w:t xml:space="preserve">of </w:t>
      </w:r>
      <w:r w:rsidR="006B6C3B" w:rsidRPr="00D50857">
        <w:rPr>
          <w:rFonts w:ascii="Arial" w:hAnsi="Arial" w:cs="Arial"/>
          <w:color w:val="auto"/>
        </w:rPr>
        <w:t xml:space="preserve">the </w:t>
      </w:r>
      <w:r w:rsidR="005D6ED3">
        <w:rPr>
          <w:rFonts w:ascii="Arial" w:hAnsi="Arial" w:cs="Arial"/>
          <w:color w:val="auto"/>
        </w:rPr>
        <w:t>Proposed</w:t>
      </w:r>
      <w:r w:rsidR="005D6ED3" w:rsidRPr="00D50857">
        <w:rPr>
          <w:rFonts w:ascii="Arial" w:hAnsi="Arial" w:cs="Arial"/>
          <w:color w:val="auto"/>
        </w:rPr>
        <w:t xml:space="preserve"> </w:t>
      </w:r>
      <w:r w:rsidR="006B6C3B" w:rsidRPr="00D50857">
        <w:rPr>
          <w:rFonts w:ascii="Arial" w:hAnsi="Arial" w:cs="Arial"/>
          <w:color w:val="auto"/>
        </w:rPr>
        <w:t>Regulations</w:t>
      </w:r>
      <w:r w:rsidRPr="00D50857">
        <w:rPr>
          <w:rFonts w:ascii="Arial" w:hAnsi="Arial" w:cs="Arial"/>
          <w:color w:val="auto"/>
        </w:rPr>
        <w:t xml:space="preserve">, which details who is </w:t>
      </w:r>
      <w:r w:rsidR="0071726F">
        <w:rPr>
          <w:rFonts w:ascii="Arial" w:hAnsi="Arial" w:cs="Arial"/>
          <w:color w:val="auto"/>
        </w:rPr>
        <w:t xml:space="preserve">regarded as </w:t>
      </w:r>
      <w:r w:rsidRPr="00D50857">
        <w:rPr>
          <w:rFonts w:ascii="Arial" w:hAnsi="Arial" w:cs="Arial"/>
          <w:color w:val="auto"/>
        </w:rPr>
        <w:t>an employer for the community services sector</w:t>
      </w:r>
      <w:r w:rsidR="006B6C3B" w:rsidRPr="00D50857">
        <w:rPr>
          <w:rFonts w:ascii="Arial" w:hAnsi="Arial" w:cs="Arial"/>
          <w:color w:val="auto"/>
        </w:rPr>
        <w:t>.</w:t>
      </w:r>
      <w:r w:rsidR="00BA3EFE" w:rsidRPr="00D50857">
        <w:rPr>
          <w:rFonts w:ascii="Arial" w:hAnsi="Arial" w:cs="Arial"/>
          <w:color w:val="auto"/>
        </w:rPr>
        <w:t xml:space="preserve"> </w:t>
      </w:r>
    </w:p>
    <w:tbl>
      <w:tblPr>
        <w:tblStyle w:val="TableGrid"/>
        <w:tblW w:w="9026" w:type="dxa"/>
        <w:tblLook w:val="04A0" w:firstRow="1" w:lastRow="0" w:firstColumn="1" w:lastColumn="0" w:noHBand="0" w:noVBand="1"/>
      </w:tblPr>
      <w:tblGrid>
        <w:gridCol w:w="9026"/>
      </w:tblGrid>
      <w:tr w:rsidR="006B6C3B" w:rsidRPr="00F738AD" w14:paraId="6BF245FD" w14:textId="77777777" w:rsidTr="00A176FA">
        <w:trPr>
          <w:tblHeader/>
        </w:trPr>
        <w:tc>
          <w:tcPr>
            <w:tcW w:w="9026" w:type="dxa"/>
            <w:tcBorders>
              <w:left w:val="nil"/>
            </w:tcBorders>
            <w:shd w:val="clear" w:color="auto" w:fill="002060"/>
          </w:tcPr>
          <w:p w14:paraId="0FA5EFEE" w14:textId="77777777" w:rsidR="006B6C3B" w:rsidRPr="00F738AD" w:rsidRDefault="006B6C3B" w:rsidP="00A176FA">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6B6C3B" w:rsidRPr="00EC5379" w14:paraId="237864AA" w14:textId="77777777" w:rsidTr="00A176FA">
        <w:trPr>
          <w:trHeight w:val="788"/>
        </w:trPr>
        <w:tc>
          <w:tcPr>
            <w:tcW w:w="9026" w:type="dxa"/>
            <w:tcBorders>
              <w:left w:val="nil"/>
            </w:tcBorders>
            <w:shd w:val="clear" w:color="auto" w:fill="DEEAF6" w:themeFill="accent1" w:themeFillTint="33"/>
          </w:tcPr>
          <w:p w14:paraId="4873F485" w14:textId="6C4525EC" w:rsidR="006B6C3B" w:rsidRPr="00EC5379" w:rsidRDefault="006B6C3B" w:rsidP="0060163D">
            <w:pPr>
              <w:pStyle w:val="BodyText"/>
              <w:ind w:left="601" w:hanging="601"/>
              <w:rPr>
                <w:rFonts w:cs="Arial"/>
              </w:rPr>
            </w:pPr>
            <w:r>
              <w:rPr>
                <w:rFonts w:cs="Arial"/>
                <w:b/>
              </w:rPr>
              <w:t>S.</w:t>
            </w:r>
            <w:r w:rsidR="0081142D">
              <w:rPr>
                <w:rFonts w:cs="Arial"/>
                <w:b/>
              </w:rPr>
              <w:t>24</w:t>
            </w:r>
            <w:r w:rsidR="0055008B">
              <w:rPr>
                <w:rFonts w:cs="Arial"/>
                <w:b/>
              </w:rPr>
              <w:t xml:space="preserve"> </w:t>
            </w:r>
            <w:r w:rsidR="004A514D">
              <w:rPr>
                <w:rFonts w:cs="Arial"/>
                <w:b/>
              </w:rPr>
              <w:tab/>
            </w:r>
            <w:r w:rsidRPr="003E0C7B">
              <w:rPr>
                <w:rFonts w:cs="Arial"/>
              </w:rPr>
              <w:t xml:space="preserve">With the removal of the employer predominance test, </w:t>
            </w:r>
            <w:r w:rsidR="0060163D" w:rsidRPr="003E0C7B">
              <w:rPr>
                <w:rFonts w:cs="Arial"/>
              </w:rPr>
              <w:t>wh</w:t>
            </w:r>
            <w:r w:rsidR="0060163D">
              <w:rPr>
                <w:rFonts w:cs="Arial"/>
              </w:rPr>
              <w:t>ich</w:t>
            </w:r>
            <w:r w:rsidR="0060163D" w:rsidRPr="003E0C7B">
              <w:rPr>
                <w:rFonts w:cs="Arial"/>
              </w:rPr>
              <w:t xml:space="preserve"> </w:t>
            </w:r>
            <w:r w:rsidRPr="003E0C7B">
              <w:rPr>
                <w:rFonts w:cs="Arial"/>
              </w:rPr>
              <w:t xml:space="preserve">organisations </w:t>
            </w:r>
            <w:r w:rsidR="00C150D2">
              <w:rPr>
                <w:rFonts w:cs="Arial"/>
              </w:rPr>
              <w:t xml:space="preserve">that were not </w:t>
            </w:r>
            <w:r w:rsidR="0060163D">
              <w:rPr>
                <w:rFonts w:cs="Arial"/>
              </w:rPr>
              <w:t xml:space="preserve">previously </w:t>
            </w:r>
            <w:r w:rsidR="00C150D2">
              <w:rPr>
                <w:rFonts w:cs="Arial"/>
              </w:rPr>
              <w:t>in scope of the Scheme under the Interim Regulations</w:t>
            </w:r>
            <w:r w:rsidR="0060163D">
              <w:rPr>
                <w:rFonts w:cs="Arial"/>
              </w:rPr>
              <w:t>, will</w:t>
            </w:r>
            <w:r w:rsidR="00C150D2">
              <w:rPr>
                <w:rFonts w:cs="Arial"/>
              </w:rPr>
              <w:t xml:space="preserve"> </w:t>
            </w:r>
            <w:r w:rsidRPr="003E0C7B">
              <w:rPr>
                <w:rFonts w:cs="Arial"/>
              </w:rPr>
              <w:t>now be in scope</w:t>
            </w:r>
            <w:r w:rsidR="00C150D2">
              <w:rPr>
                <w:rFonts w:cs="Arial"/>
              </w:rPr>
              <w:t>?</w:t>
            </w:r>
          </w:p>
        </w:tc>
      </w:tr>
    </w:tbl>
    <w:p w14:paraId="0030D89D" w14:textId="33CCB876" w:rsidR="006B6C3B" w:rsidRDefault="006B6C3B" w:rsidP="006B6C3B">
      <w:pPr>
        <w:pStyle w:val="Heading4"/>
        <w:ind w:left="709"/>
        <w:rPr>
          <w:rFonts w:ascii="Arial" w:hAnsi="Arial" w:cs="Arial"/>
          <w:sz w:val="20"/>
          <w:szCs w:val="20"/>
        </w:rPr>
      </w:pPr>
      <w:r>
        <w:rPr>
          <w:rFonts w:ascii="Arial" w:hAnsi="Arial" w:cs="Arial"/>
          <w:sz w:val="20"/>
          <w:szCs w:val="20"/>
        </w:rPr>
        <w:t xml:space="preserve">Community and </w:t>
      </w:r>
      <w:r w:rsidR="0072722B">
        <w:rPr>
          <w:rFonts w:ascii="Arial" w:hAnsi="Arial" w:cs="Arial"/>
          <w:sz w:val="20"/>
          <w:szCs w:val="20"/>
        </w:rPr>
        <w:t>Women’s Health Centre</w:t>
      </w:r>
      <w:r>
        <w:rPr>
          <w:rFonts w:ascii="Arial" w:hAnsi="Arial" w:cs="Arial"/>
          <w:sz w:val="20"/>
          <w:szCs w:val="20"/>
        </w:rPr>
        <w:t>s</w:t>
      </w:r>
    </w:p>
    <w:p w14:paraId="01F5A11F" w14:textId="7FDA38A0" w:rsidR="00E93A69" w:rsidRDefault="006B6C3B" w:rsidP="006B6C3B">
      <w:pPr>
        <w:tabs>
          <w:tab w:val="num" w:pos="680"/>
        </w:tabs>
        <w:rPr>
          <w:rFonts w:ascii="Arial" w:hAnsi="Arial" w:cs="Arial"/>
          <w:color w:val="auto"/>
        </w:rPr>
      </w:pPr>
      <w:r w:rsidRPr="006B6C3B">
        <w:rPr>
          <w:rFonts w:ascii="Arial" w:hAnsi="Arial" w:cs="Arial"/>
          <w:color w:val="auto"/>
        </w:rPr>
        <w:t xml:space="preserve">It is proposed to </w:t>
      </w:r>
      <w:r w:rsidRPr="00131734">
        <w:rPr>
          <w:rFonts w:ascii="Arial" w:hAnsi="Arial" w:cs="Arial"/>
          <w:b/>
          <w:color w:val="auto"/>
        </w:rPr>
        <w:t>explicitly include</w:t>
      </w:r>
      <w:r w:rsidR="00C150D2">
        <w:rPr>
          <w:rFonts w:ascii="Arial" w:hAnsi="Arial" w:cs="Arial"/>
          <w:b/>
          <w:color w:val="auto"/>
        </w:rPr>
        <w:t xml:space="preserve"> registered</w:t>
      </w:r>
      <w:r w:rsidRPr="00131734">
        <w:rPr>
          <w:rFonts w:ascii="Arial" w:hAnsi="Arial" w:cs="Arial"/>
          <w:b/>
          <w:color w:val="auto"/>
        </w:rPr>
        <w:t xml:space="preserve"> </w:t>
      </w:r>
      <w:r w:rsidR="0072722B">
        <w:rPr>
          <w:rFonts w:ascii="Arial" w:hAnsi="Arial" w:cs="Arial"/>
          <w:b/>
          <w:color w:val="auto"/>
        </w:rPr>
        <w:t>Community Health Centre</w:t>
      </w:r>
      <w:r w:rsidRPr="00131734">
        <w:rPr>
          <w:rFonts w:ascii="Arial" w:hAnsi="Arial" w:cs="Arial"/>
          <w:b/>
          <w:color w:val="auto"/>
        </w:rPr>
        <w:t xml:space="preserve">s and </w:t>
      </w:r>
      <w:r w:rsidR="0072722B">
        <w:rPr>
          <w:rFonts w:ascii="Arial" w:hAnsi="Arial" w:cs="Arial"/>
          <w:b/>
          <w:color w:val="auto"/>
        </w:rPr>
        <w:t>Women’s Health Centre</w:t>
      </w:r>
      <w:r w:rsidRPr="00131734">
        <w:rPr>
          <w:rFonts w:ascii="Arial" w:hAnsi="Arial" w:cs="Arial"/>
          <w:b/>
          <w:color w:val="auto"/>
        </w:rPr>
        <w:t xml:space="preserve">s as eligible employers </w:t>
      </w:r>
      <w:r w:rsidRPr="006B6C3B">
        <w:rPr>
          <w:rFonts w:ascii="Arial" w:hAnsi="Arial" w:cs="Arial"/>
          <w:color w:val="auto"/>
        </w:rPr>
        <w:t xml:space="preserve">under the Scheme. </w:t>
      </w:r>
      <w:r w:rsidR="0072722B">
        <w:rPr>
          <w:rFonts w:ascii="Arial" w:hAnsi="Arial" w:cs="Arial"/>
          <w:color w:val="auto"/>
        </w:rPr>
        <w:t>Community Health</w:t>
      </w:r>
      <w:r w:rsidRPr="006B6C3B">
        <w:rPr>
          <w:rFonts w:ascii="Arial" w:hAnsi="Arial" w:cs="Arial"/>
          <w:color w:val="auto"/>
        </w:rPr>
        <w:t xml:space="preserve"> and </w:t>
      </w:r>
      <w:r w:rsidR="0072722B">
        <w:rPr>
          <w:rFonts w:ascii="Arial" w:hAnsi="Arial" w:cs="Arial"/>
          <w:color w:val="auto"/>
        </w:rPr>
        <w:t>Women’s Health</w:t>
      </w:r>
      <w:r w:rsidRPr="006B6C3B">
        <w:rPr>
          <w:rFonts w:ascii="Arial" w:hAnsi="Arial" w:cs="Arial"/>
          <w:color w:val="auto"/>
        </w:rPr>
        <w:t xml:space="preserve"> service providers would need to register with the Authority and pay levies on behalf of any covered employees </w:t>
      </w:r>
      <w:r w:rsidR="003846BB">
        <w:rPr>
          <w:rFonts w:ascii="Arial" w:hAnsi="Arial" w:cs="Arial"/>
          <w:color w:val="auto"/>
        </w:rPr>
        <w:t>who</w:t>
      </w:r>
      <w:r w:rsidR="003846BB" w:rsidRPr="006B6C3B">
        <w:rPr>
          <w:rFonts w:ascii="Arial" w:hAnsi="Arial" w:cs="Arial"/>
          <w:color w:val="auto"/>
        </w:rPr>
        <w:t xml:space="preserve"> </w:t>
      </w:r>
      <w:r w:rsidRPr="006B6C3B">
        <w:rPr>
          <w:rFonts w:ascii="Arial" w:hAnsi="Arial" w:cs="Arial"/>
          <w:color w:val="auto"/>
        </w:rPr>
        <w:t xml:space="preserve">undertake </w:t>
      </w:r>
      <w:r w:rsidR="00D12D90">
        <w:rPr>
          <w:rFonts w:ascii="Arial" w:hAnsi="Arial" w:cs="Arial"/>
          <w:color w:val="auto"/>
        </w:rPr>
        <w:t xml:space="preserve">eligible community service work. </w:t>
      </w:r>
    </w:p>
    <w:p w14:paraId="1611D861" w14:textId="3A4F5278" w:rsidR="006B6C3B" w:rsidRDefault="001024EF" w:rsidP="006B6C3B">
      <w:pPr>
        <w:tabs>
          <w:tab w:val="num" w:pos="680"/>
        </w:tabs>
        <w:rPr>
          <w:rFonts w:ascii="Arial" w:hAnsi="Arial" w:cs="Arial"/>
          <w:color w:val="auto"/>
        </w:rPr>
      </w:pPr>
      <w:r w:rsidRPr="001024EF">
        <w:rPr>
          <w:rFonts w:ascii="Arial" w:hAnsi="Arial" w:cs="Arial"/>
          <w:color w:val="auto"/>
        </w:rPr>
        <w:lastRenderedPageBreak/>
        <w:t xml:space="preserve">Compared to the status quo, </w:t>
      </w:r>
      <w:r w:rsidR="0072722B">
        <w:rPr>
          <w:rFonts w:ascii="Arial" w:hAnsi="Arial" w:cs="Arial"/>
          <w:color w:val="auto"/>
        </w:rPr>
        <w:t>Community Health</w:t>
      </w:r>
      <w:r w:rsidRPr="001024EF">
        <w:rPr>
          <w:rFonts w:ascii="Arial" w:hAnsi="Arial" w:cs="Arial"/>
          <w:color w:val="auto"/>
        </w:rPr>
        <w:t xml:space="preserve"> and </w:t>
      </w:r>
      <w:r w:rsidR="0072722B">
        <w:rPr>
          <w:rFonts w:ascii="Arial" w:hAnsi="Arial" w:cs="Arial"/>
          <w:color w:val="auto"/>
        </w:rPr>
        <w:t>Women’s Health</w:t>
      </w:r>
      <w:r w:rsidRPr="001024EF">
        <w:rPr>
          <w:rFonts w:ascii="Arial" w:hAnsi="Arial" w:cs="Arial"/>
          <w:color w:val="auto"/>
        </w:rPr>
        <w:t xml:space="preserve"> service providers will have certainty that they are covered by the Scheme</w:t>
      </w:r>
      <w:r w:rsidR="00D12D90">
        <w:rPr>
          <w:rFonts w:ascii="Arial" w:hAnsi="Arial" w:cs="Arial"/>
          <w:color w:val="auto"/>
        </w:rPr>
        <w:t>.</w:t>
      </w:r>
      <w:r w:rsidR="00E93A69">
        <w:rPr>
          <w:rFonts w:ascii="Arial" w:hAnsi="Arial" w:cs="Arial"/>
          <w:color w:val="auto"/>
        </w:rPr>
        <w:t xml:space="preserve"> Employees in these </w:t>
      </w:r>
      <w:r w:rsidR="002106A3">
        <w:rPr>
          <w:rFonts w:ascii="Arial" w:hAnsi="Arial" w:cs="Arial"/>
          <w:color w:val="auto"/>
        </w:rPr>
        <w:t>sub</w:t>
      </w:r>
      <w:r w:rsidR="002106A3">
        <w:rPr>
          <w:rFonts w:ascii="Arial" w:hAnsi="Arial" w:cs="Arial"/>
          <w:color w:val="auto"/>
        </w:rPr>
        <w:noBreakHyphen/>
        <w:t>sector</w:t>
      </w:r>
      <w:r w:rsidR="00E93A69">
        <w:rPr>
          <w:rFonts w:ascii="Arial" w:hAnsi="Arial" w:cs="Arial"/>
          <w:color w:val="auto"/>
        </w:rPr>
        <w:t>s would be able to move into and out of the broader community service</w:t>
      </w:r>
      <w:r w:rsidR="0060163D">
        <w:rPr>
          <w:rFonts w:ascii="Arial" w:hAnsi="Arial" w:cs="Arial"/>
          <w:color w:val="auto"/>
        </w:rPr>
        <w:t>s</w:t>
      </w:r>
      <w:r w:rsidR="00E93A69">
        <w:rPr>
          <w:rFonts w:ascii="Arial" w:hAnsi="Arial" w:cs="Arial"/>
          <w:color w:val="auto"/>
        </w:rPr>
        <w:t xml:space="preserve"> sector without losing their portable long service benefits.</w:t>
      </w:r>
    </w:p>
    <w:p w14:paraId="7D91A336" w14:textId="101B8AC1" w:rsidR="006B6C3B" w:rsidRDefault="006B6C3B" w:rsidP="006B6C3B">
      <w:pPr>
        <w:tabs>
          <w:tab w:val="num" w:pos="680"/>
        </w:tabs>
        <w:rPr>
          <w:rFonts w:ascii="Arial" w:hAnsi="Arial" w:cs="Arial"/>
          <w:color w:val="auto"/>
        </w:rPr>
      </w:pPr>
      <w:r w:rsidRPr="005A447D">
        <w:rPr>
          <w:rFonts w:ascii="Arial" w:hAnsi="Arial" w:cs="Arial"/>
          <w:color w:val="auto"/>
        </w:rPr>
        <w:t xml:space="preserve">These changes are found in </w:t>
      </w:r>
      <w:r w:rsidR="00C150D2" w:rsidRPr="00AD518C">
        <w:rPr>
          <w:rFonts w:ascii="Arial" w:hAnsi="Arial" w:cs="Arial"/>
          <w:color w:val="auto"/>
        </w:rPr>
        <w:t>Regulation 9(d)</w:t>
      </w:r>
      <w:r w:rsidR="00C150D2" w:rsidRPr="00903F53">
        <w:rPr>
          <w:rFonts w:ascii="Arial" w:hAnsi="Arial" w:cs="Arial"/>
          <w:color w:val="auto"/>
        </w:rPr>
        <w:t xml:space="preserve"> </w:t>
      </w:r>
      <w:r w:rsidR="00C150D2">
        <w:rPr>
          <w:rFonts w:ascii="Arial" w:hAnsi="Arial" w:cs="Arial"/>
          <w:color w:val="auto"/>
        </w:rPr>
        <w:t>of</w:t>
      </w:r>
      <w:r w:rsidRPr="005A447D">
        <w:rPr>
          <w:rFonts w:ascii="Arial" w:hAnsi="Arial" w:cs="Arial"/>
          <w:color w:val="auto"/>
        </w:rPr>
        <w:t xml:space="preserve"> the </w:t>
      </w:r>
      <w:r w:rsidR="005D6ED3">
        <w:rPr>
          <w:rFonts w:ascii="Arial" w:hAnsi="Arial" w:cs="Arial"/>
          <w:color w:val="auto"/>
        </w:rPr>
        <w:t>Proposed</w:t>
      </w:r>
      <w:r w:rsidR="005D6ED3" w:rsidRPr="005A447D">
        <w:rPr>
          <w:rFonts w:ascii="Arial" w:hAnsi="Arial" w:cs="Arial"/>
          <w:color w:val="auto"/>
        </w:rPr>
        <w:t xml:space="preserve"> </w:t>
      </w:r>
      <w:r w:rsidRPr="005A447D">
        <w:rPr>
          <w:rFonts w:ascii="Arial" w:hAnsi="Arial" w:cs="Arial"/>
          <w:color w:val="auto"/>
        </w:rPr>
        <w:t>Regulations.</w:t>
      </w:r>
      <w:r w:rsidR="00BA3EFE">
        <w:rPr>
          <w:rFonts w:ascii="Arial" w:hAnsi="Arial" w:cs="Arial"/>
          <w:color w:val="auto"/>
        </w:rPr>
        <w:t xml:space="preserve"> </w:t>
      </w:r>
    </w:p>
    <w:p w14:paraId="6CF2B1C2" w14:textId="77777777" w:rsidR="006B6C3B" w:rsidRPr="006B6C3B" w:rsidRDefault="006B6C3B" w:rsidP="006B6C3B">
      <w:pPr>
        <w:pStyle w:val="Heading4"/>
        <w:tabs>
          <w:tab w:val="clear" w:pos="3130"/>
        </w:tabs>
        <w:ind w:left="709"/>
        <w:rPr>
          <w:rFonts w:ascii="Arial" w:hAnsi="Arial" w:cs="Arial"/>
          <w:sz w:val="20"/>
          <w:szCs w:val="20"/>
        </w:rPr>
      </w:pPr>
      <w:r w:rsidRPr="008D7140">
        <w:rPr>
          <w:rFonts w:ascii="Arial" w:hAnsi="Arial" w:cs="Arial"/>
          <w:sz w:val="20"/>
          <w:szCs w:val="20"/>
        </w:rPr>
        <w:t>For-profit providers of early childhood services</w:t>
      </w:r>
    </w:p>
    <w:p w14:paraId="3762DAA1" w14:textId="63ED838B" w:rsidR="006B6C3B" w:rsidRPr="006B6C3B" w:rsidRDefault="006B6C3B" w:rsidP="006B6C3B">
      <w:pPr>
        <w:pStyle w:val="BodyText"/>
        <w:rPr>
          <w:rFonts w:cs="Arial"/>
          <w:color w:val="auto"/>
        </w:rPr>
      </w:pPr>
      <w:r w:rsidRPr="006B6C3B">
        <w:rPr>
          <w:rFonts w:cs="Arial"/>
          <w:color w:val="auto"/>
        </w:rPr>
        <w:t xml:space="preserve">It is proposed to </w:t>
      </w:r>
      <w:r w:rsidRPr="00131734">
        <w:rPr>
          <w:rFonts w:cs="Arial"/>
          <w:b/>
          <w:color w:val="auto"/>
        </w:rPr>
        <w:t xml:space="preserve">clarify that </w:t>
      </w:r>
      <w:r w:rsidR="00D36BC6">
        <w:rPr>
          <w:rFonts w:cs="Arial"/>
          <w:b/>
          <w:color w:val="auto"/>
        </w:rPr>
        <w:t>for</w:t>
      </w:r>
      <w:r w:rsidR="00D36BC6">
        <w:rPr>
          <w:rFonts w:cs="Arial"/>
          <w:b/>
          <w:color w:val="auto"/>
        </w:rPr>
        <w:noBreakHyphen/>
        <w:t>profit</w:t>
      </w:r>
      <w:r w:rsidRPr="00131734">
        <w:rPr>
          <w:rFonts w:cs="Arial"/>
          <w:b/>
          <w:color w:val="auto"/>
        </w:rPr>
        <w:t xml:space="preserve"> licensed children's services under the </w:t>
      </w:r>
      <w:r w:rsidRPr="00131734">
        <w:rPr>
          <w:rFonts w:cs="Arial"/>
          <w:b/>
          <w:i/>
          <w:iCs/>
          <w:color w:val="auto"/>
        </w:rPr>
        <w:t xml:space="preserve">Children's Services Act 1996 </w:t>
      </w:r>
      <w:r w:rsidRPr="00131734">
        <w:rPr>
          <w:rFonts w:cs="Arial"/>
          <w:b/>
          <w:color w:val="auto"/>
        </w:rPr>
        <w:t>or an approved provider under the Education and Care Services National Law are not covered by the Scheme</w:t>
      </w:r>
      <w:r w:rsidRPr="006B6C3B">
        <w:rPr>
          <w:rFonts w:cs="Arial"/>
          <w:color w:val="auto"/>
        </w:rPr>
        <w:t>.</w:t>
      </w:r>
    </w:p>
    <w:p w14:paraId="6FD63A58" w14:textId="0BA6DAB2" w:rsidR="00131734" w:rsidRDefault="00131734" w:rsidP="007971E9">
      <w:pPr>
        <w:tabs>
          <w:tab w:val="num" w:pos="680"/>
        </w:tabs>
        <w:rPr>
          <w:rFonts w:ascii="Arial" w:hAnsi="Arial" w:cs="Arial"/>
          <w:color w:val="auto"/>
        </w:rPr>
      </w:pPr>
      <w:r w:rsidRPr="00131734">
        <w:rPr>
          <w:rFonts w:ascii="Arial" w:hAnsi="Arial" w:cs="Arial"/>
          <w:color w:val="auto"/>
        </w:rPr>
        <w:t xml:space="preserve">Compared to the </w:t>
      </w:r>
      <w:r w:rsidR="0013418B">
        <w:rPr>
          <w:rFonts w:ascii="Arial" w:hAnsi="Arial" w:cs="Arial"/>
          <w:color w:val="auto"/>
        </w:rPr>
        <w:t>status quo</w:t>
      </w:r>
      <w:r w:rsidRPr="00131734">
        <w:rPr>
          <w:rFonts w:ascii="Arial" w:hAnsi="Arial" w:cs="Arial"/>
          <w:color w:val="auto"/>
        </w:rPr>
        <w:t xml:space="preserve"> under the Interim Regulations, this will provide clarity to </w:t>
      </w:r>
      <w:r w:rsidR="00F80BA6">
        <w:rPr>
          <w:rFonts w:ascii="Arial" w:hAnsi="Arial" w:cs="Arial"/>
          <w:color w:val="auto"/>
        </w:rPr>
        <w:t>employees</w:t>
      </w:r>
      <w:r w:rsidRPr="00131734">
        <w:rPr>
          <w:rFonts w:ascii="Arial" w:hAnsi="Arial" w:cs="Arial"/>
          <w:color w:val="auto"/>
        </w:rPr>
        <w:t>, employers and the Au</w:t>
      </w:r>
      <w:r>
        <w:rPr>
          <w:rFonts w:ascii="Arial" w:hAnsi="Arial" w:cs="Arial"/>
          <w:color w:val="auto"/>
        </w:rPr>
        <w:t xml:space="preserve">thority about who is </w:t>
      </w:r>
      <w:r w:rsidR="0071726F">
        <w:rPr>
          <w:rFonts w:ascii="Arial" w:hAnsi="Arial" w:cs="Arial"/>
          <w:color w:val="auto"/>
        </w:rPr>
        <w:t xml:space="preserve">regarded as </w:t>
      </w:r>
      <w:r>
        <w:rPr>
          <w:rFonts w:ascii="Arial" w:hAnsi="Arial" w:cs="Arial"/>
          <w:color w:val="auto"/>
        </w:rPr>
        <w:t>an eligible employer in the early childhood sector for the purposes of the Scheme.</w:t>
      </w:r>
    </w:p>
    <w:p w14:paraId="40EC3BD4" w14:textId="1B208435" w:rsidR="006B6C3B" w:rsidRDefault="006B6C3B" w:rsidP="007971E9">
      <w:pPr>
        <w:tabs>
          <w:tab w:val="num" w:pos="680"/>
        </w:tabs>
        <w:rPr>
          <w:rFonts w:ascii="Arial" w:hAnsi="Arial" w:cs="Arial"/>
          <w:color w:val="FF0000"/>
        </w:rPr>
      </w:pPr>
      <w:r w:rsidRPr="005A447D">
        <w:rPr>
          <w:rFonts w:ascii="Arial" w:hAnsi="Arial" w:cs="Arial"/>
          <w:color w:val="auto"/>
        </w:rPr>
        <w:t xml:space="preserve">These changes are found in </w:t>
      </w:r>
      <w:r w:rsidR="00C150D2" w:rsidRPr="00AD518C">
        <w:rPr>
          <w:rFonts w:ascii="Arial" w:hAnsi="Arial" w:cs="Arial"/>
          <w:color w:val="auto"/>
        </w:rPr>
        <w:t>Regulation 9(e)</w:t>
      </w:r>
      <w:r w:rsidR="00C150D2" w:rsidRPr="00903F53">
        <w:rPr>
          <w:rFonts w:ascii="Arial" w:hAnsi="Arial" w:cs="Arial"/>
          <w:color w:val="auto"/>
        </w:rPr>
        <w:t xml:space="preserve"> </w:t>
      </w:r>
      <w:r w:rsidR="00C150D2">
        <w:rPr>
          <w:rFonts w:ascii="Arial" w:hAnsi="Arial" w:cs="Arial"/>
          <w:color w:val="auto"/>
        </w:rPr>
        <w:t>of</w:t>
      </w:r>
      <w:r w:rsidRPr="005A447D">
        <w:rPr>
          <w:rFonts w:ascii="Arial" w:hAnsi="Arial" w:cs="Arial"/>
          <w:color w:val="auto"/>
        </w:rPr>
        <w:t xml:space="preserve"> the </w:t>
      </w:r>
      <w:r w:rsidR="005D6ED3">
        <w:rPr>
          <w:rFonts w:ascii="Arial" w:hAnsi="Arial" w:cs="Arial"/>
          <w:color w:val="auto"/>
        </w:rPr>
        <w:t>Proposed</w:t>
      </w:r>
      <w:r w:rsidR="005D6ED3" w:rsidRPr="005A447D">
        <w:rPr>
          <w:rFonts w:ascii="Arial" w:hAnsi="Arial" w:cs="Arial"/>
          <w:color w:val="auto"/>
        </w:rPr>
        <w:t xml:space="preserve"> </w:t>
      </w:r>
      <w:r w:rsidRPr="005A447D">
        <w:rPr>
          <w:rFonts w:ascii="Arial" w:hAnsi="Arial" w:cs="Arial"/>
          <w:color w:val="auto"/>
        </w:rPr>
        <w:t>Regulations.</w:t>
      </w:r>
      <w:r w:rsidR="00BA3EFE">
        <w:rPr>
          <w:rFonts w:ascii="Arial" w:hAnsi="Arial" w:cs="Arial"/>
          <w:color w:val="auto"/>
        </w:rPr>
        <w:t xml:space="preserve"> </w:t>
      </w:r>
    </w:p>
    <w:p w14:paraId="2AAFE8C6" w14:textId="595DA6D3" w:rsidR="00F738AD" w:rsidRPr="00EC5379" w:rsidRDefault="00F738AD" w:rsidP="00556277">
      <w:pPr>
        <w:pStyle w:val="Heading3"/>
        <w:tabs>
          <w:tab w:val="clear" w:pos="5115"/>
        </w:tabs>
        <w:spacing w:before="100" w:beforeAutospacing="1" w:after="100" w:afterAutospacing="1"/>
        <w:ind w:left="709"/>
        <w:rPr>
          <w:rFonts w:ascii="Arial" w:hAnsi="Arial" w:cs="Arial"/>
        </w:rPr>
      </w:pPr>
      <w:r w:rsidRPr="00EC5379">
        <w:rPr>
          <w:rFonts w:ascii="Arial" w:hAnsi="Arial" w:cs="Arial"/>
        </w:rPr>
        <w:t xml:space="preserve">Who is </w:t>
      </w:r>
      <w:r w:rsidR="0071726F" w:rsidRPr="00AD518C">
        <w:rPr>
          <w:rFonts w:ascii="Arial" w:hAnsi="Arial" w:cs="Arial"/>
        </w:rPr>
        <w:t xml:space="preserve">regarded as </w:t>
      </w:r>
      <w:r w:rsidRPr="00EC5379">
        <w:rPr>
          <w:rFonts w:ascii="Arial" w:hAnsi="Arial" w:cs="Arial"/>
        </w:rPr>
        <w:t>an employee in the community services sector</w:t>
      </w:r>
    </w:p>
    <w:p w14:paraId="6F94921A" w14:textId="2C004615" w:rsidR="006B6C3B" w:rsidRPr="006B6C3B" w:rsidRDefault="00012E12" w:rsidP="006B6C3B">
      <w:pPr>
        <w:tabs>
          <w:tab w:val="num" w:pos="680"/>
        </w:tabs>
        <w:rPr>
          <w:rFonts w:ascii="Arial" w:hAnsi="Arial"/>
          <w:color w:val="auto"/>
        </w:rPr>
      </w:pPr>
      <w:r w:rsidRPr="00012E12">
        <w:rPr>
          <w:rFonts w:ascii="Arial" w:hAnsi="Arial" w:cs="Arial"/>
          <w:color w:val="auto"/>
        </w:rPr>
        <w:t xml:space="preserve">It is proposed to </w:t>
      </w:r>
      <w:r w:rsidRPr="00131734">
        <w:rPr>
          <w:rFonts w:ascii="Arial" w:hAnsi="Arial" w:cs="Arial"/>
          <w:b/>
          <w:color w:val="auto"/>
        </w:rPr>
        <w:t xml:space="preserve">replace the </w:t>
      </w:r>
      <w:r w:rsidRPr="00131734">
        <w:rPr>
          <w:rFonts w:ascii="Arial" w:hAnsi="Arial"/>
          <w:b/>
          <w:color w:val="auto"/>
        </w:rPr>
        <w:t>employee predominance test with an Awards coverage test</w:t>
      </w:r>
      <w:r w:rsidRPr="00012E12">
        <w:rPr>
          <w:rFonts w:ascii="Arial" w:hAnsi="Arial"/>
          <w:color w:val="auto"/>
        </w:rPr>
        <w:t>.</w:t>
      </w:r>
      <w:r w:rsidR="006B6C3B">
        <w:rPr>
          <w:rFonts w:ascii="Arial" w:hAnsi="Arial"/>
          <w:color w:val="auto"/>
        </w:rPr>
        <w:t xml:space="preserve"> An </w:t>
      </w:r>
      <w:r w:rsidR="006B6C3B" w:rsidRPr="001D0F5C">
        <w:rPr>
          <w:rFonts w:ascii="Arial" w:hAnsi="Arial" w:cs="Arial"/>
          <w:color w:val="auto"/>
        </w:rPr>
        <w:t>employee in the community services sector</w:t>
      </w:r>
      <w:r w:rsidR="006B6C3B">
        <w:rPr>
          <w:rFonts w:ascii="Arial" w:hAnsi="Arial" w:cs="Arial"/>
          <w:color w:val="auto"/>
        </w:rPr>
        <w:t xml:space="preserve"> would be defined</w:t>
      </w:r>
      <w:r w:rsidR="006B6C3B" w:rsidRPr="001D0F5C">
        <w:rPr>
          <w:rFonts w:ascii="Arial" w:hAnsi="Arial" w:cs="Arial"/>
          <w:color w:val="auto"/>
        </w:rPr>
        <w:t xml:space="preserve"> in reference to the </w:t>
      </w:r>
      <w:r w:rsidR="008F4957">
        <w:rPr>
          <w:rFonts w:ascii="Arial" w:hAnsi="Arial" w:cs="Arial"/>
          <w:color w:val="auto"/>
        </w:rPr>
        <w:t>four</w:t>
      </w:r>
      <w:r w:rsidR="006B6C3B" w:rsidRPr="001D0F5C">
        <w:rPr>
          <w:rFonts w:ascii="Arial" w:hAnsi="Arial" w:cs="Arial"/>
          <w:color w:val="auto"/>
        </w:rPr>
        <w:t xml:space="preserve"> modern awards that cover the sector:</w:t>
      </w:r>
    </w:p>
    <w:p w14:paraId="57781700" w14:textId="77777777" w:rsidR="008F4957" w:rsidRPr="001D0F5C" w:rsidRDefault="008F4957" w:rsidP="00DB3ADD">
      <w:pPr>
        <w:pStyle w:val="BodyText"/>
        <w:numPr>
          <w:ilvl w:val="0"/>
          <w:numId w:val="75"/>
        </w:numPr>
        <w:rPr>
          <w:rFonts w:cs="Arial"/>
          <w:color w:val="auto"/>
        </w:rPr>
      </w:pPr>
      <w:r w:rsidRPr="001D0F5C">
        <w:rPr>
          <w:rFonts w:cs="Arial"/>
          <w:color w:val="auto"/>
        </w:rPr>
        <w:t xml:space="preserve">The </w:t>
      </w:r>
      <w:r w:rsidRPr="00274787">
        <w:rPr>
          <w:rFonts w:cs="Arial"/>
          <w:i/>
          <w:color w:val="auto"/>
        </w:rPr>
        <w:t>Social, Community, Home Care and Disability Services Award 2010</w:t>
      </w:r>
      <w:r w:rsidRPr="001D0F5C">
        <w:rPr>
          <w:rFonts w:cs="Arial"/>
          <w:color w:val="auto"/>
        </w:rPr>
        <w:t>;</w:t>
      </w:r>
    </w:p>
    <w:p w14:paraId="35174DA4" w14:textId="77777777" w:rsidR="008F4957" w:rsidRPr="001D0F5C" w:rsidRDefault="008F4957" w:rsidP="00DB3ADD">
      <w:pPr>
        <w:pStyle w:val="BodyText"/>
        <w:numPr>
          <w:ilvl w:val="0"/>
          <w:numId w:val="75"/>
        </w:numPr>
        <w:rPr>
          <w:rFonts w:cs="Arial"/>
          <w:color w:val="auto"/>
        </w:rPr>
      </w:pPr>
      <w:r w:rsidRPr="001D0F5C">
        <w:rPr>
          <w:rFonts w:cs="Arial"/>
          <w:color w:val="auto"/>
        </w:rPr>
        <w:t xml:space="preserve">The </w:t>
      </w:r>
      <w:r w:rsidRPr="00274787">
        <w:rPr>
          <w:rFonts w:cs="Arial"/>
          <w:i/>
          <w:color w:val="auto"/>
        </w:rPr>
        <w:t>Children’s Services Award 2010</w:t>
      </w:r>
      <w:r>
        <w:rPr>
          <w:rFonts w:cs="Arial"/>
          <w:color w:val="auto"/>
        </w:rPr>
        <w:t xml:space="preserve">; </w:t>
      </w:r>
    </w:p>
    <w:p w14:paraId="5A0A62F8" w14:textId="77777777" w:rsidR="008F4957" w:rsidRDefault="008F4957" w:rsidP="00DB3ADD">
      <w:pPr>
        <w:pStyle w:val="BodyText"/>
        <w:numPr>
          <w:ilvl w:val="0"/>
          <w:numId w:val="75"/>
        </w:numPr>
        <w:rPr>
          <w:rFonts w:cs="Arial"/>
          <w:color w:val="auto"/>
        </w:rPr>
      </w:pPr>
      <w:r w:rsidRPr="001D0F5C">
        <w:rPr>
          <w:rFonts w:cs="Arial"/>
          <w:color w:val="auto"/>
        </w:rPr>
        <w:t xml:space="preserve">The </w:t>
      </w:r>
      <w:r w:rsidRPr="00274787">
        <w:rPr>
          <w:rFonts w:cs="Arial"/>
          <w:i/>
          <w:color w:val="auto"/>
        </w:rPr>
        <w:t>Educational Services (Teachers) Award 2010</w:t>
      </w:r>
      <w:r>
        <w:rPr>
          <w:rFonts w:cs="Arial"/>
          <w:color w:val="auto"/>
        </w:rPr>
        <w:t>; and</w:t>
      </w:r>
    </w:p>
    <w:p w14:paraId="5B83AE7E" w14:textId="77777777" w:rsidR="008F4957" w:rsidRPr="004D21B4" w:rsidRDefault="008F4957" w:rsidP="00DB3ADD">
      <w:pPr>
        <w:pStyle w:val="BodyText"/>
        <w:numPr>
          <w:ilvl w:val="0"/>
          <w:numId w:val="75"/>
        </w:numPr>
        <w:rPr>
          <w:rFonts w:cs="Arial"/>
          <w:color w:val="auto"/>
        </w:rPr>
      </w:pPr>
      <w:r>
        <w:rPr>
          <w:rFonts w:cs="Arial"/>
          <w:color w:val="auto"/>
        </w:rPr>
        <w:t xml:space="preserve">The </w:t>
      </w:r>
      <w:r>
        <w:rPr>
          <w:rFonts w:cs="Arial"/>
          <w:i/>
          <w:color w:val="auto"/>
        </w:rPr>
        <w:t>Labour Market Assistance Industry Award 2010.</w:t>
      </w:r>
    </w:p>
    <w:p w14:paraId="534094AD" w14:textId="465B9F75" w:rsidR="006B6C3B" w:rsidRPr="00012E12" w:rsidRDefault="006B6C3B" w:rsidP="006B6C3B">
      <w:pPr>
        <w:tabs>
          <w:tab w:val="num" w:pos="680"/>
        </w:tabs>
        <w:rPr>
          <w:rFonts w:ascii="Arial" w:hAnsi="Arial" w:cs="Arial"/>
          <w:color w:val="auto"/>
        </w:rPr>
      </w:pPr>
      <w:r>
        <w:rPr>
          <w:rFonts w:ascii="Arial" w:hAnsi="Arial" w:cs="Arial"/>
          <w:color w:val="auto"/>
        </w:rPr>
        <w:t xml:space="preserve">Employees, regardless of their level or role, </w:t>
      </w:r>
      <w:r w:rsidR="00F80BA6">
        <w:rPr>
          <w:rFonts w:ascii="Arial" w:hAnsi="Arial" w:cs="Arial"/>
          <w:color w:val="auto"/>
        </w:rPr>
        <w:t>as</w:t>
      </w:r>
      <w:r w:rsidR="000742E1">
        <w:rPr>
          <w:rFonts w:ascii="Arial" w:hAnsi="Arial" w:cs="Arial"/>
          <w:color w:val="auto"/>
        </w:rPr>
        <w:t xml:space="preserve"> long as they </w:t>
      </w:r>
      <w:r>
        <w:rPr>
          <w:rFonts w:ascii="Arial" w:hAnsi="Arial" w:cs="Arial"/>
          <w:color w:val="auto"/>
        </w:rPr>
        <w:t>are covered by</w:t>
      </w:r>
      <w:r w:rsidRPr="001D0F5C">
        <w:rPr>
          <w:rFonts w:ascii="Arial" w:hAnsi="Arial" w:cs="Arial"/>
          <w:color w:val="auto"/>
        </w:rPr>
        <w:t xml:space="preserve"> any of these </w:t>
      </w:r>
      <w:r w:rsidR="004F1506">
        <w:rPr>
          <w:rFonts w:ascii="Arial" w:hAnsi="Arial" w:cs="Arial"/>
          <w:color w:val="auto"/>
        </w:rPr>
        <w:t>four</w:t>
      </w:r>
      <w:r w:rsidR="004F1506" w:rsidRPr="001D0F5C">
        <w:rPr>
          <w:rFonts w:ascii="Arial" w:hAnsi="Arial" w:cs="Arial"/>
          <w:color w:val="auto"/>
        </w:rPr>
        <w:t xml:space="preserve"> </w:t>
      </w:r>
      <w:r>
        <w:rPr>
          <w:rFonts w:ascii="Arial" w:hAnsi="Arial" w:cs="Arial"/>
          <w:color w:val="auto"/>
        </w:rPr>
        <w:t>modern a</w:t>
      </w:r>
      <w:r w:rsidRPr="001D0F5C">
        <w:rPr>
          <w:rFonts w:ascii="Arial" w:hAnsi="Arial" w:cs="Arial"/>
          <w:color w:val="auto"/>
        </w:rPr>
        <w:t xml:space="preserve">wards </w:t>
      </w:r>
      <w:r w:rsidR="00D12D90">
        <w:rPr>
          <w:rFonts w:ascii="Arial" w:hAnsi="Arial" w:cs="Arial"/>
          <w:color w:val="auto"/>
        </w:rPr>
        <w:t xml:space="preserve">and </w:t>
      </w:r>
      <w:r>
        <w:rPr>
          <w:rFonts w:ascii="Arial" w:hAnsi="Arial" w:cs="Arial"/>
          <w:color w:val="auto"/>
        </w:rPr>
        <w:t xml:space="preserve">perform </w:t>
      </w:r>
      <w:r w:rsidR="00364060">
        <w:rPr>
          <w:rFonts w:ascii="Arial" w:hAnsi="Arial" w:cs="Arial"/>
          <w:color w:val="auto"/>
        </w:rPr>
        <w:t xml:space="preserve">eligible </w:t>
      </w:r>
      <w:r>
        <w:rPr>
          <w:rFonts w:ascii="Arial" w:hAnsi="Arial" w:cs="Arial"/>
          <w:color w:val="auto"/>
        </w:rPr>
        <w:t>community</w:t>
      </w:r>
      <w:r w:rsidR="00364060">
        <w:rPr>
          <w:rFonts w:ascii="Arial" w:hAnsi="Arial" w:cs="Arial"/>
          <w:color w:val="auto"/>
        </w:rPr>
        <w:t xml:space="preserve"> service work</w:t>
      </w:r>
      <w:r w:rsidR="00D12D90">
        <w:rPr>
          <w:rFonts w:ascii="Arial" w:hAnsi="Arial" w:cs="Arial"/>
          <w:color w:val="auto"/>
        </w:rPr>
        <w:t>, as defined by the Regulations,</w:t>
      </w:r>
      <w:r w:rsidR="00364060">
        <w:rPr>
          <w:rFonts w:ascii="Arial" w:hAnsi="Arial" w:cs="Arial"/>
          <w:color w:val="auto"/>
        </w:rPr>
        <w:t xml:space="preserve"> </w:t>
      </w:r>
      <w:r w:rsidRPr="001D0F5C">
        <w:rPr>
          <w:rFonts w:ascii="Arial" w:hAnsi="Arial" w:cs="Arial"/>
          <w:color w:val="auto"/>
        </w:rPr>
        <w:t>would be covered by the Scheme.</w:t>
      </w:r>
    </w:p>
    <w:p w14:paraId="26B692CD" w14:textId="785EF107" w:rsidR="00E93A69" w:rsidRDefault="00131734" w:rsidP="00DB3ADD">
      <w:pPr>
        <w:pStyle w:val="BodyText"/>
        <w:rPr>
          <w:rFonts w:cs="Arial"/>
          <w:color w:val="auto"/>
        </w:rPr>
      </w:pPr>
      <w:r w:rsidRPr="00131734">
        <w:rPr>
          <w:rFonts w:cs="Arial"/>
          <w:color w:val="auto"/>
        </w:rPr>
        <w:t xml:space="preserve">Compared to the </w:t>
      </w:r>
      <w:r w:rsidR="0013418B">
        <w:rPr>
          <w:rFonts w:cs="Arial"/>
          <w:color w:val="auto"/>
        </w:rPr>
        <w:t>status quo</w:t>
      </w:r>
      <w:r w:rsidRPr="00131734">
        <w:rPr>
          <w:rFonts w:cs="Arial"/>
          <w:color w:val="auto"/>
        </w:rPr>
        <w:t xml:space="preserve"> under the Interim Regulations, this will provide </w:t>
      </w:r>
      <w:r w:rsidR="0019270F">
        <w:rPr>
          <w:rFonts w:cs="Arial"/>
          <w:color w:val="auto"/>
        </w:rPr>
        <w:t xml:space="preserve">greater </w:t>
      </w:r>
      <w:r w:rsidRPr="00131734">
        <w:rPr>
          <w:rFonts w:cs="Arial"/>
          <w:color w:val="auto"/>
        </w:rPr>
        <w:t xml:space="preserve">clarity to </w:t>
      </w:r>
      <w:r w:rsidR="00F80BA6">
        <w:rPr>
          <w:rFonts w:cs="Arial"/>
          <w:color w:val="auto"/>
        </w:rPr>
        <w:t>employees</w:t>
      </w:r>
      <w:r w:rsidRPr="00131734">
        <w:rPr>
          <w:rFonts w:cs="Arial"/>
          <w:color w:val="auto"/>
        </w:rPr>
        <w:t xml:space="preserve">, employers and the Authority as to which employees </w:t>
      </w:r>
      <w:r>
        <w:rPr>
          <w:rFonts w:cs="Arial"/>
          <w:color w:val="auto"/>
        </w:rPr>
        <w:t xml:space="preserve">in the community services sector </w:t>
      </w:r>
      <w:r w:rsidR="00F80BA6">
        <w:rPr>
          <w:rFonts w:cs="Arial"/>
          <w:color w:val="auto"/>
        </w:rPr>
        <w:t>are required</w:t>
      </w:r>
      <w:r w:rsidR="00F80BA6" w:rsidRPr="00131734">
        <w:rPr>
          <w:rFonts w:cs="Arial"/>
          <w:color w:val="auto"/>
        </w:rPr>
        <w:t xml:space="preserve"> </w:t>
      </w:r>
      <w:r w:rsidRPr="00131734">
        <w:rPr>
          <w:rFonts w:cs="Arial"/>
          <w:color w:val="auto"/>
        </w:rPr>
        <w:t xml:space="preserve">to be registered with the Authority and have levies paid to the Authority on their behalf. </w:t>
      </w:r>
      <w:r>
        <w:rPr>
          <w:rFonts w:cs="Arial"/>
          <w:color w:val="auto"/>
        </w:rPr>
        <w:t>It is a less burdensome assessment for employers to make</w:t>
      </w:r>
      <w:r w:rsidR="0019270F">
        <w:rPr>
          <w:rFonts w:cs="Arial"/>
          <w:color w:val="auto"/>
        </w:rPr>
        <w:t xml:space="preserve"> to determine employee eligibility compared to</w:t>
      </w:r>
      <w:r>
        <w:rPr>
          <w:rFonts w:cs="Arial"/>
          <w:color w:val="auto"/>
        </w:rPr>
        <w:t xml:space="preserve"> the current employee predominance test. </w:t>
      </w:r>
    </w:p>
    <w:p w14:paraId="6BA96D60" w14:textId="6D51A2A9" w:rsidR="00131734" w:rsidRPr="00DB3ADD" w:rsidRDefault="00E93A69" w:rsidP="00DB3ADD">
      <w:pPr>
        <w:pStyle w:val="BodyText"/>
      </w:pPr>
      <w:r>
        <w:rPr>
          <w:rFonts w:cs="Arial"/>
          <w:color w:val="auto"/>
        </w:rPr>
        <w:t>It</w:t>
      </w:r>
      <w:r w:rsidR="00F80BA6">
        <w:rPr>
          <w:rFonts w:cs="Arial"/>
          <w:color w:val="auto"/>
        </w:rPr>
        <w:t xml:space="preserve"> is</w:t>
      </w:r>
      <w:r>
        <w:rPr>
          <w:rFonts w:cs="Arial"/>
          <w:color w:val="auto"/>
        </w:rPr>
        <w:t xml:space="preserve"> recognise</w:t>
      </w:r>
      <w:r w:rsidR="00F80BA6">
        <w:rPr>
          <w:rFonts w:cs="Arial"/>
          <w:color w:val="auto"/>
        </w:rPr>
        <w:t>d</w:t>
      </w:r>
      <w:r>
        <w:rPr>
          <w:rFonts w:cs="Arial"/>
          <w:color w:val="auto"/>
        </w:rPr>
        <w:t xml:space="preserve"> that it is not possible to easily differentiate between employees directly delivering community services and employees supporting the delivery of community service work through administrative or managerial roles. This is not the case with contract cleaning or the security industry, where a predominance test is appropriate because the distinction between these roles is clearer.</w:t>
      </w:r>
    </w:p>
    <w:p w14:paraId="5B9D6477" w14:textId="6FDA16D1" w:rsidR="005A447D" w:rsidRDefault="005A447D" w:rsidP="005A447D">
      <w:pPr>
        <w:tabs>
          <w:tab w:val="num" w:pos="680"/>
        </w:tabs>
        <w:rPr>
          <w:rFonts w:ascii="Arial" w:hAnsi="Arial" w:cs="Arial"/>
          <w:color w:val="FF0000"/>
        </w:rPr>
      </w:pPr>
      <w:r w:rsidRPr="005A447D">
        <w:rPr>
          <w:rFonts w:ascii="Arial" w:hAnsi="Arial" w:cs="Arial"/>
          <w:color w:val="auto"/>
        </w:rPr>
        <w:t xml:space="preserve">These changes are found in </w:t>
      </w:r>
      <w:r w:rsidR="00E93A69" w:rsidRPr="00AD518C">
        <w:rPr>
          <w:rFonts w:ascii="Arial" w:hAnsi="Arial" w:cs="Arial"/>
          <w:color w:val="auto"/>
        </w:rPr>
        <w:t>Regulation 10</w:t>
      </w:r>
      <w:r w:rsidR="00E93A69" w:rsidRPr="00903F53">
        <w:rPr>
          <w:rFonts w:ascii="Arial" w:hAnsi="Arial" w:cs="Arial"/>
          <w:color w:val="auto"/>
        </w:rPr>
        <w:t xml:space="preserve"> </w:t>
      </w:r>
      <w:r w:rsidR="00E93A69">
        <w:rPr>
          <w:rFonts w:ascii="Arial" w:hAnsi="Arial" w:cs="Arial"/>
          <w:color w:val="auto"/>
        </w:rPr>
        <w:t>of</w:t>
      </w:r>
      <w:r w:rsidRPr="005A447D">
        <w:rPr>
          <w:rFonts w:ascii="Arial" w:hAnsi="Arial" w:cs="Arial"/>
          <w:color w:val="auto"/>
        </w:rPr>
        <w:t xml:space="preserve"> the </w:t>
      </w:r>
      <w:r w:rsidR="005D6ED3">
        <w:rPr>
          <w:rFonts w:ascii="Arial" w:hAnsi="Arial" w:cs="Arial"/>
          <w:color w:val="auto"/>
        </w:rPr>
        <w:t>Proposed</w:t>
      </w:r>
      <w:r w:rsidR="005D6ED3" w:rsidRPr="005A447D">
        <w:rPr>
          <w:rFonts w:ascii="Arial" w:hAnsi="Arial" w:cs="Arial"/>
          <w:color w:val="auto"/>
        </w:rPr>
        <w:t xml:space="preserve"> </w:t>
      </w:r>
      <w:r w:rsidRPr="005A447D">
        <w:rPr>
          <w:rFonts w:ascii="Arial" w:hAnsi="Arial" w:cs="Arial"/>
          <w:color w:val="auto"/>
        </w:rPr>
        <w:t>Regulations.</w:t>
      </w:r>
      <w:r w:rsidR="00BA3EFE">
        <w:rPr>
          <w:rFonts w:ascii="Arial" w:hAnsi="Arial" w:cs="Arial"/>
          <w:color w:val="auto"/>
        </w:rPr>
        <w:t xml:space="preserve"> </w:t>
      </w:r>
    </w:p>
    <w:tbl>
      <w:tblPr>
        <w:tblStyle w:val="TableGrid"/>
        <w:tblW w:w="9026" w:type="dxa"/>
        <w:tblLook w:val="04A0" w:firstRow="1" w:lastRow="0" w:firstColumn="1" w:lastColumn="0" w:noHBand="0" w:noVBand="1"/>
      </w:tblPr>
      <w:tblGrid>
        <w:gridCol w:w="9026"/>
      </w:tblGrid>
      <w:tr w:rsidR="00F738AD" w:rsidRPr="00F738AD" w14:paraId="193B628E" w14:textId="77777777" w:rsidTr="00234A0B">
        <w:trPr>
          <w:tblHeader/>
        </w:trPr>
        <w:tc>
          <w:tcPr>
            <w:tcW w:w="9026" w:type="dxa"/>
            <w:tcBorders>
              <w:left w:val="nil"/>
            </w:tcBorders>
            <w:shd w:val="clear" w:color="auto" w:fill="002060"/>
          </w:tcPr>
          <w:p w14:paraId="6587790A" w14:textId="77777777" w:rsidR="00F738AD" w:rsidRPr="00F738AD" w:rsidRDefault="00F738AD" w:rsidP="00234A0B">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F738AD" w:rsidRPr="00EC5379" w14:paraId="49525993" w14:textId="77777777" w:rsidTr="00234A0B">
        <w:trPr>
          <w:trHeight w:val="788"/>
        </w:trPr>
        <w:tc>
          <w:tcPr>
            <w:tcW w:w="9026" w:type="dxa"/>
            <w:tcBorders>
              <w:left w:val="nil"/>
            </w:tcBorders>
            <w:shd w:val="clear" w:color="auto" w:fill="DEEAF6" w:themeFill="accent1" w:themeFillTint="33"/>
          </w:tcPr>
          <w:p w14:paraId="66AA688E" w14:textId="26C46F1C" w:rsidR="00F738AD" w:rsidRDefault="00EE05DA" w:rsidP="00234A0B">
            <w:pPr>
              <w:pStyle w:val="BodyText"/>
              <w:ind w:left="601" w:hanging="601"/>
              <w:rPr>
                <w:rFonts w:cs="Arial"/>
              </w:rPr>
            </w:pPr>
            <w:r>
              <w:rPr>
                <w:rFonts w:cs="Arial"/>
                <w:b/>
              </w:rPr>
              <w:t>S.</w:t>
            </w:r>
            <w:r w:rsidR="0081142D">
              <w:rPr>
                <w:rFonts w:cs="Arial"/>
                <w:b/>
              </w:rPr>
              <w:t>25</w:t>
            </w:r>
            <w:r w:rsidR="0055008B">
              <w:rPr>
                <w:rFonts w:cs="Arial"/>
                <w:b/>
              </w:rPr>
              <w:t xml:space="preserve"> </w:t>
            </w:r>
            <w:r w:rsidR="004A514D">
              <w:rPr>
                <w:rFonts w:cs="Arial"/>
                <w:b/>
              </w:rPr>
              <w:tab/>
            </w:r>
            <w:r w:rsidR="00D616CA">
              <w:rPr>
                <w:rFonts w:cs="Arial"/>
              </w:rPr>
              <w:t>Are employees in the community services sector covered by any other Awards?</w:t>
            </w:r>
          </w:p>
          <w:p w14:paraId="1640A6F9" w14:textId="1CAA3FA5" w:rsidR="00D27E84" w:rsidRPr="00D27E84" w:rsidRDefault="00EE05DA" w:rsidP="0060163D">
            <w:pPr>
              <w:pStyle w:val="BodyText"/>
              <w:ind w:left="601" w:hanging="601"/>
              <w:rPr>
                <w:rFonts w:cs="Arial"/>
              </w:rPr>
            </w:pPr>
            <w:r>
              <w:rPr>
                <w:rFonts w:cs="Arial"/>
                <w:b/>
              </w:rPr>
              <w:t>S.</w:t>
            </w:r>
            <w:r w:rsidR="0081142D">
              <w:rPr>
                <w:rFonts w:cs="Arial"/>
                <w:b/>
              </w:rPr>
              <w:t>26</w:t>
            </w:r>
            <w:r w:rsidR="0055008B">
              <w:rPr>
                <w:rFonts w:cs="Arial"/>
                <w:b/>
              </w:rPr>
              <w:t xml:space="preserve"> </w:t>
            </w:r>
            <w:r w:rsidR="004A514D">
              <w:rPr>
                <w:rFonts w:cs="Arial"/>
                <w:b/>
              </w:rPr>
              <w:tab/>
            </w:r>
            <w:r w:rsidR="00D27E84">
              <w:rPr>
                <w:rFonts w:cs="Arial"/>
              </w:rPr>
              <w:t>Does the introduction of an Awards test represent a significant expansion of the scope of the Scheme?</w:t>
            </w:r>
          </w:p>
        </w:tc>
      </w:tr>
    </w:tbl>
    <w:p w14:paraId="434155EE" w14:textId="046FC928" w:rsidR="00F738AD" w:rsidRPr="00EC5379" w:rsidRDefault="00F738AD" w:rsidP="00556277">
      <w:pPr>
        <w:pStyle w:val="Heading3"/>
        <w:tabs>
          <w:tab w:val="clear" w:pos="5115"/>
        </w:tabs>
        <w:spacing w:before="100" w:beforeAutospacing="1" w:after="100" w:afterAutospacing="1"/>
        <w:ind w:left="709"/>
        <w:rPr>
          <w:rFonts w:ascii="Arial" w:hAnsi="Arial" w:cs="Arial"/>
        </w:rPr>
      </w:pPr>
      <w:r w:rsidRPr="00EC5379">
        <w:rPr>
          <w:rFonts w:ascii="Arial" w:hAnsi="Arial" w:cs="Arial"/>
        </w:rPr>
        <w:lastRenderedPageBreak/>
        <w:t xml:space="preserve">Who is </w:t>
      </w:r>
      <w:r w:rsidR="0071726F" w:rsidRPr="00AD518C">
        <w:rPr>
          <w:rFonts w:ascii="Arial" w:hAnsi="Arial" w:cs="Arial"/>
        </w:rPr>
        <w:t xml:space="preserve">regarded as </w:t>
      </w:r>
      <w:r w:rsidRPr="00EC5379">
        <w:rPr>
          <w:rFonts w:ascii="Arial" w:hAnsi="Arial" w:cs="Arial"/>
        </w:rPr>
        <w:t>an employee in the security industry</w:t>
      </w:r>
    </w:p>
    <w:p w14:paraId="12AD457A" w14:textId="4A587030" w:rsidR="00012E12" w:rsidRPr="00012E12" w:rsidRDefault="000121F3" w:rsidP="007971E9">
      <w:pPr>
        <w:tabs>
          <w:tab w:val="num" w:pos="680"/>
        </w:tabs>
        <w:rPr>
          <w:rFonts w:ascii="Arial" w:hAnsi="Arial" w:cs="Arial"/>
          <w:color w:val="auto"/>
        </w:rPr>
      </w:pPr>
      <w:r w:rsidRPr="00012E12">
        <w:rPr>
          <w:rFonts w:ascii="Arial" w:hAnsi="Arial" w:cs="Arial"/>
          <w:color w:val="auto"/>
        </w:rPr>
        <w:t>It i</w:t>
      </w:r>
      <w:r w:rsidR="00131734">
        <w:rPr>
          <w:rFonts w:ascii="Arial" w:hAnsi="Arial" w:cs="Arial"/>
          <w:color w:val="auto"/>
        </w:rPr>
        <w:t>s proposed t</w:t>
      </w:r>
      <w:r w:rsidR="00012E12" w:rsidRPr="00012E12">
        <w:rPr>
          <w:rFonts w:ascii="Arial" w:hAnsi="Arial" w:cs="Arial"/>
          <w:color w:val="auto"/>
        </w:rPr>
        <w:t xml:space="preserve">o </w:t>
      </w:r>
      <w:r w:rsidR="00B86CBB" w:rsidRPr="00B86CBB">
        <w:rPr>
          <w:rFonts w:ascii="Arial" w:hAnsi="Arial" w:cs="Arial"/>
          <w:b/>
          <w:color w:val="auto"/>
        </w:rPr>
        <w:t>introduce an employee predominance test for employees in the security industry</w:t>
      </w:r>
      <w:r w:rsidR="00B86CBB">
        <w:rPr>
          <w:rFonts w:ascii="Arial" w:hAnsi="Arial" w:cs="Arial"/>
          <w:color w:val="auto"/>
        </w:rPr>
        <w:t xml:space="preserve">. This would mean </w:t>
      </w:r>
      <w:r w:rsidR="00B86CBB" w:rsidRPr="000442F3">
        <w:rPr>
          <w:rFonts w:ascii="Arial" w:hAnsi="Arial" w:cs="Arial"/>
          <w:color w:val="auto"/>
        </w:rPr>
        <w:t xml:space="preserve">persons employed by eligible employers who are not </w:t>
      </w:r>
      <w:r w:rsidR="00E93A69">
        <w:rPr>
          <w:rFonts w:ascii="Arial" w:hAnsi="Arial" w:cs="Arial"/>
          <w:color w:val="auto"/>
        </w:rPr>
        <w:t>predomina</w:t>
      </w:r>
      <w:r w:rsidR="0060532D">
        <w:rPr>
          <w:rFonts w:ascii="Arial" w:hAnsi="Arial" w:cs="Arial"/>
          <w:color w:val="auto"/>
        </w:rPr>
        <w:t>n</w:t>
      </w:r>
      <w:r w:rsidR="00E93A69">
        <w:rPr>
          <w:rFonts w:ascii="Arial" w:hAnsi="Arial" w:cs="Arial"/>
          <w:color w:val="auto"/>
        </w:rPr>
        <w:t xml:space="preserve">tly </w:t>
      </w:r>
      <w:r w:rsidR="00B86CBB" w:rsidRPr="000442F3">
        <w:rPr>
          <w:rFonts w:ascii="Arial" w:hAnsi="Arial" w:cs="Arial"/>
          <w:color w:val="auto"/>
        </w:rPr>
        <w:t>performing security work</w:t>
      </w:r>
      <w:r w:rsidR="00B86CBB">
        <w:rPr>
          <w:rFonts w:ascii="Arial" w:hAnsi="Arial" w:cs="Arial"/>
          <w:color w:val="auto"/>
        </w:rPr>
        <w:t>,</w:t>
      </w:r>
      <w:r w:rsidR="00B86CBB" w:rsidRPr="000442F3">
        <w:rPr>
          <w:rFonts w:ascii="Arial" w:hAnsi="Arial" w:cs="Arial"/>
          <w:color w:val="auto"/>
        </w:rPr>
        <w:t xml:space="preserve"> as defined by</w:t>
      </w:r>
      <w:r w:rsidR="008942FC">
        <w:rPr>
          <w:rFonts w:ascii="Arial" w:hAnsi="Arial" w:cs="Arial"/>
          <w:color w:val="auto"/>
        </w:rPr>
        <w:t xml:space="preserve"> Schedule 3 of the LSBP</w:t>
      </w:r>
      <w:r w:rsidR="00B86CBB">
        <w:rPr>
          <w:rFonts w:ascii="Arial" w:hAnsi="Arial" w:cs="Arial"/>
          <w:color w:val="auto"/>
        </w:rPr>
        <w:t xml:space="preserve"> Act, would be excluded from the Scheme. </w:t>
      </w:r>
      <w:r w:rsidR="00D12D90">
        <w:rPr>
          <w:rFonts w:ascii="Arial" w:hAnsi="Arial" w:cs="Arial"/>
          <w:color w:val="auto"/>
        </w:rPr>
        <w:t xml:space="preserve">This is consistent with the intent of the </w:t>
      </w:r>
      <w:r w:rsidR="008942FC">
        <w:rPr>
          <w:rFonts w:ascii="Arial" w:hAnsi="Arial" w:cs="Arial"/>
          <w:color w:val="auto"/>
        </w:rPr>
        <w:t>LSBP</w:t>
      </w:r>
      <w:r w:rsidR="00D12D90">
        <w:rPr>
          <w:rFonts w:ascii="Arial" w:hAnsi="Arial" w:cs="Arial"/>
          <w:color w:val="auto"/>
        </w:rPr>
        <w:t xml:space="preserve"> Act.</w:t>
      </w:r>
      <w:r w:rsidR="00DC52C9">
        <w:rPr>
          <w:rFonts w:ascii="Arial" w:hAnsi="Arial" w:cs="Arial"/>
          <w:color w:val="auto"/>
        </w:rPr>
        <w:t xml:space="preserve"> </w:t>
      </w:r>
    </w:p>
    <w:p w14:paraId="15CA43C9" w14:textId="3DD4B3B6" w:rsidR="000121F3" w:rsidRDefault="00131734" w:rsidP="007971E9">
      <w:pPr>
        <w:tabs>
          <w:tab w:val="num" w:pos="680"/>
        </w:tabs>
        <w:rPr>
          <w:rFonts w:ascii="Arial" w:hAnsi="Arial" w:cs="Arial"/>
          <w:color w:val="auto"/>
        </w:rPr>
      </w:pPr>
      <w:r w:rsidRPr="00131734">
        <w:rPr>
          <w:rFonts w:ascii="Arial" w:hAnsi="Arial" w:cs="Arial"/>
          <w:color w:val="auto"/>
        </w:rPr>
        <w:t xml:space="preserve">Compared to the </w:t>
      </w:r>
      <w:r w:rsidR="0013418B">
        <w:rPr>
          <w:rFonts w:ascii="Arial" w:hAnsi="Arial" w:cs="Arial"/>
          <w:color w:val="auto"/>
        </w:rPr>
        <w:t>status quo</w:t>
      </w:r>
      <w:r w:rsidRPr="00131734">
        <w:rPr>
          <w:rFonts w:ascii="Arial" w:hAnsi="Arial" w:cs="Arial"/>
          <w:color w:val="auto"/>
        </w:rPr>
        <w:t xml:space="preserve"> under the Interim Regulations, this will provide clarity to employers, employe</w:t>
      </w:r>
      <w:r w:rsidR="0060163D">
        <w:rPr>
          <w:rFonts w:ascii="Arial" w:hAnsi="Arial" w:cs="Arial"/>
          <w:color w:val="auto"/>
        </w:rPr>
        <w:t>e</w:t>
      </w:r>
      <w:r w:rsidRPr="00131734">
        <w:rPr>
          <w:rFonts w:ascii="Arial" w:hAnsi="Arial" w:cs="Arial"/>
          <w:color w:val="auto"/>
        </w:rPr>
        <w:t xml:space="preserve">s and the Authority as to which employees </w:t>
      </w:r>
      <w:r>
        <w:rPr>
          <w:rFonts w:ascii="Arial" w:hAnsi="Arial" w:cs="Arial"/>
          <w:color w:val="auto"/>
        </w:rPr>
        <w:t xml:space="preserve">in the security industry </w:t>
      </w:r>
      <w:r w:rsidRPr="00131734">
        <w:rPr>
          <w:rFonts w:ascii="Arial" w:hAnsi="Arial" w:cs="Arial"/>
          <w:color w:val="auto"/>
        </w:rPr>
        <w:t xml:space="preserve">need to be registered with the Authority and have levies paid to the Authority on their behalf. </w:t>
      </w:r>
      <w:r w:rsidR="0019270F">
        <w:rPr>
          <w:rFonts w:ascii="Arial" w:hAnsi="Arial" w:cs="Arial"/>
          <w:color w:val="auto"/>
        </w:rPr>
        <w:t>This option will provide clarity without altering the intended scope of the Scheme.</w:t>
      </w:r>
    </w:p>
    <w:p w14:paraId="308CE4C8" w14:textId="5E763294" w:rsidR="00DC52C9" w:rsidRDefault="00DC52C9" w:rsidP="007971E9">
      <w:pPr>
        <w:tabs>
          <w:tab w:val="num" w:pos="680"/>
        </w:tabs>
        <w:rPr>
          <w:rFonts w:ascii="Arial" w:hAnsi="Arial" w:cs="Arial"/>
          <w:color w:val="auto"/>
        </w:rPr>
      </w:pPr>
      <w:r>
        <w:rPr>
          <w:rFonts w:ascii="Arial" w:hAnsi="Arial" w:cs="Arial"/>
          <w:color w:val="auto"/>
        </w:rPr>
        <w:t xml:space="preserve">The test would be the same test that currently exists </w:t>
      </w:r>
      <w:r w:rsidR="00F80BA6">
        <w:rPr>
          <w:rFonts w:ascii="Arial" w:hAnsi="Arial" w:cs="Arial"/>
          <w:color w:val="auto"/>
        </w:rPr>
        <w:t xml:space="preserve">in the Interim Regulations </w:t>
      </w:r>
      <w:r>
        <w:rPr>
          <w:rFonts w:ascii="Arial" w:hAnsi="Arial" w:cs="Arial"/>
          <w:color w:val="auto"/>
        </w:rPr>
        <w:t>for the contract cleaning sector. It is much easier to apply a predominance test in the security industry and contract-cleaning industry tha</w:t>
      </w:r>
      <w:r w:rsidR="0060163D">
        <w:rPr>
          <w:rFonts w:ascii="Arial" w:hAnsi="Arial" w:cs="Arial"/>
          <w:color w:val="auto"/>
        </w:rPr>
        <w:t>n</w:t>
      </w:r>
      <w:r>
        <w:rPr>
          <w:rFonts w:ascii="Arial" w:hAnsi="Arial" w:cs="Arial"/>
          <w:color w:val="auto"/>
        </w:rPr>
        <w:t xml:space="preserve"> the community services sector. </w:t>
      </w:r>
    </w:p>
    <w:p w14:paraId="413F034F" w14:textId="66E0CA7E" w:rsidR="005A447D" w:rsidRDefault="005A447D" w:rsidP="005A447D">
      <w:pPr>
        <w:tabs>
          <w:tab w:val="num" w:pos="680"/>
        </w:tabs>
        <w:rPr>
          <w:rFonts w:ascii="Arial" w:hAnsi="Arial" w:cs="Arial"/>
          <w:color w:val="FF0000"/>
        </w:rPr>
      </w:pPr>
      <w:r w:rsidRPr="005A447D">
        <w:rPr>
          <w:rFonts w:ascii="Arial" w:hAnsi="Arial" w:cs="Arial"/>
          <w:color w:val="auto"/>
        </w:rPr>
        <w:t xml:space="preserve">These changes are found in </w:t>
      </w:r>
      <w:r w:rsidR="00E93A69" w:rsidRPr="00AD518C">
        <w:rPr>
          <w:rFonts w:ascii="Arial" w:hAnsi="Arial" w:cs="Arial"/>
          <w:color w:val="auto"/>
        </w:rPr>
        <w:t>Regulation 14</w:t>
      </w:r>
      <w:r w:rsidRPr="00903F53">
        <w:rPr>
          <w:rFonts w:ascii="Arial" w:hAnsi="Arial" w:cs="Arial"/>
          <w:color w:val="auto"/>
        </w:rPr>
        <w:t xml:space="preserve"> </w:t>
      </w:r>
      <w:r w:rsidR="00E93A69">
        <w:rPr>
          <w:rFonts w:ascii="Arial" w:hAnsi="Arial" w:cs="Arial"/>
          <w:color w:val="auto"/>
        </w:rPr>
        <w:t xml:space="preserve">of </w:t>
      </w:r>
      <w:r w:rsidRPr="005A447D">
        <w:rPr>
          <w:rFonts w:ascii="Arial" w:hAnsi="Arial" w:cs="Arial"/>
          <w:color w:val="auto"/>
        </w:rPr>
        <w:t xml:space="preserve">the </w:t>
      </w:r>
      <w:r w:rsidR="005D6ED3">
        <w:rPr>
          <w:rFonts w:ascii="Arial" w:hAnsi="Arial" w:cs="Arial"/>
          <w:color w:val="auto"/>
        </w:rPr>
        <w:t>Proposed</w:t>
      </w:r>
      <w:r w:rsidR="005D6ED3" w:rsidRPr="005A447D">
        <w:rPr>
          <w:rFonts w:ascii="Arial" w:hAnsi="Arial" w:cs="Arial"/>
          <w:color w:val="auto"/>
        </w:rPr>
        <w:t xml:space="preserve"> </w:t>
      </w:r>
      <w:r w:rsidRPr="005A447D">
        <w:rPr>
          <w:rFonts w:ascii="Arial" w:hAnsi="Arial" w:cs="Arial"/>
          <w:color w:val="auto"/>
        </w:rPr>
        <w:t>Regulations.</w:t>
      </w:r>
      <w:r w:rsidR="00BA3EFE">
        <w:rPr>
          <w:rFonts w:ascii="Arial" w:hAnsi="Arial" w:cs="Arial"/>
          <w:color w:val="auto"/>
        </w:rPr>
        <w:t xml:space="preserve"> </w:t>
      </w:r>
      <w:r w:rsidR="00B86CBB">
        <w:rPr>
          <w:rFonts w:ascii="Arial" w:hAnsi="Arial" w:cs="Arial"/>
          <w:color w:val="auto"/>
        </w:rPr>
        <w:t xml:space="preserve">The test is consistent </w:t>
      </w:r>
      <w:r w:rsidR="0060163D">
        <w:rPr>
          <w:rFonts w:ascii="Arial" w:hAnsi="Arial" w:cs="Arial"/>
          <w:color w:val="auto"/>
        </w:rPr>
        <w:t xml:space="preserve">with </w:t>
      </w:r>
      <w:r w:rsidR="00B86CBB">
        <w:rPr>
          <w:rFonts w:ascii="Arial" w:hAnsi="Arial" w:cs="Arial"/>
          <w:color w:val="auto"/>
        </w:rPr>
        <w:t>the existing test in the Interim Regulations for the contract cleaning sector.</w:t>
      </w:r>
    </w:p>
    <w:tbl>
      <w:tblPr>
        <w:tblStyle w:val="TableGrid"/>
        <w:tblW w:w="9026" w:type="dxa"/>
        <w:tblLook w:val="04A0" w:firstRow="1" w:lastRow="0" w:firstColumn="1" w:lastColumn="0" w:noHBand="0" w:noVBand="1"/>
      </w:tblPr>
      <w:tblGrid>
        <w:gridCol w:w="9026"/>
      </w:tblGrid>
      <w:tr w:rsidR="00F738AD" w:rsidRPr="00F738AD" w14:paraId="21308207" w14:textId="77777777" w:rsidTr="00234A0B">
        <w:trPr>
          <w:tblHeader/>
        </w:trPr>
        <w:tc>
          <w:tcPr>
            <w:tcW w:w="9026" w:type="dxa"/>
            <w:tcBorders>
              <w:left w:val="nil"/>
            </w:tcBorders>
            <w:shd w:val="clear" w:color="auto" w:fill="002060"/>
          </w:tcPr>
          <w:p w14:paraId="6A53855F" w14:textId="77777777" w:rsidR="00F738AD" w:rsidRPr="00F738AD" w:rsidRDefault="00F738AD" w:rsidP="00234A0B">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F738AD" w:rsidRPr="00EC5379" w14:paraId="5934659D" w14:textId="77777777" w:rsidTr="00234A0B">
        <w:trPr>
          <w:trHeight w:val="788"/>
        </w:trPr>
        <w:tc>
          <w:tcPr>
            <w:tcW w:w="9026" w:type="dxa"/>
            <w:tcBorders>
              <w:left w:val="nil"/>
            </w:tcBorders>
            <w:shd w:val="clear" w:color="auto" w:fill="DEEAF6" w:themeFill="accent1" w:themeFillTint="33"/>
          </w:tcPr>
          <w:p w14:paraId="5CF90B53" w14:textId="3F03E9F6" w:rsidR="00A5298F" w:rsidRPr="00EC5379" w:rsidRDefault="00EE05DA" w:rsidP="00A5298F">
            <w:pPr>
              <w:pStyle w:val="BodyText"/>
              <w:ind w:left="601" w:hanging="601"/>
              <w:rPr>
                <w:rFonts w:cs="Arial"/>
              </w:rPr>
            </w:pPr>
            <w:r>
              <w:rPr>
                <w:rFonts w:cs="Arial"/>
                <w:b/>
              </w:rPr>
              <w:t>S.</w:t>
            </w:r>
            <w:r w:rsidR="0081142D">
              <w:rPr>
                <w:rFonts w:cs="Arial"/>
                <w:b/>
              </w:rPr>
              <w:t>27</w:t>
            </w:r>
            <w:r w:rsidR="0055008B">
              <w:rPr>
                <w:rFonts w:cs="Arial"/>
                <w:b/>
              </w:rPr>
              <w:t xml:space="preserve"> </w:t>
            </w:r>
            <w:r w:rsidR="004A514D">
              <w:rPr>
                <w:rFonts w:cs="Arial"/>
                <w:b/>
              </w:rPr>
              <w:tab/>
            </w:r>
            <w:r w:rsidR="00A5298F">
              <w:rPr>
                <w:rFonts w:cs="Arial"/>
              </w:rPr>
              <w:t xml:space="preserve">Would the adoption of a test to determine who is </w:t>
            </w:r>
            <w:r w:rsidR="0071726F">
              <w:rPr>
                <w:rFonts w:cs="Arial"/>
                <w:color w:val="auto"/>
              </w:rPr>
              <w:t xml:space="preserve">regarded as </w:t>
            </w:r>
            <w:r w:rsidR="00A5298F">
              <w:rPr>
                <w:rFonts w:cs="Arial"/>
              </w:rPr>
              <w:t>an employee in the security industry exclude employees from the Scheme who should otherwise be included?</w:t>
            </w:r>
          </w:p>
        </w:tc>
      </w:tr>
    </w:tbl>
    <w:p w14:paraId="22B95F87" w14:textId="2D78C505" w:rsidR="00F738AD" w:rsidRPr="00EC5379" w:rsidRDefault="00CF5417" w:rsidP="00556277">
      <w:pPr>
        <w:pStyle w:val="Heading3"/>
        <w:tabs>
          <w:tab w:val="clear" w:pos="5115"/>
        </w:tabs>
        <w:spacing w:before="100" w:beforeAutospacing="1" w:after="100" w:afterAutospacing="1"/>
        <w:ind w:left="709"/>
        <w:rPr>
          <w:rFonts w:ascii="Arial" w:hAnsi="Arial" w:cs="Arial"/>
        </w:rPr>
      </w:pPr>
      <w:r>
        <w:rPr>
          <w:rFonts w:ascii="Arial" w:hAnsi="Arial" w:cs="Arial"/>
        </w:rPr>
        <w:t xml:space="preserve">Reimbursing employers for </w:t>
      </w:r>
      <w:r w:rsidR="00DB3ADD">
        <w:rPr>
          <w:rFonts w:ascii="Arial" w:hAnsi="Arial" w:cs="Arial"/>
        </w:rPr>
        <w:t>double-dipping</w:t>
      </w:r>
      <w:r w:rsidR="000500F9">
        <w:rPr>
          <w:rFonts w:ascii="Arial" w:hAnsi="Arial" w:cs="Arial"/>
        </w:rPr>
        <w:t xml:space="preserve"> claims</w:t>
      </w:r>
      <w:r w:rsidR="00F738AD" w:rsidRPr="00EC5379">
        <w:rPr>
          <w:rFonts w:ascii="Arial" w:hAnsi="Arial" w:cs="Arial"/>
        </w:rPr>
        <w:t xml:space="preserve"> in the community services sector</w:t>
      </w:r>
      <w:r w:rsidR="00AD7B94">
        <w:rPr>
          <w:rFonts w:ascii="Arial" w:hAnsi="Arial" w:cs="Arial"/>
        </w:rPr>
        <w:t xml:space="preserve"> under the Long Service Leave Act</w:t>
      </w:r>
      <w:r>
        <w:rPr>
          <w:rFonts w:ascii="Arial" w:hAnsi="Arial" w:cs="Arial"/>
        </w:rPr>
        <w:t xml:space="preserve"> 2018</w:t>
      </w:r>
    </w:p>
    <w:p w14:paraId="3B535CF1" w14:textId="61A8C292" w:rsidR="00131734" w:rsidRDefault="00012E12" w:rsidP="007971E9">
      <w:pPr>
        <w:tabs>
          <w:tab w:val="num" w:pos="680"/>
        </w:tabs>
        <w:rPr>
          <w:rFonts w:ascii="Arial" w:hAnsi="Arial" w:cs="Arial"/>
          <w:color w:val="auto"/>
        </w:rPr>
      </w:pPr>
      <w:r w:rsidRPr="00051AEE">
        <w:rPr>
          <w:rFonts w:ascii="Arial" w:hAnsi="Arial" w:cs="Arial"/>
          <w:color w:val="auto"/>
        </w:rPr>
        <w:t xml:space="preserve">It is proposed to </w:t>
      </w:r>
      <w:r w:rsidRPr="00131734">
        <w:rPr>
          <w:rFonts w:ascii="Arial" w:hAnsi="Arial" w:cs="Arial"/>
          <w:b/>
          <w:color w:val="auto"/>
        </w:rPr>
        <w:t xml:space="preserve">allow </w:t>
      </w:r>
      <w:r w:rsidRPr="00131734">
        <w:rPr>
          <w:rFonts w:ascii="Arial" w:hAnsi="Arial"/>
          <w:b/>
          <w:color w:val="auto"/>
        </w:rPr>
        <w:t xml:space="preserve">employers who pay entitlements under the </w:t>
      </w:r>
      <w:r w:rsidRPr="00131734">
        <w:rPr>
          <w:rFonts w:ascii="Arial" w:hAnsi="Arial"/>
          <w:b/>
          <w:i/>
          <w:color w:val="auto"/>
        </w:rPr>
        <w:t>Long Service Leave Act 2018</w:t>
      </w:r>
      <w:r w:rsidRPr="00131734">
        <w:rPr>
          <w:rFonts w:ascii="Arial" w:hAnsi="Arial"/>
          <w:b/>
          <w:color w:val="auto"/>
        </w:rPr>
        <w:t xml:space="preserve"> to be entitled to reimbursement</w:t>
      </w:r>
      <w:r w:rsidR="00051AEE" w:rsidRPr="00131734">
        <w:rPr>
          <w:rFonts w:ascii="Arial" w:hAnsi="Arial"/>
          <w:b/>
          <w:color w:val="auto"/>
        </w:rPr>
        <w:t xml:space="preserve"> </w:t>
      </w:r>
      <w:r w:rsidRPr="00131734">
        <w:rPr>
          <w:rFonts w:ascii="Arial" w:hAnsi="Arial" w:cs="Arial"/>
          <w:b/>
          <w:color w:val="auto"/>
        </w:rPr>
        <w:t xml:space="preserve">from the Authority for any levy paid once an employee accesses an entitlement under the </w:t>
      </w:r>
      <w:r w:rsidRPr="00AD518C">
        <w:rPr>
          <w:rFonts w:ascii="Arial" w:hAnsi="Arial" w:cs="Arial"/>
          <w:b/>
          <w:i/>
          <w:color w:val="auto"/>
        </w:rPr>
        <w:t>Long Service Leave Act</w:t>
      </w:r>
      <w:r w:rsidR="0060163D" w:rsidRPr="00AD518C">
        <w:rPr>
          <w:rFonts w:ascii="Arial" w:hAnsi="Arial" w:cs="Arial"/>
          <w:b/>
          <w:i/>
          <w:color w:val="auto"/>
        </w:rPr>
        <w:t xml:space="preserve"> 2018</w:t>
      </w:r>
      <w:r w:rsidRPr="00131734">
        <w:rPr>
          <w:rFonts w:ascii="Arial" w:hAnsi="Arial" w:cs="Arial"/>
          <w:b/>
          <w:color w:val="auto"/>
        </w:rPr>
        <w:t>.</w:t>
      </w:r>
      <w:r w:rsidRPr="00515AD2">
        <w:rPr>
          <w:rFonts w:ascii="Arial" w:hAnsi="Arial" w:cs="Arial"/>
          <w:color w:val="auto"/>
        </w:rPr>
        <w:t xml:space="preserve"> This require</w:t>
      </w:r>
      <w:r w:rsidR="00051AEE">
        <w:rPr>
          <w:rFonts w:ascii="Arial" w:hAnsi="Arial" w:cs="Arial"/>
          <w:color w:val="auto"/>
        </w:rPr>
        <w:t>s</w:t>
      </w:r>
      <w:r w:rsidRPr="00515AD2">
        <w:rPr>
          <w:rFonts w:ascii="Arial" w:hAnsi="Arial" w:cs="Arial"/>
          <w:color w:val="auto"/>
        </w:rPr>
        <w:t xml:space="preserve"> both legislative amendments to the LSBP Act and changes to the Regulations.</w:t>
      </w:r>
      <w:r>
        <w:rPr>
          <w:rFonts w:ascii="Arial" w:hAnsi="Arial" w:cs="Arial"/>
          <w:color w:val="auto"/>
        </w:rPr>
        <w:t xml:space="preserve"> </w:t>
      </w:r>
    </w:p>
    <w:p w14:paraId="7258D243" w14:textId="2C3A9B6E" w:rsidR="0019270F" w:rsidRDefault="0019270F" w:rsidP="007971E9">
      <w:pPr>
        <w:tabs>
          <w:tab w:val="num" w:pos="680"/>
        </w:tabs>
        <w:rPr>
          <w:rFonts w:ascii="Arial" w:hAnsi="Arial" w:cs="Arial"/>
          <w:color w:val="auto"/>
        </w:rPr>
      </w:pPr>
      <w:r>
        <w:rPr>
          <w:rFonts w:ascii="Arial" w:hAnsi="Arial" w:cs="Arial"/>
          <w:color w:val="auto"/>
        </w:rPr>
        <w:t xml:space="preserve">Referring to the </w:t>
      </w:r>
      <w:r w:rsidRPr="00AD518C">
        <w:rPr>
          <w:rFonts w:ascii="Arial" w:hAnsi="Arial" w:cs="Arial"/>
          <w:i/>
          <w:color w:val="auto"/>
        </w:rPr>
        <w:t>Long Service Leave Act</w:t>
      </w:r>
      <w:r w:rsidR="0060163D" w:rsidRPr="00AD518C">
        <w:rPr>
          <w:rFonts w:ascii="Arial" w:hAnsi="Arial" w:cs="Arial"/>
          <w:i/>
          <w:color w:val="auto"/>
        </w:rPr>
        <w:t xml:space="preserve"> 2018</w:t>
      </w:r>
      <w:r>
        <w:rPr>
          <w:rFonts w:ascii="Arial" w:hAnsi="Arial" w:cs="Arial"/>
          <w:color w:val="auto"/>
        </w:rPr>
        <w:t xml:space="preserve"> in the Regulations and LSBP Act would ensure employers would</w:t>
      </w:r>
      <w:r w:rsidR="00131734" w:rsidRPr="00131734">
        <w:rPr>
          <w:rFonts w:ascii="Arial" w:hAnsi="Arial" w:cs="Arial"/>
          <w:color w:val="auto"/>
        </w:rPr>
        <w:t xml:space="preserve"> be entitled to </w:t>
      </w:r>
      <w:r w:rsidR="0060163D">
        <w:rPr>
          <w:rFonts w:ascii="Arial" w:hAnsi="Arial" w:cs="Arial"/>
          <w:color w:val="auto"/>
        </w:rPr>
        <w:t>reimbursement</w:t>
      </w:r>
      <w:r w:rsidR="00131734" w:rsidRPr="00131734">
        <w:rPr>
          <w:rFonts w:ascii="Arial" w:hAnsi="Arial" w:cs="Arial"/>
          <w:color w:val="auto"/>
        </w:rPr>
        <w:t xml:space="preserve"> from the Authority for any levy paid once an employee accesses an entitlement under </w:t>
      </w:r>
      <w:r w:rsidR="0060163D">
        <w:rPr>
          <w:rFonts w:ascii="Arial" w:hAnsi="Arial" w:cs="Arial"/>
          <w:color w:val="auto"/>
        </w:rPr>
        <w:t xml:space="preserve">a fair work instrument </w:t>
      </w:r>
      <w:r w:rsidR="0060163D">
        <w:rPr>
          <w:rFonts w:ascii="Arial" w:hAnsi="Arial" w:cs="Arial"/>
          <w:b/>
          <w:color w:val="auto"/>
        </w:rPr>
        <w:t>or</w:t>
      </w:r>
      <w:r w:rsidR="0060163D">
        <w:rPr>
          <w:rFonts w:ascii="Arial" w:hAnsi="Arial" w:cs="Arial"/>
          <w:color w:val="auto"/>
        </w:rPr>
        <w:t xml:space="preserve"> the </w:t>
      </w:r>
      <w:r w:rsidR="0060163D">
        <w:rPr>
          <w:rFonts w:ascii="Arial" w:hAnsi="Arial" w:cs="Arial"/>
          <w:i/>
          <w:color w:val="auto"/>
        </w:rPr>
        <w:t xml:space="preserve">Long Service Leave Act 2018 </w:t>
      </w:r>
      <w:r w:rsidR="0060163D">
        <w:rPr>
          <w:rFonts w:ascii="Arial" w:hAnsi="Arial" w:cs="Arial"/>
          <w:color w:val="auto"/>
        </w:rPr>
        <w:t>(for the same period of service)</w:t>
      </w:r>
      <w:r w:rsidR="00131734" w:rsidRPr="00131734">
        <w:rPr>
          <w:rFonts w:ascii="Arial" w:hAnsi="Arial" w:cs="Arial"/>
          <w:color w:val="auto"/>
        </w:rPr>
        <w:t>. Under the status quo in the Interim Re</w:t>
      </w:r>
      <w:r>
        <w:rPr>
          <w:rFonts w:ascii="Arial" w:hAnsi="Arial" w:cs="Arial"/>
          <w:color w:val="auto"/>
        </w:rPr>
        <w:t>gulations, e</w:t>
      </w:r>
      <w:r w:rsidRPr="00C22E90">
        <w:rPr>
          <w:rFonts w:ascii="Arial" w:hAnsi="Arial" w:cs="Arial"/>
          <w:color w:val="auto"/>
        </w:rPr>
        <w:t xml:space="preserve">mployers </w:t>
      </w:r>
      <w:r>
        <w:rPr>
          <w:rFonts w:ascii="Arial" w:hAnsi="Arial" w:cs="Arial"/>
          <w:color w:val="auto"/>
        </w:rPr>
        <w:t>would continue to not be</w:t>
      </w:r>
      <w:r w:rsidRPr="00C22E90">
        <w:rPr>
          <w:rFonts w:ascii="Arial" w:hAnsi="Arial" w:cs="Arial"/>
          <w:color w:val="auto"/>
        </w:rPr>
        <w:t xml:space="preserve"> entitled to reimbursement </w:t>
      </w:r>
      <w:r>
        <w:rPr>
          <w:rFonts w:ascii="Arial" w:hAnsi="Arial" w:cs="Arial"/>
          <w:color w:val="auto"/>
        </w:rPr>
        <w:t>from the Authority if they paid</w:t>
      </w:r>
      <w:r w:rsidRPr="00C22E90">
        <w:rPr>
          <w:rFonts w:ascii="Arial" w:hAnsi="Arial" w:cs="Arial"/>
          <w:color w:val="auto"/>
        </w:rPr>
        <w:t xml:space="preserve"> an entitlement under </w:t>
      </w:r>
      <w:r w:rsidRPr="0019270F">
        <w:rPr>
          <w:rFonts w:ascii="Arial" w:hAnsi="Arial" w:cs="Arial"/>
          <w:i/>
          <w:color w:val="auto"/>
        </w:rPr>
        <w:t>the Long Service Leave Act 2018</w:t>
      </w:r>
      <w:r w:rsidRPr="0019270F">
        <w:rPr>
          <w:rFonts w:ascii="Arial" w:hAnsi="Arial" w:cs="Arial"/>
          <w:color w:val="auto"/>
        </w:rPr>
        <w:t xml:space="preserve"> </w:t>
      </w:r>
      <w:r>
        <w:rPr>
          <w:rFonts w:ascii="Arial" w:hAnsi="Arial" w:cs="Arial"/>
          <w:color w:val="auto"/>
        </w:rPr>
        <w:t>for the same period of service</w:t>
      </w:r>
      <w:r w:rsidRPr="00C22E90">
        <w:rPr>
          <w:rFonts w:ascii="Arial" w:hAnsi="Arial" w:cs="Arial"/>
          <w:color w:val="auto"/>
        </w:rPr>
        <w:t>.</w:t>
      </w:r>
    </w:p>
    <w:p w14:paraId="3F37F7F6" w14:textId="5F69906B" w:rsidR="00E93A69" w:rsidRDefault="0019270F" w:rsidP="007971E9">
      <w:pPr>
        <w:tabs>
          <w:tab w:val="num" w:pos="680"/>
        </w:tabs>
        <w:rPr>
          <w:rFonts w:ascii="Arial" w:hAnsi="Arial" w:cs="Arial"/>
          <w:color w:val="auto"/>
        </w:rPr>
      </w:pPr>
      <w:r w:rsidRPr="00131734">
        <w:rPr>
          <w:rFonts w:ascii="Arial" w:hAnsi="Arial" w:cs="Arial"/>
          <w:color w:val="auto"/>
        </w:rPr>
        <w:t>This change will not be progressed through the Proposed Regulations. Any changes will not proceed until 2021 at the earliest.</w:t>
      </w:r>
      <w:r w:rsidR="00E93A69">
        <w:rPr>
          <w:rFonts w:ascii="Arial" w:hAnsi="Arial" w:cs="Arial"/>
          <w:color w:val="auto"/>
        </w:rPr>
        <w:t xml:space="preserve"> </w:t>
      </w:r>
      <w:r w:rsidR="00E93A69" w:rsidRPr="00AD518C">
        <w:rPr>
          <w:rFonts w:ascii="Arial" w:hAnsi="Arial" w:cs="Arial"/>
          <w:color w:val="auto"/>
        </w:rPr>
        <w:t>Regulation 12</w:t>
      </w:r>
      <w:r w:rsidR="00E93A69">
        <w:rPr>
          <w:rFonts w:ascii="Arial" w:hAnsi="Arial" w:cs="Arial"/>
          <w:color w:val="auto"/>
        </w:rPr>
        <w:t xml:space="preserve"> of the </w:t>
      </w:r>
      <w:r w:rsidR="005D6ED3">
        <w:rPr>
          <w:rFonts w:ascii="Arial" w:hAnsi="Arial" w:cs="Arial"/>
          <w:color w:val="auto"/>
        </w:rPr>
        <w:t xml:space="preserve">Proposed </w:t>
      </w:r>
      <w:r w:rsidR="00E93A69">
        <w:rPr>
          <w:rFonts w:ascii="Arial" w:hAnsi="Arial" w:cs="Arial"/>
          <w:color w:val="auto"/>
        </w:rPr>
        <w:t>Regulations reflects the status-quo under the Interim Regulations.</w:t>
      </w:r>
    </w:p>
    <w:tbl>
      <w:tblPr>
        <w:tblStyle w:val="TableGrid"/>
        <w:tblW w:w="9026" w:type="dxa"/>
        <w:tblLook w:val="04A0" w:firstRow="1" w:lastRow="0" w:firstColumn="1" w:lastColumn="0" w:noHBand="0" w:noVBand="1"/>
      </w:tblPr>
      <w:tblGrid>
        <w:gridCol w:w="9026"/>
      </w:tblGrid>
      <w:tr w:rsidR="0019270F" w:rsidRPr="00F738AD" w14:paraId="5D11D16F" w14:textId="77777777" w:rsidTr="002F29F9">
        <w:trPr>
          <w:tblHeader/>
        </w:trPr>
        <w:tc>
          <w:tcPr>
            <w:tcW w:w="9026" w:type="dxa"/>
            <w:tcBorders>
              <w:left w:val="nil"/>
            </w:tcBorders>
            <w:shd w:val="clear" w:color="auto" w:fill="002060"/>
          </w:tcPr>
          <w:p w14:paraId="33F51ACC" w14:textId="77777777" w:rsidR="0019270F" w:rsidRPr="00F738AD" w:rsidRDefault="0019270F" w:rsidP="002F29F9">
            <w:pPr>
              <w:jc w:val="center"/>
              <w:rPr>
                <w:rFonts w:ascii="Arial" w:hAnsi="Arial" w:cs="Arial"/>
                <w:b/>
                <w:color w:val="FFFFFF" w:themeColor="background1"/>
              </w:rPr>
            </w:pPr>
            <w:r w:rsidRPr="00F738AD">
              <w:rPr>
                <w:rFonts w:ascii="Arial" w:hAnsi="Arial" w:cs="Arial"/>
                <w:b/>
                <w:color w:val="FFFFFF" w:themeColor="background1"/>
              </w:rPr>
              <w:t>Questions for stakeholders</w:t>
            </w:r>
          </w:p>
        </w:tc>
      </w:tr>
      <w:tr w:rsidR="0019270F" w:rsidRPr="00EC5379" w14:paraId="011623EE" w14:textId="77777777" w:rsidTr="002F29F9">
        <w:trPr>
          <w:trHeight w:val="788"/>
        </w:trPr>
        <w:tc>
          <w:tcPr>
            <w:tcW w:w="9026" w:type="dxa"/>
            <w:tcBorders>
              <w:left w:val="nil"/>
            </w:tcBorders>
            <w:shd w:val="clear" w:color="auto" w:fill="DEEAF6" w:themeFill="accent1" w:themeFillTint="33"/>
          </w:tcPr>
          <w:p w14:paraId="0F9C7A8D" w14:textId="6FD64152" w:rsidR="0019270F" w:rsidRPr="00EC5379" w:rsidRDefault="0019270F" w:rsidP="00F80BA6">
            <w:pPr>
              <w:pStyle w:val="BodyText"/>
              <w:ind w:left="601" w:hanging="601"/>
              <w:rPr>
                <w:rFonts w:cs="Arial"/>
              </w:rPr>
            </w:pPr>
            <w:r>
              <w:rPr>
                <w:rFonts w:cs="Arial"/>
                <w:b/>
              </w:rPr>
              <w:t>S.</w:t>
            </w:r>
            <w:r w:rsidR="0081142D">
              <w:rPr>
                <w:rFonts w:cs="Arial"/>
                <w:b/>
              </w:rPr>
              <w:t>28</w:t>
            </w:r>
            <w:r w:rsidR="0055008B">
              <w:rPr>
                <w:rFonts w:cs="Arial"/>
                <w:b/>
              </w:rPr>
              <w:t xml:space="preserve"> </w:t>
            </w:r>
            <w:r w:rsidR="004A514D">
              <w:rPr>
                <w:rFonts w:cs="Arial"/>
                <w:b/>
              </w:rPr>
              <w:tab/>
            </w:r>
            <w:r>
              <w:rPr>
                <w:rFonts w:cs="Arial"/>
              </w:rPr>
              <w:t xml:space="preserve">Under the proposed updated </w:t>
            </w:r>
            <w:r w:rsidR="00DB3ADD">
              <w:rPr>
                <w:rFonts w:cs="Arial"/>
              </w:rPr>
              <w:t>double-dipping</w:t>
            </w:r>
            <w:r>
              <w:rPr>
                <w:rFonts w:cs="Arial"/>
              </w:rPr>
              <w:t xml:space="preserve"> provisions, can stakeholders foresee any circumstances where they </w:t>
            </w:r>
            <w:r w:rsidR="00F80BA6">
              <w:rPr>
                <w:rFonts w:cs="Arial"/>
              </w:rPr>
              <w:t xml:space="preserve">would not </w:t>
            </w:r>
            <w:r>
              <w:rPr>
                <w:rFonts w:cs="Arial"/>
              </w:rPr>
              <w:t xml:space="preserve">be able to claim a reimbursement </w:t>
            </w:r>
            <w:r w:rsidRPr="00131734">
              <w:rPr>
                <w:rFonts w:cs="Arial"/>
                <w:color w:val="auto"/>
              </w:rPr>
              <w:t xml:space="preserve">from the Authority for any levy paid once an employee accesses an entitlement under </w:t>
            </w:r>
            <w:r>
              <w:rPr>
                <w:rFonts w:cs="Arial"/>
                <w:color w:val="auto"/>
              </w:rPr>
              <w:t xml:space="preserve">an </w:t>
            </w:r>
            <w:r w:rsidRPr="00131734">
              <w:rPr>
                <w:rFonts w:cs="Arial"/>
                <w:color w:val="auto"/>
              </w:rPr>
              <w:t>existing long service entitlement</w:t>
            </w:r>
            <w:r>
              <w:rPr>
                <w:rFonts w:cs="Arial"/>
                <w:color w:val="auto"/>
              </w:rPr>
              <w:t>?</w:t>
            </w:r>
          </w:p>
        </w:tc>
      </w:tr>
    </w:tbl>
    <w:p w14:paraId="28C9B431" w14:textId="77777777" w:rsidR="00F80BA6" w:rsidRDefault="00F80BA6" w:rsidP="00F80BA6">
      <w:pPr>
        <w:pStyle w:val="BodyText"/>
      </w:pPr>
      <w:bookmarkStart w:id="135" w:name="_Toc4768892"/>
    </w:p>
    <w:p w14:paraId="1799D8FF" w14:textId="798757A1" w:rsidR="00E13F2A" w:rsidRPr="00EC5379" w:rsidRDefault="00E13F2A" w:rsidP="00E13F2A">
      <w:pPr>
        <w:pStyle w:val="Heading2"/>
        <w:rPr>
          <w:rFonts w:ascii="Arial" w:hAnsi="Arial" w:cs="Arial"/>
        </w:rPr>
      </w:pPr>
      <w:bookmarkStart w:id="136" w:name="_Toc37921500"/>
      <w:r w:rsidRPr="00EC5379">
        <w:rPr>
          <w:rFonts w:ascii="Arial" w:hAnsi="Arial" w:cs="Arial"/>
        </w:rPr>
        <w:lastRenderedPageBreak/>
        <w:t>Impact on Small Business</w:t>
      </w:r>
      <w:bookmarkEnd w:id="135"/>
      <w:bookmarkEnd w:id="136"/>
      <w:r w:rsidRPr="00EC5379">
        <w:rPr>
          <w:rFonts w:ascii="Arial" w:hAnsi="Arial" w:cs="Arial"/>
        </w:rPr>
        <w:t xml:space="preserve"> </w:t>
      </w:r>
    </w:p>
    <w:p w14:paraId="04265BD3" w14:textId="339540D5" w:rsidR="00E13F2A" w:rsidRPr="00EC5379" w:rsidRDefault="00E13F2A" w:rsidP="005871B1">
      <w:pPr>
        <w:pStyle w:val="BodyText"/>
        <w:rPr>
          <w:rFonts w:cs="Arial"/>
        </w:rPr>
      </w:pPr>
      <w:r w:rsidRPr="00EC5379">
        <w:rPr>
          <w:rFonts w:cs="Arial"/>
        </w:rPr>
        <w:t xml:space="preserve">The purpose of this section is to analyse the </w:t>
      </w:r>
      <w:r w:rsidR="00DE43A9">
        <w:rPr>
          <w:rFonts w:cs="Arial"/>
        </w:rPr>
        <w:t>P</w:t>
      </w:r>
      <w:r w:rsidRPr="00EC5379">
        <w:rPr>
          <w:rFonts w:cs="Arial"/>
        </w:rPr>
        <w:t>roposed Regulations and asse</w:t>
      </w:r>
      <w:r w:rsidR="002E0A17">
        <w:rPr>
          <w:rFonts w:cs="Arial"/>
        </w:rPr>
        <w:t>ss whether any elements of the P</w:t>
      </w:r>
      <w:r w:rsidRPr="00EC5379">
        <w:rPr>
          <w:rFonts w:cs="Arial"/>
        </w:rPr>
        <w:t xml:space="preserve">roposed Regulations impose a disproportionate burden on small </w:t>
      </w:r>
      <w:r w:rsidR="00DB01D9">
        <w:rPr>
          <w:rFonts w:cs="Arial"/>
        </w:rPr>
        <w:t xml:space="preserve">businesses </w:t>
      </w:r>
      <w:r w:rsidRPr="00EC5379">
        <w:rPr>
          <w:rFonts w:cs="Arial"/>
        </w:rPr>
        <w:t xml:space="preserve">operating in the community services </w:t>
      </w:r>
      <w:r w:rsidR="00F738AD">
        <w:rPr>
          <w:rFonts w:cs="Arial"/>
        </w:rPr>
        <w:t xml:space="preserve">or security </w:t>
      </w:r>
      <w:r w:rsidRPr="00EC5379">
        <w:rPr>
          <w:rFonts w:cs="Arial"/>
        </w:rPr>
        <w:t>sector</w:t>
      </w:r>
      <w:r w:rsidR="00F738AD">
        <w:rPr>
          <w:rFonts w:cs="Arial"/>
        </w:rPr>
        <w:t xml:space="preserve">s compared to the </w:t>
      </w:r>
      <w:r w:rsidR="0013418B">
        <w:rPr>
          <w:rFonts w:cs="Arial"/>
        </w:rPr>
        <w:t>status quo</w:t>
      </w:r>
      <w:r w:rsidR="00F738AD">
        <w:rPr>
          <w:rFonts w:cs="Arial"/>
        </w:rPr>
        <w:t xml:space="preserve"> under the Interim Regulations</w:t>
      </w:r>
      <w:r w:rsidRPr="00EC5379">
        <w:rPr>
          <w:rFonts w:cs="Arial"/>
        </w:rPr>
        <w:t>.</w:t>
      </w:r>
    </w:p>
    <w:p w14:paraId="4E9D4F12" w14:textId="7FE50AAF" w:rsidR="00E13F2A" w:rsidRPr="00EC5379" w:rsidRDefault="00E13F2A" w:rsidP="005871B1">
      <w:pPr>
        <w:pStyle w:val="BodyText"/>
        <w:rPr>
          <w:rFonts w:cs="Arial"/>
        </w:rPr>
      </w:pPr>
      <w:r w:rsidRPr="00EC5379">
        <w:rPr>
          <w:rFonts w:cs="Arial"/>
        </w:rPr>
        <w:t>There have previously been concerns raised by stakeholders in the</w:t>
      </w:r>
      <w:r w:rsidR="00F738AD">
        <w:rPr>
          <w:rFonts w:cs="Arial"/>
        </w:rPr>
        <w:t xml:space="preserve"> community services</w:t>
      </w:r>
      <w:r w:rsidRPr="00EC5379">
        <w:rPr>
          <w:rFonts w:cs="Arial"/>
        </w:rPr>
        <w:t xml:space="preserve"> sector and across different industries of the impact of a portable long service scheme on small </w:t>
      </w:r>
      <w:r w:rsidR="00DB01D9">
        <w:rPr>
          <w:rFonts w:cs="Arial"/>
        </w:rPr>
        <w:t>businesses</w:t>
      </w:r>
      <w:r w:rsidRPr="00EC5379">
        <w:rPr>
          <w:rFonts w:cs="Arial"/>
        </w:rPr>
        <w:t xml:space="preserve"> and organisations</w:t>
      </w:r>
      <w:r w:rsidR="000A23B1" w:rsidRPr="00EC5379">
        <w:rPr>
          <w:rFonts w:cs="Arial"/>
        </w:rPr>
        <w:t xml:space="preserve">. </w:t>
      </w:r>
    </w:p>
    <w:p w14:paraId="03EF3FD5" w14:textId="1B7FEAF3" w:rsidR="00E13F2A" w:rsidRPr="00EC5379" w:rsidRDefault="00E13F2A" w:rsidP="00D12D90">
      <w:pPr>
        <w:pStyle w:val="BodyText"/>
        <w:keepNext/>
        <w:rPr>
          <w:rFonts w:cs="Arial"/>
        </w:rPr>
      </w:pPr>
      <w:r w:rsidRPr="00EC5379">
        <w:rPr>
          <w:rFonts w:cs="Arial"/>
        </w:rPr>
        <w:t xml:space="preserve">The 2016 </w:t>
      </w:r>
      <w:r w:rsidR="001D3335">
        <w:rPr>
          <w:rFonts w:cs="Arial"/>
        </w:rPr>
        <w:t>P</w:t>
      </w:r>
      <w:r w:rsidR="003E590F">
        <w:rPr>
          <w:rFonts w:cs="Arial"/>
        </w:rPr>
        <w:t xml:space="preserve">arliamentary </w:t>
      </w:r>
      <w:r w:rsidRPr="00EC5379">
        <w:rPr>
          <w:rFonts w:cs="Arial"/>
        </w:rPr>
        <w:t>Inquiry considered the following key impacts:</w:t>
      </w:r>
      <w:r w:rsidRPr="00EC5379">
        <w:rPr>
          <w:rStyle w:val="FootnoteReference"/>
          <w:rFonts w:cs="Arial"/>
        </w:rPr>
        <w:t xml:space="preserve"> </w:t>
      </w:r>
      <w:r w:rsidRPr="00EC5379">
        <w:rPr>
          <w:rStyle w:val="FootnoteReference"/>
          <w:rFonts w:cs="Arial"/>
        </w:rPr>
        <w:footnoteReference w:id="31"/>
      </w:r>
    </w:p>
    <w:p w14:paraId="0C707D23" w14:textId="0216E110" w:rsidR="00E13F2A" w:rsidRPr="00EC5379" w:rsidRDefault="00E13F2A" w:rsidP="00D12D90">
      <w:pPr>
        <w:pStyle w:val="ListBullet"/>
        <w:contextualSpacing w:val="0"/>
        <w:rPr>
          <w:rFonts w:cs="Arial"/>
        </w:rPr>
      </w:pPr>
      <w:r w:rsidRPr="00EC5379">
        <w:rPr>
          <w:rFonts w:cs="Arial"/>
          <w:b/>
        </w:rPr>
        <w:t>The capacity of small organisations to absorb costs</w:t>
      </w:r>
      <w:r w:rsidRPr="00EC5379">
        <w:rPr>
          <w:rFonts w:cs="Arial"/>
        </w:rPr>
        <w:t xml:space="preserve"> as a result of smaller profit margins. As a result, smaller organisations managed their cash flow in a different way, and would not set aside long service entitlements as they accrue, rather they would be set aside upon vesting</w:t>
      </w:r>
      <w:r w:rsidR="00E93A69">
        <w:rPr>
          <w:rFonts w:cs="Arial"/>
        </w:rPr>
        <w:t xml:space="preserve"> (that is, once the employee has become eligible for long service leave)</w:t>
      </w:r>
      <w:r w:rsidR="0055008B">
        <w:rPr>
          <w:rFonts w:cs="Arial"/>
        </w:rPr>
        <w:t xml:space="preserve">. </w:t>
      </w:r>
    </w:p>
    <w:p w14:paraId="527D6861" w14:textId="77777777" w:rsidR="00E13F2A" w:rsidRPr="00EC5379" w:rsidRDefault="00E13F2A" w:rsidP="00D12D90">
      <w:pPr>
        <w:pStyle w:val="ListBullet"/>
        <w:contextualSpacing w:val="0"/>
        <w:rPr>
          <w:rFonts w:cs="Arial"/>
        </w:rPr>
      </w:pPr>
      <w:r w:rsidRPr="00EC5379">
        <w:rPr>
          <w:rFonts w:cs="Arial"/>
          <w:b/>
        </w:rPr>
        <w:t>The capacity of small organisations to cover the absence of employees</w:t>
      </w:r>
      <w:r w:rsidRPr="00EC5379">
        <w:rPr>
          <w:rFonts w:cs="Arial"/>
        </w:rPr>
        <w:t xml:space="preserve"> for when they take long service leave. This is because employees under a portable scheme may have a shorter period of time from commencement to the period when the leave is taken. </w:t>
      </w:r>
    </w:p>
    <w:p w14:paraId="301A21B6" w14:textId="7AB00DFE" w:rsidR="00E13F2A" w:rsidRPr="00EC5379" w:rsidRDefault="00E13F2A" w:rsidP="00D12D90">
      <w:pPr>
        <w:pStyle w:val="ListBullet"/>
        <w:contextualSpacing w:val="0"/>
        <w:rPr>
          <w:rFonts w:cs="Arial"/>
        </w:rPr>
      </w:pPr>
      <w:r w:rsidRPr="00EC5379">
        <w:rPr>
          <w:rFonts w:cs="Arial"/>
          <w:b/>
        </w:rPr>
        <w:t>The capacity of small organisations to manage the administrative burden</w:t>
      </w:r>
      <w:r w:rsidRPr="00EC5379">
        <w:rPr>
          <w:rFonts w:cs="Arial"/>
        </w:rPr>
        <w:t xml:space="preserve"> as they do not employ administrative staff who can undertake the additional administrative burden created by a portable long service scheme. </w:t>
      </w:r>
    </w:p>
    <w:p w14:paraId="758C201A" w14:textId="1FA7D45E" w:rsidR="00E13F2A" w:rsidRDefault="00E13F2A" w:rsidP="00235D42">
      <w:pPr>
        <w:pStyle w:val="BodyText"/>
        <w:rPr>
          <w:rFonts w:cs="Arial"/>
        </w:rPr>
      </w:pPr>
      <w:r w:rsidRPr="00EC5379">
        <w:rPr>
          <w:rFonts w:cs="Arial"/>
        </w:rPr>
        <w:t xml:space="preserve">Based on available evidence, the Parliamentary Inquiry found that the ‘impacts on (small </w:t>
      </w:r>
      <w:r w:rsidR="00DB01D9">
        <w:rPr>
          <w:rFonts w:cs="Arial"/>
        </w:rPr>
        <w:t>businesses</w:t>
      </w:r>
      <w:r w:rsidRPr="00EC5379">
        <w:rPr>
          <w:rFonts w:cs="Arial"/>
        </w:rPr>
        <w:t xml:space="preserve"> and organisations) would not be so great and that portable long service could benefit some small </w:t>
      </w:r>
      <w:r w:rsidR="00DB01D9">
        <w:rPr>
          <w:rFonts w:cs="Arial"/>
        </w:rPr>
        <w:t>employers</w:t>
      </w:r>
      <w:r w:rsidRPr="00EC5379">
        <w:rPr>
          <w:rFonts w:cs="Arial"/>
        </w:rPr>
        <w:t xml:space="preserve"> (and organisations)</w:t>
      </w:r>
      <w:r w:rsidR="00235D42" w:rsidRPr="00EC5379">
        <w:rPr>
          <w:rFonts w:cs="Arial"/>
        </w:rPr>
        <w:t>’</w:t>
      </w:r>
      <w:r w:rsidRPr="00EC5379">
        <w:rPr>
          <w:rFonts w:cs="Arial"/>
        </w:rPr>
        <w:t>. There is no evidence to suggest that these findings have changed over the past</w:t>
      </w:r>
      <w:r w:rsidR="00F738AD">
        <w:rPr>
          <w:rFonts w:cs="Arial"/>
        </w:rPr>
        <w:t xml:space="preserve"> four</w:t>
      </w:r>
      <w:r w:rsidRPr="00EC5379">
        <w:rPr>
          <w:rFonts w:cs="Arial"/>
        </w:rPr>
        <w:t xml:space="preserve"> years or would not equally apply to the sectors </w:t>
      </w:r>
      <w:r w:rsidR="002E0A17">
        <w:rPr>
          <w:rFonts w:cs="Arial"/>
        </w:rPr>
        <w:t>impacted by the P</w:t>
      </w:r>
      <w:r w:rsidR="00F738AD">
        <w:rPr>
          <w:rFonts w:cs="Arial"/>
        </w:rPr>
        <w:t>roposed Regulations</w:t>
      </w:r>
      <w:r w:rsidR="000A23B1" w:rsidRPr="00EC5379">
        <w:rPr>
          <w:rFonts w:cs="Arial"/>
        </w:rPr>
        <w:t xml:space="preserve">. </w:t>
      </w:r>
    </w:p>
    <w:p w14:paraId="706FE41F" w14:textId="263693C9" w:rsidR="00D8248D" w:rsidRDefault="00131096" w:rsidP="00556277">
      <w:pPr>
        <w:pStyle w:val="Heading3"/>
        <w:tabs>
          <w:tab w:val="clear" w:pos="5115"/>
        </w:tabs>
        <w:spacing w:before="100" w:beforeAutospacing="1" w:after="100" w:afterAutospacing="1"/>
        <w:ind w:left="709"/>
        <w:rPr>
          <w:rFonts w:ascii="Arial" w:hAnsi="Arial" w:cs="Arial"/>
        </w:rPr>
      </w:pPr>
      <w:r>
        <w:rPr>
          <w:rFonts w:ascii="Arial" w:hAnsi="Arial" w:cs="Arial"/>
        </w:rPr>
        <w:t>The</w:t>
      </w:r>
      <w:r w:rsidR="00D8248D">
        <w:rPr>
          <w:rFonts w:ascii="Arial" w:hAnsi="Arial" w:cs="Arial"/>
        </w:rPr>
        <w:t xml:space="preserve"> </w:t>
      </w:r>
      <w:r w:rsidR="00E41485">
        <w:rPr>
          <w:rFonts w:ascii="Arial" w:hAnsi="Arial" w:cs="Arial"/>
        </w:rPr>
        <w:t xml:space="preserve">impact on small business of the Interim Regulations </w:t>
      </w:r>
      <w:r>
        <w:rPr>
          <w:rFonts w:ascii="Arial" w:hAnsi="Arial" w:cs="Arial"/>
        </w:rPr>
        <w:t>in the 2019 RIS</w:t>
      </w:r>
    </w:p>
    <w:p w14:paraId="186E8AF4" w14:textId="77777777" w:rsidR="00E41485" w:rsidRDefault="00E41485" w:rsidP="00E41485">
      <w:pPr>
        <w:pStyle w:val="BodyText"/>
        <w:rPr>
          <w:rFonts w:cs="Arial"/>
          <w:color w:val="auto"/>
        </w:rPr>
      </w:pPr>
      <w:r w:rsidRPr="00E41485">
        <w:rPr>
          <w:rFonts w:cs="Arial"/>
        </w:rPr>
        <w:t>The definition used for small organisations in the sector is based on the ABS definition that a small business has less than 20 employees.</w:t>
      </w:r>
      <w:r w:rsidRPr="00E41485">
        <w:rPr>
          <w:rStyle w:val="FootnoteReference"/>
          <w:rFonts w:cs="Arial"/>
        </w:rPr>
        <w:footnoteReference w:id="32"/>
      </w:r>
      <w:r>
        <w:rPr>
          <w:rFonts w:cs="Arial"/>
          <w:color w:val="auto"/>
        </w:rPr>
        <w:t xml:space="preserve"> </w:t>
      </w:r>
    </w:p>
    <w:p w14:paraId="1B2F894B" w14:textId="47563170" w:rsidR="00E93A69" w:rsidRDefault="00E41485" w:rsidP="00E41485">
      <w:pPr>
        <w:pStyle w:val="BodyText"/>
        <w:rPr>
          <w:rFonts w:cs="Arial"/>
        </w:rPr>
      </w:pPr>
      <w:r w:rsidRPr="00E41485">
        <w:rPr>
          <w:rFonts w:cs="Arial"/>
        </w:rPr>
        <w:t xml:space="preserve">Analysis </w:t>
      </w:r>
      <w:r>
        <w:rPr>
          <w:rFonts w:cs="Arial"/>
        </w:rPr>
        <w:t>contained in the 2019 RIS indicated</w:t>
      </w:r>
      <w:r w:rsidRPr="00E41485">
        <w:rPr>
          <w:rFonts w:cs="Arial"/>
        </w:rPr>
        <w:t xml:space="preserve"> that the majority of organisations in the </w:t>
      </w:r>
      <w:r w:rsidR="00E93A69">
        <w:rPr>
          <w:rFonts w:cs="Arial"/>
        </w:rPr>
        <w:t xml:space="preserve">social services </w:t>
      </w:r>
      <w:r w:rsidRPr="00E41485">
        <w:rPr>
          <w:rFonts w:cs="Arial"/>
        </w:rPr>
        <w:t xml:space="preserve">sector (85 </w:t>
      </w:r>
      <w:r w:rsidR="002106A3">
        <w:rPr>
          <w:rFonts w:cs="Arial"/>
        </w:rPr>
        <w:t>percent</w:t>
      </w:r>
      <w:r w:rsidRPr="00E41485">
        <w:rPr>
          <w:rFonts w:cs="Arial"/>
        </w:rPr>
        <w:t>) are defined as small organisations. However, th</w:t>
      </w:r>
      <w:r>
        <w:rPr>
          <w:rFonts w:cs="Arial"/>
        </w:rPr>
        <w:t>e majority of employees (93 </w:t>
      </w:r>
      <w:r w:rsidR="002106A3">
        <w:rPr>
          <w:rFonts w:cs="Arial"/>
        </w:rPr>
        <w:t>percent</w:t>
      </w:r>
      <w:r w:rsidRPr="00E41485">
        <w:rPr>
          <w:rFonts w:cs="Arial"/>
        </w:rPr>
        <w:t>) are employed at medium or large organisations.</w:t>
      </w:r>
      <w:r>
        <w:rPr>
          <w:rStyle w:val="FootnoteReference"/>
          <w:rFonts w:cs="Arial"/>
        </w:rPr>
        <w:footnoteReference w:id="33"/>
      </w:r>
      <w:r w:rsidRPr="00E41485">
        <w:rPr>
          <w:rFonts w:cs="Arial"/>
        </w:rPr>
        <w:t xml:space="preserve"> This initial analysis suggests that small businesses are likely to make up the majority of employers affecte</w:t>
      </w:r>
      <w:r w:rsidR="00D12D90">
        <w:rPr>
          <w:rFonts w:cs="Arial"/>
        </w:rPr>
        <w:t>d by the S</w:t>
      </w:r>
      <w:r w:rsidRPr="00E41485">
        <w:rPr>
          <w:rFonts w:cs="Arial"/>
        </w:rPr>
        <w:t>cheme.</w:t>
      </w:r>
      <w:r>
        <w:rPr>
          <w:rFonts w:cs="Arial"/>
        </w:rPr>
        <w:t xml:space="preserve"> </w:t>
      </w:r>
    </w:p>
    <w:p w14:paraId="4DC0A3F0" w14:textId="50AFB35F" w:rsidR="00E93A69" w:rsidRDefault="00E93A69" w:rsidP="004A514D">
      <w:pPr>
        <w:pStyle w:val="Bodytextkeepwithnext"/>
      </w:pPr>
      <w:r>
        <w:lastRenderedPageBreak/>
        <w:t xml:space="preserve">The impact on small business for the two </w:t>
      </w:r>
      <w:r w:rsidR="002106A3">
        <w:t>sub</w:t>
      </w:r>
      <w:r w:rsidR="002106A3">
        <w:noBreakHyphen/>
        <w:t>sector</w:t>
      </w:r>
      <w:r>
        <w:t>s that the Interim Regulations brought within scope of the Scheme are as follows:</w:t>
      </w:r>
    </w:p>
    <w:p w14:paraId="1DA2F7FE" w14:textId="57796F38" w:rsidR="00E93A69" w:rsidRDefault="00E41485" w:rsidP="00DB3ADD">
      <w:pPr>
        <w:pStyle w:val="BodyText"/>
        <w:numPr>
          <w:ilvl w:val="0"/>
          <w:numId w:val="76"/>
        </w:numPr>
        <w:rPr>
          <w:rFonts w:cs="Arial"/>
          <w:szCs w:val="20"/>
        </w:rPr>
      </w:pPr>
      <w:r w:rsidRPr="00E41485">
        <w:rPr>
          <w:rFonts w:cs="Arial"/>
          <w:szCs w:val="20"/>
        </w:rPr>
        <w:t>The numbe</w:t>
      </w:r>
      <w:r>
        <w:rPr>
          <w:rFonts w:cs="Arial"/>
          <w:szCs w:val="20"/>
        </w:rPr>
        <w:t>r of small businesses in the early childhood</w:t>
      </w:r>
      <w:r w:rsidRPr="00E41485">
        <w:rPr>
          <w:rFonts w:cs="Arial"/>
          <w:szCs w:val="20"/>
        </w:rPr>
        <w:t xml:space="preserve"> sector in Victoria is </w:t>
      </w:r>
      <w:r>
        <w:rPr>
          <w:rFonts w:cs="Arial"/>
          <w:szCs w:val="20"/>
        </w:rPr>
        <w:t xml:space="preserve">625, or </w:t>
      </w:r>
      <w:r w:rsidR="001D348D">
        <w:rPr>
          <w:rFonts w:cs="Arial"/>
          <w:szCs w:val="20"/>
        </w:rPr>
        <w:t>28</w:t>
      </w:r>
      <w:r w:rsidR="00F80BA6">
        <w:rPr>
          <w:rFonts w:cs="Arial"/>
          <w:szCs w:val="20"/>
        </w:rPr>
        <w:t> </w:t>
      </w:r>
      <w:r w:rsidR="002106A3">
        <w:rPr>
          <w:rFonts w:cs="Arial"/>
          <w:szCs w:val="20"/>
        </w:rPr>
        <w:t>percent</w:t>
      </w:r>
      <w:r>
        <w:rPr>
          <w:rFonts w:cs="Arial"/>
          <w:szCs w:val="20"/>
        </w:rPr>
        <w:t xml:space="preserve"> of all early childhood education</w:t>
      </w:r>
      <w:r w:rsidRPr="00E41485">
        <w:rPr>
          <w:rFonts w:cs="Arial"/>
          <w:szCs w:val="20"/>
        </w:rPr>
        <w:t xml:space="preserve"> businesses in the state.</w:t>
      </w:r>
      <w:r w:rsidRPr="00E41485">
        <w:rPr>
          <w:rStyle w:val="FootnoteReference"/>
          <w:rFonts w:cs="Arial"/>
          <w:szCs w:val="20"/>
        </w:rPr>
        <w:footnoteReference w:id="34"/>
      </w:r>
      <w:r w:rsidRPr="00E41485">
        <w:rPr>
          <w:rFonts w:cs="Arial"/>
          <w:szCs w:val="20"/>
        </w:rPr>
        <w:t xml:space="preserve"> </w:t>
      </w:r>
    </w:p>
    <w:p w14:paraId="461D285D" w14:textId="1FCD6E35" w:rsidR="00E41485" w:rsidRDefault="00E41485" w:rsidP="00DB3ADD">
      <w:pPr>
        <w:pStyle w:val="BodyText"/>
        <w:numPr>
          <w:ilvl w:val="0"/>
          <w:numId w:val="76"/>
        </w:numPr>
        <w:rPr>
          <w:rFonts w:cs="Arial"/>
          <w:szCs w:val="20"/>
        </w:rPr>
      </w:pPr>
      <w:r>
        <w:rPr>
          <w:rFonts w:cs="Arial"/>
          <w:szCs w:val="20"/>
        </w:rPr>
        <w:t>The proportion</w:t>
      </w:r>
      <w:r w:rsidRPr="00E41485">
        <w:rPr>
          <w:rFonts w:cs="Arial"/>
          <w:szCs w:val="20"/>
        </w:rPr>
        <w:t xml:space="preserve"> of total NDIS charities which can be classifi</w:t>
      </w:r>
      <w:r w:rsidR="00F80BA6">
        <w:rPr>
          <w:rFonts w:cs="Arial"/>
          <w:szCs w:val="20"/>
        </w:rPr>
        <w:t>ed as small is approximately 36 </w:t>
      </w:r>
      <w:r w:rsidR="002106A3">
        <w:rPr>
          <w:rFonts w:cs="Arial"/>
          <w:szCs w:val="20"/>
        </w:rPr>
        <w:t>percent</w:t>
      </w:r>
      <w:r w:rsidRPr="00E41485">
        <w:rPr>
          <w:rFonts w:cs="Arial"/>
          <w:szCs w:val="20"/>
        </w:rPr>
        <w:t>.</w:t>
      </w:r>
      <w:r w:rsidRPr="00E41485">
        <w:rPr>
          <w:rStyle w:val="FootnoteReference"/>
          <w:rFonts w:cs="Arial"/>
          <w:szCs w:val="20"/>
        </w:rPr>
        <w:footnoteReference w:id="35"/>
      </w:r>
      <w:r w:rsidRPr="00E41485">
        <w:rPr>
          <w:rFonts w:cs="Arial"/>
          <w:szCs w:val="20"/>
        </w:rPr>
        <w:t xml:space="preserve"> </w:t>
      </w:r>
    </w:p>
    <w:p w14:paraId="2509A80D" w14:textId="3E4E188E" w:rsidR="00A5298F" w:rsidRDefault="00A5298F" w:rsidP="00E41485">
      <w:pPr>
        <w:pStyle w:val="BodyText"/>
        <w:rPr>
          <w:rFonts w:cs="Arial"/>
          <w:szCs w:val="20"/>
        </w:rPr>
      </w:pPr>
      <w:r>
        <w:rPr>
          <w:rFonts w:cs="Arial"/>
          <w:szCs w:val="20"/>
        </w:rPr>
        <w:t xml:space="preserve">The following </w:t>
      </w:r>
      <w:r w:rsidR="00B46FB5">
        <w:rPr>
          <w:rFonts w:cs="Arial"/>
          <w:szCs w:val="20"/>
        </w:rPr>
        <w:t>sub-</w:t>
      </w:r>
      <w:r>
        <w:rPr>
          <w:rFonts w:cs="Arial"/>
          <w:szCs w:val="20"/>
        </w:rPr>
        <w:t xml:space="preserve">sections provide a summary of the </w:t>
      </w:r>
      <w:r w:rsidR="00364D28">
        <w:rPr>
          <w:rFonts w:cs="Arial"/>
          <w:szCs w:val="20"/>
        </w:rPr>
        <w:t>impact of the Interim Regulations on small business as detailed in</w:t>
      </w:r>
      <w:r>
        <w:rPr>
          <w:rFonts w:cs="Arial"/>
          <w:szCs w:val="20"/>
        </w:rPr>
        <w:t xml:space="preserve"> the 2019 RIS. </w:t>
      </w:r>
      <w:r>
        <w:rPr>
          <w:rFonts w:cs="Arial"/>
        </w:rPr>
        <w:t>The full</w:t>
      </w:r>
      <w:r w:rsidR="00D12D90">
        <w:rPr>
          <w:rFonts w:cs="Arial"/>
        </w:rPr>
        <w:t xml:space="preserve"> 2019</w:t>
      </w:r>
      <w:r>
        <w:rPr>
          <w:rFonts w:cs="Arial"/>
        </w:rPr>
        <w:t xml:space="preserve"> RIS can be found at </w:t>
      </w:r>
      <w:r w:rsidR="00D41B29" w:rsidRPr="00D41B29">
        <w:rPr>
          <w:rFonts w:cs="Arial"/>
        </w:rPr>
        <w:t>https://www.vic.gov.au/regulatory-impact-statements-2019#long-service-benefits-portability-regulations-2019</w:t>
      </w:r>
      <w:r>
        <w:rPr>
          <w:rFonts w:cs="Arial"/>
        </w:rPr>
        <w:t>.</w:t>
      </w:r>
    </w:p>
    <w:p w14:paraId="519E325B" w14:textId="50331030" w:rsidR="00A5298F" w:rsidRPr="008D7140" w:rsidRDefault="00A5298F" w:rsidP="00A5298F">
      <w:pPr>
        <w:pStyle w:val="Heading4"/>
        <w:ind w:left="709"/>
        <w:rPr>
          <w:rFonts w:ascii="Arial" w:hAnsi="Arial" w:cs="Arial"/>
          <w:sz w:val="20"/>
          <w:szCs w:val="20"/>
        </w:rPr>
      </w:pPr>
      <w:r>
        <w:rPr>
          <w:rFonts w:ascii="Arial" w:hAnsi="Arial" w:cs="Arial"/>
          <w:sz w:val="20"/>
          <w:szCs w:val="20"/>
        </w:rPr>
        <w:t>Definition of employer and employee</w:t>
      </w:r>
    </w:p>
    <w:p w14:paraId="3CFEB283" w14:textId="2BDF6487" w:rsidR="00A5298F" w:rsidRPr="00131096" w:rsidRDefault="00131096" w:rsidP="00131096">
      <w:pPr>
        <w:pStyle w:val="BodyText"/>
      </w:pPr>
      <w:r w:rsidRPr="00131096">
        <w:rPr>
          <w:rFonts w:cs="Arial"/>
          <w:color w:val="auto"/>
        </w:rPr>
        <w:t>The definitions of employee and employer in the Interim Regulations exclude</w:t>
      </w:r>
      <w:r w:rsidR="003A4B7B">
        <w:rPr>
          <w:rFonts w:cs="Arial"/>
          <w:color w:val="auto"/>
        </w:rPr>
        <w:t>d</w:t>
      </w:r>
      <w:r w:rsidRPr="00131096">
        <w:rPr>
          <w:rFonts w:cs="Arial"/>
          <w:color w:val="auto"/>
        </w:rPr>
        <w:t xml:space="preserve"> </w:t>
      </w:r>
      <w:r w:rsidR="004F1506">
        <w:rPr>
          <w:rFonts w:cs="Arial"/>
          <w:color w:val="auto"/>
        </w:rPr>
        <w:t xml:space="preserve">some </w:t>
      </w:r>
      <w:r w:rsidR="00DB01D9">
        <w:rPr>
          <w:rFonts w:cs="Arial"/>
          <w:color w:val="auto"/>
        </w:rPr>
        <w:t>employers</w:t>
      </w:r>
      <w:r w:rsidRPr="00131096">
        <w:rPr>
          <w:rFonts w:cs="Arial"/>
          <w:color w:val="auto"/>
        </w:rPr>
        <w:t xml:space="preserve"> and </w:t>
      </w:r>
      <w:r w:rsidR="00BA4E89">
        <w:rPr>
          <w:rFonts w:cs="Arial"/>
          <w:color w:val="auto"/>
        </w:rPr>
        <w:t>employee</w:t>
      </w:r>
      <w:r w:rsidRPr="00131096">
        <w:rPr>
          <w:rFonts w:cs="Arial"/>
          <w:color w:val="auto"/>
        </w:rPr>
        <w:t xml:space="preserve">s from the coverage of the Scheme. </w:t>
      </w:r>
      <w:r>
        <w:rPr>
          <w:rFonts w:cs="Arial"/>
          <w:color w:val="auto"/>
        </w:rPr>
        <w:t xml:space="preserve">As they </w:t>
      </w:r>
      <w:r w:rsidRPr="00131096">
        <w:rPr>
          <w:rFonts w:cs="Arial"/>
          <w:color w:val="auto"/>
        </w:rPr>
        <w:t>reduce</w:t>
      </w:r>
      <w:r>
        <w:rPr>
          <w:rFonts w:cs="Arial"/>
          <w:color w:val="auto"/>
        </w:rPr>
        <w:t>d</w:t>
      </w:r>
      <w:r w:rsidRPr="00131096">
        <w:rPr>
          <w:rFonts w:cs="Arial"/>
          <w:color w:val="auto"/>
        </w:rPr>
        <w:t xml:space="preserve"> the overall </w:t>
      </w:r>
      <w:r w:rsidR="004F1506">
        <w:rPr>
          <w:rFonts w:cs="Arial"/>
          <w:color w:val="auto"/>
        </w:rPr>
        <w:t xml:space="preserve">number of small businesses covered by the Scheme, as well as the </w:t>
      </w:r>
      <w:r w:rsidRPr="00131096">
        <w:rPr>
          <w:rFonts w:cs="Arial"/>
          <w:color w:val="auto"/>
        </w:rPr>
        <w:t>number of employees that a small business will h</w:t>
      </w:r>
      <w:r>
        <w:rPr>
          <w:rFonts w:cs="Arial"/>
          <w:color w:val="auto"/>
        </w:rPr>
        <w:t xml:space="preserve">ave to </w:t>
      </w:r>
      <w:r w:rsidR="00614A90">
        <w:rPr>
          <w:rFonts w:cs="Arial"/>
          <w:color w:val="auto"/>
        </w:rPr>
        <w:t xml:space="preserve">account </w:t>
      </w:r>
      <w:r>
        <w:rPr>
          <w:rFonts w:cs="Arial"/>
          <w:color w:val="auto"/>
        </w:rPr>
        <w:t>for under the S</w:t>
      </w:r>
      <w:r w:rsidRPr="00131096">
        <w:rPr>
          <w:rFonts w:cs="Arial"/>
          <w:color w:val="auto"/>
        </w:rPr>
        <w:t>cheme</w:t>
      </w:r>
      <w:r w:rsidR="003843AE">
        <w:rPr>
          <w:rFonts w:cs="Arial"/>
          <w:color w:val="auto"/>
        </w:rPr>
        <w:t xml:space="preserve"> (compared to the broader definitions in the LSBP Act itself)</w:t>
      </w:r>
      <w:r>
        <w:rPr>
          <w:rFonts w:cs="Arial"/>
          <w:color w:val="auto"/>
        </w:rPr>
        <w:t xml:space="preserve">, the 2019 RIS found that the </w:t>
      </w:r>
      <w:r w:rsidR="0060532D">
        <w:rPr>
          <w:rFonts w:cs="Arial"/>
          <w:color w:val="auto"/>
        </w:rPr>
        <w:t xml:space="preserve">introduction of these definitions </w:t>
      </w:r>
      <w:r w:rsidRPr="00131096">
        <w:rPr>
          <w:rFonts w:cs="Arial"/>
          <w:color w:val="auto"/>
        </w:rPr>
        <w:t>should have an overall net positive impact on small businesses</w:t>
      </w:r>
      <w:r w:rsidR="003843AE">
        <w:rPr>
          <w:rFonts w:cs="Arial"/>
          <w:color w:val="auto"/>
        </w:rPr>
        <w:t xml:space="preserve"> relative to the situation under the LSBP Act without Regulations</w:t>
      </w:r>
      <w:r w:rsidRPr="00131096">
        <w:rPr>
          <w:rFonts w:cs="Arial"/>
          <w:color w:val="auto"/>
        </w:rPr>
        <w:t>.</w:t>
      </w:r>
      <w:r>
        <w:t xml:space="preserve"> </w:t>
      </w:r>
    </w:p>
    <w:p w14:paraId="1213232F" w14:textId="77BC365D" w:rsidR="00A5298F" w:rsidRPr="008D7140" w:rsidRDefault="00A5298F" w:rsidP="00A5298F">
      <w:pPr>
        <w:pStyle w:val="Heading4"/>
        <w:ind w:left="709"/>
        <w:rPr>
          <w:rFonts w:ascii="Arial" w:hAnsi="Arial" w:cs="Arial"/>
          <w:sz w:val="20"/>
          <w:szCs w:val="20"/>
        </w:rPr>
      </w:pPr>
      <w:r>
        <w:rPr>
          <w:rFonts w:ascii="Arial" w:hAnsi="Arial" w:cs="Arial"/>
          <w:sz w:val="20"/>
          <w:szCs w:val="20"/>
        </w:rPr>
        <w:t>Scope of the community services sector</w:t>
      </w:r>
      <w:r w:rsidR="001A238C">
        <w:rPr>
          <w:rFonts w:ascii="Arial" w:hAnsi="Arial" w:cs="Arial"/>
          <w:sz w:val="20"/>
          <w:szCs w:val="20"/>
        </w:rPr>
        <w:t xml:space="preserve"> – NDIS and early childhood education</w:t>
      </w:r>
    </w:p>
    <w:p w14:paraId="03398284" w14:textId="78B8A32E" w:rsidR="00A5298F" w:rsidRDefault="00364D28" w:rsidP="00A5298F">
      <w:pPr>
        <w:autoSpaceDE w:val="0"/>
        <w:autoSpaceDN w:val="0"/>
        <w:adjustRightInd w:val="0"/>
        <w:spacing w:line="240" w:lineRule="auto"/>
        <w:rPr>
          <w:rFonts w:ascii="Arial" w:hAnsi="Arial" w:cs="Arial"/>
          <w:color w:val="auto"/>
        </w:rPr>
      </w:pPr>
      <w:r w:rsidRPr="00364D28">
        <w:rPr>
          <w:rFonts w:ascii="Arial" w:hAnsi="Arial" w:cs="Arial"/>
          <w:color w:val="auto"/>
        </w:rPr>
        <w:t xml:space="preserve">The 2019 RIS found that introducing NDIS and early childhood education </w:t>
      </w:r>
      <w:r w:rsidR="00DB01D9">
        <w:rPr>
          <w:rFonts w:ascii="Arial" w:hAnsi="Arial" w:cs="Arial"/>
          <w:color w:val="auto"/>
        </w:rPr>
        <w:t>employers</w:t>
      </w:r>
      <w:r w:rsidRPr="00364D28">
        <w:rPr>
          <w:rFonts w:ascii="Arial" w:hAnsi="Arial" w:cs="Arial"/>
          <w:color w:val="auto"/>
        </w:rPr>
        <w:t xml:space="preserve"> into the coverage of the LSBP Act </w:t>
      </w:r>
      <w:r w:rsidR="003A4B7B">
        <w:rPr>
          <w:rFonts w:ascii="Arial" w:hAnsi="Arial" w:cs="Arial"/>
          <w:color w:val="auto"/>
        </w:rPr>
        <w:t>brought</w:t>
      </w:r>
      <w:r w:rsidRPr="00364D28">
        <w:rPr>
          <w:rFonts w:ascii="Arial" w:hAnsi="Arial" w:cs="Arial"/>
          <w:color w:val="auto"/>
        </w:rPr>
        <w:t xml:space="preserve"> the whole-of-scheme impacts to these sectors.</w:t>
      </w:r>
      <w:r>
        <w:rPr>
          <w:rFonts w:ascii="Arial" w:hAnsi="Arial" w:cs="Arial"/>
          <w:color w:val="auto"/>
        </w:rPr>
        <w:t xml:space="preserve"> Th</w:t>
      </w:r>
      <w:r w:rsidRPr="00364D28">
        <w:rPr>
          <w:rFonts w:ascii="Arial" w:hAnsi="Arial" w:cs="Arial"/>
          <w:color w:val="auto"/>
        </w:rPr>
        <w:t xml:space="preserve">ese impacts may </w:t>
      </w:r>
      <w:r>
        <w:rPr>
          <w:rFonts w:ascii="Arial" w:hAnsi="Arial" w:cs="Arial"/>
          <w:color w:val="auto"/>
        </w:rPr>
        <w:t xml:space="preserve">have </w:t>
      </w:r>
      <w:r w:rsidRPr="00364D28">
        <w:rPr>
          <w:rFonts w:ascii="Arial" w:hAnsi="Arial" w:cs="Arial"/>
          <w:color w:val="auto"/>
        </w:rPr>
        <w:t>be</w:t>
      </w:r>
      <w:r>
        <w:rPr>
          <w:rFonts w:ascii="Arial" w:hAnsi="Arial" w:cs="Arial"/>
          <w:color w:val="auto"/>
        </w:rPr>
        <w:t>en</w:t>
      </w:r>
      <w:r w:rsidRPr="00364D28">
        <w:rPr>
          <w:rFonts w:ascii="Arial" w:hAnsi="Arial" w:cs="Arial"/>
          <w:color w:val="auto"/>
        </w:rPr>
        <w:t xml:space="preserve"> a benefit for some small businesses. A small number of case </w:t>
      </w:r>
      <w:r>
        <w:rPr>
          <w:rFonts w:ascii="Arial" w:hAnsi="Arial" w:cs="Arial"/>
          <w:color w:val="auto"/>
        </w:rPr>
        <w:t xml:space="preserve">studies regarding cost impacts </w:t>
      </w:r>
      <w:r w:rsidRPr="00364D28">
        <w:rPr>
          <w:rFonts w:ascii="Arial" w:hAnsi="Arial" w:cs="Arial"/>
          <w:color w:val="auto"/>
        </w:rPr>
        <w:t>indicate</w:t>
      </w:r>
      <w:r>
        <w:rPr>
          <w:rFonts w:ascii="Arial" w:hAnsi="Arial" w:cs="Arial"/>
          <w:color w:val="auto"/>
        </w:rPr>
        <w:t>d</w:t>
      </w:r>
      <w:r w:rsidRPr="00364D28">
        <w:rPr>
          <w:rFonts w:ascii="Arial" w:hAnsi="Arial" w:cs="Arial"/>
          <w:color w:val="auto"/>
        </w:rPr>
        <w:t xml:space="preserve"> that small businesses may incur lower costs as a percentage of </w:t>
      </w:r>
      <w:r>
        <w:rPr>
          <w:rFonts w:ascii="Arial" w:hAnsi="Arial" w:cs="Arial"/>
          <w:color w:val="auto"/>
        </w:rPr>
        <w:t>total salary expenses from the S</w:t>
      </w:r>
      <w:r w:rsidRPr="00364D28">
        <w:rPr>
          <w:rFonts w:ascii="Arial" w:hAnsi="Arial" w:cs="Arial"/>
          <w:color w:val="auto"/>
        </w:rPr>
        <w:t>cheme, when comp</w:t>
      </w:r>
      <w:r>
        <w:rPr>
          <w:rFonts w:ascii="Arial" w:hAnsi="Arial" w:cs="Arial"/>
          <w:color w:val="auto"/>
        </w:rPr>
        <w:t>ared to larger businesses. It was</w:t>
      </w:r>
      <w:r w:rsidRPr="00364D28">
        <w:rPr>
          <w:rFonts w:ascii="Arial" w:hAnsi="Arial" w:cs="Arial"/>
          <w:color w:val="auto"/>
        </w:rPr>
        <w:t xml:space="preserve"> suggested that this is due to smaller organisations’ lower staff turnover rates</w:t>
      </w:r>
      <w:r w:rsidR="003843AE">
        <w:rPr>
          <w:rFonts w:ascii="Arial" w:hAnsi="Arial" w:cs="Arial"/>
          <w:color w:val="auto"/>
        </w:rPr>
        <w:t xml:space="preserve">. </w:t>
      </w:r>
      <w:r w:rsidRPr="00364D28">
        <w:rPr>
          <w:rFonts w:ascii="Arial" w:hAnsi="Arial" w:cs="Arial"/>
          <w:color w:val="auto"/>
        </w:rPr>
        <w:t xml:space="preserve">As a result of low staff turnover, small businesses generally assume that employees will remain with the company for some time and </w:t>
      </w:r>
      <w:r w:rsidR="00F80BA6">
        <w:rPr>
          <w:rFonts w:ascii="Arial" w:hAnsi="Arial" w:cs="Arial"/>
          <w:color w:val="auto"/>
        </w:rPr>
        <w:t xml:space="preserve">they </w:t>
      </w:r>
      <w:r w:rsidRPr="00364D28">
        <w:rPr>
          <w:rFonts w:ascii="Arial" w:hAnsi="Arial" w:cs="Arial"/>
          <w:color w:val="auto"/>
        </w:rPr>
        <w:t>begin setting aside funds for leave from the commencement of their employment.</w:t>
      </w:r>
      <w:r w:rsidR="003843AE">
        <w:rPr>
          <w:rFonts w:ascii="Arial" w:hAnsi="Arial" w:cs="Arial"/>
          <w:color w:val="auto"/>
        </w:rPr>
        <w:t xml:space="preserve"> This results in a lower marginal cost impact from the introduction of the Scheme, as these employers already pay out long service benefits for the majority of their employees.</w:t>
      </w:r>
    </w:p>
    <w:p w14:paraId="38EBE0F2" w14:textId="3A9E7915" w:rsidR="00364D28" w:rsidRPr="00364D28" w:rsidRDefault="00364D28" w:rsidP="00364D28">
      <w:pPr>
        <w:pStyle w:val="BodyText"/>
        <w:rPr>
          <w:rFonts w:cs="Arial"/>
          <w:color w:val="auto"/>
        </w:rPr>
      </w:pPr>
      <w:r w:rsidRPr="00364D28">
        <w:rPr>
          <w:rFonts w:cs="Arial"/>
          <w:color w:val="auto"/>
        </w:rPr>
        <w:t xml:space="preserve">In addition to the direct cost impact from the levies of the Scheme, it was expected that small businesses would require administrative time (and associated cost) to implement the Scheme internally, and to comply with it in an ongoing manner. </w:t>
      </w:r>
    </w:p>
    <w:p w14:paraId="262E310C" w14:textId="6B1697EA" w:rsidR="00A5298F" w:rsidRPr="00364D28" w:rsidRDefault="00DB3ADD" w:rsidP="00E41485">
      <w:pPr>
        <w:pStyle w:val="Heading4"/>
        <w:ind w:left="709"/>
        <w:rPr>
          <w:rFonts w:ascii="Arial" w:hAnsi="Arial" w:cs="Arial"/>
          <w:sz w:val="20"/>
          <w:szCs w:val="20"/>
        </w:rPr>
      </w:pPr>
      <w:r>
        <w:rPr>
          <w:rFonts w:ascii="Arial" w:hAnsi="Arial" w:cs="Arial"/>
          <w:sz w:val="20"/>
          <w:szCs w:val="20"/>
        </w:rPr>
        <w:t>Double-dipping</w:t>
      </w:r>
    </w:p>
    <w:p w14:paraId="630B33F1" w14:textId="5CCECA57" w:rsidR="00131096" w:rsidRPr="00364D28" w:rsidRDefault="00131096" w:rsidP="00E41485">
      <w:pPr>
        <w:pStyle w:val="BodyText"/>
        <w:rPr>
          <w:rFonts w:cs="Arial"/>
        </w:rPr>
      </w:pPr>
      <w:r w:rsidRPr="00364D28">
        <w:rPr>
          <w:rFonts w:cs="Arial"/>
        </w:rPr>
        <w:t>The</w:t>
      </w:r>
      <w:r w:rsidR="003A4B7B">
        <w:rPr>
          <w:rFonts w:cs="Arial"/>
        </w:rPr>
        <w:t xml:space="preserve"> provisions in the</w:t>
      </w:r>
      <w:r w:rsidRPr="00364D28">
        <w:rPr>
          <w:rFonts w:cs="Arial"/>
        </w:rPr>
        <w:t xml:space="preserve"> </w:t>
      </w:r>
      <w:r w:rsidR="00364D28" w:rsidRPr="00364D28">
        <w:rPr>
          <w:rFonts w:cs="Arial"/>
        </w:rPr>
        <w:t xml:space="preserve">Interim </w:t>
      </w:r>
      <w:r w:rsidRPr="00364D28">
        <w:rPr>
          <w:rFonts w:cs="Arial"/>
        </w:rPr>
        <w:t xml:space="preserve">Regulations to prevent </w:t>
      </w:r>
      <w:r w:rsidR="00DB3ADD">
        <w:rPr>
          <w:rFonts w:cs="Arial"/>
        </w:rPr>
        <w:t>double-dipping</w:t>
      </w:r>
      <w:r w:rsidRPr="00364D28">
        <w:rPr>
          <w:rFonts w:cs="Arial"/>
        </w:rPr>
        <w:t xml:space="preserve"> require</w:t>
      </w:r>
      <w:r w:rsidR="00364D28" w:rsidRPr="00364D28">
        <w:rPr>
          <w:rFonts w:cs="Arial"/>
        </w:rPr>
        <w:t>d</w:t>
      </w:r>
      <w:r w:rsidRPr="00364D28">
        <w:rPr>
          <w:rFonts w:cs="Arial"/>
        </w:rPr>
        <w:t xml:space="preserve"> </w:t>
      </w:r>
      <w:r w:rsidR="00DB01D9">
        <w:rPr>
          <w:rFonts w:cs="Arial"/>
        </w:rPr>
        <w:t>employers</w:t>
      </w:r>
      <w:r w:rsidRPr="00364D28">
        <w:rPr>
          <w:rFonts w:cs="Arial"/>
        </w:rPr>
        <w:t xml:space="preserve"> to be aware of, and report to, the Au</w:t>
      </w:r>
      <w:r w:rsidR="00CE77A7">
        <w:rPr>
          <w:rFonts w:cs="Arial"/>
        </w:rPr>
        <w:t>thority when employees claim a fair w</w:t>
      </w:r>
      <w:r w:rsidRPr="00364D28">
        <w:rPr>
          <w:rFonts w:cs="Arial"/>
        </w:rPr>
        <w:t xml:space="preserve">ork benefit. It is expected that this will result in a minimal amount of additional administrative work. </w:t>
      </w:r>
      <w:r w:rsidR="00DB01D9">
        <w:rPr>
          <w:rFonts w:cs="Arial"/>
        </w:rPr>
        <w:t>Employers</w:t>
      </w:r>
      <w:r w:rsidRPr="00364D28">
        <w:rPr>
          <w:rFonts w:cs="Arial"/>
        </w:rPr>
        <w:t xml:space="preserve"> </w:t>
      </w:r>
      <w:r w:rsidR="00364D28" w:rsidRPr="00364D28">
        <w:rPr>
          <w:rFonts w:cs="Arial"/>
        </w:rPr>
        <w:t>would</w:t>
      </w:r>
      <w:r w:rsidRPr="00364D28">
        <w:rPr>
          <w:rFonts w:cs="Arial"/>
        </w:rPr>
        <w:t xml:space="preserve"> be required to ensure this information is filed for the purposes of quarterly returns as well as their own payroll purposes. This </w:t>
      </w:r>
      <w:r w:rsidR="00364D28" w:rsidRPr="00364D28">
        <w:rPr>
          <w:rFonts w:cs="Arial"/>
        </w:rPr>
        <w:t>was</w:t>
      </w:r>
      <w:r w:rsidRPr="00364D28">
        <w:rPr>
          <w:rFonts w:cs="Arial"/>
        </w:rPr>
        <w:t xml:space="preserve"> not expected to disproportionately impact small businesses. </w:t>
      </w:r>
      <w:r w:rsidR="00364D28" w:rsidRPr="00364D28">
        <w:rPr>
          <w:rFonts w:cs="Arial"/>
        </w:rPr>
        <w:t>The 2019 RIS found that the</w:t>
      </w:r>
      <w:r w:rsidRPr="00364D28">
        <w:rPr>
          <w:rFonts w:cs="Arial"/>
        </w:rPr>
        <w:t xml:space="preserve"> administrative burden should be seen to be offset by the reduced likelihood of a double-dipping scenario and its attendant costs.</w:t>
      </w:r>
    </w:p>
    <w:p w14:paraId="26B21067" w14:textId="78736097" w:rsidR="00D8248D" w:rsidRDefault="00131096" w:rsidP="00556277">
      <w:pPr>
        <w:pStyle w:val="Heading3"/>
        <w:tabs>
          <w:tab w:val="clear" w:pos="5115"/>
        </w:tabs>
        <w:spacing w:before="100" w:beforeAutospacing="1" w:after="100" w:afterAutospacing="1"/>
        <w:ind w:left="709"/>
        <w:rPr>
          <w:rFonts w:ascii="Arial" w:hAnsi="Arial" w:cs="Arial"/>
        </w:rPr>
      </w:pPr>
      <w:r>
        <w:rPr>
          <w:rFonts w:ascii="Arial" w:hAnsi="Arial" w:cs="Arial"/>
        </w:rPr>
        <w:lastRenderedPageBreak/>
        <w:t>Additional i</w:t>
      </w:r>
      <w:r w:rsidR="00D8248D">
        <w:rPr>
          <w:rFonts w:ascii="Arial" w:hAnsi="Arial" w:cs="Arial"/>
        </w:rPr>
        <w:t xml:space="preserve">mpact </w:t>
      </w:r>
      <w:r w:rsidR="00E41485">
        <w:rPr>
          <w:rFonts w:ascii="Arial" w:hAnsi="Arial" w:cs="Arial"/>
        </w:rPr>
        <w:t xml:space="preserve">on small business </w:t>
      </w:r>
      <w:r w:rsidR="00D8248D">
        <w:rPr>
          <w:rFonts w:ascii="Arial" w:hAnsi="Arial" w:cs="Arial"/>
        </w:rPr>
        <w:t>of the Proposed Regulations</w:t>
      </w:r>
    </w:p>
    <w:p w14:paraId="3D9F99D3" w14:textId="55C12CFA" w:rsidR="00571737" w:rsidRPr="00571737" w:rsidRDefault="00571737" w:rsidP="00571737">
      <w:pPr>
        <w:pStyle w:val="BodyText"/>
      </w:pPr>
      <w:r w:rsidRPr="00657D8A">
        <w:rPr>
          <w:rFonts w:cs="Arial"/>
          <w:szCs w:val="20"/>
        </w:rPr>
        <w:t>T</w:t>
      </w:r>
      <w:r w:rsidR="00657D8A" w:rsidRPr="00657D8A">
        <w:rPr>
          <w:rFonts w:cs="Arial"/>
          <w:szCs w:val="20"/>
        </w:rPr>
        <w:t>he following sub-sections provid</w:t>
      </w:r>
      <w:r w:rsidRPr="00657D8A">
        <w:rPr>
          <w:rFonts w:cs="Arial"/>
          <w:szCs w:val="20"/>
        </w:rPr>
        <w:t xml:space="preserve">e a summary of the impact of the </w:t>
      </w:r>
      <w:r w:rsidR="00657D8A" w:rsidRPr="00657D8A">
        <w:rPr>
          <w:rFonts w:cs="Arial"/>
          <w:szCs w:val="20"/>
        </w:rPr>
        <w:t>Proposed Regulations</w:t>
      </w:r>
      <w:r w:rsidR="00D12D90">
        <w:rPr>
          <w:rFonts w:cs="Arial"/>
          <w:szCs w:val="20"/>
        </w:rPr>
        <w:t xml:space="preserve"> (detailed in section </w:t>
      </w:r>
      <w:r w:rsidR="00D12D90">
        <w:rPr>
          <w:rFonts w:cs="Arial"/>
          <w:szCs w:val="20"/>
        </w:rPr>
        <w:fldChar w:fldCharType="begin"/>
      </w:r>
      <w:r w:rsidR="00D12D90">
        <w:rPr>
          <w:rFonts w:cs="Arial"/>
          <w:szCs w:val="20"/>
        </w:rPr>
        <w:instrText xml:space="preserve"> REF _Ref36126050 \r \h </w:instrText>
      </w:r>
      <w:r w:rsidR="00D12D90">
        <w:rPr>
          <w:rFonts w:cs="Arial"/>
          <w:szCs w:val="20"/>
        </w:rPr>
      </w:r>
      <w:r w:rsidR="00D12D90">
        <w:rPr>
          <w:rFonts w:cs="Arial"/>
          <w:szCs w:val="20"/>
        </w:rPr>
        <w:fldChar w:fldCharType="separate"/>
      </w:r>
      <w:r w:rsidR="00D12D90">
        <w:rPr>
          <w:rFonts w:cs="Arial"/>
          <w:szCs w:val="20"/>
        </w:rPr>
        <w:t>6.1</w:t>
      </w:r>
      <w:r w:rsidR="00D12D90">
        <w:rPr>
          <w:rFonts w:cs="Arial"/>
          <w:szCs w:val="20"/>
        </w:rPr>
        <w:fldChar w:fldCharType="end"/>
      </w:r>
      <w:r w:rsidR="00D12D90">
        <w:rPr>
          <w:rFonts w:cs="Arial"/>
          <w:szCs w:val="20"/>
        </w:rPr>
        <w:t>)</w:t>
      </w:r>
      <w:r w:rsidR="00657D8A" w:rsidRPr="00657D8A">
        <w:rPr>
          <w:rFonts w:cs="Arial"/>
          <w:szCs w:val="20"/>
        </w:rPr>
        <w:t xml:space="preserve"> on small business compared to the status quo under the Interim Regulations.</w:t>
      </w:r>
    </w:p>
    <w:p w14:paraId="25A8D18A" w14:textId="164CCEA3" w:rsidR="003843AE" w:rsidRDefault="003843AE" w:rsidP="00E41485">
      <w:pPr>
        <w:pStyle w:val="Heading4"/>
        <w:ind w:left="709"/>
        <w:rPr>
          <w:rFonts w:ascii="Arial" w:hAnsi="Arial" w:cs="Arial"/>
          <w:sz w:val="20"/>
          <w:szCs w:val="20"/>
        </w:rPr>
      </w:pPr>
      <w:r>
        <w:rPr>
          <w:rFonts w:ascii="Arial" w:hAnsi="Arial" w:cs="Arial"/>
          <w:sz w:val="20"/>
          <w:szCs w:val="20"/>
        </w:rPr>
        <w:t>What is defined as community service work</w:t>
      </w:r>
    </w:p>
    <w:p w14:paraId="587B556D" w14:textId="48EF1182" w:rsidR="003843AE" w:rsidRPr="00DB3ADD" w:rsidRDefault="003843AE" w:rsidP="00DB3ADD">
      <w:pPr>
        <w:autoSpaceDE w:val="0"/>
        <w:autoSpaceDN w:val="0"/>
        <w:adjustRightInd w:val="0"/>
        <w:spacing w:line="240" w:lineRule="auto"/>
      </w:pPr>
      <w:r>
        <w:rPr>
          <w:rFonts w:ascii="Arial" w:hAnsi="Arial" w:cs="Arial"/>
          <w:color w:val="auto"/>
        </w:rPr>
        <w:t>Clarifying</w:t>
      </w:r>
      <w:r w:rsidRPr="004B3C99">
        <w:rPr>
          <w:rFonts w:ascii="Arial" w:hAnsi="Arial" w:cs="Arial"/>
          <w:color w:val="auto"/>
        </w:rPr>
        <w:t xml:space="preserve"> that </w:t>
      </w:r>
      <w:r>
        <w:rPr>
          <w:rFonts w:ascii="Arial" w:hAnsi="Arial" w:cs="Arial"/>
          <w:color w:val="auto"/>
        </w:rPr>
        <w:t>delivering care</w:t>
      </w:r>
      <w:r w:rsidRPr="004B3C99">
        <w:rPr>
          <w:rFonts w:ascii="Arial" w:hAnsi="Arial" w:cs="Arial"/>
          <w:color w:val="auto"/>
        </w:rPr>
        <w:t xml:space="preserve"> </w:t>
      </w:r>
      <w:r>
        <w:rPr>
          <w:rFonts w:ascii="Arial" w:hAnsi="Arial" w:cs="Arial"/>
          <w:color w:val="auto"/>
        </w:rPr>
        <w:t>in a private residence, irrespective of the age of the client,</w:t>
      </w:r>
      <w:r w:rsidRPr="004B3C99">
        <w:rPr>
          <w:rFonts w:ascii="Arial" w:hAnsi="Arial" w:cs="Arial"/>
          <w:color w:val="auto"/>
        </w:rPr>
        <w:t xml:space="preserve"> is </w:t>
      </w:r>
      <w:r w:rsidR="0060163D">
        <w:rPr>
          <w:rFonts w:ascii="Arial" w:hAnsi="Arial" w:cs="Arial"/>
          <w:color w:val="auto"/>
        </w:rPr>
        <w:t>included in the definition of</w:t>
      </w:r>
      <w:r>
        <w:rPr>
          <w:rFonts w:ascii="Arial" w:hAnsi="Arial" w:cs="Arial"/>
          <w:color w:val="auto"/>
        </w:rPr>
        <w:t xml:space="preserve"> community service work is </w:t>
      </w:r>
      <w:r w:rsidRPr="0017158D">
        <w:rPr>
          <w:rFonts w:ascii="Arial" w:hAnsi="Arial" w:cs="Arial"/>
          <w:color w:val="auto"/>
        </w:rPr>
        <w:t>expect</w:t>
      </w:r>
      <w:r>
        <w:rPr>
          <w:rFonts w:ascii="Arial" w:hAnsi="Arial" w:cs="Arial"/>
          <w:color w:val="auto"/>
        </w:rPr>
        <w:t>ed</w:t>
      </w:r>
      <w:r w:rsidRPr="0017158D">
        <w:rPr>
          <w:rFonts w:ascii="Arial" w:hAnsi="Arial" w:cs="Arial"/>
          <w:color w:val="auto"/>
        </w:rPr>
        <w:t xml:space="preserve"> to have a financial impact on </w:t>
      </w:r>
      <w:r>
        <w:rPr>
          <w:rFonts w:ascii="Arial" w:hAnsi="Arial" w:cs="Arial"/>
          <w:color w:val="auto"/>
        </w:rPr>
        <w:t xml:space="preserve">small businesses </w:t>
      </w:r>
      <w:r w:rsidR="00F80BA6">
        <w:rPr>
          <w:rFonts w:ascii="Arial" w:hAnsi="Arial" w:cs="Arial"/>
          <w:color w:val="auto"/>
        </w:rPr>
        <w:t>that</w:t>
      </w:r>
      <w:r w:rsidRPr="0017158D">
        <w:rPr>
          <w:rFonts w:ascii="Arial" w:hAnsi="Arial" w:cs="Arial"/>
          <w:color w:val="auto"/>
        </w:rPr>
        <w:t xml:space="preserve">, under the status quo, have not registered </w:t>
      </w:r>
      <w:r>
        <w:rPr>
          <w:rFonts w:ascii="Arial" w:hAnsi="Arial" w:cs="Arial"/>
          <w:color w:val="auto"/>
        </w:rPr>
        <w:t xml:space="preserve">themselves or their employees </w:t>
      </w:r>
      <w:r w:rsidRPr="0017158D">
        <w:rPr>
          <w:rFonts w:ascii="Arial" w:hAnsi="Arial" w:cs="Arial"/>
          <w:color w:val="auto"/>
        </w:rPr>
        <w:t xml:space="preserve">with the Authority because of a misunderstanding relating to their eligibility. </w:t>
      </w:r>
      <w:r>
        <w:rPr>
          <w:rFonts w:ascii="Arial" w:hAnsi="Arial" w:cs="Arial"/>
          <w:color w:val="auto"/>
        </w:rPr>
        <w:t xml:space="preserve">These employers would now need to register with the Authority and pay </w:t>
      </w:r>
      <w:r w:rsidR="00F35678">
        <w:rPr>
          <w:rFonts w:ascii="Arial" w:hAnsi="Arial" w:cs="Arial"/>
          <w:color w:val="auto"/>
        </w:rPr>
        <w:t>levie</w:t>
      </w:r>
      <w:r>
        <w:rPr>
          <w:rFonts w:ascii="Arial" w:hAnsi="Arial" w:cs="Arial"/>
          <w:color w:val="auto"/>
        </w:rPr>
        <w:t>s to the Authority on behalf of their eligible employees.</w:t>
      </w:r>
    </w:p>
    <w:p w14:paraId="57122773" w14:textId="4723E52B" w:rsidR="00E41485" w:rsidRPr="001D348D" w:rsidRDefault="00E41485" w:rsidP="001D348D">
      <w:pPr>
        <w:pStyle w:val="Heading4"/>
        <w:ind w:left="709"/>
        <w:rPr>
          <w:rFonts w:ascii="Arial" w:hAnsi="Arial" w:cs="Arial"/>
          <w:sz w:val="20"/>
          <w:szCs w:val="20"/>
        </w:rPr>
      </w:pPr>
      <w:r w:rsidRPr="001D348D">
        <w:rPr>
          <w:rFonts w:ascii="Arial" w:hAnsi="Arial" w:cs="Arial"/>
          <w:sz w:val="20"/>
          <w:szCs w:val="20"/>
        </w:rPr>
        <w:t>Who is</w:t>
      </w:r>
      <w:r w:rsidR="0071726F" w:rsidRPr="0071726F">
        <w:rPr>
          <w:rFonts w:ascii="Arial" w:hAnsi="Arial" w:cs="Arial"/>
          <w:sz w:val="20"/>
          <w:szCs w:val="20"/>
        </w:rPr>
        <w:t xml:space="preserve"> regarded as</w:t>
      </w:r>
      <w:r w:rsidRPr="001D348D">
        <w:rPr>
          <w:rFonts w:ascii="Arial" w:hAnsi="Arial" w:cs="Arial"/>
          <w:sz w:val="20"/>
          <w:szCs w:val="20"/>
        </w:rPr>
        <w:t xml:space="preserve"> an employer in the community services sector</w:t>
      </w:r>
    </w:p>
    <w:p w14:paraId="3CA668E0" w14:textId="167F7B40" w:rsidR="00E41485" w:rsidRDefault="00012E12" w:rsidP="00012E12">
      <w:pPr>
        <w:autoSpaceDE w:val="0"/>
        <w:autoSpaceDN w:val="0"/>
        <w:adjustRightInd w:val="0"/>
        <w:spacing w:line="240" w:lineRule="auto"/>
        <w:rPr>
          <w:rFonts w:ascii="Arial" w:hAnsi="Arial" w:cs="Arial"/>
          <w:color w:val="auto"/>
        </w:rPr>
      </w:pPr>
      <w:r w:rsidRPr="00012E12">
        <w:rPr>
          <w:rFonts w:ascii="Arial" w:hAnsi="Arial" w:cs="Arial"/>
          <w:color w:val="auto"/>
        </w:rPr>
        <w:t>Removing the employer predominance test would reduce the administrative burden on small business.</w:t>
      </w:r>
      <w:r>
        <w:rPr>
          <w:rFonts w:ascii="Arial" w:hAnsi="Arial" w:cs="Arial"/>
          <w:color w:val="auto"/>
        </w:rPr>
        <w:t xml:space="preserve"> </w:t>
      </w:r>
      <w:r w:rsidRPr="0084647F">
        <w:rPr>
          <w:rFonts w:ascii="Arial" w:hAnsi="Arial" w:cs="Arial"/>
          <w:color w:val="auto"/>
        </w:rPr>
        <w:t>As detailed in section</w:t>
      </w:r>
      <w:r>
        <w:rPr>
          <w:rFonts w:ascii="Arial" w:hAnsi="Arial" w:cs="Arial"/>
          <w:color w:val="auto"/>
        </w:rPr>
        <w:t xml:space="preserve"> </w:t>
      </w:r>
      <w:r w:rsidR="008A3887">
        <w:rPr>
          <w:rFonts w:ascii="Arial" w:hAnsi="Arial" w:cs="Arial"/>
          <w:color w:val="auto"/>
        </w:rPr>
        <w:fldChar w:fldCharType="begin"/>
      </w:r>
      <w:r w:rsidR="008A3887">
        <w:rPr>
          <w:rFonts w:ascii="Arial" w:hAnsi="Arial" w:cs="Arial"/>
          <w:color w:val="auto"/>
        </w:rPr>
        <w:instrText xml:space="preserve"> REF _Ref35436849 \r \h </w:instrText>
      </w:r>
      <w:r w:rsidR="008A3887">
        <w:rPr>
          <w:rFonts w:ascii="Arial" w:hAnsi="Arial" w:cs="Arial"/>
          <w:color w:val="auto"/>
        </w:rPr>
      </w:r>
      <w:r w:rsidR="008A3887">
        <w:rPr>
          <w:rFonts w:ascii="Arial" w:hAnsi="Arial" w:cs="Arial"/>
          <w:color w:val="auto"/>
        </w:rPr>
        <w:fldChar w:fldCharType="separate"/>
      </w:r>
      <w:r w:rsidR="008A3887">
        <w:rPr>
          <w:rFonts w:ascii="Arial" w:hAnsi="Arial" w:cs="Arial"/>
          <w:color w:val="auto"/>
        </w:rPr>
        <w:t>5.2.2.1</w:t>
      </w:r>
      <w:r w:rsidR="008A3887">
        <w:rPr>
          <w:rFonts w:ascii="Arial" w:hAnsi="Arial" w:cs="Arial"/>
          <w:color w:val="auto"/>
        </w:rPr>
        <w:fldChar w:fldCharType="end"/>
      </w:r>
      <w:r>
        <w:rPr>
          <w:rFonts w:ascii="Arial" w:hAnsi="Arial" w:cs="Arial"/>
          <w:color w:val="auto"/>
        </w:rPr>
        <w:t xml:space="preserve">, this is expected to increase the number of employers covered by the Scheme, potentially having a financial impact on small businesses that were previously excluded because they did not predominantly </w:t>
      </w:r>
      <w:r w:rsidR="0060163D">
        <w:rPr>
          <w:rFonts w:ascii="Arial" w:hAnsi="Arial" w:cs="Arial"/>
          <w:color w:val="auto"/>
        </w:rPr>
        <w:t xml:space="preserve">perform </w:t>
      </w:r>
      <w:r>
        <w:rPr>
          <w:rFonts w:ascii="Arial" w:hAnsi="Arial" w:cs="Arial"/>
          <w:color w:val="auto"/>
        </w:rPr>
        <w:t>community service work.</w:t>
      </w:r>
    </w:p>
    <w:p w14:paraId="5C42F60F" w14:textId="4F9F952C" w:rsidR="001D348D" w:rsidRDefault="00012E12" w:rsidP="00012E12">
      <w:pPr>
        <w:autoSpaceDE w:val="0"/>
        <w:autoSpaceDN w:val="0"/>
        <w:adjustRightInd w:val="0"/>
        <w:spacing w:line="240" w:lineRule="auto"/>
        <w:rPr>
          <w:rFonts w:ascii="Arial" w:hAnsi="Arial" w:cs="Arial"/>
          <w:color w:val="auto"/>
        </w:rPr>
      </w:pPr>
      <w:r>
        <w:rPr>
          <w:rFonts w:ascii="Arial" w:hAnsi="Arial" w:cs="Arial"/>
          <w:color w:val="auto"/>
        </w:rPr>
        <w:t xml:space="preserve">Clarifying that </w:t>
      </w:r>
      <w:r w:rsidR="0072722B">
        <w:rPr>
          <w:rFonts w:ascii="Arial" w:hAnsi="Arial" w:cs="Arial"/>
          <w:color w:val="auto"/>
        </w:rPr>
        <w:t>Community Health Centre</w:t>
      </w:r>
      <w:r>
        <w:rPr>
          <w:rFonts w:ascii="Arial" w:hAnsi="Arial" w:cs="Arial"/>
          <w:color w:val="auto"/>
        </w:rPr>
        <w:t xml:space="preserve">s are within scope of the Scheme </w:t>
      </w:r>
      <w:r w:rsidR="004B3A33">
        <w:rPr>
          <w:rFonts w:ascii="Arial" w:hAnsi="Arial" w:cs="Arial"/>
          <w:color w:val="auto"/>
        </w:rPr>
        <w:t>is not expected to</w:t>
      </w:r>
      <w:r w:rsidR="00424022">
        <w:rPr>
          <w:rFonts w:ascii="Arial" w:hAnsi="Arial" w:cs="Arial"/>
          <w:color w:val="auto"/>
        </w:rPr>
        <w:t xml:space="preserve"> impact small businesses</w:t>
      </w:r>
      <w:r w:rsidR="004B3A33">
        <w:rPr>
          <w:rFonts w:ascii="Arial" w:hAnsi="Arial" w:cs="Arial"/>
          <w:color w:val="auto"/>
        </w:rPr>
        <w:t>. No examples of</w:t>
      </w:r>
      <w:r>
        <w:rPr>
          <w:rFonts w:ascii="Arial" w:hAnsi="Arial" w:cs="Arial"/>
          <w:color w:val="auto"/>
        </w:rPr>
        <w:t xml:space="preserve"> </w:t>
      </w:r>
      <w:r w:rsidR="0072722B">
        <w:rPr>
          <w:rFonts w:ascii="Arial" w:hAnsi="Arial" w:cs="Arial"/>
          <w:color w:val="auto"/>
        </w:rPr>
        <w:t>Community Health Centre</w:t>
      </w:r>
      <w:r>
        <w:rPr>
          <w:rFonts w:ascii="Arial" w:hAnsi="Arial" w:cs="Arial"/>
          <w:color w:val="auto"/>
        </w:rPr>
        <w:t>s employ</w:t>
      </w:r>
      <w:r w:rsidR="004B3A33">
        <w:rPr>
          <w:rFonts w:ascii="Arial" w:hAnsi="Arial" w:cs="Arial"/>
          <w:color w:val="auto"/>
        </w:rPr>
        <w:t>ing</w:t>
      </w:r>
      <w:r>
        <w:rPr>
          <w:rFonts w:ascii="Arial" w:hAnsi="Arial" w:cs="Arial"/>
          <w:color w:val="auto"/>
        </w:rPr>
        <w:t xml:space="preserve"> less than 20 people</w:t>
      </w:r>
      <w:r w:rsidR="004B3A33">
        <w:rPr>
          <w:rFonts w:ascii="Arial" w:hAnsi="Arial" w:cs="Arial"/>
          <w:color w:val="auto"/>
        </w:rPr>
        <w:t xml:space="preserve"> were identified</w:t>
      </w:r>
      <w:r>
        <w:rPr>
          <w:rFonts w:ascii="Arial" w:hAnsi="Arial" w:cs="Arial"/>
          <w:color w:val="auto"/>
        </w:rPr>
        <w:t xml:space="preserve">. </w:t>
      </w:r>
    </w:p>
    <w:p w14:paraId="286B26A0" w14:textId="717E2AEF" w:rsidR="00012E12" w:rsidRDefault="004F1506" w:rsidP="00012E12">
      <w:pPr>
        <w:autoSpaceDE w:val="0"/>
        <w:autoSpaceDN w:val="0"/>
        <w:adjustRightInd w:val="0"/>
        <w:spacing w:line="240" w:lineRule="auto"/>
        <w:rPr>
          <w:rFonts w:ascii="Arial" w:hAnsi="Arial" w:cs="Arial"/>
          <w:color w:val="auto"/>
        </w:rPr>
      </w:pPr>
      <w:r>
        <w:rPr>
          <w:rFonts w:ascii="Arial" w:hAnsi="Arial" w:cs="Arial"/>
          <w:color w:val="auto"/>
        </w:rPr>
        <w:t>W</w:t>
      </w:r>
      <w:r w:rsidR="00012E12">
        <w:rPr>
          <w:rFonts w:ascii="Arial" w:hAnsi="Arial" w:cs="Arial"/>
          <w:color w:val="auto"/>
        </w:rPr>
        <w:t>omen’s health centres</w:t>
      </w:r>
      <w:r>
        <w:rPr>
          <w:rFonts w:ascii="Arial" w:hAnsi="Arial" w:cs="Arial"/>
          <w:color w:val="auto"/>
        </w:rPr>
        <w:t>, including a small number of small operators,</w:t>
      </w:r>
      <w:r w:rsidR="00012E12">
        <w:rPr>
          <w:rFonts w:ascii="Arial" w:hAnsi="Arial" w:cs="Arial"/>
          <w:color w:val="auto"/>
        </w:rPr>
        <w:t xml:space="preserve"> </w:t>
      </w:r>
      <w:r w:rsidR="004B3A33">
        <w:rPr>
          <w:rFonts w:ascii="Arial" w:hAnsi="Arial" w:cs="Arial"/>
          <w:color w:val="auto"/>
        </w:rPr>
        <w:t xml:space="preserve">will be </w:t>
      </w:r>
      <w:r w:rsidR="00012E12">
        <w:rPr>
          <w:rFonts w:ascii="Arial" w:hAnsi="Arial" w:cs="Arial"/>
          <w:color w:val="auto"/>
        </w:rPr>
        <w:t xml:space="preserve">brought into scope of the Scheme, although the number cannot be quantified as reliable workforce data is not available. </w:t>
      </w:r>
      <w:r w:rsidR="003843AE">
        <w:rPr>
          <w:rFonts w:ascii="Arial" w:hAnsi="Arial" w:cs="Arial"/>
          <w:color w:val="auto"/>
        </w:rPr>
        <w:t xml:space="preserve">Many of these employers have already registered with the Scheme, although they have not registered the majority of their staff. </w:t>
      </w:r>
      <w:r w:rsidR="004B3A33">
        <w:rPr>
          <w:rFonts w:ascii="Arial" w:hAnsi="Arial" w:cs="Arial"/>
          <w:color w:val="auto"/>
        </w:rPr>
        <w:t xml:space="preserve">Providing certainty that employees performing community service work at </w:t>
      </w:r>
      <w:r w:rsidR="0072722B">
        <w:rPr>
          <w:rFonts w:ascii="Arial" w:hAnsi="Arial" w:cs="Arial"/>
          <w:color w:val="auto"/>
        </w:rPr>
        <w:t>Women’s Health Centre</w:t>
      </w:r>
      <w:r w:rsidR="004B3A33">
        <w:rPr>
          <w:rFonts w:ascii="Arial" w:hAnsi="Arial" w:cs="Arial"/>
          <w:color w:val="auto"/>
        </w:rPr>
        <w:t xml:space="preserve">s are covered by the Scheme </w:t>
      </w:r>
      <w:r>
        <w:rPr>
          <w:rFonts w:ascii="Arial" w:hAnsi="Arial" w:cs="Arial"/>
          <w:color w:val="auto"/>
        </w:rPr>
        <w:t>reduce uncertainty costs for employers</w:t>
      </w:r>
      <w:r w:rsidR="004C7D37">
        <w:rPr>
          <w:rFonts w:ascii="Arial" w:hAnsi="Arial" w:cs="Arial"/>
          <w:color w:val="auto"/>
        </w:rPr>
        <w:t>,</w:t>
      </w:r>
      <w:r>
        <w:rPr>
          <w:rFonts w:ascii="Arial" w:hAnsi="Arial" w:cs="Arial"/>
          <w:color w:val="auto"/>
        </w:rPr>
        <w:t xml:space="preserve"> but this benefit will be partly offset by greater financial costs (levy payments). </w:t>
      </w:r>
    </w:p>
    <w:p w14:paraId="2906637F" w14:textId="5017B9C7" w:rsidR="00012E12" w:rsidRPr="00012E12" w:rsidRDefault="00012E12" w:rsidP="00012E12">
      <w:pPr>
        <w:autoSpaceDE w:val="0"/>
        <w:autoSpaceDN w:val="0"/>
        <w:adjustRightInd w:val="0"/>
        <w:spacing w:line="240" w:lineRule="auto"/>
        <w:rPr>
          <w:rFonts w:ascii="Arial" w:hAnsi="Arial" w:cs="Arial"/>
          <w:color w:val="auto"/>
        </w:rPr>
      </w:pPr>
      <w:r>
        <w:rPr>
          <w:rFonts w:ascii="Arial" w:hAnsi="Arial" w:cs="Arial"/>
          <w:color w:val="auto"/>
        </w:rPr>
        <w:t xml:space="preserve">Clarifying that </w:t>
      </w:r>
      <w:r w:rsidR="00D36BC6">
        <w:rPr>
          <w:rFonts w:ascii="Arial" w:hAnsi="Arial" w:cs="Arial"/>
          <w:color w:val="auto"/>
        </w:rPr>
        <w:t>for</w:t>
      </w:r>
      <w:r w:rsidR="00D36BC6">
        <w:rPr>
          <w:rFonts w:ascii="Arial" w:hAnsi="Arial" w:cs="Arial"/>
          <w:color w:val="auto"/>
        </w:rPr>
        <w:noBreakHyphen/>
        <w:t>profit</w:t>
      </w:r>
      <w:r>
        <w:rPr>
          <w:rFonts w:ascii="Arial" w:hAnsi="Arial" w:cs="Arial"/>
          <w:color w:val="auto"/>
        </w:rPr>
        <w:t xml:space="preserve"> early childhood education providers are not covered for the Scheme will be beneficial for any small </w:t>
      </w:r>
      <w:r w:rsidR="00D36BC6">
        <w:rPr>
          <w:rFonts w:ascii="Arial" w:hAnsi="Arial" w:cs="Arial"/>
          <w:color w:val="auto"/>
        </w:rPr>
        <w:t>for</w:t>
      </w:r>
      <w:r w:rsidR="00D36BC6">
        <w:rPr>
          <w:rFonts w:ascii="Arial" w:hAnsi="Arial" w:cs="Arial"/>
          <w:color w:val="auto"/>
        </w:rPr>
        <w:noBreakHyphen/>
        <w:t>profit</w:t>
      </w:r>
      <w:r w:rsidR="00424022">
        <w:rPr>
          <w:rFonts w:ascii="Arial" w:hAnsi="Arial" w:cs="Arial"/>
          <w:color w:val="auto"/>
        </w:rPr>
        <w:t xml:space="preserve"> </w:t>
      </w:r>
      <w:r>
        <w:rPr>
          <w:rFonts w:ascii="Arial" w:hAnsi="Arial" w:cs="Arial"/>
          <w:color w:val="auto"/>
        </w:rPr>
        <w:t xml:space="preserve">early childhood </w:t>
      </w:r>
      <w:r w:rsidR="00DB01D9">
        <w:rPr>
          <w:rFonts w:ascii="Arial" w:hAnsi="Arial" w:cs="Arial"/>
          <w:color w:val="auto"/>
        </w:rPr>
        <w:t>employers</w:t>
      </w:r>
      <w:r w:rsidR="00424022">
        <w:rPr>
          <w:rFonts w:ascii="Arial" w:hAnsi="Arial" w:cs="Arial"/>
          <w:color w:val="auto"/>
        </w:rPr>
        <w:t xml:space="preserve"> that have currently registered with the Authority</w:t>
      </w:r>
      <w:r w:rsidR="00136E69">
        <w:rPr>
          <w:rFonts w:ascii="Arial" w:hAnsi="Arial" w:cs="Arial"/>
          <w:color w:val="auto"/>
        </w:rPr>
        <w:t xml:space="preserve"> as a result of the lack of clarity under the Interim Regulations. It </w:t>
      </w:r>
      <w:r w:rsidR="004C7D37">
        <w:rPr>
          <w:rFonts w:ascii="Arial" w:hAnsi="Arial" w:cs="Arial"/>
          <w:color w:val="auto"/>
        </w:rPr>
        <w:t xml:space="preserve">will </w:t>
      </w:r>
      <w:r w:rsidR="00136E69">
        <w:rPr>
          <w:rFonts w:ascii="Arial" w:hAnsi="Arial" w:cs="Arial"/>
          <w:color w:val="auto"/>
        </w:rPr>
        <w:t xml:space="preserve">also mean that </w:t>
      </w:r>
      <w:r w:rsidR="00D36BC6">
        <w:rPr>
          <w:rFonts w:ascii="Arial" w:hAnsi="Arial" w:cs="Arial"/>
          <w:color w:val="auto"/>
        </w:rPr>
        <w:t>for</w:t>
      </w:r>
      <w:r w:rsidR="00D36BC6">
        <w:rPr>
          <w:rFonts w:ascii="Arial" w:hAnsi="Arial" w:cs="Arial"/>
          <w:color w:val="auto"/>
        </w:rPr>
        <w:noBreakHyphen/>
        <w:t>profit</w:t>
      </w:r>
      <w:r w:rsidR="00136E69">
        <w:rPr>
          <w:rFonts w:ascii="Arial" w:hAnsi="Arial" w:cs="Arial"/>
          <w:color w:val="auto"/>
        </w:rPr>
        <w:t xml:space="preserve"> providers would no longer </w:t>
      </w:r>
      <w:r w:rsidR="004C7D37">
        <w:rPr>
          <w:rFonts w:ascii="Arial" w:hAnsi="Arial" w:cs="Arial"/>
          <w:color w:val="auto"/>
        </w:rPr>
        <w:t xml:space="preserve">be required </w:t>
      </w:r>
      <w:r w:rsidR="00136E69">
        <w:rPr>
          <w:rFonts w:ascii="Arial" w:hAnsi="Arial" w:cs="Arial"/>
          <w:color w:val="auto"/>
        </w:rPr>
        <w:t xml:space="preserve">to expend any effort </w:t>
      </w:r>
      <w:r w:rsidR="00C34D3F">
        <w:rPr>
          <w:rFonts w:ascii="Arial" w:hAnsi="Arial" w:cs="Arial"/>
          <w:color w:val="auto"/>
        </w:rPr>
        <w:t>determining</w:t>
      </w:r>
      <w:r w:rsidR="00136E69">
        <w:rPr>
          <w:rFonts w:ascii="Arial" w:hAnsi="Arial" w:cs="Arial"/>
          <w:color w:val="auto"/>
        </w:rPr>
        <w:t xml:space="preserve"> whether they need to register with the Authority.</w:t>
      </w:r>
    </w:p>
    <w:p w14:paraId="4AC86D39" w14:textId="353B1915" w:rsidR="00E41485" w:rsidRPr="008D7140" w:rsidRDefault="00E41485" w:rsidP="00E41485">
      <w:pPr>
        <w:pStyle w:val="Heading4"/>
        <w:ind w:left="709"/>
        <w:rPr>
          <w:rFonts w:ascii="Arial" w:hAnsi="Arial" w:cs="Arial"/>
          <w:sz w:val="20"/>
          <w:szCs w:val="20"/>
        </w:rPr>
      </w:pPr>
      <w:r>
        <w:rPr>
          <w:rFonts w:ascii="Arial" w:hAnsi="Arial" w:cs="Arial"/>
          <w:sz w:val="20"/>
          <w:szCs w:val="20"/>
        </w:rPr>
        <w:t xml:space="preserve">Who is </w:t>
      </w:r>
      <w:r w:rsidR="0071726F" w:rsidRPr="0071726F">
        <w:rPr>
          <w:rFonts w:ascii="Arial" w:hAnsi="Arial" w:cs="Arial"/>
          <w:sz w:val="20"/>
          <w:szCs w:val="20"/>
        </w:rPr>
        <w:t xml:space="preserve">regarded as </w:t>
      </w:r>
      <w:r>
        <w:rPr>
          <w:rFonts w:ascii="Arial" w:hAnsi="Arial" w:cs="Arial"/>
          <w:sz w:val="20"/>
          <w:szCs w:val="20"/>
        </w:rPr>
        <w:t>an employee in the community services sector</w:t>
      </w:r>
    </w:p>
    <w:p w14:paraId="5D8865D4" w14:textId="393EE3C1" w:rsidR="0084647F" w:rsidRPr="0084647F" w:rsidRDefault="0084647F" w:rsidP="0084647F">
      <w:pPr>
        <w:pStyle w:val="ListBullet"/>
        <w:numPr>
          <w:ilvl w:val="0"/>
          <w:numId w:val="0"/>
        </w:numPr>
        <w:rPr>
          <w:rFonts w:cs="Arial"/>
          <w:color w:val="auto"/>
        </w:rPr>
      </w:pPr>
      <w:r w:rsidRPr="0084647F">
        <w:rPr>
          <w:rFonts w:cs="Arial"/>
          <w:color w:val="auto"/>
        </w:rPr>
        <w:t xml:space="preserve">Introducing a modern awards test to define who is </w:t>
      </w:r>
      <w:r w:rsidR="0071726F">
        <w:rPr>
          <w:rFonts w:cs="Arial"/>
          <w:color w:val="auto"/>
        </w:rPr>
        <w:t xml:space="preserve">regarded as </w:t>
      </w:r>
      <w:r w:rsidRPr="0084647F">
        <w:rPr>
          <w:rFonts w:cs="Arial"/>
          <w:color w:val="auto"/>
        </w:rPr>
        <w:t xml:space="preserve">an employee in the community services sector would reduce the administrative burden </w:t>
      </w:r>
      <w:r w:rsidR="00012E12">
        <w:rPr>
          <w:rFonts w:cs="Arial"/>
          <w:color w:val="auto"/>
        </w:rPr>
        <w:t xml:space="preserve">on small business. </w:t>
      </w:r>
      <w:r w:rsidRPr="0084647F">
        <w:rPr>
          <w:rFonts w:cs="Arial"/>
          <w:color w:val="auto"/>
        </w:rPr>
        <w:t xml:space="preserve">As detailed in section </w:t>
      </w:r>
      <w:r w:rsidR="008A3887">
        <w:rPr>
          <w:rFonts w:cs="Arial"/>
          <w:color w:val="auto"/>
        </w:rPr>
        <w:fldChar w:fldCharType="begin"/>
      </w:r>
      <w:r w:rsidR="008A3887">
        <w:rPr>
          <w:rFonts w:cs="Arial"/>
          <w:color w:val="auto"/>
        </w:rPr>
        <w:instrText xml:space="preserve"> REF _Ref36805602 \r \h </w:instrText>
      </w:r>
      <w:r w:rsidR="008A3887">
        <w:rPr>
          <w:rFonts w:cs="Arial"/>
          <w:color w:val="auto"/>
        </w:rPr>
      </w:r>
      <w:r w:rsidR="008A3887">
        <w:rPr>
          <w:rFonts w:cs="Arial"/>
          <w:color w:val="auto"/>
        </w:rPr>
        <w:fldChar w:fldCharType="separate"/>
      </w:r>
      <w:r w:rsidR="008A3887">
        <w:rPr>
          <w:rFonts w:cs="Arial"/>
          <w:color w:val="auto"/>
        </w:rPr>
        <w:t>5.2.3</w:t>
      </w:r>
      <w:r w:rsidR="008A3887">
        <w:rPr>
          <w:rFonts w:cs="Arial"/>
          <w:color w:val="auto"/>
        </w:rPr>
        <w:fldChar w:fldCharType="end"/>
      </w:r>
      <w:r w:rsidRPr="0084647F">
        <w:rPr>
          <w:rFonts w:cs="Arial"/>
          <w:color w:val="auto"/>
        </w:rPr>
        <w:t xml:space="preserve">, replacing the current employee predominance test with a modern awards test is expected to result in </w:t>
      </w:r>
      <w:r w:rsidR="004C7D37">
        <w:rPr>
          <w:rFonts w:cs="Arial"/>
          <w:color w:val="auto"/>
        </w:rPr>
        <w:t>10</w:t>
      </w:r>
      <w:r w:rsidR="004C7D37">
        <w:rPr>
          <w:rFonts w:cs="Arial"/>
          <w:color w:val="auto"/>
        </w:rPr>
        <w:noBreakHyphen/>
        <w:t>20</w:t>
      </w:r>
      <w:r w:rsidR="00012E12">
        <w:rPr>
          <w:rFonts w:cs="Arial"/>
          <w:color w:val="auto"/>
        </w:rPr>
        <w:t xml:space="preserve"> percent </w:t>
      </w:r>
      <w:r w:rsidRPr="0084647F">
        <w:rPr>
          <w:rFonts w:cs="Arial"/>
          <w:color w:val="auto"/>
        </w:rPr>
        <w:t>more employees being covered by the Scheme, increasing the finan</w:t>
      </w:r>
      <w:r w:rsidR="00012E12">
        <w:rPr>
          <w:rFonts w:cs="Arial"/>
          <w:color w:val="auto"/>
        </w:rPr>
        <w:t xml:space="preserve">cial impact on small businesses. </w:t>
      </w:r>
    </w:p>
    <w:p w14:paraId="22872AAC" w14:textId="373E00C4" w:rsidR="00E41485" w:rsidRPr="008D7140" w:rsidRDefault="00E41485" w:rsidP="00E41485">
      <w:pPr>
        <w:pStyle w:val="Heading4"/>
        <w:ind w:left="709"/>
        <w:rPr>
          <w:rFonts w:ascii="Arial" w:hAnsi="Arial" w:cs="Arial"/>
          <w:sz w:val="20"/>
          <w:szCs w:val="20"/>
        </w:rPr>
      </w:pPr>
      <w:r>
        <w:rPr>
          <w:rFonts w:ascii="Arial" w:hAnsi="Arial" w:cs="Arial"/>
          <w:sz w:val="20"/>
          <w:szCs w:val="20"/>
        </w:rPr>
        <w:t xml:space="preserve">Who is </w:t>
      </w:r>
      <w:r w:rsidR="0071726F" w:rsidRPr="0071726F">
        <w:rPr>
          <w:rFonts w:ascii="Arial" w:hAnsi="Arial" w:cs="Arial"/>
          <w:sz w:val="20"/>
          <w:szCs w:val="20"/>
        </w:rPr>
        <w:t xml:space="preserve">regarded as </w:t>
      </w:r>
      <w:r>
        <w:rPr>
          <w:rFonts w:ascii="Arial" w:hAnsi="Arial" w:cs="Arial"/>
          <w:sz w:val="20"/>
          <w:szCs w:val="20"/>
        </w:rPr>
        <w:t>an employee in the security industry</w:t>
      </w:r>
    </w:p>
    <w:p w14:paraId="2958EE78" w14:textId="64B34DF3" w:rsidR="0084647F" w:rsidRPr="0084647F" w:rsidRDefault="00B86CBB" w:rsidP="0084647F">
      <w:pPr>
        <w:pStyle w:val="ListBullet"/>
        <w:numPr>
          <w:ilvl w:val="0"/>
          <w:numId w:val="0"/>
        </w:numPr>
        <w:rPr>
          <w:rFonts w:cs="Arial"/>
          <w:color w:val="auto"/>
        </w:rPr>
      </w:pPr>
      <w:r>
        <w:rPr>
          <w:rFonts w:cs="Arial"/>
          <w:color w:val="auto"/>
        </w:rPr>
        <w:t xml:space="preserve">Introducing an employee predominance test for the security industry </w:t>
      </w:r>
      <w:r w:rsidR="0084647F" w:rsidRPr="0084647F">
        <w:rPr>
          <w:rFonts w:cs="Arial"/>
          <w:color w:val="auto"/>
        </w:rPr>
        <w:t xml:space="preserve">would increase clarity for small businesses in the sector as to which of their employees are covered by the Scheme. </w:t>
      </w:r>
      <w:r>
        <w:rPr>
          <w:rFonts w:cs="Arial"/>
          <w:color w:val="auto"/>
        </w:rPr>
        <w:t xml:space="preserve">The test is consistent </w:t>
      </w:r>
      <w:r w:rsidR="00136E69">
        <w:rPr>
          <w:rFonts w:cs="Arial"/>
          <w:color w:val="auto"/>
        </w:rPr>
        <w:t xml:space="preserve">with </w:t>
      </w:r>
      <w:r>
        <w:rPr>
          <w:rFonts w:cs="Arial"/>
          <w:color w:val="auto"/>
        </w:rPr>
        <w:t xml:space="preserve">the existing test in the Interim Regulations for the contract cleaning sector, which has been simple for employers to implement. </w:t>
      </w:r>
      <w:r w:rsidR="0084647F" w:rsidRPr="0084647F">
        <w:rPr>
          <w:rFonts w:cs="Arial"/>
          <w:color w:val="auto"/>
        </w:rPr>
        <w:t>The introduction of this definition is not expected to have a financial impact on small busine</w:t>
      </w:r>
      <w:r w:rsidR="00E33F49">
        <w:rPr>
          <w:rFonts w:cs="Arial"/>
          <w:color w:val="auto"/>
        </w:rPr>
        <w:t>sses as it would not increase or</w:t>
      </w:r>
      <w:r w:rsidR="0084647F" w:rsidRPr="0084647F">
        <w:rPr>
          <w:rFonts w:cs="Arial"/>
          <w:color w:val="auto"/>
        </w:rPr>
        <w:t xml:space="preserve"> decrease the number of covered employees.</w:t>
      </w:r>
    </w:p>
    <w:p w14:paraId="6A0FE05D" w14:textId="45B323DB" w:rsidR="00E41485" w:rsidRPr="008D7140" w:rsidRDefault="00CF5417" w:rsidP="00E41485">
      <w:pPr>
        <w:pStyle w:val="Heading4"/>
        <w:ind w:left="709"/>
        <w:rPr>
          <w:rFonts w:ascii="Arial" w:hAnsi="Arial" w:cs="Arial"/>
          <w:sz w:val="20"/>
          <w:szCs w:val="20"/>
        </w:rPr>
      </w:pPr>
      <w:r w:rsidRPr="00CF5417">
        <w:rPr>
          <w:rFonts w:ascii="Arial" w:hAnsi="Arial" w:cs="Arial"/>
          <w:sz w:val="20"/>
          <w:szCs w:val="20"/>
        </w:rPr>
        <w:lastRenderedPageBreak/>
        <w:t>Reimbursing employers for</w:t>
      </w:r>
      <w:r w:rsidRPr="004C7D37">
        <w:rPr>
          <w:rFonts w:ascii="Arial" w:hAnsi="Arial" w:cs="Arial"/>
          <w:sz w:val="20"/>
          <w:szCs w:val="20"/>
        </w:rPr>
        <w:t xml:space="preserve"> </w:t>
      </w:r>
      <w:r w:rsidR="00DB3ADD" w:rsidRPr="004C7D37">
        <w:rPr>
          <w:rFonts w:ascii="Arial" w:hAnsi="Arial" w:cs="Arial"/>
          <w:sz w:val="20"/>
          <w:szCs w:val="20"/>
        </w:rPr>
        <w:t>double</w:t>
      </w:r>
      <w:r w:rsidR="00682E17" w:rsidRPr="004C7D37" w:rsidDel="00682E17">
        <w:rPr>
          <w:rFonts w:ascii="Arial" w:hAnsi="Arial" w:cs="Arial"/>
          <w:sz w:val="20"/>
          <w:szCs w:val="20"/>
        </w:rPr>
        <w:t xml:space="preserve"> </w:t>
      </w:r>
      <w:r w:rsidR="00DB3ADD" w:rsidRPr="004C7D37">
        <w:rPr>
          <w:rFonts w:ascii="Arial" w:hAnsi="Arial" w:cs="Arial"/>
          <w:sz w:val="20"/>
          <w:szCs w:val="20"/>
        </w:rPr>
        <w:t>-dipping</w:t>
      </w:r>
      <w:r w:rsidR="00E41485">
        <w:rPr>
          <w:rFonts w:ascii="Arial" w:hAnsi="Arial" w:cs="Arial"/>
          <w:sz w:val="20"/>
          <w:szCs w:val="20"/>
        </w:rPr>
        <w:t xml:space="preserve"> in the community services sector</w:t>
      </w:r>
      <w:r w:rsidR="00AD7B94">
        <w:rPr>
          <w:rFonts w:ascii="Arial" w:hAnsi="Arial" w:cs="Arial"/>
          <w:sz w:val="20"/>
          <w:szCs w:val="20"/>
        </w:rPr>
        <w:t xml:space="preserve"> under the Long Service Leave Act</w:t>
      </w:r>
      <w:r w:rsidR="00E30BB6">
        <w:rPr>
          <w:rFonts w:ascii="Arial" w:hAnsi="Arial" w:cs="Arial"/>
          <w:sz w:val="20"/>
          <w:szCs w:val="20"/>
        </w:rPr>
        <w:t xml:space="preserve"> 2018</w:t>
      </w:r>
    </w:p>
    <w:p w14:paraId="7D644A6A" w14:textId="47CB5976" w:rsidR="00E41485" w:rsidRPr="0084647F" w:rsidRDefault="0084647F" w:rsidP="0084647F">
      <w:pPr>
        <w:pStyle w:val="BodyText"/>
        <w:rPr>
          <w:rFonts w:cs="Arial"/>
          <w:color w:val="auto"/>
        </w:rPr>
      </w:pPr>
      <w:r w:rsidRPr="0084647F">
        <w:rPr>
          <w:rFonts w:cs="Arial"/>
          <w:color w:val="auto"/>
        </w:rPr>
        <w:t xml:space="preserve">The Proposed Regulations would be beneficial to small businesses. It would ensure employers are not required to pay both a levy to the Authority and pay an employee for a long service entitlement under the </w:t>
      </w:r>
      <w:r w:rsidRPr="00757EA2">
        <w:rPr>
          <w:rFonts w:cs="Arial"/>
          <w:i/>
          <w:color w:val="auto"/>
        </w:rPr>
        <w:t>Long Service Leave Act</w:t>
      </w:r>
      <w:r w:rsidR="00E30BB6">
        <w:rPr>
          <w:rFonts w:cs="Arial"/>
          <w:i/>
          <w:color w:val="auto"/>
        </w:rPr>
        <w:t xml:space="preserve"> 2018</w:t>
      </w:r>
      <w:r w:rsidRPr="00757EA2">
        <w:rPr>
          <w:rFonts w:cs="Arial"/>
          <w:i/>
          <w:color w:val="auto"/>
        </w:rPr>
        <w:t xml:space="preserve"> </w:t>
      </w:r>
      <w:r w:rsidRPr="0084647F">
        <w:rPr>
          <w:rFonts w:cs="Arial"/>
          <w:color w:val="auto"/>
        </w:rPr>
        <w:t>for the same period of service</w:t>
      </w:r>
      <w:r w:rsidR="004F1506">
        <w:rPr>
          <w:rFonts w:cs="Arial"/>
          <w:color w:val="auto"/>
        </w:rPr>
        <w:t xml:space="preserve"> without reimbursement</w:t>
      </w:r>
      <w:r w:rsidRPr="0084647F">
        <w:rPr>
          <w:rFonts w:cs="Arial"/>
          <w:color w:val="auto"/>
        </w:rPr>
        <w:t xml:space="preserve">. This would reduce the financial burden of the Scheme for some employers in the medium-term as they are now entitled to a reimbursement from the Authority for any levy paid once an employee accesses an entitlement under the </w:t>
      </w:r>
      <w:r w:rsidRPr="00757EA2">
        <w:rPr>
          <w:rFonts w:cs="Arial"/>
          <w:i/>
          <w:color w:val="auto"/>
        </w:rPr>
        <w:t>Long Service Leave Act</w:t>
      </w:r>
      <w:r w:rsidR="00E30BB6">
        <w:rPr>
          <w:rFonts w:cs="Arial"/>
          <w:color w:val="auto"/>
        </w:rPr>
        <w:t xml:space="preserve"> </w:t>
      </w:r>
      <w:r w:rsidR="00E30BB6">
        <w:rPr>
          <w:rFonts w:cs="Arial"/>
          <w:i/>
          <w:color w:val="auto"/>
        </w:rPr>
        <w:t>2018</w:t>
      </w:r>
      <w:r w:rsidRPr="0084647F">
        <w:rPr>
          <w:rFonts w:cs="Arial"/>
          <w:color w:val="auto"/>
        </w:rPr>
        <w:t>.</w:t>
      </w:r>
    </w:p>
    <w:p w14:paraId="7C926F67" w14:textId="77777777" w:rsidR="00E13F2A" w:rsidRPr="00EC5379" w:rsidRDefault="00E13F2A" w:rsidP="00556277">
      <w:pPr>
        <w:pStyle w:val="Heading3"/>
        <w:tabs>
          <w:tab w:val="clear" w:pos="5115"/>
        </w:tabs>
        <w:spacing w:before="100" w:beforeAutospacing="1" w:after="100" w:afterAutospacing="1"/>
        <w:ind w:left="709"/>
        <w:rPr>
          <w:rFonts w:ascii="Arial" w:hAnsi="Arial" w:cs="Arial"/>
        </w:rPr>
      </w:pPr>
      <w:r w:rsidRPr="00EC5379">
        <w:rPr>
          <w:rFonts w:ascii="Arial" w:hAnsi="Arial" w:cs="Arial"/>
        </w:rPr>
        <w:t>Statement of Compliance with National Competition Policy</w:t>
      </w:r>
    </w:p>
    <w:p w14:paraId="18C8B4FC" w14:textId="77777777" w:rsidR="00E13F2A" w:rsidRPr="00EC5379" w:rsidRDefault="00E13F2A" w:rsidP="00364563">
      <w:pPr>
        <w:autoSpaceDE w:val="0"/>
        <w:autoSpaceDN w:val="0"/>
        <w:adjustRightInd w:val="0"/>
        <w:spacing w:after="0" w:line="240" w:lineRule="auto"/>
        <w:rPr>
          <w:rFonts w:ascii="Arial" w:hAnsi="Arial" w:cs="Arial"/>
        </w:rPr>
      </w:pPr>
      <w:r w:rsidRPr="00EC5379">
        <w:rPr>
          <w:rFonts w:ascii="Arial" w:hAnsi="Arial" w:cs="Arial"/>
        </w:rPr>
        <w:t>The National Competition Policy agreements set out specific requirements arising out of new legislation adopted by jurisdictions which are party to those</w:t>
      </w:r>
      <w:r w:rsidR="00235D42" w:rsidRPr="00EC5379">
        <w:rPr>
          <w:rFonts w:ascii="Arial" w:hAnsi="Arial" w:cs="Arial"/>
        </w:rPr>
        <w:t xml:space="preserve"> agreements. Clause 5(1) of the </w:t>
      </w:r>
      <w:r w:rsidRPr="00EC5379">
        <w:rPr>
          <w:rFonts w:ascii="Arial" w:hAnsi="Arial" w:cs="Arial"/>
        </w:rPr>
        <w:t>Competition Principles Agreement sets out the basic principle which must be applied to both existing legislation, under the legislative review process, and to proposed legislation:</w:t>
      </w:r>
    </w:p>
    <w:p w14:paraId="66D3F70B" w14:textId="77777777" w:rsidR="00E13F2A" w:rsidRPr="00EC5379" w:rsidRDefault="00E13F2A" w:rsidP="00364563">
      <w:pPr>
        <w:pStyle w:val="Quote"/>
        <w:ind w:left="357"/>
        <w:jc w:val="left"/>
        <w:rPr>
          <w:rFonts w:ascii="Arial" w:hAnsi="Arial" w:cs="Arial"/>
        </w:rPr>
      </w:pPr>
      <w:r w:rsidRPr="00EC5379">
        <w:rPr>
          <w:rFonts w:ascii="Arial" w:hAnsi="Arial" w:cs="Arial"/>
        </w:rPr>
        <w:t>‘The guiding principle is that legislation (including Acts, enactments, Ordinances or Regulations) should not restrict competition unless it can be demonstrated that:</w:t>
      </w:r>
    </w:p>
    <w:p w14:paraId="6CB9567B" w14:textId="77777777" w:rsidR="00E13F2A" w:rsidRPr="004C7D37" w:rsidRDefault="00E13F2A" w:rsidP="004C7D37">
      <w:pPr>
        <w:pStyle w:val="ListParagraph"/>
        <w:numPr>
          <w:ilvl w:val="0"/>
          <w:numId w:val="9"/>
        </w:numPr>
        <w:autoSpaceDE w:val="0"/>
        <w:autoSpaceDN w:val="0"/>
        <w:adjustRightInd w:val="0"/>
        <w:spacing w:before="120" w:after="120" w:line="240" w:lineRule="auto"/>
        <w:ind w:left="714" w:hanging="357"/>
        <w:contextualSpacing w:val="0"/>
        <w:rPr>
          <w:rFonts w:ascii="Arial" w:hAnsi="Arial" w:cs="Arial"/>
          <w:i/>
        </w:rPr>
      </w:pPr>
      <w:r w:rsidRPr="004C7D37">
        <w:rPr>
          <w:rFonts w:ascii="Arial" w:hAnsi="Arial" w:cs="Arial"/>
          <w:i/>
        </w:rPr>
        <w:t>The benefits of the restriction to the community as a whole outweigh the costs; and</w:t>
      </w:r>
    </w:p>
    <w:p w14:paraId="1D37A5B2" w14:textId="77777777" w:rsidR="00E13F2A" w:rsidRPr="004C7D37" w:rsidRDefault="00E13F2A" w:rsidP="004C7D37">
      <w:pPr>
        <w:pStyle w:val="ListParagraph"/>
        <w:numPr>
          <w:ilvl w:val="0"/>
          <w:numId w:val="9"/>
        </w:numPr>
        <w:autoSpaceDE w:val="0"/>
        <w:autoSpaceDN w:val="0"/>
        <w:adjustRightInd w:val="0"/>
        <w:spacing w:before="120" w:after="120" w:line="240" w:lineRule="auto"/>
        <w:ind w:left="714" w:hanging="357"/>
        <w:contextualSpacing w:val="0"/>
        <w:rPr>
          <w:rFonts w:ascii="Arial" w:hAnsi="Arial" w:cs="Arial"/>
          <w:i/>
        </w:rPr>
      </w:pPr>
      <w:r w:rsidRPr="004C7D37">
        <w:rPr>
          <w:rFonts w:ascii="Arial" w:hAnsi="Arial" w:cs="Arial"/>
          <w:i/>
        </w:rPr>
        <w:t>The objectives of the regulation can only be achieved by restricting competition.’</w:t>
      </w:r>
    </w:p>
    <w:p w14:paraId="7ADC5EA0" w14:textId="3CB4427F" w:rsidR="00E13F2A" w:rsidRPr="00EC5379" w:rsidRDefault="00E13F2A" w:rsidP="004C7D37">
      <w:pPr>
        <w:pStyle w:val="BodyText"/>
        <w:spacing w:before="120"/>
        <w:rPr>
          <w:rFonts w:cs="Arial"/>
        </w:rPr>
      </w:pPr>
      <w:r w:rsidRPr="00EC5379">
        <w:rPr>
          <w:rFonts w:cs="Arial"/>
        </w:rPr>
        <w:t xml:space="preserve">Clause 5(5) </w:t>
      </w:r>
      <w:r w:rsidR="0060163D">
        <w:rPr>
          <w:rFonts w:cs="Arial"/>
        </w:rPr>
        <w:t>imposes</w:t>
      </w:r>
      <w:r w:rsidR="0060163D" w:rsidRPr="00EC5379">
        <w:rPr>
          <w:rFonts w:cs="Arial"/>
        </w:rPr>
        <w:t xml:space="preserve"> </w:t>
      </w:r>
      <w:r w:rsidRPr="00EC5379">
        <w:rPr>
          <w:rFonts w:cs="Arial"/>
        </w:rPr>
        <w:t>a specific obligation on parties to the agreement with regard</w:t>
      </w:r>
      <w:r w:rsidR="009B6294" w:rsidRPr="00EC5379">
        <w:rPr>
          <w:rFonts w:cs="Arial"/>
        </w:rPr>
        <w:t xml:space="preserve"> to newly proposed legislation:</w:t>
      </w:r>
    </w:p>
    <w:p w14:paraId="73270C78" w14:textId="6A67E4BD" w:rsidR="00E13F2A" w:rsidRPr="00EC5379" w:rsidRDefault="00E13F2A" w:rsidP="00235D42">
      <w:pPr>
        <w:pStyle w:val="BodyText"/>
        <w:spacing w:before="240"/>
        <w:ind w:left="357"/>
        <w:rPr>
          <w:rFonts w:cs="Arial"/>
          <w:i/>
        </w:rPr>
      </w:pPr>
      <w:r w:rsidRPr="00EC5379">
        <w:rPr>
          <w:rFonts w:cs="Arial"/>
          <w:i/>
        </w:rPr>
        <w:t xml:space="preserve">‘Each party will require proposals for new legislation that restrict competition to be accompanied by evidence that the restriction is consistent with the principle set out in </w:t>
      </w:r>
      <w:r w:rsidR="009B6294" w:rsidRPr="00EC5379">
        <w:rPr>
          <w:rFonts w:cs="Arial"/>
          <w:i/>
        </w:rPr>
        <w:t>sub-clause (1).’</w:t>
      </w:r>
    </w:p>
    <w:p w14:paraId="3C164A9C" w14:textId="77777777" w:rsidR="00E13F2A" w:rsidRPr="00EC5379" w:rsidRDefault="00E13F2A" w:rsidP="009B6294">
      <w:pPr>
        <w:pStyle w:val="BodyText"/>
        <w:rPr>
          <w:rFonts w:cs="Arial"/>
        </w:rPr>
      </w:pPr>
      <w:r w:rsidRPr="00EC5379">
        <w:rPr>
          <w:rFonts w:cs="Arial"/>
        </w:rPr>
        <w:t>Therefore, all RISs must provide evidence that the proposed regulatory instrument is consistent with these National Competition Policy obligations. The Organisation for Economic Co-operation and Development (OECD) Competition Assessment Toolkit provides a checklist for identifying potentially significant negative impacts on competition in the RIS context. This is based on the following four questions:</w:t>
      </w:r>
    </w:p>
    <w:p w14:paraId="3E39159E" w14:textId="77777777" w:rsidR="00E13F2A" w:rsidRPr="00EC5379" w:rsidRDefault="00E13F2A" w:rsidP="00364563">
      <w:pPr>
        <w:pStyle w:val="ListBullet"/>
        <w:contextualSpacing w:val="0"/>
        <w:rPr>
          <w:rFonts w:cs="Arial"/>
        </w:rPr>
      </w:pPr>
      <w:r w:rsidRPr="00EC5379">
        <w:rPr>
          <w:rFonts w:cs="Arial"/>
        </w:rPr>
        <w:t>Does the proposed regulation limit the number or range of suppliers?</w:t>
      </w:r>
    </w:p>
    <w:p w14:paraId="2EFF2B29" w14:textId="77777777" w:rsidR="00E13F2A" w:rsidRPr="00EC5379" w:rsidRDefault="00E13F2A" w:rsidP="00364563">
      <w:pPr>
        <w:pStyle w:val="ListBullet"/>
        <w:contextualSpacing w:val="0"/>
        <w:rPr>
          <w:rFonts w:cs="Arial"/>
        </w:rPr>
      </w:pPr>
      <w:r w:rsidRPr="00EC5379">
        <w:rPr>
          <w:rFonts w:cs="Arial"/>
        </w:rPr>
        <w:t>Does the proposed regulation limit the ability of suppliers to compete?</w:t>
      </w:r>
    </w:p>
    <w:p w14:paraId="0E2798CB" w14:textId="4DC25B63" w:rsidR="00E13F2A" w:rsidRPr="00EC5379" w:rsidRDefault="00E13F2A" w:rsidP="00364563">
      <w:pPr>
        <w:pStyle w:val="ListBullet"/>
        <w:contextualSpacing w:val="0"/>
        <w:rPr>
          <w:rFonts w:cs="Arial"/>
        </w:rPr>
      </w:pPr>
      <w:r w:rsidRPr="00EC5379">
        <w:rPr>
          <w:rFonts w:cs="Arial"/>
        </w:rPr>
        <w:t>Does the proposed regulation limit the incentives for suppliers to compete?</w:t>
      </w:r>
    </w:p>
    <w:p w14:paraId="201D4F82" w14:textId="77777777" w:rsidR="00E13F2A" w:rsidRPr="00EC5379" w:rsidRDefault="00E13F2A" w:rsidP="00364563">
      <w:pPr>
        <w:pStyle w:val="ListBullet"/>
        <w:contextualSpacing w:val="0"/>
        <w:rPr>
          <w:rFonts w:cs="Arial"/>
        </w:rPr>
      </w:pPr>
      <w:r w:rsidRPr="00EC5379">
        <w:rPr>
          <w:rFonts w:cs="Arial"/>
        </w:rPr>
        <w:t>Does the proposed regulation limit the choices and information available to consumers?</w:t>
      </w:r>
    </w:p>
    <w:p w14:paraId="1F7FE4B4" w14:textId="1EF426E4" w:rsidR="00E13F2A" w:rsidRPr="00EC5379" w:rsidRDefault="00E13F2A" w:rsidP="00E13F2A">
      <w:pPr>
        <w:autoSpaceDE w:val="0"/>
        <w:autoSpaceDN w:val="0"/>
        <w:adjustRightInd w:val="0"/>
        <w:spacing w:line="240" w:lineRule="auto"/>
        <w:rPr>
          <w:rFonts w:ascii="Arial" w:hAnsi="Arial" w:cs="Arial"/>
        </w:rPr>
      </w:pPr>
      <w:r w:rsidRPr="00EC5379">
        <w:rPr>
          <w:rFonts w:ascii="Arial" w:hAnsi="Arial" w:cs="Arial"/>
        </w:rPr>
        <w:t>According to the OECD, if all four of these questions can be answered in the neg</w:t>
      </w:r>
      <w:r w:rsidR="002E0A17">
        <w:rPr>
          <w:rFonts w:ascii="Arial" w:hAnsi="Arial" w:cs="Arial"/>
        </w:rPr>
        <w:t>ative, it is unlikely that the P</w:t>
      </w:r>
      <w:r w:rsidRPr="00EC5379">
        <w:rPr>
          <w:rFonts w:ascii="Arial" w:hAnsi="Arial" w:cs="Arial"/>
        </w:rPr>
        <w:t xml:space="preserve">roposed </w:t>
      </w:r>
      <w:r w:rsidR="003A3D7A" w:rsidRPr="00EC5379">
        <w:rPr>
          <w:rFonts w:ascii="Arial" w:hAnsi="Arial" w:cs="Arial"/>
        </w:rPr>
        <w:t>Regulation</w:t>
      </w:r>
      <w:r w:rsidRPr="00EC5379">
        <w:rPr>
          <w:rFonts w:ascii="Arial" w:hAnsi="Arial" w:cs="Arial"/>
        </w:rPr>
        <w:t>s will have any significant negative impact on competition and further investigation of competition impacts is not likely to be warranted.</w:t>
      </w:r>
    </w:p>
    <w:p w14:paraId="087582E5" w14:textId="1D9FEA83" w:rsidR="00E13F2A" w:rsidRPr="00EC5379" w:rsidRDefault="00657D8A" w:rsidP="000442F3">
      <w:pPr>
        <w:pStyle w:val="Heading4"/>
        <w:spacing w:after="240"/>
        <w:ind w:left="709"/>
        <w:rPr>
          <w:rFonts w:ascii="Arial" w:hAnsi="Arial" w:cs="Arial"/>
        </w:rPr>
      </w:pPr>
      <w:r>
        <w:rPr>
          <w:rFonts w:ascii="Arial" w:hAnsi="Arial" w:cs="Arial"/>
        </w:rPr>
        <w:t>T</w:t>
      </w:r>
      <w:r w:rsidR="00131096">
        <w:rPr>
          <w:rFonts w:ascii="Arial" w:hAnsi="Arial" w:cs="Arial"/>
        </w:rPr>
        <w:t xml:space="preserve">he </w:t>
      </w:r>
      <w:r w:rsidR="00E13F2A" w:rsidRPr="00EC5379">
        <w:rPr>
          <w:rFonts w:ascii="Arial" w:hAnsi="Arial" w:cs="Arial"/>
        </w:rPr>
        <w:t xml:space="preserve">impact on competition </w:t>
      </w:r>
      <w:r w:rsidR="00131096">
        <w:rPr>
          <w:rFonts w:ascii="Arial" w:hAnsi="Arial" w:cs="Arial"/>
        </w:rPr>
        <w:t>of the Interim Regulations in the 2019 RIS</w:t>
      </w:r>
    </w:p>
    <w:p w14:paraId="6581267E" w14:textId="3C62EA0C" w:rsidR="00131096" w:rsidRPr="00131096" w:rsidRDefault="00131096" w:rsidP="00131096">
      <w:pPr>
        <w:pStyle w:val="BodyText"/>
        <w:rPr>
          <w:rFonts w:cs="Arial"/>
        </w:rPr>
      </w:pPr>
      <w:r>
        <w:rPr>
          <w:rFonts w:cs="Arial"/>
        </w:rPr>
        <w:t xml:space="preserve">The 2019 RIS found that the Interim Regulations did not </w:t>
      </w:r>
      <w:r w:rsidRPr="00131096">
        <w:rPr>
          <w:rFonts w:cs="Arial"/>
        </w:rPr>
        <w:t>limit the numb</w:t>
      </w:r>
      <w:r>
        <w:rPr>
          <w:rFonts w:cs="Arial"/>
        </w:rPr>
        <w:t>er or range of suppliers, nor did</w:t>
      </w:r>
      <w:r w:rsidRPr="00131096">
        <w:rPr>
          <w:rFonts w:cs="Arial"/>
        </w:rPr>
        <w:t xml:space="preserve"> they limit incentives to compete, or the choices and information available to consumers. </w:t>
      </w:r>
      <w:r>
        <w:rPr>
          <w:rFonts w:cs="Arial"/>
        </w:rPr>
        <w:t>However, t</w:t>
      </w:r>
      <w:r w:rsidRPr="00131096">
        <w:rPr>
          <w:rFonts w:cs="Arial"/>
        </w:rPr>
        <w:t>he</w:t>
      </w:r>
      <w:r>
        <w:rPr>
          <w:rFonts w:cs="Arial"/>
        </w:rPr>
        <w:t xml:space="preserve"> Interim Regulations had the potential to</w:t>
      </w:r>
      <w:r w:rsidRPr="00131096">
        <w:rPr>
          <w:rFonts w:cs="Arial"/>
        </w:rPr>
        <w:t xml:space="preserve"> limit the ability of certain suppliers to compete. </w:t>
      </w:r>
      <w:r>
        <w:rPr>
          <w:rFonts w:cs="Arial"/>
        </w:rPr>
        <w:t>The costs of the S</w:t>
      </w:r>
      <w:r w:rsidRPr="00131096">
        <w:rPr>
          <w:rFonts w:cs="Arial"/>
        </w:rPr>
        <w:t>cheme, pa</w:t>
      </w:r>
      <w:r>
        <w:rPr>
          <w:rFonts w:cs="Arial"/>
        </w:rPr>
        <w:t xml:space="preserve">rticularly in combination with </w:t>
      </w:r>
      <w:r w:rsidR="004C7D37">
        <w:rPr>
          <w:rFonts w:cs="Arial"/>
        </w:rPr>
        <w:t>F</w:t>
      </w:r>
      <w:r w:rsidRPr="00131096">
        <w:rPr>
          <w:rFonts w:cs="Arial"/>
        </w:rPr>
        <w:t xml:space="preserve">ederal legislative changes, may have potential to jeopardise some NDIS and </w:t>
      </w:r>
      <w:r>
        <w:rPr>
          <w:rFonts w:cs="Arial"/>
        </w:rPr>
        <w:t xml:space="preserve">early </w:t>
      </w:r>
      <w:r>
        <w:rPr>
          <w:rFonts w:cs="Arial"/>
        </w:rPr>
        <w:lastRenderedPageBreak/>
        <w:t>childhood education</w:t>
      </w:r>
      <w:r w:rsidRPr="00131096">
        <w:rPr>
          <w:rFonts w:cs="Arial"/>
        </w:rPr>
        <w:t xml:space="preserve"> </w:t>
      </w:r>
      <w:r w:rsidR="00DB01D9">
        <w:rPr>
          <w:rFonts w:cs="Arial"/>
        </w:rPr>
        <w:t>employers</w:t>
      </w:r>
      <w:r w:rsidRPr="00131096">
        <w:rPr>
          <w:rFonts w:cs="Arial"/>
        </w:rPr>
        <w:t>’ financial viability. Both NDIS and</w:t>
      </w:r>
      <w:r>
        <w:rPr>
          <w:rFonts w:cs="Arial"/>
        </w:rPr>
        <w:t xml:space="preserve"> early childhood</w:t>
      </w:r>
      <w:r w:rsidRPr="00131096">
        <w:rPr>
          <w:rFonts w:cs="Arial"/>
        </w:rPr>
        <w:t xml:space="preserve"> </w:t>
      </w:r>
      <w:r w:rsidR="00DB01D9">
        <w:rPr>
          <w:rFonts w:cs="Arial"/>
        </w:rPr>
        <w:t>employers</w:t>
      </w:r>
      <w:r w:rsidRPr="00131096">
        <w:rPr>
          <w:rFonts w:cs="Arial"/>
        </w:rPr>
        <w:t xml:space="preserve"> </w:t>
      </w:r>
      <w:r>
        <w:rPr>
          <w:rFonts w:cs="Arial"/>
        </w:rPr>
        <w:t>were</w:t>
      </w:r>
      <w:r w:rsidRPr="00131096">
        <w:rPr>
          <w:rFonts w:cs="Arial"/>
        </w:rPr>
        <w:t xml:space="preserve"> granted six months to calibra</w:t>
      </w:r>
      <w:r>
        <w:rPr>
          <w:rFonts w:cs="Arial"/>
        </w:rPr>
        <w:t xml:space="preserve">te their operating models with </w:t>
      </w:r>
      <w:r w:rsidR="004C7D37">
        <w:rPr>
          <w:rFonts w:cs="Arial"/>
        </w:rPr>
        <w:t>F</w:t>
      </w:r>
      <w:r w:rsidRPr="00131096">
        <w:rPr>
          <w:rFonts w:cs="Arial"/>
        </w:rPr>
        <w:t xml:space="preserve">ederal legislative pressures, and to prepare for the implementation of the LSBP Act. </w:t>
      </w:r>
      <w:r>
        <w:rPr>
          <w:rFonts w:cs="Arial"/>
        </w:rPr>
        <w:t xml:space="preserve">It was </w:t>
      </w:r>
      <w:r w:rsidRPr="00131096">
        <w:rPr>
          <w:rFonts w:cs="Arial"/>
        </w:rPr>
        <w:t>considered that these costs ha</w:t>
      </w:r>
      <w:r w:rsidR="00D86A39">
        <w:rPr>
          <w:rFonts w:cs="Arial"/>
        </w:rPr>
        <w:t>d</w:t>
      </w:r>
      <w:r w:rsidRPr="00131096">
        <w:rPr>
          <w:rFonts w:cs="Arial"/>
        </w:rPr>
        <w:t xml:space="preserve"> been minimised insofar as is possible and that the benefits to employees likely outweigh any costs</w:t>
      </w:r>
      <w:r w:rsidR="00D86A39">
        <w:rPr>
          <w:rFonts w:cs="Arial"/>
        </w:rPr>
        <w:t xml:space="preserve"> to employers</w:t>
      </w:r>
      <w:r w:rsidRPr="00131096">
        <w:rPr>
          <w:rFonts w:cs="Arial"/>
        </w:rPr>
        <w:t xml:space="preserve">. </w:t>
      </w:r>
    </w:p>
    <w:p w14:paraId="77336F33" w14:textId="50523F35" w:rsidR="00131096" w:rsidRDefault="00131096" w:rsidP="00D8248D">
      <w:pPr>
        <w:autoSpaceDE w:val="0"/>
        <w:autoSpaceDN w:val="0"/>
        <w:adjustRightInd w:val="0"/>
        <w:spacing w:line="240" w:lineRule="auto"/>
        <w:rPr>
          <w:rFonts w:ascii="Arial" w:hAnsi="Arial" w:cs="Arial"/>
        </w:rPr>
      </w:pPr>
      <w:r>
        <w:rPr>
          <w:rFonts w:ascii="Arial" w:hAnsi="Arial" w:cs="Arial"/>
        </w:rPr>
        <w:t xml:space="preserve">The full 2019 RIS can be found at </w:t>
      </w:r>
      <w:r w:rsidR="00D41B29" w:rsidRPr="00D41B29">
        <w:rPr>
          <w:rFonts w:ascii="Arial" w:hAnsi="Arial" w:cs="Arial"/>
        </w:rPr>
        <w:t>https://www.vic.gov.au/regulatory-impact-statements-2019#long-service-benefits-portability-regulations-2019</w:t>
      </w:r>
      <w:r>
        <w:rPr>
          <w:rFonts w:ascii="Arial" w:hAnsi="Arial" w:cs="Arial"/>
        </w:rPr>
        <w:t>.</w:t>
      </w:r>
    </w:p>
    <w:p w14:paraId="4543997A" w14:textId="7D4D7D9C" w:rsidR="00131096" w:rsidRPr="00131096" w:rsidRDefault="00131096" w:rsidP="00131096">
      <w:pPr>
        <w:pStyle w:val="Heading4"/>
        <w:spacing w:after="240"/>
        <w:ind w:left="709"/>
        <w:rPr>
          <w:rFonts w:ascii="Arial" w:hAnsi="Arial" w:cs="Arial"/>
        </w:rPr>
      </w:pPr>
      <w:r w:rsidRPr="00EC5379">
        <w:rPr>
          <w:rFonts w:ascii="Arial" w:hAnsi="Arial" w:cs="Arial"/>
        </w:rPr>
        <w:t xml:space="preserve">Analysis of </w:t>
      </w:r>
      <w:r>
        <w:rPr>
          <w:rFonts w:ascii="Arial" w:hAnsi="Arial" w:cs="Arial"/>
        </w:rPr>
        <w:t xml:space="preserve">the additional </w:t>
      </w:r>
      <w:r w:rsidRPr="00EC5379">
        <w:rPr>
          <w:rFonts w:ascii="Arial" w:hAnsi="Arial" w:cs="Arial"/>
        </w:rPr>
        <w:t xml:space="preserve">impact on competition </w:t>
      </w:r>
      <w:r>
        <w:rPr>
          <w:rFonts w:ascii="Arial" w:hAnsi="Arial" w:cs="Arial"/>
        </w:rPr>
        <w:t>of the Proposed Regulations</w:t>
      </w:r>
    </w:p>
    <w:p w14:paraId="4D4384F0" w14:textId="39B9A760" w:rsidR="00D8248D" w:rsidRDefault="00D8248D" w:rsidP="00D8248D">
      <w:pPr>
        <w:autoSpaceDE w:val="0"/>
        <w:autoSpaceDN w:val="0"/>
        <w:adjustRightInd w:val="0"/>
        <w:spacing w:line="240" w:lineRule="auto"/>
        <w:rPr>
          <w:rFonts w:ascii="Arial" w:hAnsi="Arial" w:cs="Arial"/>
        </w:rPr>
      </w:pPr>
      <w:r w:rsidRPr="00D8248D">
        <w:rPr>
          <w:rFonts w:ascii="Arial" w:hAnsi="Arial" w:cs="Arial"/>
        </w:rPr>
        <w:t xml:space="preserve">The </w:t>
      </w:r>
      <w:r w:rsidR="0060163D">
        <w:rPr>
          <w:rFonts w:ascii="Arial" w:hAnsi="Arial" w:cs="Arial"/>
        </w:rPr>
        <w:t>P</w:t>
      </w:r>
      <w:r w:rsidRPr="00D8248D">
        <w:rPr>
          <w:rFonts w:ascii="Arial" w:hAnsi="Arial" w:cs="Arial"/>
        </w:rPr>
        <w:t xml:space="preserve">roposed Regulations do not limit the number or range of suppliers, nor do they limit incentives to compete, or the choices and information available to consumers. </w:t>
      </w:r>
    </w:p>
    <w:p w14:paraId="68756351" w14:textId="6F3298A3" w:rsidR="00D8248D" w:rsidRDefault="00D8248D" w:rsidP="00D8248D">
      <w:pPr>
        <w:autoSpaceDE w:val="0"/>
        <w:autoSpaceDN w:val="0"/>
        <w:adjustRightInd w:val="0"/>
        <w:spacing w:line="240" w:lineRule="auto"/>
        <w:rPr>
          <w:rFonts w:ascii="Arial" w:hAnsi="Arial" w:cs="Arial"/>
        </w:rPr>
      </w:pPr>
      <w:r>
        <w:rPr>
          <w:rFonts w:ascii="Arial" w:hAnsi="Arial" w:cs="Arial"/>
        </w:rPr>
        <w:t xml:space="preserve">The Proposed Regulations may limit the ability of certain </w:t>
      </w:r>
      <w:r w:rsidR="0072722B">
        <w:rPr>
          <w:rFonts w:ascii="Arial" w:hAnsi="Arial" w:cs="Arial"/>
        </w:rPr>
        <w:t>Community Health</w:t>
      </w:r>
      <w:r>
        <w:rPr>
          <w:rFonts w:ascii="Arial" w:hAnsi="Arial" w:cs="Arial"/>
        </w:rPr>
        <w:t xml:space="preserve"> and </w:t>
      </w:r>
      <w:r w:rsidR="0072722B">
        <w:rPr>
          <w:rFonts w:ascii="Arial" w:hAnsi="Arial" w:cs="Arial"/>
        </w:rPr>
        <w:t>Women’s Health</w:t>
      </w:r>
      <w:r>
        <w:rPr>
          <w:rFonts w:ascii="Arial" w:hAnsi="Arial" w:cs="Arial"/>
        </w:rPr>
        <w:t xml:space="preserve"> suppliers to compete. As noted in section </w:t>
      </w:r>
      <w:r w:rsidR="008A3887">
        <w:rPr>
          <w:rFonts w:ascii="Arial" w:hAnsi="Arial" w:cs="Arial"/>
        </w:rPr>
        <w:fldChar w:fldCharType="begin"/>
      </w:r>
      <w:r w:rsidR="008A3887">
        <w:rPr>
          <w:rFonts w:ascii="Arial" w:hAnsi="Arial" w:cs="Arial"/>
        </w:rPr>
        <w:instrText xml:space="preserve"> REF _Ref36805626 \r \h </w:instrText>
      </w:r>
      <w:r w:rsidR="008A3887">
        <w:rPr>
          <w:rFonts w:ascii="Arial" w:hAnsi="Arial" w:cs="Arial"/>
        </w:rPr>
      </w:r>
      <w:r w:rsidR="008A3887">
        <w:rPr>
          <w:rFonts w:ascii="Arial" w:hAnsi="Arial" w:cs="Arial"/>
        </w:rPr>
        <w:fldChar w:fldCharType="separate"/>
      </w:r>
      <w:r w:rsidR="008A3887">
        <w:rPr>
          <w:rFonts w:ascii="Arial" w:hAnsi="Arial" w:cs="Arial"/>
        </w:rPr>
        <w:t>5.2.2.2</w:t>
      </w:r>
      <w:r w:rsidR="008A3887">
        <w:rPr>
          <w:rFonts w:ascii="Arial" w:hAnsi="Arial" w:cs="Arial"/>
        </w:rPr>
        <w:fldChar w:fldCharType="end"/>
      </w:r>
      <w:r>
        <w:rPr>
          <w:rFonts w:ascii="Arial" w:hAnsi="Arial" w:cs="Arial"/>
        </w:rPr>
        <w:t>, the</w:t>
      </w:r>
      <w:r w:rsidR="00E33F49">
        <w:rPr>
          <w:rFonts w:ascii="Arial" w:hAnsi="Arial" w:cs="Arial"/>
        </w:rPr>
        <w:t xml:space="preserve"> annual cost of the levy and the</w:t>
      </w:r>
      <w:r>
        <w:rPr>
          <w:rFonts w:ascii="Arial" w:hAnsi="Arial" w:cs="Arial"/>
        </w:rPr>
        <w:t xml:space="preserve"> </w:t>
      </w:r>
      <w:r w:rsidR="00E33F49">
        <w:rPr>
          <w:rFonts w:ascii="Arial" w:hAnsi="Arial" w:cs="Arial"/>
        </w:rPr>
        <w:t xml:space="preserve">net cost </w:t>
      </w:r>
      <w:r w:rsidR="00D73984">
        <w:rPr>
          <w:rFonts w:ascii="Arial" w:hAnsi="Arial" w:cs="Arial"/>
        </w:rPr>
        <w:t xml:space="preserve">impact on </w:t>
      </w:r>
      <w:r w:rsidR="00E33F49">
        <w:rPr>
          <w:rFonts w:ascii="Arial" w:hAnsi="Arial" w:cs="Arial"/>
        </w:rPr>
        <w:t>service providers has</w:t>
      </w:r>
      <w:r>
        <w:rPr>
          <w:rFonts w:ascii="Arial" w:hAnsi="Arial" w:cs="Arial"/>
        </w:rPr>
        <w:t xml:space="preserve"> the potential to jeopardise some </w:t>
      </w:r>
      <w:r w:rsidR="0072722B">
        <w:rPr>
          <w:rFonts w:ascii="Arial" w:hAnsi="Arial" w:cs="Arial"/>
        </w:rPr>
        <w:t>Community Health</w:t>
      </w:r>
      <w:r>
        <w:rPr>
          <w:rFonts w:ascii="Arial" w:hAnsi="Arial" w:cs="Arial"/>
        </w:rPr>
        <w:t xml:space="preserve"> and </w:t>
      </w:r>
      <w:r w:rsidR="0072722B">
        <w:rPr>
          <w:rFonts w:ascii="Arial" w:hAnsi="Arial" w:cs="Arial"/>
        </w:rPr>
        <w:t>Women’s Health</w:t>
      </w:r>
      <w:r>
        <w:rPr>
          <w:rFonts w:ascii="Arial" w:hAnsi="Arial" w:cs="Arial"/>
        </w:rPr>
        <w:t xml:space="preserve"> providers’ financial viability. This risk has been considered in the development of the </w:t>
      </w:r>
      <w:r w:rsidR="005D6ED3">
        <w:rPr>
          <w:rFonts w:ascii="Arial" w:hAnsi="Arial" w:cs="Arial"/>
        </w:rPr>
        <w:t xml:space="preserve">Proposed </w:t>
      </w:r>
      <w:r>
        <w:rPr>
          <w:rFonts w:ascii="Arial" w:hAnsi="Arial" w:cs="Arial"/>
        </w:rPr>
        <w:t xml:space="preserve">Regulations. </w:t>
      </w:r>
    </w:p>
    <w:p w14:paraId="76041EE1" w14:textId="13093755" w:rsidR="00D8248D" w:rsidRDefault="00E41485" w:rsidP="00D8248D">
      <w:pPr>
        <w:autoSpaceDE w:val="0"/>
        <w:autoSpaceDN w:val="0"/>
        <w:adjustRightInd w:val="0"/>
        <w:spacing w:line="240" w:lineRule="auto"/>
        <w:rPr>
          <w:rFonts w:ascii="Arial" w:hAnsi="Arial" w:cs="Arial"/>
        </w:rPr>
      </w:pPr>
      <w:r>
        <w:rPr>
          <w:rFonts w:ascii="Arial" w:hAnsi="Arial" w:cs="Arial"/>
        </w:rPr>
        <w:t>A similar cost</w:t>
      </w:r>
      <w:r w:rsidR="00D8248D">
        <w:rPr>
          <w:rFonts w:ascii="Arial" w:hAnsi="Arial" w:cs="Arial"/>
        </w:rPr>
        <w:t xml:space="preserve"> impact was imposed on all small providers of community services when the Scheme came into operation on 1 July 2019. Since implementation of the Scheme, </w:t>
      </w:r>
      <w:r>
        <w:rPr>
          <w:rFonts w:ascii="Arial" w:hAnsi="Arial" w:cs="Arial"/>
        </w:rPr>
        <w:t xml:space="preserve">no evidence </w:t>
      </w:r>
      <w:r w:rsidR="00E33F49">
        <w:rPr>
          <w:rFonts w:ascii="Arial" w:hAnsi="Arial" w:cs="Arial"/>
        </w:rPr>
        <w:t>from outside of the early childhood education sector</w:t>
      </w:r>
      <w:r w:rsidR="00D12D90">
        <w:rPr>
          <w:rFonts w:ascii="Arial" w:hAnsi="Arial" w:cs="Arial"/>
        </w:rPr>
        <w:t xml:space="preserve"> (where </w:t>
      </w:r>
      <w:r w:rsidR="00136E69">
        <w:rPr>
          <w:rFonts w:ascii="Arial" w:hAnsi="Arial" w:cs="Arial"/>
        </w:rPr>
        <w:t xml:space="preserve">the additional cost burden of the Scheme is only borne by </w:t>
      </w:r>
      <w:r w:rsidR="00D12D90">
        <w:rPr>
          <w:rFonts w:ascii="Arial" w:hAnsi="Arial" w:cs="Arial"/>
        </w:rPr>
        <w:t>non-profit providers</w:t>
      </w:r>
      <w:r w:rsidR="00136E69">
        <w:rPr>
          <w:rFonts w:ascii="Arial" w:hAnsi="Arial" w:cs="Arial"/>
        </w:rPr>
        <w:t xml:space="preserve"> and not their </w:t>
      </w:r>
      <w:r w:rsidR="00D36BC6">
        <w:rPr>
          <w:rFonts w:ascii="Arial" w:hAnsi="Arial" w:cs="Arial"/>
        </w:rPr>
        <w:t>for</w:t>
      </w:r>
      <w:r w:rsidR="00D36BC6">
        <w:rPr>
          <w:rFonts w:ascii="Arial" w:hAnsi="Arial" w:cs="Arial"/>
        </w:rPr>
        <w:noBreakHyphen/>
        <w:t>profit</w:t>
      </w:r>
      <w:r w:rsidR="00136E69">
        <w:rPr>
          <w:rFonts w:ascii="Arial" w:hAnsi="Arial" w:cs="Arial"/>
        </w:rPr>
        <w:t xml:space="preserve"> competitors</w:t>
      </w:r>
      <w:r w:rsidR="00D12D90">
        <w:rPr>
          <w:rFonts w:ascii="Arial" w:hAnsi="Arial" w:cs="Arial"/>
        </w:rPr>
        <w:t>)</w:t>
      </w:r>
      <w:r w:rsidR="00E33F49">
        <w:rPr>
          <w:rFonts w:ascii="Arial" w:hAnsi="Arial" w:cs="Arial"/>
        </w:rPr>
        <w:t xml:space="preserve"> </w:t>
      </w:r>
      <w:r>
        <w:rPr>
          <w:rFonts w:ascii="Arial" w:hAnsi="Arial" w:cs="Arial"/>
        </w:rPr>
        <w:t>has been presented showing the additional financial burden limiting the ability of community service providers to compete</w:t>
      </w:r>
      <w:r w:rsidR="009713CE">
        <w:rPr>
          <w:rFonts w:ascii="Arial" w:hAnsi="Arial" w:cs="Arial"/>
        </w:rPr>
        <w:t xml:space="preserve"> with each other</w:t>
      </w:r>
      <w:r w:rsidR="00D8248D">
        <w:rPr>
          <w:rFonts w:ascii="Arial" w:hAnsi="Arial" w:cs="Arial"/>
        </w:rPr>
        <w:t xml:space="preserve">. Despite the concerns raised by </w:t>
      </w:r>
      <w:r w:rsidR="0072722B">
        <w:rPr>
          <w:rFonts w:ascii="Arial" w:hAnsi="Arial" w:cs="Arial"/>
        </w:rPr>
        <w:t>Community Health</w:t>
      </w:r>
      <w:r w:rsidR="00D8248D">
        <w:rPr>
          <w:rFonts w:ascii="Arial" w:hAnsi="Arial" w:cs="Arial"/>
        </w:rPr>
        <w:t xml:space="preserve"> and </w:t>
      </w:r>
      <w:r w:rsidR="0072722B">
        <w:rPr>
          <w:rFonts w:ascii="Arial" w:hAnsi="Arial" w:cs="Arial"/>
        </w:rPr>
        <w:t>Women’s Health</w:t>
      </w:r>
      <w:r w:rsidR="00D8248D">
        <w:rPr>
          <w:rFonts w:ascii="Arial" w:hAnsi="Arial" w:cs="Arial"/>
        </w:rPr>
        <w:t xml:space="preserve"> providers during consultations, no evidence was provided as to why the impact </w:t>
      </w:r>
      <w:r w:rsidR="00E33F49">
        <w:rPr>
          <w:rFonts w:ascii="Arial" w:hAnsi="Arial" w:cs="Arial"/>
        </w:rPr>
        <w:t xml:space="preserve">on competition </w:t>
      </w:r>
      <w:r w:rsidR="00D8248D">
        <w:rPr>
          <w:rFonts w:ascii="Arial" w:hAnsi="Arial" w:cs="Arial"/>
        </w:rPr>
        <w:t xml:space="preserve">would be greater for these </w:t>
      </w:r>
      <w:r w:rsidR="002106A3">
        <w:rPr>
          <w:rFonts w:ascii="Arial" w:hAnsi="Arial" w:cs="Arial"/>
        </w:rPr>
        <w:t>sub</w:t>
      </w:r>
      <w:r w:rsidR="002106A3">
        <w:rPr>
          <w:rFonts w:ascii="Arial" w:hAnsi="Arial" w:cs="Arial"/>
        </w:rPr>
        <w:noBreakHyphen/>
        <w:t>sector</w:t>
      </w:r>
      <w:r w:rsidR="00D8248D">
        <w:rPr>
          <w:rFonts w:ascii="Arial" w:hAnsi="Arial" w:cs="Arial"/>
        </w:rPr>
        <w:t>s than the rest of the community services sector.</w:t>
      </w:r>
    </w:p>
    <w:p w14:paraId="7E00B234" w14:textId="5BB03EAA" w:rsidR="00D8248D" w:rsidRDefault="00D8248D" w:rsidP="00D8248D">
      <w:pPr>
        <w:autoSpaceDE w:val="0"/>
        <w:autoSpaceDN w:val="0"/>
        <w:adjustRightInd w:val="0"/>
        <w:spacing w:line="240" w:lineRule="auto"/>
        <w:rPr>
          <w:rFonts w:ascii="Arial" w:hAnsi="Arial" w:cs="Arial"/>
        </w:rPr>
      </w:pPr>
      <w:r w:rsidRPr="00D8248D">
        <w:rPr>
          <w:rFonts w:ascii="Arial" w:hAnsi="Arial" w:cs="Arial"/>
        </w:rPr>
        <w:t xml:space="preserve">Through the </w:t>
      </w:r>
      <w:r w:rsidR="00DB3ADD">
        <w:rPr>
          <w:rFonts w:ascii="Arial" w:hAnsi="Arial" w:cs="Arial"/>
        </w:rPr>
        <w:t>double-dipping</w:t>
      </w:r>
      <w:r w:rsidRPr="00D8248D">
        <w:rPr>
          <w:rFonts w:ascii="Arial" w:hAnsi="Arial" w:cs="Arial"/>
        </w:rPr>
        <w:t xml:space="preserve"> provisions, it is considered that these costs have been minimised insofar as is possible and that the benefits to employees likely outweigh any costs</w:t>
      </w:r>
      <w:r w:rsidR="00D86A39">
        <w:rPr>
          <w:rFonts w:ascii="Arial" w:hAnsi="Arial" w:cs="Arial"/>
        </w:rPr>
        <w:t xml:space="preserve"> to employers</w:t>
      </w:r>
      <w:r w:rsidRPr="00D8248D">
        <w:rPr>
          <w:rFonts w:ascii="Arial" w:hAnsi="Arial" w:cs="Arial"/>
        </w:rPr>
        <w:t>.</w:t>
      </w:r>
    </w:p>
    <w:p w14:paraId="7BC179BC" w14:textId="77777777" w:rsidR="00D8248D" w:rsidRPr="00D8248D" w:rsidRDefault="00D8248D" w:rsidP="004A514D">
      <w:pPr>
        <w:pStyle w:val="BodyText"/>
      </w:pPr>
    </w:p>
    <w:p w14:paraId="452CA569" w14:textId="77777777" w:rsidR="00E13F2A" w:rsidRPr="00EC5379" w:rsidRDefault="00E13F2A" w:rsidP="004A514D">
      <w:pPr>
        <w:pStyle w:val="BodyText"/>
      </w:pPr>
    </w:p>
    <w:p w14:paraId="5CD28CE7" w14:textId="77777777" w:rsidR="00E13F2A" w:rsidRPr="00EC5379" w:rsidRDefault="00E13F2A" w:rsidP="004A514D">
      <w:pPr>
        <w:pStyle w:val="BodyText"/>
      </w:pPr>
    </w:p>
    <w:p w14:paraId="14745901" w14:textId="77777777" w:rsidR="00E13F2A" w:rsidRPr="00EC5379" w:rsidRDefault="00E13F2A" w:rsidP="00E13F2A">
      <w:pPr>
        <w:pStyle w:val="Heading1"/>
        <w:rPr>
          <w:rFonts w:ascii="Arial" w:hAnsi="Arial" w:cs="Arial"/>
        </w:rPr>
      </w:pPr>
      <w:bookmarkStart w:id="137" w:name="_Toc955754"/>
      <w:bookmarkStart w:id="138" w:name="_Toc4768893"/>
      <w:bookmarkStart w:id="139" w:name="_Toc37921501"/>
      <w:bookmarkStart w:id="140" w:name="_Toc955755"/>
      <w:r w:rsidRPr="00EC5379">
        <w:rPr>
          <w:rFonts w:ascii="Arial" w:hAnsi="Arial" w:cs="Arial"/>
        </w:rPr>
        <w:lastRenderedPageBreak/>
        <w:t>IMPLEMENTATION PLAN</w:t>
      </w:r>
      <w:bookmarkEnd w:id="137"/>
      <w:bookmarkEnd w:id="138"/>
      <w:bookmarkEnd w:id="139"/>
    </w:p>
    <w:p w14:paraId="0E3429F3" w14:textId="058FAB0D" w:rsidR="00A9494E" w:rsidRDefault="00A9494E" w:rsidP="00A9494E">
      <w:pPr>
        <w:pStyle w:val="BodyText"/>
        <w:rPr>
          <w:rFonts w:cs="Arial"/>
        </w:rPr>
      </w:pPr>
      <w:r w:rsidRPr="00EC5379">
        <w:rPr>
          <w:rFonts w:cs="Arial"/>
        </w:rPr>
        <w:t xml:space="preserve">Following the public comment period, </w:t>
      </w:r>
      <w:r>
        <w:rPr>
          <w:rFonts w:cs="Arial"/>
        </w:rPr>
        <w:t>Industrial Relations Victoria (</w:t>
      </w:r>
      <w:r w:rsidRPr="00EC5379">
        <w:rPr>
          <w:rFonts w:cs="Arial"/>
        </w:rPr>
        <w:t>IRV</w:t>
      </w:r>
      <w:r>
        <w:rPr>
          <w:rFonts w:cs="Arial"/>
        </w:rPr>
        <w:t>)</w:t>
      </w:r>
      <w:r w:rsidRPr="00EC5379">
        <w:rPr>
          <w:rFonts w:cs="Arial"/>
        </w:rPr>
        <w:t xml:space="preserve"> will consider all submissions and commen</w:t>
      </w:r>
      <w:r>
        <w:rPr>
          <w:rFonts w:cs="Arial"/>
        </w:rPr>
        <w:t>ts made by stakeholders on the P</w:t>
      </w:r>
      <w:r w:rsidRPr="00EC5379">
        <w:rPr>
          <w:rFonts w:cs="Arial"/>
        </w:rPr>
        <w:t>roposed Regulations. Following this review, any necessary</w:t>
      </w:r>
      <w:r>
        <w:rPr>
          <w:rFonts w:cs="Arial"/>
        </w:rPr>
        <w:t xml:space="preserve"> changes to the P</w:t>
      </w:r>
      <w:r w:rsidRPr="00EC5379">
        <w:rPr>
          <w:rFonts w:cs="Arial"/>
        </w:rPr>
        <w:t>roposed Regulations will be made. Once the final Regulations have been prepared, the implementation plan will commence</w:t>
      </w:r>
      <w:r w:rsidR="004C7D37">
        <w:rPr>
          <w:rFonts w:cs="Arial"/>
        </w:rPr>
        <w:t xml:space="preserve"> as set out below</w:t>
      </w:r>
      <w:r w:rsidRPr="00EC5379">
        <w:rPr>
          <w:rFonts w:cs="Arial"/>
        </w:rPr>
        <w:t>.</w:t>
      </w:r>
    </w:p>
    <w:p w14:paraId="23FDE43F" w14:textId="633C1285" w:rsidR="000742E1" w:rsidRPr="00EC5379" w:rsidRDefault="000742E1" w:rsidP="00A9494E">
      <w:pPr>
        <w:pStyle w:val="BodyText"/>
        <w:rPr>
          <w:rFonts w:cs="Arial"/>
        </w:rPr>
      </w:pPr>
      <w:r w:rsidRPr="00262A04">
        <w:rPr>
          <w:rFonts w:cs="Arial"/>
          <w:color w:val="auto"/>
        </w:rPr>
        <w:t>All decisions on registration and compliance with the Scheme rest with the Authority.</w:t>
      </w:r>
    </w:p>
    <w:p w14:paraId="0239F4E5" w14:textId="77777777" w:rsidR="00A9494E" w:rsidRPr="00EC5379" w:rsidRDefault="00A9494E" w:rsidP="00A9494E">
      <w:pPr>
        <w:pStyle w:val="Heading2"/>
        <w:rPr>
          <w:rFonts w:ascii="Arial" w:hAnsi="Arial" w:cs="Arial"/>
        </w:rPr>
      </w:pPr>
      <w:bookmarkStart w:id="141" w:name="_Toc37921502"/>
      <w:r w:rsidRPr="00EC5379">
        <w:rPr>
          <w:rFonts w:ascii="Arial" w:hAnsi="Arial" w:cs="Arial"/>
        </w:rPr>
        <w:t>Industry Information</w:t>
      </w:r>
      <w:bookmarkEnd w:id="141"/>
    </w:p>
    <w:p w14:paraId="0474AFB7" w14:textId="462892FB" w:rsidR="00A9494E" w:rsidRDefault="00A9494E" w:rsidP="00A9494E">
      <w:pPr>
        <w:pStyle w:val="BodyText"/>
        <w:rPr>
          <w:color w:val="auto"/>
        </w:rPr>
      </w:pPr>
      <w:r>
        <w:rPr>
          <w:rFonts w:cs="Arial"/>
          <w:color w:val="auto"/>
        </w:rPr>
        <w:t xml:space="preserve">As can be seen from the impact analysis section of this document, a number of the proposed regulatory changes are designed to improve clarity for employers and employees. </w:t>
      </w:r>
      <w:r w:rsidRPr="00743EF9">
        <w:rPr>
          <w:rFonts w:cs="Arial"/>
          <w:color w:val="auto"/>
        </w:rPr>
        <w:t xml:space="preserve">However, alterations to the Regulations necessarily carries the risk that affected </w:t>
      </w:r>
      <w:r w:rsidR="00DB01D9">
        <w:rPr>
          <w:rFonts w:cs="Arial"/>
          <w:color w:val="auto"/>
        </w:rPr>
        <w:t>employers</w:t>
      </w:r>
      <w:r w:rsidRPr="00743EF9">
        <w:rPr>
          <w:rFonts w:cs="Arial"/>
          <w:color w:val="auto"/>
        </w:rPr>
        <w:t xml:space="preserve"> will not be aware of their new legal obligations and </w:t>
      </w:r>
      <w:r w:rsidR="004C7D37">
        <w:rPr>
          <w:rFonts w:cs="Arial"/>
          <w:color w:val="auto"/>
        </w:rPr>
        <w:t xml:space="preserve">will </w:t>
      </w:r>
      <w:r w:rsidRPr="00743EF9">
        <w:rPr>
          <w:rFonts w:cs="Arial"/>
          <w:color w:val="auto"/>
        </w:rPr>
        <w:t xml:space="preserve">fail to meet them, costing both the Authority and </w:t>
      </w:r>
      <w:r w:rsidR="00DB01D9">
        <w:rPr>
          <w:rFonts w:cs="Arial"/>
          <w:color w:val="auto"/>
        </w:rPr>
        <w:t>employers</w:t>
      </w:r>
      <w:r w:rsidRPr="00743EF9">
        <w:rPr>
          <w:rFonts w:cs="Arial"/>
          <w:color w:val="auto"/>
        </w:rPr>
        <w:t xml:space="preserve"> time and money.</w:t>
      </w:r>
    </w:p>
    <w:p w14:paraId="0B85ADA4" w14:textId="4F8BDCA5" w:rsidR="00A9494E" w:rsidRDefault="00A9494E" w:rsidP="00A9494E">
      <w:pPr>
        <w:pStyle w:val="BodyText"/>
        <w:rPr>
          <w:rFonts w:cs="Arial"/>
          <w:color w:val="auto"/>
        </w:rPr>
      </w:pPr>
      <w:r w:rsidRPr="00743EF9">
        <w:rPr>
          <w:rFonts w:cs="Arial"/>
          <w:color w:val="auto"/>
        </w:rPr>
        <w:t xml:space="preserve">The key requirement for the </w:t>
      </w:r>
      <w:r>
        <w:rPr>
          <w:rFonts w:cs="Arial"/>
          <w:color w:val="auto"/>
        </w:rPr>
        <w:t>successful introduction of the P</w:t>
      </w:r>
      <w:r w:rsidRPr="00743EF9">
        <w:rPr>
          <w:rFonts w:cs="Arial"/>
          <w:color w:val="auto"/>
        </w:rPr>
        <w:t xml:space="preserve">roposed Regulations will be to provide quality information to the affected employers as to their new </w:t>
      </w:r>
      <w:r w:rsidR="000742E1">
        <w:rPr>
          <w:rFonts w:cs="Arial"/>
          <w:color w:val="auto"/>
        </w:rPr>
        <w:t xml:space="preserve">or altered </w:t>
      </w:r>
      <w:r w:rsidRPr="00743EF9">
        <w:rPr>
          <w:rFonts w:cs="Arial"/>
          <w:color w:val="auto"/>
        </w:rPr>
        <w:t>obligations.</w:t>
      </w:r>
      <w:r>
        <w:rPr>
          <w:rFonts w:cs="Arial"/>
          <w:color w:val="auto"/>
        </w:rPr>
        <w:t xml:space="preserve"> </w:t>
      </w:r>
      <w:r w:rsidR="0060163D">
        <w:rPr>
          <w:rFonts w:cs="Arial"/>
          <w:color w:val="auto"/>
        </w:rPr>
        <w:t>It is evident from f</w:t>
      </w:r>
      <w:r>
        <w:rPr>
          <w:rFonts w:cs="Arial"/>
          <w:color w:val="auto"/>
        </w:rPr>
        <w:t xml:space="preserve">eedback from stakeholders </w:t>
      </w:r>
      <w:r w:rsidR="0060163D">
        <w:rPr>
          <w:rFonts w:cs="Arial"/>
          <w:color w:val="auto"/>
        </w:rPr>
        <w:t>that there is a</w:t>
      </w:r>
      <w:r>
        <w:rPr>
          <w:rFonts w:cs="Arial"/>
          <w:color w:val="auto"/>
        </w:rPr>
        <w:t xml:space="preserve"> need for a clear and concerted industry information campaign. Many of the changes are relatively technical and may confuse stakeholders if</w:t>
      </w:r>
      <w:r w:rsidR="004C7D37">
        <w:rPr>
          <w:rFonts w:cs="Arial"/>
          <w:color w:val="auto"/>
        </w:rPr>
        <w:t xml:space="preserve"> they are</w:t>
      </w:r>
      <w:r>
        <w:rPr>
          <w:rFonts w:cs="Arial"/>
          <w:color w:val="auto"/>
        </w:rPr>
        <w:t xml:space="preserve"> not accompanied by an information campaign. </w:t>
      </w:r>
    </w:p>
    <w:p w14:paraId="226332DB" w14:textId="014D736A" w:rsidR="00A9494E" w:rsidRPr="00E33F49" w:rsidRDefault="00A9494E" w:rsidP="00A9494E">
      <w:pPr>
        <w:pStyle w:val="BodyText"/>
        <w:rPr>
          <w:rFonts w:cs="Arial"/>
        </w:rPr>
      </w:pPr>
      <w:r>
        <w:rPr>
          <w:rFonts w:cs="Arial"/>
        </w:rPr>
        <w:t>For employers</w:t>
      </w:r>
      <w:r w:rsidR="000742E1">
        <w:rPr>
          <w:rFonts w:cs="Arial"/>
        </w:rPr>
        <w:t xml:space="preserve"> and employees</w:t>
      </w:r>
      <w:r>
        <w:rPr>
          <w:rFonts w:cs="Arial"/>
        </w:rPr>
        <w:t xml:space="preserve"> impacted by changes in the Proposed Regulations, </w:t>
      </w:r>
      <w:r w:rsidR="000742E1">
        <w:rPr>
          <w:rFonts w:cs="Arial"/>
        </w:rPr>
        <w:t xml:space="preserve">and for peak bodies and other stakeholders, </w:t>
      </w:r>
      <w:r w:rsidRPr="00E33F49">
        <w:rPr>
          <w:rFonts w:cs="Arial"/>
        </w:rPr>
        <w:t xml:space="preserve">information should include the following: </w:t>
      </w:r>
    </w:p>
    <w:p w14:paraId="7B58E4A5" w14:textId="77777777" w:rsidR="000742E1" w:rsidRDefault="000742E1" w:rsidP="000742E1">
      <w:pPr>
        <w:pStyle w:val="ListBullet"/>
        <w:contextualSpacing w:val="0"/>
        <w:rPr>
          <w:rFonts w:cs="Arial"/>
        </w:rPr>
      </w:pPr>
      <w:r>
        <w:rPr>
          <w:rFonts w:cs="Arial"/>
        </w:rPr>
        <w:t>any change to the definition of community service work;</w:t>
      </w:r>
    </w:p>
    <w:p w14:paraId="1C4880F5" w14:textId="53082F38" w:rsidR="000742E1" w:rsidRDefault="000742E1" w:rsidP="000742E1">
      <w:pPr>
        <w:pStyle w:val="ListBullet"/>
        <w:contextualSpacing w:val="0"/>
        <w:rPr>
          <w:rFonts w:cs="Arial"/>
        </w:rPr>
      </w:pPr>
      <w:r>
        <w:rPr>
          <w:rFonts w:cs="Arial"/>
        </w:rPr>
        <w:t xml:space="preserve">any change to who is </w:t>
      </w:r>
      <w:r w:rsidR="004C7D37">
        <w:rPr>
          <w:rFonts w:cs="Arial"/>
        </w:rPr>
        <w:t xml:space="preserve">regarded as </w:t>
      </w:r>
      <w:r>
        <w:rPr>
          <w:rFonts w:cs="Arial"/>
        </w:rPr>
        <w:t>an employer in the community services sector;</w:t>
      </w:r>
    </w:p>
    <w:p w14:paraId="248809F4" w14:textId="47B68D6D" w:rsidR="000742E1" w:rsidRPr="008902DC" w:rsidRDefault="000742E1" w:rsidP="000742E1">
      <w:pPr>
        <w:pStyle w:val="ListBullet"/>
        <w:contextualSpacing w:val="0"/>
        <w:rPr>
          <w:rFonts w:cs="Arial"/>
        </w:rPr>
      </w:pPr>
      <w:r>
        <w:rPr>
          <w:rFonts w:cs="Arial"/>
        </w:rPr>
        <w:t xml:space="preserve">any changes to the definition of who is </w:t>
      </w:r>
      <w:r w:rsidR="0023608B">
        <w:rPr>
          <w:rFonts w:cs="Arial"/>
        </w:rPr>
        <w:t xml:space="preserve">regarded as </w:t>
      </w:r>
      <w:r>
        <w:rPr>
          <w:rFonts w:cs="Arial"/>
        </w:rPr>
        <w:t>an employee in the community services sector and the security sector;</w:t>
      </w:r>
    </w:p>
    <w:p w14:paraId="11F28C0B" w14:textId="523B3F04" w:rsidR="000742E1" w:rsidRDefault="000742E1" w:rsidP="000742E1">
      <w:pPr>
        <w:pStyle w:val="ListBullet"/>
        <w:contextualSpacing w:val="0"/>
        <w:rPr>
          <w:rFonts w:cs="Arial"/>
        </w:rPr>
      </w:pPr>
      <w:r>
        <w:rPr>
          <w:rFonts w:cs="Arial"/>
        </w:rPr>
        <w:t>t</w:t>
      </w:r>
      <w:r w:rsidRPr="00E33F49">
        <w:rPr>
          <w:rFonts w:cs="Arial"/>
        </w:rPr>
        <w:t>he dates on</w:t>
      </w:r>
      <w:r>
        <w:rPr>
          <w:rFonts w:cs="Arial"/>
        </w:rPr>
        <w:t xml:space="preserve"> which changes and obligations come into effect; and</w:t>
      </w:r>
    </w:p>
    <w:p w14:paraId="20F33087" w14:textId="508D7A4B" w:rsidR="000742E1" w:rsidRDefault="000742E1" w:rsidP="000742E1">
      <w:pPr>
        <w:pStyle w:val="ListBullet"/>
        <w:contextualSpacing w:val="0"/>
        <w:rPr>
          <w:rFonts w:cs="Arial"/>
        </w:rPr>
      </w:pPr>
      <w:r>
        <w:rPr>
          <w:rFonts w:cs="Arial"/>
        </w:rPr>
        <w:t xml:space="preserve">the avenues available to relevant employees and employers </w:t>
      </w:r>
      <w:r w:rsidR="0023608B">
        <w:rPr>
          <w:rFonts w:cs="Arial"/>
        </w:rPr>
        <w:t xml:space="preserve">and </w:t>
      </w:r>
      <w:r>
        <w:rPr>
          <w:rFonts w:cs="Arial"/>
        </w:rPr>
        <w:t xml:space="preserve">where </w:t>
      </w:r>
      <w:r w:rsidRPr="00E33F49">
        <w:rPr>
          <w:rFonts w:cs="Arial"/>
        </w:rPr>
        <w:t>they can go for any questi</w:t>
      </w:r>
      <w:r>
        <w:rPr>
          <w:rFonts w:cs="Arial"/>
        </w:rPr>
        <w:t>ons regarding their obligations or the S</w:t>
      </w:r>
      <w:r w:rsidRPr="00E33F49">
        <w:rPr>
          <w:rFonts w:cs="Arial"/>
        </w:rPr>
        <w:t>cheme generally.</w:t>
      </w:r>
    </w:p>
    <w:p w14:paraId="442FFA30" w14:textId="4ED027EE" w:rsidR="00A9494E" w:rsidRPr="000D72D7" w:rsidRDefault="00810970" w:rsidP="00A9494E">
      <w:pPr>
        <w:pStyle w:val="ListBullet"/>
        <w:numPr>
          <w:ilvl w:val="0"/>
          <w:numId w:val="0"/>
        </w:numPr>
        <w:rPr>
          <w:rFonts w:cs="Arial"/>
          <w:color w:val="auto"/>
        </w:rPr>
      </w:pPr>
      <w:r w:rsidRPr="00CE3DED">
        <w:rPr>
          <w:rFonts w:cs="Arial"/>
          <w:color w:val="auto"/>
        </w:rPr>
        <w:fldChar w:fldCharType="begin"/>
      </w:r>
      <w:r w:rsidRPr="00810970">
        <w:rPr>
          <w:rFonts w:cs="Arial"/>
          <w:color w:val="auto"/>
        </w:rPr>
        <w:instrText xml:space="preserve"> REF _Ref35608158 \h </w:instrText>
      </w:r>
      <w:r w:rsidRPr="00337958">
        <w:rPr>
          <w:rFonts w:cs="Arial"/>
          <w:color w:val="auto"/>
        </w:rPr>
        <w:instrText xml:space="preserve"> \* MERGEFORMAT </w:instrText>
      </w:r>
      <w:r w:rsidRPr="00CE3DED">
        <w:rPr>
          <w:rFonts w:cs="Arial"/>
          <w:color w:val="auto"/>
        </w:rPr>
      </w:r>
      <w:r w:rsidRPr="00CE3DED">
        <w:rPr>
          <w:rFonts w:cs="Arial"/>
          <w:color w:val="auto"/>
        </w:rPr>
        <w:fldChar w:fldCharType="separate"/>
      </w:r>
      <w:r w:rsidRPr="00337958">
        <w:rPr>
          <w:rFonts w:cs="Arial"/>
        </w:rPr>
        <w:t xml:space="preserve">Table </w:t>
      </w:r>
      <w:r w:rsidRPr="00337958">
        <w:rPr>
          <w:rFonts w:cs="Arial"/>
          <w:noProof/>
        </w:rPr>
        <w:t>16</w:t>
      </w:r>
      <w:r w:rsidRPr="00CE3DED">
        <w:rPr>
          <w:rFonts w:cs="Arial"/>
          <w:color w:val="auto"/>
        </w:rPr>
        <w:fldChar w:fldCharType="end"/>
      </w:r>
      <w:r w:rsidRPr="00810970">
        <w:rPr>
          <w:rFonts w:cs="Arial"/>
          <w:color w:val="auto"/>
        </w:rPr>
        <w:t xml:space="preserve"> </w:t>
      </w:r>
      <w:r w:rsidR="00A9494E" w:rsidRPr="00E05801">
        <w:rPr>
          <w:rFonts w:cs="Arial"/>
          <w:color w:val="auto"/>
        </w:rPr>
        <w:t>outlines</w:t>
      </w:r>
      <w:r w:rsidR="00A9494E">
        <w:rPr>
          <w:rFonts w:cs="Arial"/>
          <w:color w:val="auto"/>
        </w:rPr>
        <w:t xml:space="preserve"> the key actions to support the implementation of the Regulations. </w:t>
      </w:r>
    </w:p>
    <w:p w14:paraId="7F9DCC44" w14:textId="147DCDE9" w:rsidR="00A9494E" w:rsidRPr="00EC5379" w:rsidRDefault="00A9494E" w:rsidP="00A9494E">
      <w:pPr>
        <w:pStyle w:val="BodyText"/>
        <w:keepNext/>
        <w:rPr>
          <w:rFonts w:cs="Arial"/>
          <w:i/>
        </w:rPr>
      </w:pPr>
      <w:bookmarkStart w:id="142" w:name="_Ref35608158"/>
      <w:r w:rsidRPr="00EC5379">
        <w:rPr>
          <w:rFonts w:cs="Arial"/>
          <w:i/>
        </w:rPr>
        <w:lastRenderedPageBreak/>
        <w:t xml:space="preserve">Table </w:t>
      </w:r>
      <w:r w:rsidRPr="00EC5379">
        <w:rPr>
          <w:rFonts w:cs="Arial"/>
          <w:i/>
          <w:noProof/>
        </w:rPr>
        <w:fldChar w:fldCharType="begin"/>
      </w:r>
      <w:r w:rsidRPr="00EC5379">
        <w:rPr>
          <w:rFonts w:cs="Arial"/>
          <w:i/>
          <w:noProof/>
        </w:rPr>
        <w:instrText xml:space="preserve"> SEQ Table \* ARABIC </w:instrText>
      </w:r>
      <w:r w:rsidRPr="00EC5379">
        <w:rPr>
          <w:rFonts w:cs="Arial"/>
          <w:i/>
          <w:noProof/>
        </w:rPr>
        <w:fldChar w:fldCharType="separate"/>
      </w:r>
      <w:r w:rsidR="00F11F33">
        <w:rPr>
          <w:rFonts w:cs="Arial"/>
          <w:i/>
          <w:noProof/>
        </w:rPr>
        <w:t>16</w:t>
      </w:r>
      <w:r w:rsidRPr="00EC5379">
        <w:rPr>
          <w:rFonts w:cs="Arial"/>
          <w:i/>
          <w:noProof/>
        </w:rPr>
        <w:fldChar w:fldCharType="end"/>
      </w:r>
      <w:bookmarkEnd w:id="142"/>
      <w:r w:rsidRPr="00EC5379">
        <w:rPr>
          <w:rFonts w:cs="Arial"/>
          <w:i/>
        </w:rPr>
        <w:t>: Overview of key actions to support the implementation of the Regulations</w:t>
      </w:r>
    </w:p>
    <w:tbl>
      <w:tblPr>
        <w:tblW w:w="8931" w:type="dxa"/>
        <w:tblLayout w:type="fixed"/>
        <w:tblLook w:val="04A0" w:firstRow="1" w:lastRow="0" w:firstColumn="1" w:lastColumn="0" w:noHBand="0" w:noVBand="1"/>
      </w:tblPr>
      <w:tblGrid>
        <w:gridCol w:w="1418"/>
        <w:gridCol w:w="3402"/>
        <w:gridCol w:w="1701"/>
        <w:gridCol w:w="2410"/>
      </w:tblGrid>
      <w:tr w:rsidR="00A9494E" w:rsidRPr="00EC5379" w14:paraId="2EE2F041" w14:textId="77777777" w:rsidTr="00AD518C">
        <w:trPr>
          <w:trHeight w:val="610"/>
        </w:trPr>
        <w:tc>
          <w:tcPr>
            <w:tcW w:w="1418" w:type="dxa"/>
            <w:tcBorders>
              <w:top w:val="single" w:sz="8" w:space="0" w:color="auto"/>
              <w:left w:val="nil"/>
              <w:bottom w:val="single" w:sz="8" w:space="0" w:color="auto"/>
              <w:right w:val="single" w:sz="8" w:space="0" w:color="auto"/>
            </w:tcBorders>
            <w:shd w:val="clear" w:color="auto" w:fill="002060"/>
            <w:vAlign w:val="center"/>
          </w:tcPr>
          <w:p w14:paraId="63B23BD2" w14:textId="77777777" w:rsidR="00A9494E" w:rsidRPr="00EC5379" w:rsidRDefault="00A9494E" w:rsidP="007846B7">
            <w:pPr>
              <w:pStyle w:val="Tableheading"/>
              <w:keepNext/>
              <w:rPr>
                <w:rFonts w:ascii="Arial" w:hAnsi="Arial" w:cs="Arial"/>
                <w:lang w:eastAsia="en-AU"/>
              </w:rPr>
            </w:pPr>
            <w:r w:rsidRPr="00EC5379">
              <w:rPr>
                <w:rFonts w:ascii="Arial" w:hAnsi="Arial" w:cs="Arial"/>
                <w:lang w:eastAsia="en-AU"/>
              </w:rPr>
              <w:t>Action</w:t>
            </w:r>
          </w:p>
        </w:tc>
        <w:tc>
          <w:tcPr>
            <w:tcW w:w="3402" w:type="dxa"/>
            <w:tcBorders>
              <w:top w:val="single" w:sz="8" w:space="0" w:color="auto"/>
              <w:left w:val="nil"/>
              <w:bottom w:val="single" w:sz="8" w:space="0" w:color="auto"/>
              <w:right w:val="single" w:sz="8" w:space="0" w:color="auto"/>
            </w:tcBorders>
            <w:shd w:val="clear" w:color="auto" w:fill="002060"/>
            <w:vAlign w:val="center"/>
            <w:hideMark/>
          </w:tcPr>
          <w:p w14:paraId="47ADCF84" w14:textId="77777777" w:rsidR="00A9494E" w:rsidRPr="00EC5379" w:rsidRDefault="00A9494E" w:rsidP="007846B7">
            <w:pPr>
              <w:pStyle w:val="Tableheading"/>
              <w:keepNext/>
              <w:rPr>
                <w:rFonts w:ascii="Arial" w:hAnsi="Arial" w:cs="Arial"/>
                <w:lang w:eastAsia="en-AU"/>
              </w:rPr>
            </w:pPr>
            <w:r w:rsidRPr="00EC5379">
              <w:rPr>
                <w:rFonts w:ascii="Arial" w:hAnsi="Arial" w:cs="Arial"/>
                <w:lang w:eastAsia="en-AU"/>
              </w:rPr>
              <w:t>Description</w:t>
            </w:r>
          </w:p>
        </w:tc>
        <w:tc>
          <w:tcPr>
            <w:tcW w:w="1701" w:type="dxa"/>
            <w:tcBorders>
              <w:top w:val="single" w:sz="8" w:space="0" w:color="auto"/>
              <w:left w:val="single" w:sz="8" w:space="0" w:color="auto"/>
              <w:bottom w:val="single" w:sz="8" w:space="0" w:color="auto"/>
              <w:right w:val="single" w:sz="8" w:space="0" w:color="auto"/>
            </w:tcBorders>
            <w:shd w:val="clear" w:color="auto" w:fill="002060"/>
            <w:vAlign w:val="center"/>
          </w:tcPr>
          <w:p w14:paraId="71FEC7D4" w14:textId="77777777" w:rsidR="00A9494E" w:rsidRPr="00EC5379" w:rsidRDefault="00A9494E" w:rsidP="007846B7">
            <w:pPr>
              <w:pStyle w:val="Tableheading"/>
              <w:keepNext/>
              <w:rPr>
                <w:rFonts w:ascii="Arial" w:hAnsi="Arial" w:cs="Arial"/>
                <w:lang w:eastAsia="en-AU"/>
              </w:rPr>
            </w:pPr>
            <w:r w:rsidRPr="00EC5379">
              <w:rPr>
                <w:rFonts w:ascii="Arial" w:hAnsi="Arial" w:cs="Arial"/>
                <w:lang w:eastAsia="en-AU"/>
              </w:rPr>
              <w:t>Responsibility</w:t>
            </w:r>
          </w:p>
        </w:tc>
        <w:tc>
          <w:tcPr>
            <w:tcW w:w="2410" w:type="dxa"/>
            <w:tcBorders>
              <w:top w:val="single" w:sz="8" w:space="0" w:color="auto"/>
              <w:left w:val="single" w:sz="8" w:space="0" w:color="auto"/>
              <w:bottom w:val="single" w:sz="8" w:space="0" w:color="auto"/>
              <w:right w:val="nil"/>
            </w:tcBorders>
            <w:shd w:val="clear" w:color="auto" w:fill="002060"/>
            <w:vAlign w:val="center"/>
            <w:hideMark/>
          </w:tcPr>
          <w:p w14:paraId="5644F7CA" w14:textId="77777777" w:rsidR="00A9494E" w:rsidRPr="00EC5379" w:rsidRDefault="00A9494E" w:rsidP="007846B7">
            <w:pPr>
              <w:pStyle w:val="Tableheading"/>
              <w:keepNext/>
              <w:rPr>
                <w:rFonts w:ascii="Arial" w:hAnsi="Arial" w:cs="Arial"/>
                <w:lang w:eastAsia="en-AU"/>
              </w:rPr>
            </w:pPr>
            <w:r w:rsidRPr="00EC5379">
              <w:rPr>
                <w:rFonts w:ascii="Arial" w:hAnsi="Arial" w:cs="Arial"/>
                <w:lang w:eastAsia="en-AU"/>
              </w:rPr>
              <w:t>Expected timeframe</w:t>
            </w:r>
          </w:p>
        </w:tc>
      </w:tr>
      <w:tr w:rsidR="00A9494E" w:rsidRPr="00EC5379" w14:paraId="4ED0AE44" w14:textId="77777777" w:rsidTr="00AD518C">
        <w:trPr>
          <w:trHeight w:val="237"/>
        </w:trPr>
        <w:tc>
          <w:tcPr>
            <w:tcW w:w="1418" w:type="dxa"/>
            <w:tcBorders>
              <w:top w:val="single" w:sz="8" w:space="0" w:color="auto"/>
              <w:left w:val="nil"/>
              <w:bottom w:val="single" w:sz="4" w:space="0" w:color="auto"/>
              <w:right w:val="single" w:sz="8" w:space="0" w:color="auto"/>
            </w:tcBorders>
            <w:shd w:val="clear" w:color="000000" w:fill="DEEAF6"/>
          </w:tcPr>
          <w:p w14:paraId="5327A85B" w14:textId="77777777" w:rsidR="00A9494E" w:rsidRPr="00020C07" w:rsidRDefault="00A9494E" w:rsidP="007846B7">
            <w:pPr>
              <w:pStyle w:val="Tabletext"/>
              <w:keepNext/>
              <w:rPr>
                <w:rFonts w:cs="Arial"/>
                <w:lang w:eastAsia="en-AU"/>
              </w:rPr>
            </w:pPr>
            <w:r w:rsidRPr="008902DC">
              <w:rPr>
                <w:rFonts w:cs="Arial"/>
                <w:lang w:eastAsia="en-AU"/>
              </w:rPr>
              <w:t>Consult on the Regulations</w:t>
            </w:r>
          </w:p>
        </w:tc>
        <w:tc>
          <w:tcPr>
            <w:tcW w:w="3402" w:type="dxa"/>
            <w:tcBorders>
              <w:top w:val="single" w:sz="8" w:space="0" w:color="auto"/>
              <w:left w:val="nil"/>
              <w:bottom w:val="single" w:sz="4" w:space="0" w:color="auto"/>
              <w:right w:val="single" w:sz="8" w:space="0" w:color="auto"/>
            </w:tcBorders>
            <w:shd w:val="clear" w:color="000000" w:fill="DEEAF6"/>
          </w:tcPr>
          <w:p w14:paraId="3372947C" w14:textId="71614CBB" w:rsidR="00A9494E" w:rsidRPr="008902DC" w:rsidRDefault="00A9494E" w:rsidP="007846B7">
            <w:pPr>
              <w:pStyle w:val="Tabletext"/>
              <w:keepNext/>
              <w:rPr>
                <w:rFonts w:cs="Arial"/>
                <w:lang w:eastAsia="en-AU"/>
              </w:rPr>
            </w:pPr>
            <w:r w:rsidRPr="008902DC">
              <w:rPr>
                <w:rFonts w:cs="Arial"/>
                <w:lang w:eastAsia="en-AU"/>
              </w:rPr>
              <w:t>Undertake consultation on the R</w:t>
            </w:r>
            <w:r>
              <w:rPr>
                <w:rFonts w:cs="Arial"/>
                <w:lang w:eastAsia="en-AU"/>
              </w:rPr>
              <w:t>egulations with key stakeholders</w:t>
            </w:r>
            <w:r w:rsidR="00F001F7">
              <w:rPr>
                <w:rFonts w:cs="Arial"/>
                <w:lang w:eastAsia="en-AU"/>
              </w:rPr>
              <w:t xml:space="preserve"> through the RIS</w:t>
            </w:r>
            <w:r w:rsidRPr="008902DC">
              <w:rPr>
                <w:rFonts w:cs="Arial"/>
                <w:lang w:eastAsia="en-AU"/>
              </w:rPr>
              <w:t>.</w:t>
            </w:r>
          </w:p>
        </w:tc>
        <w:tc>
          <w:tcPr>
            <w:tcW w:w="1701" w:type="dxa"/>
            <w:tcBorders>
              <w:top w:val="single" w:sz="8" w:space="0" w:color="auto"/>
              <w:left w:val="single" w:sz="8" w:space="0" w:color="auto"/>
              <w:bottom w:val="single" w:sz="4" w:space="0" w:color="auto"/>
              <w:right w:val="single" w:sz="8" w:space="0" w:color="auto"/>
            </w:tcBorders>
            <w:shd w:val="clear" w:color="000000" w:fill="DEEAF6"/>
          </w:tcPr>
          <w:p w14:paraId="4DB72254" w14:textId="77777777" w:rsidR="00A9494E" w:rsidRPr="00020C07" w:rsidRDefault="00A9494E" w:rsidP="007846B7">
            <w:pPr>
              <w:pStyle w:val="Tabletext"/>
              <w:keepNext/>
              <w:rPr>
                <w:rFonts w:cs="Arial"/>
                <w:lang w:eastAsia="en-AU"/>
              </w:rPr>
            </w:pPr>
            <w:r w:rsidRPr="008902DC">
              <w:rPr>
                <w:rFonts w:cs="Arial"/>
                <w:lang w:eastAsia="en-AU"/>
              </w:rPr>
              <w:t xml:space="preserve">IRV </w:t>
            </w:r>
          </w:p>
        </w:tc>
        <w:tc>
          <w:tcPr>
            <w:tcW w:w="2410" w:type="dxa"/>
            <w:tcBorders>
              <w:top w:val="single" w:sz="8" w:space="0" w:color="auto"/>
              <w:left w:val="single" w:sz="8" w:space="0" w:color="auto"/>
              <w:bottom w:val="single" w:sz="4" w:space="0" w:color="auto"/>
              <w:right w:val="nil"/>
            </w:tcBorders>
            <w:shd w:val="clear" w:color="000000" w:fill="DEEAF6"/>
          </w:tcPr>
          <w:p w14:paraId="05ACBCB9" w14:textId="4677A3E8" w:rsidR="00A9494E" w:rsidRDefault="00D86A39" w:rsidP="007846B7">
            <w:pPr>
              <w:pStyle w:val="Tabletext"/>
              <w:keepNext/>
              <w:rPr>
                <w:rFonts w:cs="Arial"/>
                <w:lang w:eastAsia="en-AU"/>
              </w:rPr>
            </w:pPr>
            <w:r>
              <w:rPr>
                <w:rFonts w:cs="Arial"/>
                <w:lang w:eastAsia="en-AU"/>
              </w:rPr>
              <w:t>May</w:t>
            </w:r>
            <w:r w:rsidR="000742E1">
              <w:rPr>
                <w:rFonts w:cs="Arial"/>
                <w:lang w:eastAsia="en-AU"/>
              </w:rPr>
              <w:t>-June</w:t>
            </w:r>
            <w:r>
              <w:rPr>
                <w:rFonts w:cs="Arial"/>
                <w:lang w:eastAsia="en-AU"/>
              </w:rPr>
              <w:t xml:space="preserve"> 2020</w:t>
            </w:r>
          </w:p>
        </w:tc>
      </w:tr>
      <w:tr w:rsidR="00A9494E" w:rsidRPr="00EC5379" w14:paraId="42A31F05" w14:textId="77777777" w:rsidTr="00AD518C">
        <w:trPr>
          <w:trHeight w:val="237"/>
        </w:trPr>
        <w:tc>
          <w:tcPr>
            <w:tcW w:w="1418" w:type="dxa"/>
            <w:tcBorders>
              <w:top w:val="single" w:sz="4" w:space="0" w:color="auto"/>
              <w:left w:val="nil"/>
              <w:bottom w:val="single" w:sz="4" w:space="0" w:color="auto"/>
              <w:right w:val="single" w:sz="8" w:space="0" w:color="auto"/>
            </w:tcBorders>
            <w:shd w:val="clear" w:color="000000" w:fill="DEEAF6"/>
          </w:tcPr>
          <w:p w14:paraId="36BA5539" w14:textId="77777777" w:rsidR="00A9494E" w:rsidRPr="00020C07" w:rsidRDefault="00A9494E" w:rsidP="007846B7">
            <w:pPr>
              <w:pStyle w:val="Tabletext"/>
              <w:keepNext/>
              <w:rPr>
                <w:rFonts w:cs="Arial"/>
                <w:lang w:eastAsia="en-AU"/>
              </w:rPr>
            </w:pPr>
            <w:r w:rsidRPr="008902DC">
              <w:rPr>
                <w:rFonts w:cs="Arial"/>
                <w:lang w:eastAsia="en-AU"/>
              </w:rPr>
              <w:t>Finalise Regulation</w:t>
            </w:r>
            <w:r>
              <w:rPr>
                <w:rFonts w:cs="Arial"/>
                <w:lang w:eastAsia="en-AU"/>
              </w:rPr>
              <w:t>s</w:t>
            </w:r>
          </w:p>
        </w:tc>
        <w:tc>
          <w:tcPr>
            <w:tcW w:w="3402" w:type="dxa"/>
            <w:tcBorders>
              <w:top w:val="single" w:sz="4" w:space="0" w:color="auto"/>
              <w:left w:val="nil"/>
              <w:bottom w:val="single" w:sz="4" w:space="0" w:color="auto"/>
              <w:right w:val="single" w:sz="8" w:space="0" w:color="auto"/>
            </w:tcBorders>
            <w:shd w:val="clear" w:color="000000" w:fill="DEEAF6"/>
          </w:tcPr>
          <w:p w14:paraId="2564427A" w14:textId="77777777" w:rsidR="00A9494E" w:rsidRPr="008902DC" w:rsidRDefault="00A9494E" w:rsidP="007846B7">
            <w:pPr>
              <w:pStyle w:val="Tabletext"/>
              <w:keepNext/>
              <w:rPr>
                <w:rFonts w:cs="Arial"/>
                <w:lang w:eastAsia="en-AU"/>
              </w:rPr>
            </w:pPr>
            <w:r w:rsidRPr="008902DC">
              <w:rPr>
                <w:rFonts w:cs="Arial"/>
                <w:lang w:eastAsia="en-AU"/>
              </w:rPr>
              <w:t>Respond to stakeholder feedback and make any necessary changes to the Regulations.</w:t>
            </w:r>
          </w:p>
        </w:tc>
        <w:tc>
          <w:tcPr>
            <w:tcW w:w="1701" w:type="dxa"/>
            <w:tcBorders>
              <w:top w:val="single" w:sz="4" w:space="0" w:color="auto"/>
              <w:left w:val="single" w:sz="8" w:space="0" w:color="auto"/>
              <w:bottom w:val="single" w:sz="4" w:space="0" w:color="auto"/>
              <w:right w:val="single" w:sz="8" w:space="0" w:color="auto"/>
            </w:tcBorders>
            <w:shd w:val="clear" w:color="000000" w:fill="DEEAF6"/>
          </w:tcPr>
          <w:p w14:paraId="125702D6" w14:textId="77777777" w:rsidR="00A9494E" w:rsidRPr="00020C07" w:rsidRDefault="00A9494E" w:rsidP="007846B7">
            <w:pPr>
              <w:pStyle w:val="Tabletext"/>
              <w:keepNext/>
              <w:rPr>
                <w:rFonts w:cs="Arial"/>
                <w:lang w:eastAsia="en-AU"/>
              </w:rPr>
            </w:pPr>
            <w:r w:rsidRPr="008902DC">
              <w:rPr>
                <w:rFonts w:cs="Arial"/>
                <w:lang w:eastAsia="en-AU"/>
              </w:rPr>
              <w:t xml:space="preserve">IRV </w:t>
            </w:r>
          </w:p>
        </w:tc>
        <w:tc>
          <w:tcPr>
            <w:tcW w:w="2410" w:type="dxa"/>
            <w:tcBorders>
              <w:top w:val="single" w:sz="4" w:space="0" w:color="auto"/>
              <w:left w:val="single" w:sz="8" w:space="0" w:color="auto"/>
              <w:bottom w:val="single" w:sz="4" w:space="0" w:color="auto"/>
              <w:right w:val="nil"/>
            </w:tcBorders>
            <w:shd w:val="clear" w:color="000000" w:fill="DEEAF6"/>
          </w:tcPr>
          <w:p w14:paraId="2F148E48" w14:textId="4F998922" w:rsidR="00A9494E" w:rsidRDefault="00D86A39" w:rsidP="00186BE4">
            <w:pPr>
              <w:pStyle w:val="Tabletext"/>
              <w:keepNext/>
              <w:rPr>
                <w:rFonts w:cs="Arial"/>
                <w:lang w:eastAsia="en-AU"/>
              </w:rPr>
            </w:pPr>
            <w:r>
              <w:rPr>
                <w:rFonts w:cs="Arial"/>
                <w:lang w:eastAsia="en-AU"/>
              </w:rPr>
              <w:t>Ju</w:t>
            </w:r>
            <w:r w:rsidR="000742E1">
              <w:rPr>
                <w:rFonts w:cs="Arial"/>
                <w:lang w:eastAsia="en-AU"/>
              </w:rPr>
              <w:t>ne-July</w:t>
            </w:r>
            <w:r>
              <w:rPr>
                <w:rFonts w:cs="Arial"/>
                <w:lang w:eastAsia="en-AU"/>
              </w:rPr>
              <w:t xml:space="preserve"> 2020</w:t>
            </w:r>
          </w:p>
        </w:tc>
      </w:tr>
      <w:tr w:rsidR="00A9494E" w14:paraId="4793D3C3" w14:textId="77777777" w:rsidTr="00AD518C">
        <w:trPr>
          <w:trHeight w:val="237"/>
        </w:trPr>
        <w:tc>
          <w:tcPr>
            <w:tcW w:w="1418" w:type="dxa"/>
            <w:tcBorders>
              <w:top w:val="single" w:sz="4" w:space="0" w:color="auto"/>
              <w:left w:val="nil"/>
              <w:bottom w:val="single" w:sz="4" w:space="0" w:color="auto"/>
              <w:right w:val="single" w:sz="8" w:space="0" w:color="auto"/>
            </w:tcBorders>
            <w:shd w:val="clear" w:color="000000" w:fill="DEEAF6"/>
          </w:tcPr>
          <w:p w14:paraId="06E9EBDF" w14:textId="77777777" w:rsidR="00A9494E" w:rsidRPr="00020C07" w:rsidRDefault="00A9494E" w:rsidP="007846B7">
            <w:pPr>
              <w:pStyle w:val="Tabletext"/>
              <w:keepNext/>
              <w:rPr>
                <w:rFonts w:cs="Arial"/>
                <w:lang w:eastAsia="en-AU"/>
              </w:rPr>
            </w:pPr>
            <w:r w:rsidRPr="008902DC">
              <w:rPr>
                <w:rFonts w:cs="Arial"/>
                <w:lang w:eastAsia="en-AU"/>
              </w:rPr>
              <w:t>General sector awareness and education</w:t>
            </w:r>
          </w:p>
        </w:tc>
        <w:tc>
          <w:tcPr>
            <w:tcW w:w="3402" w:type="dxa"/>
            <w:tcBorders>
              <w:top w:val="single" w:sz="4" w:space="0" w:color="auto"/>
              <w:left w:val="nil"/>
              <w:bottom w:val="single" w:sz="4" w:space="0" w:color="auto"/>
              <w:right w:val="single" w:sz="8" w:space="0" w:color="auto"/>
            </w:tcBorders>
            <w:shd w:val="clear" w:color="000000" w:fill="DEEAF6"/>
          </w:tcPr>
          <w:p w14:paraId="570A7073" w14:textId="5EBE849F" w:rsidR="00A9494E" w:rsidRPr="008902DC" w:rsidRDefault="004740C1" w:rsidP="007846B7">
            <w:pPr>
              <w:pStyle w:val="Tabletext"/>
              <w:keepNext/>
              <w:rPr>
                <w:rFonts w:cs="Arial"/>
                <w:lang w:eastAsia="en-AU"/>
              </w:rPr>
            </w:pPr>
            <w:r>
              <w:rPr>
                <w:rFonts w:cs="Arial"/>
                <w:lang w:eastAsia="en-AU"/>
              </w:rPr>
              <w:t>L</w:t>
            </w:r>
            <w:r w:rsidR="00A9494E" w:rsidRPr="008902DC">
              <w:rPr>
                <w:rFonts w:cs="Arial"/>
                <w:lang w:eastAsia="en-AU"/>
              </w:rPr>
              <w:t>aunch a comprehensive information campaign – notin</w:t>
            </w:r>
            <w:r w:rsidR="00A9494E">
              <w:rPr>
                <w:rFonts w:cs="Arial"/>
                <w:lang w:eastAsia="en-AU"/>
              </w:rPr>
              <w:t xml:space="preserve">g this will primarily cover employers and peak bodies impacted by the changes in the Proposed Regulations. </w:t>
            </w:r>
          </w:p>
        </w:tc>
        <w:tc>
          <w:tcPr>
            <w:tcW w:w="1701" w:type="dxa"/>
            <w:tcBorders>
              <w:top w:val="single" w:sz="4" w:space="0" w:color="auto"/>
              <w:left w:val="single" w:sz="8" w:space="0" w:color="auto"/>
              <w:bottom w:val="single" w:sz="4" w:space="0" w:color="auto"/>
              <w:right w:val="single" w:sz="8" w:space="0" w:color="auto"/>
            </w:tcBorders>
            <w:shd w:val="clear" w:color="000000" w:fill="DEEAF6"/>
          </w:tcPr>
          <w:p w14:paraId="4688CC96" w14:textId="77777777" w:rsidR="00A9494E" w:rsidRPr="00020C07" w:rsidRDefault="00A9494E" w:rsidP="007846B7">
            <w:pPr>
              <w:pStyle w:val="Tabletext"/>
              <w:keepNext/>
              <w:rPr>
                <w:rFonts w:cs="Arial"/>
                <w:lang w:eastAsia="en-AU"/>
              </w:rPr>
            </w:pPr>
            <w:r>
              <w:rPr>
                <w:rFonts w:cs="Arial"/>
                <w:lang w:eastAsia="en-AU"/>
              </w:rPr>
              <w:t xml:space="preserve">The Authority </w:t>
            </w:r>
          </w:p>
        </w:tc>
        <w:tc>
          <w:tcPr>
            <w:tcW w:w="2410" w:type="dxa"/>
            <w:tcBorders>
              <w:top w:val="single" w:sz="4" w:space="0" w:color="auto"/>
              <w:left w:val="single" w:sz="8" w:space="0" w:color="auto"/>
              <w:bottom w:val="single" w:sz="4" w:space="0" w:color="auto"/>
              <w:right w:val="nil"/>
            </w:tcBorders>
            <w:shd w:val="clear" w:color="000000" w:fill="DEEAF6"/>
          </w:tcPr>
          <w:p w14:paraId="091D640C" w14:textId="2CCED21C" w:rsidR="00A9494E" w:rsidRDefault="000742E1" w:rsidP="00186BE4">
            <w:pPr>
              <w:pStyle w:val="Tabletext"/>
              <w:keepNext/>
              <w:rPr>
                <w:rFonts w:cs="Arial"/>
                <w:lang w:eastAsia="en-AU"/>
              </w:rPr>
            </w:pPr>
            <w:r>
              <w:rPr>
                <w:rFonts w:cs="Arial"/>
                <w:lang w:eastAsia="en-AU"/>
              </w:rPr>
              <w:t>Two</w:t>
            </w:r>
            <w:r w:rsidRPr="00020C07">
              <w:rPr>
                <w:rFonts w:cs="Arial"/>
                <w:lang w:eastAsia="en-AU"/>
              </w:rPr>
              <w:t xml:space="preserve"> </w:t>
            </w:r>
            <w:r w:rsidR="00A9494E" w:rsidRPr="00020C07">
              <w:rPr>
                <w:rFonts w:cs="Arial"/>
                <w:lang w:eastAsia="en-AU"/>
              </w:rPr>
              <w:t>month</w:t>
            </w:r>
            <w:r>
              <w:rPr>
                <w:rFonts w:cs="Arial"/>
                <w:lang w:eastAsia="en-AU"/>
              </w:rPr>
              <w:t>s</w:t>
            </w:r>
            <w:r w:rsidR="00A9494E" w:rsidRPr="00020C07">
              <w:rPr>
                <w:rFonts w:cs="Arial"/>
                <w:lang w:eastAsia="en-AU"/>
              </w:rPr>
              <w:t xml:space="preserve"> prior to the Regulations taking effect, and ongoing for up to </w:t>
            </w:r>
            <w:r w:rsidRPr="00020C07">
              <w:rPr>
                <w:rFonts w:cs="Arial"/>
                <w:lang w:eastAsia="en-AU"/>
              </w:rPr>
              <w:t>t</w:t>
            </w:r>
            <w:r>
              <w:rPr>
                <w:rFonts w:cs="Arial"/>
                <w:lang w:eastAsia="en-AU"/>
              </w:rPr>
              <w:t>hree</w:t>
            </w:r>
            <w:r w:rsidRPr="00020C07">
              <w:rPr>
                <w:rFonts w:cs="Arial"/>
                <w:lang w:eastAsia="en-AU"/>
              </w:rPr>
              <w:t xml:space="preserve"> </w:t>
            </w:r>
            <w:r w:rsidR="00A9494E" w:rsidRPr="00020C07">
              <w:rPr>
                <w:rFonts w:cs="Arial"/>
                <w:lang w:eastAsia="en-AU"/>
              </w:rPr>
              <w:t>months after the R</w:t>
            </w:r>
            <w:r w:rsidR="00A9494E">
              <w:rPr>
                <w:rFonts w:cs="Arial"/>
                <w:lang w:eastAsia="en-AU"/>
              </w:rPr>
              <w:t>egulations take effect</w:t>
            </w:r>
            <w:r w:rsidR="00682E17">
              <w:rPr>
                <w:rFonts w:cs="Arial"/>
                <w:lang w:eastAsia="en-AU"/>
              </w:rPr>
              <w:t>.</w:t>
            </w:r>
          </w:p>
        </w:tc>
      </w:tr>
    </w:tbl>
    <w:p w14:paraId="0D2FAA8C" w14:textId="77777777" w:rsidR="00A9494E" w:rsidRPr="00EC5379" w:rsidRDefault="00A9494E" w:rsidP="00A9494E">
      <w:pPr>
        <w:pStyle w:val="Heading2"/>
        <w:rPr>
          <w:rFonts w:ascii="Arial" w:hAnsi="Arial" w:cs="Arial"/>
        </w:rPr>
      </w:pPr>
      <w:bookmarkStart w:id="143" w:name="_Toc37921503"/>
      <w:r w:rsidRPr="00EC5379">
        <w:rPr>
          <w:rFonts w:ascii="Arial" w:hAnsi="Arial" w:cs="Arial"/>
        </w:rPr>
        <w:t>Monitoring</w:t>
      </w:r>
      <w:bookmarkEnd w:id="143"/>
    </w:p>
    <w:p w14:paraId="78AE7401" w14:textId="155F4BD3" w:rsidR="00A9494E" w:rsidRDefault="0023608B" w:rsidP="00A9494E">
      <w:pPr>
        <w:pStyle w:val="BodyText"/>
        <w:rPr>
          <w:rFonts w:cs="Arial"/>
        </w:rPr>
      </w:pPr>
      <w:r>
        <w:rPr>
          <w:rFonts w:cs="Arial"/>
        </w:rPr>
        <w:t>IRV</w:t>
      </w:r>
      <w:r w:rsidR="00A9494E" w:rsidRPr="00EC5379">
        <w:rPr>
          <w:rFonts w:cs="Arial"/>
        </w:rPr>
        <w:t>, along with the Authority</w:t>
      </w:r>
      <w:r w:rsidR="00A9494E">
        <w:rPr>
          <w:rFonts w:cs="Arial"/>
        </w:rPr>
        <w:t xml:space="preserve">, </w:t>
      </w:r>
      <w:r w:rsidR="00A9494E" w:rsidRPr="00EC5379">
        <w:rPr>
          <w:rFonts w:cs="Arial"/>
        </w:rPr>
        <w:t>will be responsible for monito</w:t>
      </w:r>
      <w:r w:rsidR="00A9494E">
        <w:rPr>
          <w:rFonts w:cs="Arial"/>
        </w:rPr>
        <w:t>ring the implementation of the P</w:t>
      </w:r>
      <w:r w:rsidR="00A9494E" w:rsidRPr="00EC5379">
        <w:rPr>
          <w:rFonts w:cs="Arial"/>
        </w:rPr>
        <w:t xml:space="preserve">roposed Regulations. These bodies will be assisted by the Working Party that </w:t>
      </w:r>
      <w:r w:rsidR="00F001F7">
        <w:rPr>
          <w:rFonts w:cs="Arial"/>
        </w:rPr>
        <w:t xml:space="preserve">was </w:t>
      </w:r>
      <w:r w:rsidR="00A9494E" w:rsidRPr="00EC5379">
        <w:rPr>
          <w:rFonts w:cs="Arial"/>
        </w:rPr>
        <w:t>established by IRV</w:t>
      </w:r>
      <w:r w:rsidR="00F001F7">
        <w:rPr>
          <w:rFonts w:cs="Arial"/>
        </w:rPr>
        <w:t xml:space="preserve"> to support the introduction of the Scheme in 2019. The group</w:t>
      </w:r>
      <w:r w:rsidR="00A9494E" w:rsidRPr="00EC5379">
        <w:rPr>
          <w:rFonts w:cs="Arial"/>
        </w:rPr>
        <w:t xml:space="preserve"> in</w:t>
      </w:r>
      <w:r w:rsidR="00A9494E">
        <w:rPr>
          <w:rFonts w:cs="Arial"/>
        </w:rPr>
        <w:t xml:space="preserve">cludes unions, employer groups, government departments, </w:t>
      </w:r>
      <w:r w:rsidR="00A9494E" w:rsidRPr="00EC5379">
        <w:rPr>
          <w:rFonts w:cs="Arial"/>
        </w:rPr>
        <w:t xml:space="preserve">and </w:t>
      </w:r>
      <w:r w:rsidR="007846B7">
        <w:rPr>
          <w:rFonts w:cs="Arial"/>
        </w:rPr>
        <w:t>peak body organisations.</w:t>
      </w:r>
      <w:r w:rsidR="004740C1">
        <w:rPr>
          <w:rFonts w:cs="Arial"/>
        </w:rPr>
        <w:t xml:space="preserve"> The Working </w:t>
      </w:r>
      <w:r w:rsidR="00C34D3F">
        <w:rPr>
          <w:rFonts w:cs="Arial"/>
        </w:rPr>
        <w:t>Party</w:t>
      </w:r>
      <w:r w:rsidR="004740C1">
        <w:rPr>
          <w:rFonts w:cs="Arial"/>
        </w:rPr>
        <w:t xml:space="preserve"> meets regularly with IRV to provide feedback on the Scheme and discuss proposed reforms. </w:t>
      </w:r>
    </w:p>
    <w:p w14:paraId="57A53E93" w14:textId="77777777" w:rsidR="00A9494E" w:rsidRPr="00EC5379" w:rsidRDefault="00A9494E" w:rsidP="00A9494E">
      <w:pPr>
        <w:pStyle w:val="Heading2"/>
        <w:rPr>
          <w:rFonts w:ascii="Arial" w:hAnsi="Arial" w:cs="Arial"/>
        </w:rPr>
      </w:pPr>
      <w:bookmarkStart w:id="144" w:name="_Toc37360866"/>
      <w:bookmarkStart w:id="145" w:name="_Toc37505148"/>
      <w:bookmarkStart w:id="146" w:name="_Toc37921504"/>
      <w:bookmarkEnd w:id="144"/>
      <w:bookmarkEnd w:id="145"/>
      <w:r w:rsidRPr="00EC5379">
        <w:rPr>
          <w:rFonts w:ascii="Arial" w:hAnsi="Arial" w:cs="Arial"/>
        </w:rPr>
        <w:t>Risk assessment</w:t>
      </w:r>
      <w:bookmarkEnd w:id="146"/>
      <w:r w:rsidRPr="00EC5379">
        <w:rPr>
          <w:rFonts w:ascii="Arial" w:hAnsi="Arial" w:cs="Arial"/>
        </w:rPr>
        <w:t xml:space="preserve"> </w:t>
      </w:r>
    </w:p>
    <w:p w14:paraId="00AAC414" w14:textId="26040B1A" w:rsidR="007846B7" w:rsidRPr="00EC5379" w:rsidRDefault="00A9494E" w:rsidP="00A9494E">
      <w:pPr>
        <w:pStyle w:val="BodyText"/>
        <w:rPr>
          <w:rFonts w:cs="Arial"/>
        </w:rPr>
      </w:pPr>
      <w:r>
        <w:rPr>
          <w:rFonts w:cs="Arial"/>
        </w:rPr>
        <w:t>There are</w:t>
      </w:r>
      <w:r w:rsidRPr="00EC5379">
        <w:rPr>
          <w:rFonts w:cs="Arial"/>
        </w:rPr>
        <w:t xml:space="preserve"> risks associated with implementing the </w:t>
      </w:r>
      <w:r w:rsidR="007846B7">
        <w:rPr>
          <w:rFonts w:cs="Arial"/>
        </w:rPr>
        <w:t xml:space="preserve">Proposed </w:t>
      </w:r>
      <w:r>
        <w:rPr>
          <w:rFonts w:cs="Arial"/>
        </w:rPr>
        <w:t>R</w:t>
      </w:r>
      <w:r w:rsidRPr="00EC5379">
        <w:rPr>
          <w:rFonts w:cs="Arial"/>
        </w:rPr>
        <w:t>egulations. These risks relate to both implementation risks and ong</w:t>
      </w:r>
      <w:r>
        <w:rPr>
          <w:rFonts w:cs="Arial"/>
        </w:rPr>
        <w:t xml:space="preserve">oing risks associated with the </w:t>
      </w:r>
      <w:r w:rsidR="0023608B">
        <w:rPr>
          <w:rFonts w:cs="Arial"/>
        </w:rPr>
        <w:t xml:space="preserve">operation of the </w:t>
      </w:r>
      <w:r>
        <w:rPr>
          <w:rFonts w:cs="Arial"/>
        </w:rPr>
        <w:t>S</w:t>
      </w:r>
      <w:r w:rsidRPr="00EC5379">
        <w:rPr>
          <w:rFonts w:cs="Arial"/>
        </w:rPr>
        <w:t xml:space="preserve">cheme. </w:t>
      </w:r>
    </w:p>
    <w:p w14:paraId="39D8D716" w14:textId="77777777" w:rsidR="00A9494E" w:rsidRPr="00EC5379" w:rsidRDefault="00A9494E" w:rsidP="00A9494E">
      <w:pPr>
        <w:pStyle w:val="BodyText"/>
        <w:rPr>
          <w:rFonts w:cs="Arial"/>
        </w:rPr>
      </w:pPr>
      <w:r w:rsidRPr="00EC5379">
        <w:rPr>
          <w:rFonts w:cs="Arial"/>
        </w:rPr>
        <w:t xml:space="preserve">Risk management will be the responsibility of the Authority, which will be overseen by the Board. The Authority </w:t>
      </w:r>
      <w:r>
        <w:rPr>
          <w:rFonts w:cs="Arial"/>
        </w:rPr>
        <w:t>has</w:t>
      </w:r>
      <w:r w:rsidRPr="00EC5379">
        <w:rPr>
          <w:rFonts w:cs="Arial"/>
        </w:rPr>
        <w:t xml:space="preserve"> a risk management framework </w:t>
      </w:r>
      <w:r>
        <w:rPr>
          <w:rFonts w:cs="Arial"/>
        </w:rPr>
        <w:t>to</w:t>
      </w:r>
      <w:r w:rsidRPr="00EC5379">
        <w:rPr>
          <w:rFonts w:cs="Arial"/>
        </w:rPr>
        <w:t xml:space="preserve"> provide an overarching approach to manage these (and other) risks.</w:t>
      </w:r>
    </w:p>
    <w:p w14:paraId="4EC04208" w14:textId="77777777" w:rsidR="00A9494E" w:rsidRPr="00EC5379" w:rsidRDefault="00A9494E" w:rsidP="00A9494E">
      <w:pPr>
        <w:pStyle w:val="Bodytextkeepwithnext"/>
        <w:rPr>
          <w:rFonts w:cs="Arial"/>
        </w:rPr>
      </w:pPr>
      <w:r w:rsidRPr="00EC5379">
        <w:rPr>
          <w:rFonts w:cs="Arial"/>
        </w:rPr>
        <w:t>Like most risk management frameworks, each risk will be assessed against its likelihood and consequence (summarised in the table below). Such an approach enables each identified risk to be assigned a risk rating of either ‘low’, ‘medium’ or ‘high’ on the basis of the consequence of the risk, and the likelihood of the risk occurring.</w:t>
      </w:r>
    </w:p>
    <w:p w14:paraId="40B1FAFB" w14:textId="39510E5B" w:rsidR="00A9494E" w:rsidRPr="00EC5379" w:rsidRDefault="00A9494E" w:rsidP="00A9494E">
      <w:pPr>
        <w:pStyle w:val="Caption"/>
        <w:rPr>
          <w:rFonts w:ascii="Arial" w:hAnsi="Arial" w:cs="Arial"/>
        </w:rPr>
      </w:pPr>
      <w:r w:rsidRPr="00EC5379">
        <w:rPr>
          <w:rFonts w:ascii="Arial" w:hAnsi="Arial" w:cs="Arial"/>
        </w:rPr>
        <w:t xml:space="preserve">Table </w:t>
      </w:r>
      <w:r w:rsidRPr="00EC5379">
        <w:rPr>
          <w:rFonts w:ascii="Arial" w:hAnsi="Arial" w:cs="Arial"/>
          <w:noProof/>
        </w:rPr>
        <w:fldChar w:fldCharType="begin"/>
      </w:r>
      <w:r w:rsidRPr="00EC5379">
        <w:rPr>
          <w:rFonts w:ascii="Arial" w:hAnsi="Arial" w:cs="Arial"/>
          <w:noProof/>
        </w:rPr>
        <w:instrText xml:space="preserve"> SEQ Table \* ARABIC </w:instrText>
      </w:r>
      <w:r w:rsidRPr="00EC5379">
        <w:rPr>
          <w:rFonts w:ascii="Arial" w:hAnsi="Arial" w:cs="Arial"/>
          <w:noProof/>
        </w:rPr>
        <w:fldChar w:fldCharType="separate"/>
      </w:r>
      <w:r w:rsidR="00F11F33">
        <w:rPr>
          <w:rFonts w:ascii="Arial" w:hAnsi="Arial" w:cs="Arial"/>
          <w:noProof/>
        </w:rPr>
        <w:t>17</w:t>
      </w:r>
      <w:r w:rsidRPr="00EC5379">
        <w:rPr>
          <w:rFonts w:ascii="Arial" w:hAnsi="Arial" w:cs="Arial"/>
          <w:noProof/>
        </w:rPr>
        <w:fldChar w:fldCharType="end"/>
      </w:r>
      <w:r w:rsidRPr="00EC5379">
        <w:rPr>
          <w:rFonts w:ascii="Arial" w:hAnsi="Arial" w:cs="Arial"/>
        </w:rPr>
        <w:t>: Risk rating matrix</w:t>
      </w:r>
    </w:p>
    <w:tbl>
      <w:tblPr>
        <w:tblStyle w:val="TableGrid"/>
        <w:tblW w:w="0" w:type="auto"/>
        <w:tblInd w:w="5" w:type="dxa"/>
        <w:tblLook w:val="04A0" w:firstRow="1" w:lastRow="0" w:firstColumn="1" w:lastColumn="0" w:noHBand="0" w:noVBand="1"/>
      </w:tblPr>
      <w:tblGrid>
        <w:gridCol w:w="1805"/>
        <w:gridCol w:w="1804"/>
        <w:gridCol w:w="1802"/>
        <w:gridCol w:w="1804"/>
        <w:gridCol w:w="1802"/>
      </w:tblGrid>
      <w:tr w:rsidR="00A9494E" w:rsidRPr="00EC5379" w14:paraId="2D3B6F85" w14:textId="77777777" w:rsidTr="007846B7">
        <w:tc>
          <w:tcPr>
            <w:tcW w:w="1805" w:type="dxa"/>
            <w:vMerge w:val="restart"/>
            <w:tcBorders>
              <w:top w:val="nil"/>
              <w:left w:val="nil"/>
              <w:bottom w:val="single" w:sz="4" w:space="0" w:color="0070C0"/>
              <w:right w:val="single" w:sz="4" w:space="0" w:color="000000"/>
            </w:tcBorders>
            <w:shd w:val="clear" w:color="auto" w:fill="auto"/>
          </w:tcPr>
          <w:p w14:paraId="06F6535E" w14:textId="77777777" w:rsidR="00A9494E" w:rsidRPr="00EC5379" w:rsidRDefault="00A9494E" w:rsidP="007846B7">
            <w:pPr>
              <w:jc w:val="center"/>
              <w:rPr>
                <w:rFonts w:ascii="Arial" w:hAnsi="Arial" w:cs="Arial"/>
              </w:rPr>
            </w:pPr>
          </w:p>
          <w:p w14:paraId="32E8EB01" w14:textId="77777777" w:rsidR="00A9494E" w:rsidRPr="00EC5379" w:rsidRDefault="00A9494E" w:rsidP="007846B7">
            <w:pPr>
              <w:jc w:val="center"/>
              <w:rPr>
                <w:rFonts w:ascii="Arial" w:hAnsi="Arial" w:cs="Arial"/>
              </w:rPr>
            </w:pPr>
          </w:p>
        </w:tc>
        <w:tc>
          <w:tcPr>
            <w:tcW w:w="1804" w:type="dxa"/>
            <w:vMerge w:val="restart"/>
            <w:tcBorders>
              <w:top w:val="nil"/>
              <w:left w:val="nil"/>
              <w:bottom w:val="single" w:sz="4" w:space="0" w:color="0070C0"/>
              <w:right w:val="single" w:sz="4" w:space="0" w:color="000000"/>
            </w:tcBorders>
            <w:shd w:val="clear" w:color="auto" w:fill="002060"/>
          </w:tcPr>
          <w:p w14:paraId="2C8C657F" w14:textId="77777777" w:rsidR="00A9494E" w:rsidRPr="00EC5379" w:rsidRDefault="00A9494E" w:rsidP="007846B7">
            <w:pPr>
              <w:jc w:val="center"/>
              <w:rPr>
                <w:rFonts w:ascii="Arial" w:hAnsi="Arial" w:cs="Arial"/>
              </w:rPr>
            </w:pPr>
          </w:p>
        </w:tc>
        <w:tc>
          <w:tcPr>
            <w:tcW w:w="5408" w:type="dxa"/>
            <w:gridSpan w:val="3"/>
            <w:tcBorders>
              <w:top w:val="single" w:sz="4" w:space="0" w:color="0070C0"/>
              <w:left w:val="single" w:sz="4" w:space="0" w:color="000000"/>
              <w:bottom w:val="single" w:sz="4" w:space="0" w:color="0070C0"/>
              <w:right w:val="nil"/>
            </w:tcBorders>
            <w:shd w:val="clear" w:color="auto" w:fill="002060"/>
          </w:tcPr>
          <w:p w14:paraId="211E94B4" w14:textId="77777777" w:rsidR="00A9494E" w:rsidRPr="00EC5379" w:rsidRDefault="00A9494E" w:rsidP="007846B7">
            <w:pPr>
              <w:pStyle w:val="Tableheading"/>
              <w:jc w:val="center"/>
              <w:rPr>
                <w:rFonts w:ascii="Arial" w:hAnsi="Arial" w:cs="Arial"/>
                <w:b w:val="0"/>
                <w:lang w:eastAsia="en-AU"/>
              </w:rPr>
            </w:pPr>
            <w:r w:rsidRPr="00EC5379">
              <w:rPr>
                <w:rFonts w:ascii="Arial" w:hAnsi="Arial" w:cs="Arial"/>
                <w:lang w:eastAsia="en-AU"/>
              </w:rPr>
              <w:t>Consequences</w:t>
            </w:r>
          </w:p>
        </w:tc>
      </w:tr>
      <w:tr w:rsidR="00A9494E" w:rsidRPr="00EC5379" w14:paraId="4635EB25" w14:textId="77777777" w:rsidTr="007846B7">
        <w:tc>
          <w:tcPr>
            <w:tcW w:w="1805" w:type="dxa"/>
            <w:vMerge/>
            <w:tcBorders>
              <w:top w:val="single" w:sz="4" w:space="0" w:color="0070C0"/>
              <w:left w:val="nil"/>
              <w:bottom w:val="single" w:sz="4" w:space="0" w:color="000000"/>
              <w:right w:val="single" w:sz="4" w:space="0" w:color="000000"/>
            </w:tcBorders>
            <w:shd w:val="clear" w:color="auto" w:fill="auto"/>
          </w:tcPr>
          <w:p w14:paraId="5C3208A6" w14:textId="77777777" w:rsidR="00A9494E" w:rsidRPr="00EC5379" w:rsidRDefault="00A9494E" w:rsidP="007846B7">
            <w:pPr>
              <w:jc w:val="center"/>
              <w:rPr>
                <w:rFonts w:ascii="Arial" w:hAnsi="Arial" w:cs="Arial"/>
              </w:rPr>
            </w:pPr>
          </w:p>
        </w:tc>
        <w:tc>
          <w:tcPr>
            <w:tcW w:w="1804" w:type="dxa"/>
            <w:vMerge/>
            <w:tcBorders>
              <w:top w:val="single" w:sz="4" w:space="0" w:color="0070C0"/>
              <w:left w:val="nil"/>
              <w:bottom w:val="single" w:sz="4" w:space="0" w:color="000000"/>
              <w:right w:val="single" w:sz="4" w:space="0" w:color="000000"/>
            </w:tcBorders>
            <w:shd w:val="clear" w:color="auto" w:fill="002060"/>
          </w:tcPr>
          <w:p w14:paraId="06829F27" w14:textId="77777777" w:rsidR="00A9494E" w:rsidRPr="00EC5379" w:rsidRDefault="00A9494E" w:rsidP="007846B7">
            <w:pPr>
              <w:jc w:val="center"/>
              <w:rPr>
                <w:rFonts w:ascii="Arial" w:hAnsi="Arial" w:cs="Arial"/>
              </w:rPr>
            </w:pPr>
          </w:p>
        </w:tc>
        <w:tc>
          <w:tcPr>
            <w:tcW w:w="1802"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C203C49" w14:textId="77777777" w:rsidR="00A9494E" w:rsidRPr="00EC5379" w:rsidRDefault="00A9494E" w:rsidP="007846B7">
            <w:pPr>
              <w:pStyle w:val="Tableheading"/>
              <w:jc w:val="center"/>
              <w:rPr>
                <w:rFonts w:ascii="Arial" w:hAnsi="Arial" w:cs="Arial"/>
                <w:color w:val="000000" w:themeColor="text1"/>
                <w:lang w:eastAsia="en-AU"/>
              </w:rPr>
            </w:pPr>
            <w:r w:rsidRPr="00EC5379">
              <w:rPr>
                <w:rFonts w:ascii="Arial" w:hAnsi="Arial" w:cs="Arial"/>
                <w:color w:val="000000" w:themeColor="text1"/>
                <w:lang w:eastAsia="en-AU"/>
              </w:rPr>
              <w:t>Minor</w:t>
            </w:r>
          </w:p>
        </w:tc>
        <w:tc>
          <w:tcPr>
            <w:tcW w:w="180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5BB5A14C" w14:textId="77777777" w:rsidR="00A9494E" w:rsidRPr="00EC5379" w:rsidRDefault="00A9494E" w:rsidP="007846B7">
            <w:pPr>
              <w:pStyle w:val="Tableheading"/>
              <w:jc w:val="center"/>
              <w:rPr>
                <w:rFonts w:ascii="Arial" w:hAnsi="Arial" w:cs="Arial"/>
                <w:color w:val="000000" w:themeColor="text1"/>
                <w:lang w:eastAsia="en-AU"/>
              </w:rPr>
            </w:pPr>
            <w:r w:rsidRPr="00EC5379">
              <w:rPr>
                <w:rFonts w:ascii="Arial" w:hAnsi="Arial" w:cs="Arial"/>
                <w:color w:val="000000" w:themeColor="text1"/>
                <w:lang w:eastAsia="en-AU"/>
              </w:rPr>
              <w:t>Moderate</w:t>
            </w:r>
          </w:p>
        </w:tc>
        <w:tc>
          <w:tcPr>
            <w:tcW w:w="1802" w:type="dxa"/>
            <w:tcBorders>
              <w:top w:val="single" w:sz="4" w:space="0" w:color="000000"/>
              <w:left w:val="single" w:sz="4" w:space="0" w:color="000000"/>
              <w:bottom w:val="single" w:sz="4" w:space="0" w:color="000000"/>
              <w:right w:val="nil"/>
            </w:tcBorders>
            <w:shd w:val="clear" w:color="auto" w:fill="DEEAF6" w:themeFill="accent1" w:themeFillTint="33"/>
          </w:tcPr>
          <w:p w14:paraId="61F9C636" w14:textId="77777777" w:rsidR="00A9494E" w:rsidRPr="00EC5379" w:rsidRDefault="00A9494E" w:rsidP="007846B7">
            <w:pPr>
              <w:pStyle w:val="Tableheading"/>
              <w:jc w:val="center"/>
              <w:rPr>
                <w:rFonts w:ascii="Arial" w:hAnsi="Arial" w:cs="Arial"/>
                <w:color w:val="000000" w:themeColor="text1"/>
                <w:lang w:eastAsia="en-AU"/>
              </w:rPr>
            </w:pPr>
            <w:r w:rsidRPr="00EC5379">
              <w:rPr>
                <w:rFonts w:ascii="Arial" w:hAnsi="Arial" w:cs="Arial"/>
                <w:color w:val="000000" w:themeColor="text1"/>
                <w:lang w:eastAsia="en-AU"/>
              </w:rPr>
              <w:t>Major</w:t>
            </w:r>
          </w:p>
        </w:tc>
      </w:tr>
      <w:tr w:rsidR="00A9494E" w:rsidRPr="00EC5379" w14:paraId="2115E2A4" w14:textId="77777777" w:rsidTr="007846B7">
        <w:tc>
          <w:tcPr>
            <w:tcW w:w="1805" w:type="dxa"/>
            <w:vMerge w:val="restart"/>
            <w:tcBorders>
              <w:top w:val="single" w:sz="4" w:space="0" w:color="000000"/>
              <w:left w:val="nil"/>
              <w:bottom w:val="single" w:sz="4" w:space="0" w:color="0070C0"/>
              <w:right w:val="single" w:sz="4" w:space="0" w:color="000000"/>
            </w:tcBorders>
            <w:shd w:val="clear" w:color="auto" w:fill="002060"/>
            <w:vAlign w:val="center"/>
          </w:tcPr>
          <w:p w14:paraId="1D8AC901" w14:textId="77777777" w:rsidR="00A9494E" w:rsidRPr="00EC5379" w:rsidRDefault="00A9494E" w:rsidP="007846B7">
            <w:pPr>
              <w:jc w:val="center"/>
              <w:rPr>
                <w:rFonts w:ascii="Arial" w:hAnsi="Arial" w:cs="Arial"/>
                <w:b/>
              </w:rPr>
            </w:pPr>
            <w:r w:rsidRPr="00EC5379">
              <w:rPr>
                <w:rFonts w:ascii="Arial" w:hAnsi="Arial" w:cs="Arial"/>
                <w:b/>
                <w:color w:val="FFFFFF" w:themeColor="background1"/>
              </w:rPr>
              <w:t>Likelihood</w:t>
            </w:r>
          </w:p>
        </w:tc>
        <w:tc>
          <w:tcPr>
            <w:tcW w:w="180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704DE7AE" w14:textId="77777777" w:rsidR="00A9494E" w:rsidRPr="00EC5379" w:rsidRDefault="00A9494E" w:rsidP="007846B7">
            <w:pPr>
              <w:jc w:val="center"/>
              <w:rPr>
                <w:rFonts w:ascii="Arial" w:hAnsi="Arial" w:cs="Arial"/>
                <w:b/>
              </w:rPr>
            </w:pPr>
            <w:r w:rsidRPr="00EC5379">
              <w:rPr>
                <w:rFonts w:ascii="Arial" w:hAnsi="Arial" w:cs="Arial"/>
                <w:b/>
              </w:rPr>
              <w:t>Likely</w:t>
            </w:r>
          </w:p>
        </w:tc>
        <w:tc>
          <w:tcPr>
            <w:tcW w:w="1802" w:type="dxa"/>
            <w:tcBorders>
              <w:top w:val="single" w:sz="4" w:space="0" w:color="000000"/>
              <w:left w:val="single" w:sz="4" w:space="0" w:color="000000"/>
              <w:bottom w:val="single" w:sz="4" w:space="0" w:color="000000"/>
              <w:right w:val="single" w:sz="4" w:space="0" w:color="000000"/>
            </w:tcBorders>
            <w:shd w:val="clear" w:color="auto" w:fill="FFC000"/>
          </w:tcPr>
          <w:p w14:paraId="77BDE084" w14:textId="77777777" w:rsidR="00A9494E" w:rsidRPr="00EC5379" w:rsidRDefault="00A9494E" w:rsidP="007846B7">
            <w:pPr>
              <w:jc w:val="center"/>
              <w:rPr>
                <w:rFonts w:ascii="Arial" w:hAnsi="Arial" w:cs="Arial"/>
                <w:color w:val="FFFFFF" w:themeColor="background1"/>
              </w:rPr>
            </w:pPr>
            <w:r w:rsidRPr="00EC5379">
              <w:rPr>
                <w:rFonts w:ascii="Arial" w:hAnsi="Arial" w:cs="Arial"/>
                <w:color w:val="FFFFFF" w:themeColor="background1"/>
              </w:rPr>
              <w:t>Medium</w:t>
            </w:r>
          </w:p>
        </w:tc>
        <w:tc>
          <w:tcPr>
            <w:tcW w:w="1804" w:type="dxa"/>
            <w:tcBorders>
              <w:top w:val="single" w:sz="4" w:space="0" w:color="000000"/>
              <w:left w:val="single" w:sz="4" w:space="0" w:color="000000"/>
              <w:bottom w:val="single" w:sz="4" w:space="0" w:color="000000"/>
              <w:right w:val="single" w:sz="4" w:space="0" w:color="000000"/>
            </w:tcBorders>
            <w:shd w:val="clear" w:color="auto" w:fill="FF0000"/>
          </w:tcPr>
          <w:p w14:paraId="4A5B0DC8" w14:textId="77777777" w:rsidR="00A9494E" w:rsidRPr="00EC5379" w:rsidRDefault="00A9494E" w:rsidP="007846B7">
            <w:pPr>
              <w:jc w:val="center"/>
              <w:rPr>
                <w:rFonts w:ascii="Arial" w:hAnsi="Arial" w:cs="Arial"/>
                <w:color w:val="FFFFFF" w:themeColor="background1"/>
              </w:rPr>
            </w:pPr>
            <w:r w:rsidRPr="00EC5379">
              <w:rPr>
                <w:rFonts w:ascii="Arial" w:hAnsi="Arial" w:cs="Arial"/>
                <w:color w:val="FFFFFF" w:themeColor="background1"/>
              </w:rPr>
              <w:t>High</w:t>
            </w:r>
          </w:p>
        </w:tc>
        <w:tc>
          <w:tcPr>
            <w:tcW w:w="1802" w:type="dxa"/>
            <w:tcBorders>
              <w:top w:val="single" w:sz="4" w:space="0" w:color="000000"/>
              <w:left w:val="single" w:sz="4" w:space="0" w:color="000000"/>
              <w:bottom w:val="single" w:sz="4" w:space="0" w:color="000000"/>
              <w:right w:val="nil"/>
            </w:tcBorders>
            <w:shd w:val="clear" w:color="auto" w:fill="FF0000"/>
          </w:tcPr>
          <w:p w14:paraId="222C85CE" w14:textId="77777777" w:rsidR="00A9494E" w:rsidRPr="00EC5379" w:rsidRDefault="00A9494E" w:rsidP="007846B7">
            <w:pPr>
              <w:jc w:val="center"/>
              <w:rPr>
                <w:rFonts w:ascii="Arial" w:hAnsi="Arial" w:cs="Arial"/>
                <w:color w:val="FFFFFF" w:themeColor="background1"/>
              </w:rPr>
            </w:pPr>
            <w:r w:rsidRPr="00EC5379">
              <w:rPr>
                <w:rFonts w:ascii="Arial" w:hAnsi="Arial" w:cs="Arial"/>
                <w:color w:val="FFFFFF" w:themeColor="background1"/>
              </w:rPr>
              <w:t>High</w:t>
            </w:r>
          </w:p>
        </w:tc>
      </w:tr>
      <w:tr w:rsidR="00A9494E" w:rsidRPr="00EC5379" w14:paraId="347C79AB" w14:textId="77777777" w:rsidTr="007846B7">
        <w:tc>
          <w:tcPr>
            <w:tcW w:w="1805" w:type="dxa"/>
            <w:vMerge/>
            <w:tcBorders>
              <w:top w:val="single" w:sz="4" w:space="0" w:color="0070C0"/>
              <w:left w:val="nil"/>
              <w:bottom w:val="single" w:sz="4" w:space="0" w:color="0070C0"/>
              <w:right w:val="single" w:sz="4" w:space="0" w:color="000000"/>
            </w:tcBorders>
            <w:shd w:val="clear" w:color="auto" w:fill="002060"/>
          </w:tcPr>
          <w:p w14:paraId="5FA466E6" w14:textId="77777777" w:rsidR="00A9494E" w:rsidRPr="00EC5379" w:rsidRDefault="00A9494E" w:rsidP="007846B7">
            <w:pPr>
              <w:jc w:val="center"/>
              <w:rPr>
                <w:rFonts w:ascii="Arial" w:hAnsi="Arial" w:cs="Arial"/>
                <w:b/>
              </w:rPr>
            </w:pPr>
          </w:p>
        </w:tc>
        <w:tc>
          <w:tcPr>
            <w:tcW w:w="180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410C5DAC" w14:textId="77777777" w:rsidR="00A9494E" w:rsidRPr="00EC5379" w:rsidRDefault="00A9494E" w:rsidP="007846B7">
            <w:pPr>
              <w:jc w:val="center"/>
              <w:rPr>
                <w:rFonts w:ascii="Arial" w:hAnsi="Arial" w:cs="Arial"/>
                <w:b/>
              </w:rPr>
            </w:pPr>
            <w:r w:rsidRPr="00EC5379">
              <w:rPr>
                <w:rFonts w:ascii="Arial" w:hAnsi="Arial" w:cs="Arial"/>
                <w:b/>
              </w:rPr>
              <w:t>Possible</w:t>
            </w:r>
          </w:p>
        </w:tc>
        <w:tc>
          <w:tcPr>
            <w:tcW w:w="1802" w:type="dxa"/>
            <w:tcBorders>
              <w:top w:val="single" w:sz="4" w:space="0" w:color="000000"/>
              <w:left w:val="single" w:sz="4" w:space="0" w:color="000000"/>
              <w:bottom w:val="single" w:sz="4" w:space="0" w:color="000000"/>
              <w:right w:val="single" w:sz="4" w:space="0" w:color="000000"/>
            </w:tcBorders>
            <w:shd w:val="clear" w:color="auto" w:fill="00B050"/>
          </w:tcPr>
          <w:p w14:paraId="12725A57" w14:textId="77777777" w:rsidR="00A9494E" w:rsidRPr="00EC5379" w:rsidRDefault="00A9494E" w:rsidP="007846B7">
            <w:pPr>
              <w:jc w:val="center"/>
              <w:rPr>
                <w:rFonts w:ascii="Arial" w:hAnsi="Arial" w:cs="Arial"/>
                <w:color w:val="FFFFFF" w:themeColor="background1"/>
              </w:rPr>
            </w:pPr>
            <w:r w:rsidRPr="00EC5379">
              <w:rPr>
                <w:rFonts w:ascii="Arial" w:hAnsi="Arial" w:cs="Arial"/>
                <w:color w:val="FFFFFF" w:themeColor="background1"/>
              </w:rPr>
              <w:t>Low</w:t>
            </w:r>
          </w:p>
        </w:tc>
        <w:tc>
          <w:tcPr>
            <w:tcW w:w="1804" w:type="dxa"/>
            <w:tcBorders>
              <w:top w:val="single" w:sz="4" w:space="0" w:color="000000"/>
              <w:left w:val="single" w:sz="4" w:space="0" w:color="000000"/>
              <w:bottom w:val="single" w:sz="4" w:space="0" w:color="000000"/>
              <w:right w:val="single" w:sz="4" w:space="0" w:color="000000"/>
            </w:tcBorders>
            <w:shd w:val="clear" w:color="auto" w:fill="FFC000"/>
          </w:tcPr>
          <w:p w14:paraId="480080B0" w14:textId="77777777" w:rsidR="00A9494E" w:rsidRPr="00EC5379" w:rsidRDefault="00A9494E" w:rsidP="007846B7">
            <w:pPr>
              <w:jc w:val="center"/>
              <w:rPr>
                <w:rFonts w:ascii="Arial" w:hAnsi="Arial" w:cs="Arial"/>
                <w:color w:val="FFFFFF" w:themeColor="background1"/>
              </w:rPr>
            </w:pPr>
            <w:r w:rsidRPr="00EC5379">
              <w:rPr>
                <w:rFonts w:ascii="Arial" w:hAnsi="Arial" w:cs="Arial"/>
                <w:color w:val="FFFFFF" w:themeColor="background1"/>
              </w:rPr>
              <w:t>Medium</w:t>
            </w:r>
          </w:p>
        </w:tc>
        <w:tc>
          <w:tcPr>
            <w:tcW w:w="1802" w:type="dxa"/>
            <w:tcBorders>
              <w:top w:val="single" w:sz="4" w:space="0" w:color="000000"/>
              <w:left w:val="single" w:sz="4" w:space="0" w:color="000000"/>
              <w:bottom w:val="single" w:sz="4" w:space="0" w:color="000000"/>
              <w:right w:val="nil"/>
            </w:tcBorders>
            <w:shd w:val="clear" w:color="auto" w:fill="FF0000"/>
          </w:tcPr>
          <w:p w14:paraId="5655CBE8" w14:textId="77777777" w:rsidR="00A9494E" w:rsidRPr="00EC5379" w:rsidRDefault="00A9494E" w:rsidP="007846B7">
            <w:pPr>
              <w:jc w:val="center"/>
              <w:rPr>
                <w:rFonts w:ascii="Arial" w:hAnsi="Arial" w:cs="Arial"/>
                <w:color w:val="FFFFFF" w:themeColor="background1"/>
              </w:rPr>
            </w:pPr>
            <w:r w:rsidRPr="00EC5379">
              <w:rPr>
                <w:rFonts w:ascii="Arial" w:hAnsi="Arial" w:cs="Arial"/>
                <w:color w:val="FFFFFF" w:themeColor="background1"/>
              </w:rPr>
              <w:t>High</w:t>
            </w:r>
          </w:p>
        </w:tc>
      </w:tr>
      <w:tr w:rsidR="00A9494E" w:rsidRPr="00EC5379" w14:paraId="1A9E4B33" w14:textId="77777777" w:rsidTr="007846B7">
        <w:tc>
          <w:tcPr>
            <w:tcW w:w="1805" w:type="dxa"/>
            <w:vMerge/>
            <w:tcBorders>
              <w:top w:val="single" w:sz="4" w:space="0" w:color="0070C0"/>
              <w:left w:val="nil"/>
              <w:bottom w:val="single" w:sz="4" w:space="0" w:color="000000"/>
              <w:right w:val="single" w:sz="4" w:space="0" w:color="000000"/>
            </w:tcBorders>
            <w:shd w:val="clear" w:color="auto" w:fill="002060"/>
          </w:tcPr>
          <w:p w14:paraId="26546EAA" w14:textId="77777777" w:rsidR="00A9494E" w:rsidRPr="00EC5379" w:rsidRDefault="00A9494E" w:rsidP="007846B7">
            <w:pPr>
              <w:jc w:val="center"/>
              <w:rPr>
                <w:rFonts w:ascii="Arial" w:hAnsi="Arial" w:cs="Arial"/>
                <w:b/>
              </w:rPr>
            </w:pPr>
          </w:p>
        </w:tc>
        <w:tc>
          <w:tcPr>
            <w:tcW w:w="1804" w:type="dxa"/>
            <w:tcBorders>
              <w:top w:val="single" w:sz="4" w:space="0" w:color="000000"/>
              <w:left w:val="single" w:sz="4" w:space="0" w:color="000000"/>
              <w:bottom w:val="single" w:sz="4" w:space="0" w:color="000000"/>
              <w:right w:val="single" w:sz="4" w:space="0" w:color="000000"/>
            </w:tcBorders>
            <w:shd w:val="clear" w:color="auto" w:fill="DEEAF6" w:themeFill="accent1" w:themeFillTint="33"/>
          </w:tcPr>
          <w:p w14:paraId="1026258F" w14:textId="77777777" w:rsidR="00A9494E" w:rsidRPr="00EC5379" w:rsidRDefault="00A9494E" w:rsidP="007846B7">
            <w:pPr>
              <w:jc w:val="center"/>
              <w:rPr>
                <w:rFonts w:ascii="Arial" w:hAnsi="Arial" w:cs="Arial"/>
                <w:b/>
              </w:rPr>
            </w:pPr>
            <w:r w:rsidRPr="00EC5379">
              <w:rPr>
                <w:rFonts w:ascii="Arial" w:hAnsi="Arial" w:cs="Arial"/>
                <w:b/>
              </w:rPr>
              <w:t>Unlikely</w:t>
            </w:r>
          </w:p>
        </w:tc>
        <w:tc>
          <w:tcPr>
            <w:tcW w:w="1802" w:type="dxa"/>
            <w:tcBorders>
              <w:top w:val="single" w:sz="4" w:space="0" w:color="000000"/>
              <w:left w:val="single" w:sz="4" w:space="0" w:color="000000"/>
              <w:bottom w:val="single" w:sz="4" w:space="0" w:color="000000"/>
              <w:right w:val="single" w:sz="4" w:space="0" w:color="000000"/>
            </w:tcBorders>
            <w:shd w:val="clear" w:color="auto" w:fill="00B050"/>
          </w:tcPr>
          <w:p w14:paraId="227BA276" w14:textId="77777777" w:rsidR="00A9494E" w:rsidRPr="00EC5379" w:rsidRDefault="00A9494E" w:rsidP="007846B7">
            <w:pPr>
              <w:jc w:val="center"/>
              <w:rPr>
                <w:rFonts w:ascii="Arial" w:hAnsi="Arial" w:cs="Arial"/>
                <w:color w:val="FFFFFF" w:themeColor="background1"/>
              </w:rPr>
            </w:pPr>
            <w:r w:rsidRPr="00EC5379">
              <w:rPr>
                <w:rFonts w:ascii="Arial" w:hAnsi="Arial" w:cs="Arial"/>
                <w:color w:val="FFFFFF" w:themeColor="background1"/>
              </w:rPr>
              <w:t>Low</w:t>
            </w:r>
          </w:p>
        </w:tc>
        <w:tc>
          <w:tcPr>
            <w:tcW w:w="1804" w:type="dxa"/>
            <w:tcBorders>
              <w:top w:val="single" w:sz="4" w:space="0" w:color="000000"/>
              <w:left w:val="single" w:sz="4" w:space="0" w:color="000000"/>
              <w:bottom w:val="single" w:sz="4" w:space="0" w:color="000000"/>
              <w:right w:val="single" w:sz="4" w:space="0" w:color="000000"/>
            </w:tcBorders>
            <w:shd w:val="clear" w:color="auto" w:fill="00B050"/>
          </w:tcPr>
          <w:p w14:paraId="7C145597" w14:textId="77777777" w:rsidR="00A9494E" w:rsidRPr="00EC5379" w:rsidRDefault="00A9494E" w:rsidP="007846B7">
            <w:pPr>
              <w:jc w:val="center"/>
              <w:rPr>
                <w:rFonts w:ascii="Arial" w:hAnsi="Arial" w:cs="Arial"/>
                <w:color w:val="FFFFFF" w:themeColor="background1"/>
              </w:rPr>
            </w:pPr>
            <w:r w:rsidRPr="00EC5379">
              <w:rPr>
                <w:rFonts w:ascii="Arial" w:hAnsi="Arial" w:cs="Arial"/>
                <w:color w:val="FFFFFF" w:themeColor="background1"/>
              </w:rPr>
              <w:t>Low</w:t>
            </w:r>
          </w:p>
        </w:tc>
        <w:tc>
          <w:tcPr>
            <w:tcW w:w="1802" w:type="dxa"/>
            <w:tcBorders>
              <w:top w:val="single" w:sz="4" w:space="0" w:color="000000"/>
              <w:left w:val="single" w:sz="4" w:space="0" w:color="000000"/>
              <w:bottom w:val="single" w:sz="4" w:space="0" w:color="000000"/>
              <w:right w:val="nil"/>
            </w:tcBorders>
            <w:shd w:val="clear" w:color="auto" w:fill="FFC000"/>
          </w:tcPr>
          <w:p w14:paraId="3324820F" w14:textId="77777777" w:rsidR="00A9494E" w:rsidRPr="00EC5379" w:rsidRDefault="00A9494E" w:rsidP="007846B7">
            <w:pPr>
              <w:jc w:val="center"/>
              <w:rPr>
                <w:rFonts w:ascii="Arial" w:hAnsi="Arial" w:cs="Arial"/>
                <w:color w:val="FFFFFF" w:themeColor="background1"/>
              </w:rPr>
            </w:pPr>
            <w:r w:rsidRPr="00EC5379">
              <w:rPr>
                <w:rFonts w:ascii="Arial" w:hAnsi="Arial" w:cs="Arial"/>
                <w:color w:val="FFFFFF" w:themeColor="background1"/>
              </w:rPr>
              <w:t>Medium</w:t>
            </w:r>
          </w:p>
        </w:tc>
      </w:tr>
    </w:tbl>
    <w:p w14:paraId="03110385" w14:textId="6C7F3E81" w:rsidR="00893D1E" w:rsidRDefault="00A9494E" w:rsidP="00994BB8">
      <w:pPr>
        <w:pStyle w:val="BodyText"/>
        <w:spacing w:before="120"/>
        <w:rPr>
          <w:i/>
          <w:iCs/>
        </w:rPr>
        <w:sectPr w:rsidR="00893D1E" w:rsidSect="00076BC8">
          <w:headerReference w:type="even" r:id="rId30"/>
          <w:footerReference w:type="even" r:id="rId31"/>
          <w:footerReference w:type="default" r:id="rId32"/>
          <w:headerReference w:type="first" r:id="rId33"/>
          <w:footerReference w:type="first" r:id="rId34"/>
          <w:pgSz w:w="11906" w:h="16838"/>
          <w:pgMar w:top="1440" w:right="1440" w:bottom="1440" w:left="1440" w:header="708" w:footer="708" w:gutter="0"/>
          <w:cols w:space="708"/>
          <w:docGrid w:linePitch="360"/>
        </w:sectPr>
      </w:pPr>
      <w:r w:rsidRPr="00EC5379">
        <w:rPr>
          <w:rFonts w:cs="Arial"/>
        </w:rPr>
        <w:t xml:space="preserve">As part of the risk assessment for implementation of the </w:t>
      </w:r>
      <w:r w:rsidR="0023608B">
        <w:rPr>
          <w:rFonts w:cs="Arial"/>
        </w:rPr>
        <w:t>Proposed R</w:t>
      </w:r>
      <w:r w:rsidRPr="00EC5379">
        <w:rPr>
          <w:rFonts w:cs="Arial"/>
        </w:rPr>
        <w:t>egulations, a number of specific risks have been identified, and mitigation strategies pro</w:t>
      </w:r>
      <w:r>
        <w:rPr>
          <w:rFonts w:cs="Arial"/>
        </w:rPr>
        <w:t xml:space="preserve">posed. These are found in </w:t>
      </w:r>
      <w:r w:rsidR="00810970">
        <w:rPr>
          <w:rFonts w:cs="Arial"/>
        </w:rPr>
        <w:lastRenderedPageBreak/>
        <w:fldChar w:fldCharType="begin"/>
      </w:r>
      <w:r w:rsidR="00810970">
        <w:rPr>
          <w:rFonts w:cs="Arial"/>
        </w:rPr>
        <w:instrText xml:space="preserve"> REF _Ref35940989 \h </w:instrText>
      </w:r>
      <w:r w:rsidR="00810970">
        <w:rPr>
          <w:rFonts w:cs="Arial"/>
        </w:rPr>
      </w:r>
      <w:r w:rsidR="00810970">
        <w:rPr>
          <w:rFonts w:cs="Arial"/>
        </w:rPr>
        <w:fldChar w:fldCharType="separate"/>
      </w:r>
      <w:r w:rsidR="00810970" w:rsidRPr="00EC5379">
        <w:rPr>
          <w:rFonts w:cs="Arial"/>
        </w:rPr>
        <w:t xml:space="preserve">Table </w:t>
      </w:r>
      <w:r w:rsidR="00810970">
        <w:rPr>
          <w:rFonts w:cs="Arial"/>
          <w:noProof/>
        </w:rPr>
        <w:t>18</w:t>
      </w:r>
      <w:r w:rsidR="00810970">
        <w:rPr>
          <w:rFonts w:cs="Arial"/>
        </w:rPr>
        <w:fldChar w:fldCharType="end"/>
      </w:r>
      <w:r w:rsidR="003409BC">
        <w:rPr>
          <w:rFonts w:cs="Arial"/>
          <w:noProof/>
        </w:rPr>
        <w:t xml:space="preserve"> over the page</w:t>
      </w:r>
      <w:r w:rsidRPr="00EC5379">
        <w:rPr>
          <w:rFonts w:cs="Arial"/>
        </w:rPr>
        <w:t xml:space="preserve">. </w:t>
      </w:r>
      <w:r w:rsidR="001B1DBE">
        <w:rPr>
          <w:rFonts w:cs="Arial"/>
        </w:rPr>
        <w:t xml:space="preserve">The risks in </w:t>
      </w:r>
      <w:r w:rsidR="00EA146F">
        <w:rPr>
          <w:rFonts w:cs="Arial"/>
          <w:noProof/>
        </w:rPr>
        <w:t>the table</w:t>
      </w:r>
      <w:r w:rsidR="001B1DBE">
        <w:rPr>
          <w:rFonts w:cs="Arial"/>
        </w:rPr>
        <w:t xml:space="preserve"> relate to the changes in the Proposed Regulations compared to the status quo under the Interim Regulations.</w:t>
      </w:r>
      <w:bookmarkStart w:id="150" w:name="_Ref35940989"/>
    </w:p>
    <w:p w14:paraId="3022E7C9" w14:textId="56BE5A2E" w:rsidR="00A9494E" w:rsidRPr="00EC5379" w:rsidRDefault="00A9494E" w:rsidP="00A9494E">
      <w:pPr>
        <w:pStyle w:val="Caption"/>
        <w:rPr>
          <w:rFonts w:ascii="Arial" w:hAnsi="Arial" w:cs="Arial"/>
        </w:rPr>
      </w:pPr>
      <w:r w:rsidRPr="00EC5379">
        <w:rPr>
          <w:rFonts w:ascii="Arial" w:hAnsi="Arial" w:cs="Arial"/>
        </w:rPr>
        <w:lastRenderedPageBreak/>
        <w:t xml:space="preserve">Table </w:t>
      </w:r>
      <w:r w:rsidRPr="00EC5379">
        <w:rPr>
          <w:rFonts w:ascii="Arial" w:hAnsi="Arial" w:cs="Arial"/>
          <w:noProof/>
        </w:rPr>
        <w:fldChar w:fldCharType="begin"/>
      </w:r>
      <w:r w:rsidRPr="00EC5379">
        <w:rPr>
          <w:rFonts w:ascii="Arial" w:hAnsi="Arial" w:cs="Arial"/>
          <w:noProof/>
        </w:rPr>
        <w:instrText xml:space="preserve"> SEQ Table \* ARABIC </w:instrText>
      </w:r>
      <w:r w:rsidRPr="00EC5379">
        <w:rPr>
          <w:rFonts w:ascii="Arial" w:hAnsi="Arial" w:cs="Arial"/>
          <w:noProof/>
        </w:rPr>
        <w:fldChar w:fldCharType="separate"/>
      </w:r>
      <w:r w:rsidR="00F11F33">
        <w:rPr>
          <w:rFonts w:ascii="Arial" w:hAnsi="Arial" w:cs="Arial"/>
          <w:noProof/>
        </w:rPr>
        <w:t>18</w:t>
      </w:r>
      <w:r w:rsidRPr="00EC5379">
        <w:rPr>
          <w:rFonts w:ascii="Arial" w:hAnsi="Arial" w:cs="Arial"/>
          <w:noProof/>
        </w:rPr>
        <w:fldChar w:fldCharType="end"/>
      </w:r>
      <w:bookmarkEnd w:id="150"/>
      <w:r w:rsidRPr="00EC5379">
        <w:rPr>
          <w:rFonts w:ascii="Arial" w:hAnsi="Arial" w:cs="Arial"/>
        </w:rPr>
        <w:t xml:space="preserve">: Potential risks and mitigation strategies </w:t>
      </w:r>
    </w:p>
    <w:tbl>
      <w:tblPr>
        <w:tblW w:w="13775" w:type="dxa"/>
        <w:tblLayout w:type="fixed"/>
        <w:tblLook w:val="04A0" w:firstRow="1" w:lastRow="0" w:firstColumn="1" w:lastColumn="0" w:noHBand="0" w:noVBand="1"/>
      </w:tblPr>
      <w:tblGrid>
        <w:gridCol w:w="2410"/>
        <w:gridCol w:w="3260"/>
        <w:gridCol w:w="4536"/>
        <w:gridCol w:w="3569"/>
      </w:tblGrid>
      <w:tr w:rsidR="00A34DD3" w:rsidRPr="00EC5379" w14:paraId="3903E4C8" w14:textId="77777777" w:rsidTr="0023608B">
        <w:trPr>
          <w:tblHeader/>
        </w:trPr>
        <w:tc>
          <w:tcPr>
            <w:tcW w:w="2410" w:type="dxa"/>
            <w:tcBorders>
              <w:top w:val="single" w:sz="8" w:space="0" w:color="auto"/>
              <w:left w:val="nil"/>
              <w:bottom w:val="single" w:sz="8" w:space="0" w:color="auto"/>
              <w:right w:val="single" w:sz="8" w:space="0" w:color="auto"/>
            </w:tcBorders>
            <w:shd w:val="clear" w:color="auto" w:fill="002060"/>
            <w:vAlign w:val="center"/>
          </w:tcPr>
          <w:p w14:paraId="4622D626" w14:textId="77777777" w:rsidR="00A9494E" w:rsidRPr="00EC5379" w:rsidRDefault="00A9494E" w:rsidP="007846B7">
            <w:pPr>
              <w:pStyle w:val="Tableheading"/>
              <w:rPr>
                <w:rFonts w:ascii="Arial" w:hAnsi="Arial" w:cs="Arial"/>
                <w:lang w:eastAsia="en-AU"/>
              </w:rPr>
            </w:pPr>
            <w:r w:rsidRPr="00EC5379">
              <w:rPr>
                <w:rFonts w:ascii="Arial" w:hAnsi="Arial" w:cs="Arial"/>
                <w:lang w:eastAsia="en-AU"/>
              </w:rPr>
              <w:t>Risk</w:t>
            </w:r>
          </w:p>
        </w:tc>
        <w:tc>
          <w:tcPr>
            <w:tcW w:w="3260" w:type="dxa"/>
            <w:tcBorders>
              <w:top w:val="single" w:sz="8" w:space="0" w:color="auto"/>
              <w:left w:val="nil"/>
              <w:bottom w:val="single" w:sz="8" w:space="0" w:color="auto"/>
              <w:right w:val="single" w:sz="8" w:space="0" w:color="auto"/>
            </w:tcBorders>
            <w:shd w:val="clear" w:color="auto" w:fill="002060"/>
            <w:vAlign w:val="center"/>
            <w:hideMark/>
          </w:tcPr>
          <w:p w14:paraId="417E3843" w14:textId="77777777" w:rsidR="00A9494E" w:rsidRPr="00EC5379" w:rsidRDefault="00A9494E" w:rsidP="007846B7">
            <w:pPr>
              <w:pStyle w:val="Tableheading"/>
              <w:rPr>
                <w:rFonts w:ascii="Arial" w:hAnsi="Arial" w:cs="Arial"/>
                <w:lang w:eastAsia="en-AU"/>
              </w:rPr>
            </w:pPr>
            <w:r w:rsidRPr="00EC5379">
              <w:rPr>
                <w:rFonts w:ascii="Arial" w:hAnsi="Arial" w:cs="Arial"/>
                <w:lang w:eastAsia="en-AU"/>
              </w:rPr>
              <w:t>Description</w:t>
            </w:r>
          </w:p>
        </w:tc>
        <w:tc>
          <w:tcPr>
            <w:tcW w:w="4536" w:type="dxa"/>
            <w:tcBorders>
              <w:top w:val="single" w:sz="8" w:space="0" w:color="auto"/>
              <w:left w:val="single" w:sz="8" w:space="0" w:color="auto"/>
              <w:bottom w:val="single" w:sz="8" w:space="0" w:color="auto"/>
              <w:right w:val="single" w:sz="8" w:space="0" w:color="auto"/>
            </w:tcBorders>
            <w:shd w:val="clear" w:color="auto" w:fill="002060"/>
            <w:vAlign w:val="center"/>
          </w:tcPr>
          <w:p w14:paraId="22412E9E" w14:textId="77777777" w:rsidR="00A9494E" w:rsidRPr="00EC5379" w:rsidRDefault="00A9494E" w:rsidP="007846B7">
            <w:pPr>
              <w:pStyle w:val="Tableheading"/>
              <w:rPr>
                <w:rFonts w:ascii="Arial" w:hAnsi="Arial" w:cs="Arial"/>
                <w:lang w:eastAsia="en-AU"/>
              </w:rPr>
            </w:pPr>
            <w:r w:rsidRPr="00EC5379">
              <w:rPr>
                <w:rFonts w:ascii="Arial" w:hAnsi="Arial" w:cs="Arial"/>
                <w:lang w:eastAsia="en-AU"/>
              </w:rPr>
              <w:t>Risk rating</w:t>
            </w:r>
          </w:p>
        </w:tc>
        <w:tc>
          <w:tcPr>
            <w:tcW w:w="3569" w:type="dxa"/>
            <w:tcBorders>
              <w:top w:val="single" w:sz="8" w:space="0" w:color="auto"/>
              <w:left w:val="single" w:sz="8" w:space="0" w:color="auto"/>
              <w:bottom w:val="single" w:sz="8" w:space="0" w:color="auto"/>
              <w:right w:val="nil"/>
            </w:tcBorders>
            <w:shd w:val="clear" w:color="auto" w:fill="002060"/>
            <w:vAlign w:val="center"/>
            <w:hideMark/>
          </w:tcPr>
          <w:p w14:paraId="39A639CB" w14:textId="77777777" w:rsidR="00A9494E" w:rsidRPr="00EC5379" w:rsidRDefault="00A9494E" w:rsidP="007846B7">
            <w:pPr>
              <w:pStyle w:val="Tableheading"/>
              <w:rPr>
                <w:rFonts w:ascii="Arial" w:hAnsi="Arial" w:cs="Arial"/>
                <w:lang w:eastAsia="en-AU"/>
              </w:rPr>
            </w:pPr>
            <w:r w:rsidRPr="00EC5379">
              <w:rPr>
                <w:rFonts w:ascii="Arial" w:hAnsi="Arial" w:cs="Arial"/>
                <w:lang w:eastAsia="en-AU"/>
              </w:rPr>
              <w:t>Mitigation strategy</w:t>
            </w:r>
          </w:p>
        </w:tc>
      </w:tr>
      <w:tr w:rsidR="00A34DD3" w:rsidRPr="00EC5379" w14:paraId="01D3E09E" w14:textId="77777777" w:rsidTr="00C74963">
        <w:tc>
          <w:tcPr>
            <w:tcW w:w="2410" w:type="dxa"/>
            <w:tcBorders>
              <w:top w:val="nil"/>
              <w:left w:val="nil"/>
              <w:bottom w:val="single" w:sz="4" w:space="0" w:color="auto"/>
              <w:right w:val="single" w:sz="8" w:space="0" w:color="auto"/>
            </w:tcBorders>
            <w:shd w:val="clear" w:color="000000" w:fill="DEEAF6"/>
          </w:tcPr>
          <w:p w14:paraId="656CA3CC" w14:textId="688DC9AE" w:rsidR="00A9494E" w:rsidRPr="00EC5379" w:rsidRDefault="0072722B" w:rsidP="00A34DD3">
            <w:pPr>
              <w:pStyle w:val="Tabletext"/>
              <w:rPr>
                <w:rFonts w:cs="Arial"/>
                <w:lang w:eastAsia="en-AU"/>
              </w:rPr>
            </w:pPr>
            <w:r>
              <w:rPr>
                <w:rFonts w:cs="Arial"/>
                <w:lang w:eastAsia="en-AU"/>
              </w:rPr>
              <w:t>Community Health</w:t>
            </w:r>
            <w:r w:rsidR="00A9494E">
              <w:rPr>
                <w:rFonts w:cs="Arial"/>
                <w:lang w:eastAsia="en-AU"/>
              </w:rPr>
              <w:t xml:space="preserve"> service providers are unable to easily distinguish between in and out of scope employees</w:t>
            </w:r>
            <w:r w:rsidR="001F28FA">
              <w:rPr>
                <w:rFonts w:cs="Arial"/>
                <w:lang w:eastAsia="en-AU"/>
              </w:rPr>
              <w:t>, leading to employees being denied portability benefits</w:t>
            </w:r>
            <w:r w:rsidR="00A9494E">
              <w:rPr>
                <w:rFonts w:cs="Arial"/>
                <w:lang w:eastAsia="en-AU"/>
              </w:rPr>
              <w:t>.</w:t>
            </w:r>
          </w:p>
        </w:tc>
        <w:tc>
          <w:tcPr>
            <w:tcW w:w="3260" w:type="dxa"/>
            <w:tcBorders>
              <w:top w:val="nil"/>
              <w:left w:val="nil"/>
              <w:bottom w:val="single" w:sz="4" w:space="0" w:color="auto"/>
              <w:right w:val="single" w:sz="8" w:space="0" w:color="auto"/>
            </w:tcBorders>
            <w:shd w:val="clear" w:color="000000" w:fill="DEEAF6"/>
          </w:tcPr>
          <w:p w14:paraId="13D4AC78" w14:textId="227F0AEE" w:rsidR="00A9494E" w:rsidRPr="00EC5379" w:rsidRDefault="00A9494E">
            <w:pPr>
              <w:pStyle w:val="Tabletext"/>
              <w:rPr>
                <w:rFonts w:cs="Arial"/>
                <w:lang w:eastAsia="en-AU"/>
              </w:rPr>
            </w:pPr>
            <w:r>
              <w:rPr>
                <w:rFonts w:cs="Arial"/>
                <w:lang w:eastAsia="en-AU"/>
              </w:rPr>
              <w:t xml:space="preserve">Consultation has shown that </w:t>
            </w:r>
            <w:r w:rsidR="0072722B">
              <w:rPr>
                <w:rFonts w:cs="Arial"/>
                <w:lang w:eastAsia="en-AU"/>
              </w:rPr>
              <w:t>Community Health</w:t>
            </w:r>
            <w:r>
              <w:rPr>
                <w:rFonts w:cs="Arial"/>
                <w:lang w:eastAsia="en-AU"/>
              </w:rPr>
              <w:t xml:space="preserve"> providers consider their workforce to </w:t>
            </w:r>
            <w:r w:rsidR="00BD6667">
              <w:rPr>
                <w:rFonts w:cs="Arial"/>
                <w:lang w:eastAsia="en-AU"/>
              </w:rPr>
              <w:t>be entirely healthcare focused and are of the firm view that they should be excluded from the Scheme.</w:t>
            </w:r>
          </w:p>
        </w:tc>
        <w:tc>
          <w:tcPr>
            <w:tcW w:w="4536" w:type="dxa"/>
            <w:tcBorders>
              <w:top w:val="nil"/>
              <w:left w:val="single" w:sz="8" w:space="0" w:color="auto"/>
              <w:bottom w:val="single" w:sz="4" w:space="0" w:color="auto"/>
              <w:right w:val="single" w:sz="8" w:space="0" w:color="auto"/>
            </w:tcBorders>
            <w:shd w:val="clear" w:color="000000" w:fill="DEEAF6"/>
          </w:tcPr>
          <w:p w14:paraId="6B516CC7" w14:textId="0E1C2C11" w:rsidR="00A9494E" w:rsidRPr="002C68B2" w:rsidRDefault="00A9494E">
            <w:pPr>
              <w:pStyle w:val="Tabletext"/>
              <w:rPr>
                <w:rFonts w:cs="Arial"/>
                <w:lang w:eastAsia="en-AU"/>
              </w:rPr>
            </w:pPr>
            <w:r w:rsidRPr="00C56DDD">
              <w:rPr>
                <w:rFonts w:cs="Arial"/>
                <w:b/>
                <w:lang w:eastAsia="en-AU"/>
              </w:rPr>
              <w:t>Overall risk rating:</w:t>
            </w:r>
            <w:r w:rsidRPr="002C68B2">
              <w:rPr>
                <w:rFonts w:cs="Arial"/>
                <w:lang w:eastAsia="en-AU"/>
              </w:rPr>
              <w:t xml:space="preserve"> </w:t>
            </w:r>
            <w:r w:rsidRPr="002C68B2">
              <w:rPr>
                <w:rFonts w:cs="Arial"/>
                <w:b/>
                <w:lang w:eastAsia="en-AU"/>
              </w:rPr>
              <w:t>Low</w:t>
            </w:r>
          </w:p>
          <w:p w14:paraId="4827F406" w14:textId="7C84FAF0" w:rsidR="00A9494E" w:rsidRPr="002C68B2" w:rsidRDefault="00A9494E" w:rsidP="00DB3ADD">
            <w:pPr>
              <w:pStyle w:val="Tabletext"/>
              <w:spacing w:line="256" w:lineRule="auto"/>
              <w:rPr>
                <w:rFonts w:cs="Arial"/>
                <w:lang w:eastAsia="en-AU"/>
              </w:rPr>
            </w:pPr>
            <w:r w:rsidRPr="00C56DDD">
              <w:rPr>
                <w:rFonts w:cs="Arial"/>
                <w:b/>
                <w:lang w:eastAsia="en-AU"/>
              </w:rPr>
              <w:t>Consequences:</w:t>
            </w:r>
            <w:r w:rsidRPr="002C68B2">
              <w:rPr>
                <w:rFonts w:cs="Arial"/>
                <w:lang w:eastAsia="en-AU"/>
              </w:rPr>
              <w:t xml:space="preserve"> </w:t>
            </w:r>
            <w:r w:rsidR="00F001F7" w:rsidRPr="002C68B2">
              <w:rPr>
                <w:rFonts w:cs="Arial"/>
                <w:lang w:eastAsia="en-AU"/>
              </w:rPr>
              <w:t xml:space="preserve">If this occurs, </w:t>
            </w:r>
            <w:r w:rsidR="001F28FA">
              <w:rPr>
                <w:rFonts w:cs="Arial"/>
                <w:lang w:eastAsia="en-AU"/>
              </w:rPr>
              <w:t>employees</w:t>
            </w:r>
            <w:r w:rsidR="00F001F7" w:rsidRPr="002C68B2">
              <w:rPr>
                <w:rFonts w:cs="Arial"/>
                <w:lang w:eastAsia="en-AU"/>
              </w:rPr>
              <w:t xml:space="preserve"> may be</w:t>
            </w:r>
            <w:r w:rsidR="00893D1E">
              <w:rPr>
                <w:rFonts w:cs="Arial"/>
                <w:lang w:eastAsia="en-AU"/>
              </w:rPr>
              <w:t xml:space="preserve"> denied a long service benefit. </w:t>
            </w:r>
            <w:r w:rsidR="00F001F7" w:rsidRPr="000D2B7E">
              <w:rPr>
                <w:rFonts w:cs="Arial"/>
                <w:lang w:eastAsia="en-AU"/>
              </w:rPr>
              <w:t xml:space="preserve">Considering the likely small number of </w:t>
            </w:r>
            <w:r w:rsidR="001F28FA">
              <w:rPr>
                <w:rFonts w:cs="Arial"/>
                <w:lang w:eastAsia="en-AU"/>
              </w:rPr>
              <w:t>employees</w:t>
            </w:r>
            <w:r w:rsidR="00F001F7" w:rsidRPr="000D2B7E">
              <w:rPr>
                <w:rFonts w:cs="Arial"/>
                <w:lang w:eastAsia="en-AU"/>
              </w:rPr>
              <w:t xml:space="preserve"> in this category</w:t>
            </w:r>
            <w:r w:rsidR="0023608B">
              <w:rPr>
                <w:rFonts w:cs="Arial"/>
                <w:lang w:eastAsia="en-AU"/>
              </w:rPr>
              <w:t>,</w:t>
            </w:r>
            <w:r w:rsidR="00F001F7" w:rsidRPr="000D2B7E">
              <w:rPr>
                <w:rFonts w:cs="Arial"/>
                <w:lang w:eastAsia="en-AU"/>
              </w:rPr>
              <w:t xml:space="preserve"> th</w:t>
            </w:r>
            <w:r w:rsidR="00F001F7">
              <w:rPr>
                <w:rFonts w:cs="Arial"/>
                <w:lang w:eastAsia="en-AU"/>
              </w:rPr>
              <w:t>e consequences are</w:t>
            </w:r>
            <w:r w:rsidR="00F001F7" w:rsidRPr="000D2B7E">
              <w:rPr>
                <w:rFonts w:cs="Arial"/>
                <w:lang w:eastAsia="en-AU"/>
              </w:rPr>
              <w:t xml:space="preserve"> </w:t>
            </w:r>
            <w:r w:rsidR="00F001F7" w:rsidRPr="000D2B7E">
              <w:rPr>
                <w:rFonts w:cs="Arial"/>
                <w:b/>
                <w:lang w:eastAsia="en-AU"/>
              </w:rPr>
              <w:t>moderate.</w:t>
            </w:r>
          </w:p>
          <w:p w14:paraId="3FC954F5" w14:textId="7ED30374" w:rsidR="00A9494E" w:rsidRPr="00EC5379" w:rsidRDefault="00893D1E" w:rsidP="00A34DD3">
            <w:pPr>
              <w:pStyle w:val="Tabletext"/>
              <w:rPr>
                <w:rFonts w:cs="Arial"/>
                <w:lang w:eastAsia="en-AU"/>
              </w:rPr>
            </w:pPr>
            <w:r w:rsidRPr="00C56DDD">
              <w:rPr>
                <w:rFonts w:cs="Arial"/>
                <w:b/>
                <w:lang w:eastAsia="en-AU"/>
              </w:rPr>
              <w:t>Likelihood:</w:t>
            </w:r>
            <w:r w:rsidRPr="002C68B2">
              <w:rPr>
                <w:rFonts w:cs="Arial"/>
                <w:lang w:eastAsia="en-AU"/>
              </w:rPr>
              <w:t xml:space="preserve"> </w:t>
            </w:r>
            <w:r>
              <w:rPr>
                <w:rFonts w:cs="Arial"/>
                <w:b/>
                <w:lang w:eastAsia="en-AU"/>
              </w:rPr>
              <w:t>U</w:t>
            </w:r>
            <w:r w:rsidRPr="002C68B2">
              <w:rPr>
                <w:rFonts w:cs="Arial"/>
                <w:b/>
                <w:lang w:eastAsia="en-AU"/>
              </w:rPr>
              <w:t>nlikely</w:t>
            </w:r>
            <w:r>
              <w:rPr>
                <w:rFonts w:cs="Arial"/>
                <w:lang w:eastAsia="en-AU"/>
              </w:rPr>
              <w:t xml:space="preserve"> as a</w:t>
            </w:r>
            <w:r w:rsidR="0060163D">
              <w:rPr>
                <w:rFonts w:cs="Arial"/>
                <w:lang w:eastAsia="en-AU"/>
              </w:rPr>
              <w:t xml:space="preserve"> modern</w:t>
            </w:r>
            <w:r w:rsidR="0023608B">
              <w:rPr>
                <w:rFonts w:cs="Arial"/>
                <w:lang w:eastAsia="en-AU"/>
              </w:rPr>
              <w:t>,</w:t>
            </w:r>
            <w:r w:rsidR="000742E1">
              <w:rPr>
                <w:rFonts w:cs="Arial"/>
                <w:lang w:eastAsia="en-AU"/>
              </w:rPr>
              <w:t xml:space="preserve"> </w:t>
            </w:r>
            <w:r>
              <w:rPr>
                <w:rFonts w:cs="Arial"/>
                <w:lang w:eastAsia="en-AU"/>
              </w:rPr>
              <w:t>award</w:t>
            </w:r>
            <w:r w:rsidR="0060163D">
              <w:rPr>
                <w:rFonts w:cs="Arial"/>
                <w:lang w:eastAsia="en-AU"/>
              </w:rPr>
              <w:t>s</w:t>
            </w:r>
            <w:r>
              <w:rPr>
                <w:rFonts w:cs="Arial"/>
                <w:lang w:eastAsia="en-AU"/>
              </w:rPr>
              <w:t xml:space="preserve"> based test will be introduced to determine employee eligibility. </w:t>
            </w:r>
          </w:p>
        </w:tc>
        <w:tc>
          <w:tcPr>
            <w:tcW w:w="3569" w:type="dxa"/>
            <w:tcBorders>
              <w:top w:val="nil"/>
              <w:left w:val="single" w:sz="8" w:space="0" w:color="auto"/>
              <w:bottom w:val="single" w:sz="4" w:space="0" w:color="auto"/>
              <w:right w:val="nil"/>
            </w:tcBorders>
            <w:shd w:val="clear" w:color="000000" w:fill="DEEAF6"/>
          </w:tcPr>
          <w:p w14:paraId="3D3DA1C7" w14:textId="003885C9" w:rsidR="00A9494E" w:rsidRDefault="00A9494E">
            <w:pPr>
              <w:pStyle w:val="Tabletext"/>
              <w:rPr>
                <w:rFonts w:cs="Arial"/>
                <w:lang w:eastAsia="en-AU"/>
              </w:rPr>
            </w:pPr>
            <w:r>
              <w:rPr>
                <w:rFonts w:cs="Arial"/>
                <w:lang w:eastAsia="en-AU"/>
              </w:rPr>
              <w:t xml:space="preserve">Significant information (as above in </w:t>
            </w:r>
            <w:r>
              <w:rPr>
                <w:rFonts w:cs="Arial"/>
                <w:lang w:eastAsia="en-AU"/>
              </w:rPr>
              <w:fldChar w:fldCharType="begin"/>
            </w:r>
            <w:r>
              <w:rPr>
                <w:rFonts w:cs="Arial"/>
                <w:lang w:eastAsia="en-AU"/>
              </w:rPr>
              <w:instrText xml:space="preserve"> REF _Ref35436675 \h </w:instrText>
            </w:r>
            <w:r w:rsidR="00893D1E">
              <w:rPr>
                <w:rFonts w:cs="Arial"/>
                <w:lang w:eastAsia="en-AU"/>
              </w:rPr>
              <w:instrText xml:space="preserve"> \* MERGEFORMAT </w:instrText>
            </w:r>
            <w:r>
              <w:rPr>
                <w:rFonts w:cs="Arial"/>
                <w:lang w:eastAsia="en-AU"/>
              </w:rPr>
            </w:r>
            <w:r>
              <w:rPr>
                <w:rFonts w:cs="Arial"/>
                <w:lang w:eastAsia="en-AU"/>
              </w:rPr>
              <w:fldChar w:fldCharType="separate"/>
            </w:r>
            <w:r w:rsidRPr="00EC5379">
              <w:rPr>
                <w:rFonts w:cs="Arial"/>
              </w:rPr>
              <w:t>Industry Information</w:t>
            </w:r>
            <w:r>
              <w:rPr>
                <w:rFonts w:cs="Arial"/>
                <w:lang w:eastAsia="en-AU"/>
              </w:rPr>
              <w:fldChar w:fldCharType="end"/>
            </w:r>
            <w:r>
              <w:rPr>
                <w:rFonts w:cs="Arial"/>
                <w:lang w:eastAsia="en-AU"/>
              </w:rPr>
              <w:t xml:space="preserve">) will be provided to employers in the </w:t>
            </w:r>
            <w:r w:rsidR="0072722B">
              <w:rPr>
                <w:rFonts w:cs="Arial"/>
                <w:lang w:eastAsia="en-AU"/>
              </w:rPr>
              <w:t>Community Health</w:t>
            </w:r>
            <w:r>
              <w:rPr>
                <w:rFonts w:cs="Arial"/>
                <w:lang w:eastAsia="en-AU"/>
              </w:rPr>
              <w:t xml:space="preserve"> </w:t>
            </w:r>
            <w:r w:rsidR="002106A3">
              <w:rPr>
                <w:rFonts w:cs="Arial"/>
                <w:lang w:eastAsia="en-AU"/>
              </w:rPr>
              <w:t>sub</w:t>
            </w:r>
            <w:r w:rsidR="002106A3">
              <w:rPr>
                <w:rFonts w:cs="Arial"/>
                <w:lang w:eastAsia="en-AU"/>
              </w:rPr>
              <w:noBreakHyphen/>
              <w:t>sector</w:t>
            </w:r>
            <w:r>
              <w:rPr>
                <w:rFonts w:cs="Arial"/>
                <w:lang w:eastAsia="en-AU"/>
              </w:rPr>
              <w:t xml:space="preserve">, along with support provided by the Authority. </w:t>
            </w:r>
          </w:p>
          <w:p w14:paraId="00741EF2" w14:textId="1403239D" w:rsidR="00A9494E" w:rsidRPr="00EC5379" w:rsidRDefault="00A9494E">
            <w:pPr>
              <w:pStyle w:val="Tabletext"/>
              <w:rPr>
                <w:rFonts w:cs="Arial"/>
                <w:lang w:eastAsia="en-AU"/>
              </w:rPr>
            </w:pPr>
            <w:r>
              <w:rPr>
                <w:rFonts w:cs="Arial"/>
                <w:lang w:eastAsia="en-AU"/>
              </w:rPr>
              <w:t xml:space="preserve">Determining which employees are in scope based on the </w:t>
            </w:r>
            <w:r w:rsidR="005A0E15">
              <w:rPr>
                <w:rFonts w:cs="Arial"/>
                <w:lang w:eastAsia="en-AU"/>
              </w:rPr>
              <w:t>four</w:t>
            </w:r>
            <w:r>
              <w:rPr>
                <w:rFonts w:cs="Arial"/>
                <w:lang w:eastAsia="en-AU"/>
              </w:rPr>
              <w:t xml:space="preserve"> modern awards will also reduce this risk</w:t>
            </w:r>
            <w:r w:rsidR="00893D1E">
              <w:rPr>
                <w:rFonts w:cs="Arial"/>
                <w:lang w:eastAsia="en-AU"/>
              </w:rPr>
              <w:t xml:space="preserve"> relative to the status quo</w:t>
            </w:r>
            <w:r>
              <w:rPr>
                <w:rFonts w:cs="Arial"/>
                <w:lang w:eastAsia="en-AU"/>
              </w:rPr>
              <w:t>.</w:t>
            </w:r>
          </w:p>
        </w:tc>
      </w:tr>
      <w:tr w:rsidR="001F28FA" w:rsidRPr="00EC5379" w14:paraId="56DFBC54" w14:textId="77777777" w:rsidTr="00C74963">
        <w:tc>
          <w:tcPr>
            <w:tcW w:w="2410" w:type="dxa"/>
            <w:tcBorders>
              <w:top w:val="nil"/>
              <w:left w:val="nil"/>
              <w:bottom w:val="single" w:sz="4" w:space="0" w:color="auto"/>
              <w:right w:val="single" w:sz="8" w:space="0" w:color="auto"/>
            </w:tcBorders>
            <w:shd w:val="clear" w:color="000000" w:fill="DEEAF6"/>
          </w:tcPr>
          <w:p w14:paraId="71C8D422" w14:textId="761554B0" w:rsidR="001F28FA" w:rsidRDefault="001F28FA" w:rsidP="00A34DD3">
            <w:pPr>
              <w:pStyle w:val="Tabletext"/>
              <w:rPr>
                <w:rFonts w:cs="Arial"/>
                <w:lang w:eastAsia="en-AU"/>
              </w:rPr>
            </w:pPr>
            <w:r>
              <w:rPr>
                <w:rFonts w:cs="Arial"/>
                <w:lang w:eastAsia="en-AU"/>
              </w:rPr>
              <w:t xml:space="preserve">Some </w:t>
            </w:r>
            <w:r w:rsidR="0072722B">
              <w:rPr>
                <w:rFonts w:cs="Arial"/>
                <w:lang w:eastAsia="en-AU"/>
              </w:rPr>
              <w:t>Community Health</w:t>
            </w:r>
            <w:r>
              <w:rPr>
                <w:rFonts w:cs="Arial"/>
                <w:lang w:eastAsia="en-AU"/>
              </w:rPr>
              <w:t xml:space="preserve"> and </w:t>
            </w:r>
            <w:r w:rsidR="0072722B">
              <w:rPr>
                <w:rFonts w:cs="Arial"/>
                <w:lang w:eastAsia="en-AU"/>
              </w:rPr>
              <w:t>Women’s Health</w:t>
            </w:r>
            <w:r>
              <w:rPr>
                <w:rFonts w:cs="Arial"/>
                <w:lang w:eastAsia="en-AU"/>
              </w:rPr>
              <w:t xml:space="preserve"> providers may need to reduce services to accommodate increased costs, leading to reduced assistance for those in need.</w:t>
            </w:r>
          </w:p>
        </w:tc>
        <w:tc>
          <w:tcPr>
            <w:tcW w:w="3260" w:type="dxa"/>
            <w:tcBorders>
              <w:top w:val="nil"/>
              <w:left w:val="nil"/>
              <w:bottom w:val="single" w:sz="4" w:space="0" w:color="auto"/>
              <w:right w:val="single" w:sz="8" w:space="0" w:color="auto"/>
            </w:tcBorders>
            <w:shd w:val="clear" w:color="000000" w:fill="DEEAF6"/>
          </w:tcPr>
          <w:p w14:paraId="407F1BE1" w14:textId="4A7BEBE3" w:rsidR="001F28FA" w:rsidRDefault="001F28FA" w:rsidP="0023608B">
            <w:pPr>
              <w:pStyle w:val="Tabletext"/>
              <w:rPr>
                <w:rFonts w:cs="Arial"/>
                <w:lang w:eastAsia="en-AU"/>
              </w:rPr>
            </w:pPr>
            <w:r>
              <w:rPr>
                <w:rFonts w:cs="Arial"/>
                <w:lang w:eastAsia="en-AU"/>
              </w:rPr>
              <w:t xml:space="preserve">Consultation has shown that </w:t>
            </w:r>
            <w:r w:rsidR="0072722B">
              <w:rPr>
                <w:rFonts w:cs="Arial"/>
                <w:lang w:eastAsia="en-AU"/>
              </w:rPr>
              <w:t>Community Health</w:t>
            </w:r>
            <w:r>
              <w:rPr>
                <w:rFonts w:cs="Arial"/>
                <w:lang w:eastAsia="en-AU"/>
              </w:rPr>
              <w:t xml:space="preserve"> and </w:t>
            </w:r>
            <w:r w:rsidR="0072722B">
              <w:rPr>
                <w:rFonts w:cs="Arial"/>
                <w:lang w:eastAsia="en-AU"/>
              </w:rPr>
              <w:t>Women’s Health</w:t>
            </w:r>
            <w:r>
              <w:rPr>
                <w:rFonts w:cs="Arial"/>
                <w:lang w:eastAsia="en-AU"/>
              </w:rPr>
              <w:t xml:space="preserve"> providers expect to have to reduce the number of services or staff in order to meet the additional cost of paying </w:t>
            </w:r>
            <w:r w:rsidR="0023608B">
              <w:rPr>
                <w:rFonts w:cs="Arial"/>
                <w:lang w:eastAsia="en-AU"/>
              </w:rPr>
              <w:t xml:space="preserve">the </w:t>
            </w:r>
            <w:r>
              <w:rPr>
                <w:rFonts w:cs="Arial"/>
                <w:lang w:eastAsia="en-AU"/>
              </w:rPr>
              <w:t xml:space="preserve">levy to the Authority </w:t>
            </w:r>
            <w:r w:rsidR="0023608B">
              <w:rPr>
                <w:rFonts w:cs="Arial"/>
                <w:lang w:eastAsia="en-AU"/>
              </w:rPr>
              <w:t xml:space="preserve">on </w:t>
            </w:r>
            <w:r>
              <w:rPr>
                <w:rFonts w:cs="Arial"/>
                <w:lang w:eastAsia="en-AU"/>
              </w:rPr>
              <w:t xml:space="preserve">behalf of their covered employees. </w:t>
            </w:r>
          </w:p>
        </w:tc>
        <w:tc>
          <w:tcPr>
            <w:tcW w:w="4536" w:type="dxa"/>
            <w:tcBorders>
              <w:top w:val="nil"/>
              <w:left w:val="single" w:sz="8" w:space="0" w:color="auto"/>
              <w:bottom w:val="single" w:sz="4" w:space="0" w:color="auto"/>
              <w:right w:val="single" w:sz="8" w:space="0" w:color="auto"/>
            </w:tcBorders>
            <w:shd w:val="clear" w:color="000000" w:fill="DEEAF6"/>
          </w:tcPr>
          <w:p w14:paraId="5CDB8684" w14:textId="4E6D78E9" w:rsidR="001F28FA" w:rsidRPr="00A34DD3" w:rsidRDefault="001F28FA" w:rsidP="00C74963">
            <w:pPr>
              <w:pStyle w:val="Tabletext"/>
              <w:spacing w:line="256" w:lineRule="auto"/>
              <w:rPr>
                <w:rFonts w:cs="Arial"/>
                <w:b/>
                <w:lang w:eastAsia="en-AU"/>
              </w:rPr>
            </w:pPr>
            <w:r>
              <w:rPr>
                <w:rFonts w:cs="Arial"/>
                <w:b/>
                <w:lang w:eastAsia="en-AU"/>
              </w:rPr>
              <w:t>Overall risk rating:</w:t>
            </w:r>
            <w:r w:rsidR="00A34DD3">
              <w:rPr>
                <w:rFonts w:cs="Arial"/>
                <w:b/>
                <w:lang w:eastAsia="en-AU"/>
              </w:rPr>
              <w:t xml:space="preserve"> Medium.</w:t>
            </w:r>
          </w:p>
          <w:p w14:paraId="209CAA6B" w14:textId="51439B36" w:rsidR="001F28FA" w:rsidRPr="00A34DD3" w:rsidRDefault="001F28FA">
            <w:pPr>
              <w:pStyle w:val="Tabletext"/>
              <w:rPr>
                <w:rFonts w:cs="Arial"/>
                <w:b/>
                <w:lang w:eastAsia="en-AU"/>
              </w:rPr>
            </w:pPr>
            <w:r>
              <w:rPr>
                <w:rFonts w:cs="Arial"/>
                <w:b/>
                <w:lang w:eastAsia="en-AU"/>
              </w:rPr>
              <w:t>Consequences:</w:t>
            </w:r>
            <w:r w:rsidR="00A34DD3">
              <w:rPr>
                <w:rFonts w:cs="Arial"/>
                <w:b/>
                <w:lang w:eastAsia="en-AU"/>
              </w:rPr>
              <w:t xml:space="preserve"> </w:t>
            </w:r>
            <w:r w:rsidR="00A34DD3">
              <w:rPr>
                <w:rFonts w:cs="Arial"/>
                <w:lang w:eastAsia="en-AU"/>
              </w:rPr>
              <w:t xml:space="preserve">If this occurs, vulnerable members of the community may be impacted through reduced services. Considering the magnitude of the additional cost impost, the consequences are </w:t>
            </w:r>
            <w:r w:rsidR="00A34DD3">
              <w:rPr>
                <w:rFonts w:cs="Arial"/>
                <w:b/>
                <w:lang w:eastAsia="en-AU"/>
              </w:rPr>
              <w:t>moderate.</w:t>
            </w:r>
          </w:p>
          <w:p w14:paraId="675D6692" w14:textId="7BA058BE" w:rsidR="001F28FA" w:rsidRPr="00A34DD3" w:rsidRDefault="001F28FA">
            <w:pPr>
              <w:pStyle w:val="Tabletext"/>
              <w:rPr>
                <w:rFonts w:cs="Arial"/>
                <w:b/>
                <w:lang w:eastAsia="en-AU"/>
              </w:rPr>
            </w:pPr>
            <w:r>
              <w:rPr>
                <w:rFonts w:cs="Arial"/>
                <w:b/>
                <w:lang w:eastAsia="en-AU"/>
              </w:rPr>
              <w:t>Likelihood:</w:t>
            </w:r>
            <w:r w:rsidR="00A34DD3">
              <w:rPr>
                <w:rFonts w:cs="Arial"/>
                <w:b/>
                <w:lang w:eastAsia="en-AU"/>
              </w:rPr>
              <w:t xml:space="preserve"> </w:t>
            </w:r>
            <w:r w:rsidR="00A34DD3">
              <w:rPr>
                <w:rFonts w:cs="Arial"/>
                <w:lang w:eastAsia="en-AU"/>
              </w:rPr>
              <w:t xml:space="preserve">This is </w:t>
            </w:r>
            <w:r w:rsidR="00A34DD3">
              <w:rPr>
                <w:rFonts w:cs="Arial"/>
                <w:b/>
                <w:lang w:eastAsia="en-AU"/>
              </w:rPr>
              <w:t>possible.</w:t>
            </w:r>
          </w:p>
        </w:tc>
        <w:tc>
          <w:tcPr>
            <w:tcW w:w="3569" w:type="dxa"/>
            <w:tcBorders>
              <w:top w:val="nil"/>
              <w:left w:val="single" w:sz="8" w:space="0" w:color="auto"/>
              <w:bottom w:val="single" w:sz="4" w:space="0" w:color="auto"/>
              <w:right w:val="nil"/>
            </w:tcBorders>
            <w:shd w:val="clear" w:color="000000" w:fill="DEEAF6"/>
            <w:vAlign w:val="center"/>
          </w:tcPr>
          <w:p w14:paraId="703E18C1" w14:textId="77777777" w:rsidR="001F28FA" w:rsidRDefault="00A34DD3">
            <w:pPr>
              <w:pStyle w:val="Tabletext"/>
              <w:rPr>
                <w:rFonts w:cs="Arial"/>
                <w:lang w:eastAsia="en-AU"/>
              </w:rPr>
            </w:pPr>
            <w:r>
              <w:rPr>
                <w:rFonts w:cs="Arial"/>
                <w:lang w:eastAsia="en-AU"/>
              </w:rPr>
              <w:t xml:space="preserve">The Authority will work closely with stakeholders to ensure only eligible employees are registered for the Scheme, minimising the cost burden on service providers. </w:t>
            </w:r>
          </w:p>
          <w:p w14:paraId="0534D518" w14:textId="23CC9C99" w:rsidR="00A34DD3" w:rsidRDefault="00A34DD3">
            <w:pPr>
              <w:pStyle w:val="Tabletext"/>
              <w:rPr>
                <w:rFonts w:cs="Arial"/>
                <w:lang w:eastAsia="en-AU"/>
              </w:rPr>
            </w:pPr>
            <w:r>
              <w:rPr>
                <w:rFonts w:cs="Arial"/>
                <w:lang w:eastAsia="en-AU"/>
              </w:rPr>
              <w:t xml:space="preserve">IRV will continue to monitor the impact on services (including through the evaluations proposed in section </w:t>
            </w:r>
            <w:r>
              <w:rPr>
                <w:rFonts w:cs="Arial"/>
                <w:lang w:eastAsia="en-AU"/>
              </w:rPr>
              <w:fldChar w:fldCharType="begin"/>
            </w:r>
            <w:r>
              <w:rPr>
                <w:rFonts w:cs="Arial"/>
                <w:lang w:eastAsia="en-AU"/>
              </w:rPr>
              <w:instrText xml:space="preserve"> REF _Ref37062385 \r \h  \* MERGEFORMAT </w:instrText>
            </w:r>
            <w:r>
              <w:rPr>
                <w:rFonts w:cs="Arial"/>
                <w:lang w:eastAsia="en-AU"/>
              </w:rPr>
            </w:r>
            <w:r>
              <w:rPr>
                <w:rFonts w:cs="Arial"/>
                <w:lang w:eastAsia="en-AU"/>
              </w:rPr>
              <w:fldChar w:fldCharType="separate"/>
            </w:r>
            <w:r>
              <w:rPr>
                <w:rFonts w:cs="Arial"/>
                <w:lang w:eastAsia="en-AU"/>
              </w:rPr>
              <w:t>8</w:t>
            </w:r>
            <w:r>
              <w:rPr>
                <w:rFonts w:cs="Arial"/>
                <w:lang w:eastAsia="en-AU"/>
              </w:rPr>
              <w:fldChar w:fldCharType="end"/>
            </w:r>
            <w:r>
              <w:rPr>
                <w:rFonts w:cs="Arial"/>
                <w:lang w:eastAsia="en-AU"/>
              </w:rPr>
              <w:t>).</w:t>
            </w:r>
          </w:p>
        </w:tc>
      </w:tr>
      <w:tr w:rsidR="00A34DD3" w14:paraId="1BCA474E" w14:textId="77777777" w:rsidTr="0023608B">
        <w:tc>
          <w:tcPr>
            <w:tcW w:w="2410" w:type="dxa"/>
            <w:tcBorders>
              <w:top w:val="nil"/>
              <w:left w:val="nil"/>
              <w:bottom w:val="single" w:sz="4" w:space="0" w:color="auto"/>
              <w:right w:val="single" w:sz="8" w:space="0" w:color="auto"/>
            </w:tcBorders>
            <w:shd w:val="clear" w:color="auto" w:fill="DEEAF6"/>
            <w:hideMark/>
          </w:tcPr>
          <w:p w14:paraId="385CB171" w14:textId="6B99AF75" w:rsidR="00A9494E" w:rsidRPr="000D2B7E" w:rsidRDefault="00A9494E" w:rsidP="00A34DD3">
            <w:pPr>
              <w:pStyle w:val="Tabletext"/>
              <w:spacing w:line="256" w:lineRule="auto"/>
              <w:rPr>
                <w:rFonts w:cs="Arial"/>
                <w:color w:val="auto"/>
                <w:lang w:eastAsia="en-AU"/>
              </w:rPr>
            </w:pPr>
            <w:r w:rsidRPr="000D2B7E">
              <w:rPr>
                <w:rFonts w:cs="Arial"/>
                <w:lang w:eastAsia="en-AU"/>
              </w:rPr>
              <w:t xml:space="preserve">Some </w:t>
            </w:r>
            <w:r>
              <w:rPr>
                <w:rFonts w:cs="Arial"/>
                <w:lang w:eastAsia="en-AU"/>
              </w:rPr>
              <w:t xml:space="preserve">community services sector </w:t>
            </w:r>
            <w:r w:rsidR="00BA4E89">
              <w:rPr>
                <w:rFonts w:cs="Arial"/>
                <w:lang w:eastAsia="en-AU"/>
              </w:rPr>
              <w:t>employee</w:t>
            </w:r>
            <w:r w:rsidRPr="000D2B7E">
              <w:rPr>
                <w:rFonts w:cs="Arial"/>
                <w:lang w:eastAsia="en-AU"/>
              </w:rPr>
              <w:t>s become unintentionally out-of-scope</w:t>
            </w:r>
            <w:r w:rsidR="001F28FA">
              <w:rPr>
                <w:rFonts w:cs="Arial"/>
                <w:lang w:eastAsia="en-AU"/>
              </w:rPr>
              <w:t>, loosing access to portability benefits</w:t>
            </w:r>
            <w:r>
              <w:rPr>
                <w:rFonts w:cs="Arial"/>
                <w:lang w:eastAsia="en-AU"/>
              </w:rPr>
              <w:t>.</w:t>
            </w:r>
          </w:p>
        </w:tc>
        <w:tc>
          <w:tcPr>
            <w:tcW w:w="3260" w:type="dxa"/>
            <w:tcBorders>
              <w:top w:val="nil"/>
              <w:left w:val="nil"/>
              <w:bottom w:val="single" w:sz="4" w:space="0" w:color="auto"/>
              <w:right w:val="single" w:sz="8" w:space="0" w:color="auto"/>
            </w:tcBorders>
            <w:shd w:val="clear" w:color="auto" w:fill="DEEAF6"/>
            <w:hideMark/>
          </w:tcPr>
          <w:p w14:paraId="57100930" w14:textId="3FA68AEF" w:rsidR="00A9494E" w:rsidRPr="000D2B7E" w:rsidRDefault="00A9494E" w:rsidP="0023608B">
            <w:pPr>
              <w:pStyle w:val="Tabletext"/>
              <w:spacing w:line="256" w:lineRule="auto"/>
              <w:rPr>
                <w:rFonts w:cs="Arial"/>
                <w:lang w:eastAsia="en-AU"/>
              </w:rPr>
            </w:pPr>
            <w:r>
              <w:rPr>
                <w:rFonts w:cs="Arial"/>
                <w:lang w:eastAsia="en-AU"/>
              </w:rPr>
              <w:t>Due to the operation of the modern awards test to determine community services employee</w:t>
            </w:r>
            <w:r w:rsidR="0023608B">
              <w:rPr>
                <w:rFonts w:cs="Arial"/>
                <w:lang w:eastAsia="en-AU"/>
              </w:rPr>
              <w:t>s,</w:t>
            </w:r>
            <w:r w:rsidRPr="000D2B7E">
              <w:rPr>
                <w:rFonts w:cs="Arial"/>
                <w:lang w:eastAsia="en-AU"/>
              </w:rPr>
              <w:t xml:space="preserve"> there is potential that some </w:t>
            </w:r>
            <w:r>
              <w:rPr>
                <w:rFonts w:cs="Arial"/>
                <w:lang w:eastAsia="en-AU"/>
              </w:rPr>
              <w:t xml:space="preserve">community service </w:t>
            </w:r>
            <w:r w:rsidR="00BA4E89">
              <w:rPr>
                <w:rFonts w:cs="Arial"/>
                <w:lang w:eastAsia="en-AU"/>
              </w:rPr>
              <w:t>employee</w:t>
            </w:r>
            <w:r>
              <w:rPr>
                <w:rFonts w:cs="Arial"/>
                <w:lang w:eastAsia="en-AU"/>
              </w:rPr>
              <w:t>s</w:t>
            </w:r>
            <w:r w:rsidRPr="000D2B7E">
              <w:rPr>
                <w:rFonts w:cs="Arial"/>
                <w:lang w:eastAsia="en-AU"/>
              </w:rPr>
              <w:t xml:space="preserve"> may be wrongly exc</w:t>
            </w:r>
            <w:r>
              <w:rPr>
                <w:rFonts w:cs="Arial"/>
                <w:lang w:eastAsia="en-AU"/>
              </w:rPr>
              <w:t>luded from coverage of the S</w:t>
            </w:r>
            <w:r w:rsidRPr="000D2B7E">
              <w:rPr>
                <w:rFonts w:cs="Arial"/>
                <w:lang w:eastAsia="en-AU"/>
              </w:rPr>
              <w:t xml:space="preserve">cheme. </w:t>
            </w:r>
          </w:p>
        </w:tc>
        <w:tc>
          <w:tcPr>
            <w:tcW w:w="4536" w:type="dxa"/>
            <w:tcBorders>
              <w:top w:val="nil"/>
              <w:left w:val="single" w:sz="8" w:space="0" w:color="auto"/>
              <w:bottom w:val="single" w:sz="4" w:space="0" w:color="auto"/>
              <w:right w:val="single" w:sz="8" w:space="0" w:color="auto"/>
            </w:tcBorders>
            <w:shd w:val="clear" w:color="auto" w:fill="DEEAF6"/>
            <w:vAlign w:val="center"/>
          </w:tcPr>
          <w:p w14:paraId="53AAEC0F" w14:textId="7B369B28" w:rsidR="00A9494E" w:rsidRPr="000D2B7E" w:rsidRDefault="00A9494E">
            <w:pPr>
              <w:pStyle w:val="Tabletext"/>
              <w:spacing w:line="256" w:lineRule="auto"/>
              <w:rPr>
                <w:rFonts w:cs="Arial"/>
                <w:b/>
                <w:lang w:eastAsia="en-AU"/>
              </w:rPr>
            </w:pPr>
            <w:r w:rsidRPr="00C56DDD">
              <w:rPr>
                <w:rFonts w:cs="Arial"/>
                <w:b/>
                <w:lang w:eastAsia="en-AU"/>
              </w:rPr>
              <w:t>Overall risk rating:</w:t>
            </w:r>
            <w:r w:rsidRPr="000D2B7E">
              <w:rPr>
                <w:rFonts w:cs="Arial"/>
                <w:b/>
                <w:lang w:eastAsia="en-AU"/>
              </w:rPr>
              <w:t xml:space="preserve"> Medium</w:t>
            </w:r>
          </w:p>
          <w:p w14:paraId="25684AA6" w14:textId="2D4517F6" w:rsidR="00A9494E" w:rsidRPr="000D2B7E" w:rsidRDefault="00A9494E">
            <w:pPr>
              <w:pStyle w:val="Tabletext"/>
              <w:spacing w:line="256" w:lineRule="auto"/>
              <w:rPr>
                <w:rFonts w:cs="Arial"/>
                <w:b/>
                <w:lang w:eastAsia="en-AU"/>
              </w:rPr>
            </w:pPr>
            <w:r w:rsidRPr="00C56DDD">
              <w:rPr>
                <w:rFonts w:cs="Arial"/>
                <w:b/>
                <w:lang w:eastAsia="en-AU"/>
              </w:rPr>
              <w:t>Consequences:</w:t>
            </w:r>
            <w:r w:rsidRPr="000D2B7E">
              <w:rPr>
                <w:rFonts w:cs="Arial"/>
                <w:lang w:eastAsia="en-AU"/>
              </w:rPr>
              <w:t xml:space="preserve"> If this occurs, </w:t>
            </w:r>
            <w:r w:rsidR="00BA4E89">
              <w:rPr>
                <w:rFonts w:cs="Arial"/>
                <w:lang w:eastAsia="en-AU"/>
              </w:rPr>
              <w:t>employee</w:t>
            </w:r>
            <w:r w:rsidRPr="000D2B7E">
              <w:rPr>
                <w:rFonts w:cs="Arial"/>
                <w:lang w:eastAsia="en-AU"/>
              </w:rPr>
              <w:t xml:space="preserve">s may be denied a long service benefit. Considering the likely small number of </w:t>
            </w:r>
            <w:r w:rsidR="00BA4E89">
              <w:rPr>
                <w:rFonts w:cs="Arial"/>
                <w:lang w:eastAsia="en-AU"/>
              </w:rPr>
              <w:t>employee</w:t>
            </w:r>
            <w:r w:rsidRPr="000D2B7E">
              <w:rPr>
                <w:rFonts w:cs="Arial"/>
                <w:lang w:eastAsia="en-AU"/>
              </w:rPr>
              <w:t>s in this category</w:t>
            </w:r>
            <w:r>
              <w:rPr>
                <w:rFonts w:cs="Arial"/>
                <w:lang w:eastAsia="en-AU"/>
              </w:rPr>
              <w:t>, and the stakeholder consultations undertaken to date,</w:t>
            </w:r>
            <w:r w:rsidRPr="000D2B7E">
              <w:rPr>
                <w:rFonts w:cs="Arial"/>
                <w:lang w:eastAsia="en-AU"/>
              </w:rPr>
              <w:t xml:space="preserve"> </w:t>
            </w:r>
            <w:r w:rsidR="00893D1E">
              <w:rPr>
                <w:rFonts w:cs="Arial"/>
                <w:lang w:eastAsia="en-AU"/>
              </w:rPr>
              <w:t>the consequences are</w:t>
            </w:r>
            <w:r w:rsidRPr="000D2B7E">
              <w:rPr>
                <w:rFonts w:cs="Arial"/>
                <w:lang w:eastAsia="en-AU"/>
              </w:rPr>
              <w:t xml:space="preserve"> </w:t>
            </w:r>
            <w:r w:rsidRPr="000D2B7E">
              <w:rPr>
                <w:rFonts w:cs="Arial"/>
                <w:b/>
                <w:lang w:eastAsia="en-AU"/>
              </w:rPr>
              <w:t xml:space="preserve">moderate. </w:t>
            </w:r>
          </w:p>
          <w:p w14:paraId="2D0481D8" w14:textId="13F2A825" w:rsidR="00A9494E" w:rsidRPr="000D2B7E" w:rsidRDefault="00A9494E">
            <w:pPr>
              <w:pStyle w:val="Tabletext"/>
              <w:spacing w:line="256" w:lineRule="auto"/>
              <w:rPr>
                <w:rFonts w:cs="Arial"/>
                <w:lang w:eastAsia="en-AU"/>
              </w:rPr>
            </w:pPr>
            <w:r w:rsidRPr="000D2B7E">
              <w:rPr>
                <w:rFonts w:cs="Arial"/>
                <w:b/>
                <w:lang w:eastAsia="en-AU"/>
              </w:rPr>
              <w:t xml:space="preserve">Likelihood: </w:t>
            </w:r>
            <w:r w:rsidR="000709C1" w:rsidRPr="00DB3ADD">
              <w:rPr>
                <w:rFonts w:cs="Arial"/>
                <w:lang w:eastAsia="en-AU"/>
              </w:rPr>
              <w:t>This is</w:t>
            </w:r>
            <w:r w:rsidR="000709C1">
              <w:rPr>
                <w:rFonts w:cs="Arial"/>
                <w:b/>
                <w:lang w:eastAsia="en-AU"/>
              </w:rPr>
              <w:t xml:space="preserve"> p</w:t>
            </w:r>
            <w:r w:rsidRPr="000D2B7E">
              <w:rPr>
                <w:rFonts w:cs="Arial"/>
                <w:b/>
                <w:lang w:eastAsia="en-AU"/>
              </w:rPr>
              <w:t xml:space="preserve">ossible. </w:t>
            </w:r>
          </w:p>
        </w:tc>
        <w:tc>
          <w:tcPr>
            <w:tcW w:w="3569" w:type="dxa"/>
            <w:tcBorders>
              <w:top w:val="nil"/>
              <w:left w:val="single" w:sz="8" w:space="0" w:color="auto"/>
              <w:bottom w:val="single" w:sz="4" w:space="0" w:color="auto"/>
              <w:right w:val="nil"/>
            </w:tcBorders>
            <w:shd w:val="clear" w:color="auto" w:fill="DEEAF6"/>
            <w:hideMark/>
          </w:tcPr>
          <w:p w14:paraId="20F61682" w14:textId="5F294771" w:rsidR="00A9494E" w:rsidRPr="000D2B7E" w:rsidRDefault="00A9494E">
            <w:pPr>
              <w:pStyle w:val="Tabletext"/>
              <w:spacing w:line="256" w:lineRule="auto"/>
              <w:rPr>
                <w:rFonts w:cs="Arial"/>
                <w:lang w:eastAsia="en-AU"/>
              </w:rPr>
            </w:pPr>
            <w:r w:rsidRPr="000D2B7E">
              <w:rPr>
                <w:rFonts w:cs="Arial"/>
                <w:lang w:eastAsia="en-AU"/>
              </w:rPr>
              <w:t>The Authority will work closely with</w:t>
            </w:r>
            <w:r>
              <w:rPr>
                <w:rFonts w:cs="Arial"/>
                <w:lang w:eastAsia="en-AU"/>
              </w:rPr>
              <w:t xml:space="preserve"> IRV</w:t>
            </w:r>
            <w:r w:rsidRPr="000D2B7E">
              <w:rPr>
                <w:rFonts w:cs="Arial"/>
                <w:lang w:eastAsia="en-AU"/>
              </w:rPr>
              <w:t xml:space="preserve"> and be responsive to wider stakeholder concerns regarding this matter. If the risk </w:t>
            </w:r>
            <w:r w:rsidRPr="000D2B7E">
              <w:rPr>
                <w:rFonts w:cs="Arial"/>
                <w:i/>
                <w:lang w:eastAsia="en-AU"/>
              </w:rPr>
              <w:t>is</w:t>
            </w:r>
            <w:r w:rsidRPr="000D2B7E">
              <w:rPr>
                <w:rFonts w:cs="Arial"/>
                <w:lang w:eastAsia="en-AU"/>
              </w:rPr>
              <w:t xml:space="preserve"> </w:t>
            </w:r>
            <w:r w:rsidR="00893D1E">
              <w:rPr>
                <w:rFonts w:cs="Arial"/>
                <w:lang w:eastAsia="en-AU"/>
              </w:rPr>
              <w:t>realised</w:t>
            </w:r>
            <w:r w:rsidR="00893D1E" w:rsidRPr="000D2B7E">
              <w:rPr>
                <w:rFonts w:cs="Arial"/>
                <w:lang w:eastAsia="en-AU"/>
              </w:rPr>
              <w:t xml:space="preserve"> </w:t>
            </w:r>
            <w:r w:rsidRPr="000D2B7E">
              <w:rPr>
                <w:rFonts w:cs="Arial"/>
                <w:lang w:eastAsia="en-AU"/>
              </w:rPr>
              <w:t xml:space="preserve">through these channels, then the Regulations should be modified as required. </w:t>
            </w:r>
          </w:p>
        </w:tc>
      </w:tr>
      <w:tr w:rsidR="00893D1E" w:rsidRPr="00EC5379" w14:paraId="0AEC7536" w14:textId="77777777" w:rsidTr="0023608B">
        <w:trPr>
          <w:cantSplit/>
        </w:trPr>
        <w:tc>
          <w:tcPr>
            <w:tcW w:w="2410" w:type="dxa"/>
            <w:tcBorders>
              <w:top w:val="single" w:sz="4" w:space="0" w:color="auto"/>
              <w:left w:val="nil"/>
              <w:bottom w:val="single" w:sz="4" w:space="0" w:color="auto"/>
              <w:right w:val="single" w:sz="8" w:space="0" w:color="auto"/>
            </w:tcBorders>
            <w:shd w:val="clear" w:color="000000" w:fill="DEEAF6"/>
          </w:tcPr>
          <w:p w14:paraId="3A1E3927" w14:textId="4DA69623" w:rsidR="00A9494E" w:rsidRPr="006F06C8" w:rsidRDefault="00A9494E" w:rsidP="00A34DD3">
            <w:pPr>
              <w:pStyle w:val="Tabletext"/>
              <w:rPr>
                <w:rFonts w:cs="Arial"/>
                <w:lang w:eastAsia="en-AU"/>
              </w:rPr>
            </w:pPr>
            <w:r w:rsidRPr="006F06C8">
              <w:rPr>
                <w:rFonts w:cs="Arial"/>
                <w:lang w:eastAsia="en-AU"/>
              </w:rPr>
              <w:lastRenderedPageBreak/>
              <w:t xml:space="preserve">Employers </w:t>
            </w:r>
            <w:r>
              <w:rPr>
                <w:rFonts w:cs="Arial"/>
                <w:lang w:eastAsia="en-AU"/>
              </w:rPr>
              <w:t xml:space="preserve">in the community services sector </w:t>
            </w:r>
            <w:r w:rsidRPr="006F06C8">
              <w:rPr>
                <w:rFonts w:cs="Arial"/>
                <w:lang w:eastAsia="en-AU"/>
              </w:rPr>
              <w:t>do not correctly understand their obligations to pay levies</w:t>
            </w:r>
            <w:r w:rsidR="001F28FA">
              <w:rPr>
                <w:rFonts w:cs="Arial"/>
                <w:lang w:eastAsia="en-AU"/>
              </w:rPr>
              <w:t>, leading to employees incorrectly accessing or being denied portability benefits.</w:t>
            </w:r>
          </w:p>
        </w:tc>
        <w:tc>
          <w:tcPr>
            <w:tcW w:w="3260" w:type="dxa"/>
            <w:tcBorders>
              <w:top w:val="single" w:sz="4" w:space="0" w:color="auto"/>
              <w:left w:val="nil"/>
              <w:bottom w:val="single" w:sz="4" w:space="0" w:color="auto"/>
              <w:right w:val="single" w:sz="8" w:space="0" w:color="auto"/>
            </w:tcBorders>
            <w:shd w:val="clear" w:color="000000" w:fill="DEEAF6"/>
          </w:tcPr>
          <w:p w14:paraId="34836163" w14:textId="732CD9FF" w:rsidR="00A9494E" w:rsidRPr="006F06C8" w:rsidRDefault="00A9494E" w:rsidP="0023608B">
            <w:pPr>
              <w:pStyle w:val="Tabletext"/>
              <w:rPr>
                <w:rFonts w:cs="Arial"/>
                <w:lang w:eastAsia="en-AU"/>
              </w:rPr>
            </w:pPr>
            <w:r w:rsidRPr="006F06C8">
              <w:rPr>
                <w:rFonts w:cs="Arial"/>
                <w:lang w:eastAsia="en-AU"/>
              </w:rPr>
              <w:t xml:space="preserve">Due to changes to the definition of </w:t>
            </w:r>
            <w:r>
              <w:rPr>
                <w:rFonts w:cs="Arial"/>
                <w:lang w:eastAsia="en-AU"/>
              </w:rPr>
              <w:t xml:space="preserve">who is </w:t>
            </w:r>
            <w:r w:rsidR="0071726F">
              <w:rPr>
                <w:rFonts w:cs="Arial"/>
                <w:color w:val="auto"/>
              </w:rPr>
              <w:t xml:space="preserve">regarded as </w:t>
            </w:r>
            <w:r>
              <w:rPr>
                <w:rFonts w:cs="Arial"/>
                <w:lang w:eastAsia="en-AU"/>
              </w:rPr>
              <w:t xml:space="preserve">an </w:t>
            </w:r>
            <w:r w:rsidRPr="006F06C8">
              <w:rPr>
                <w:rFonts w:cs="Arial"/>
                <w:lang w:eastAsia="en-AU"/>
              </w:rPr>
              <w:t xml:space="preserve">employee and </w:t>
            </w:r>
            <w:r>
              <w:rPr>
                <w:rFonts w:cs="Arial"/>
                <w:lang w:eastAsia="en-AU"/>
              </w:rPr>
              <w:t xml:space="preserve">who is </w:t>
            </w:r>
            <w:r w:rsidR="0071726F">
              <w:rPr>
                <w:rFonts w:cs="Arial"/>
                <w:color w:val="auto"/>
              </w:rPr>
              <w:t xml:space="preserve">regarded as </w:t>
            </w:r>
            <w:r>
              <w:rPr>
                <w:rFonts w:cs="Arial"/>
                <w:lang w:eastAsia="en-AU"/>
              </w:rPr>
              <w:t xml:space="preserve">an </w:t>
            </w:r>
            <w:r w:rsidRPr="006F06C8">
              <w:rPr>
                <w:rFonts w:cs="Arial"/>
                <w:lang w:eastAsia="en-AU"/>
              </w:rPr>
              <w:t>employer</w:t>
            </w:r>
            <w:r>
              <w:rPr>
                <w:rFonts w:cs="Arial"/>
                <w:lang w:eastAsia="en-AU"/>
              </w:rPr>
              <w:t xml:space="preserve"> in the social services sector</w:t>
            </w:r>
            <w:r w:rsidRPr="006F06C8">
              <w:rPr>
                <w:rFonts w:cs="Arial"/>
                <w:lang w:eastAsia="en-AU"/>
              </w:rPr>
              <w:t xml:space="preserve">, there is potential that employers do not pay levies </w:t>
            </w:r>
            <w:r>
              <w:rPr>
                <w:rFonts w:cs="Arial"/>
                <w:lang w:eastAsia="en-AU"/>
              </w:rPr>
              <w:t>to the Authority</w:t>
            </w:r>
            <w:r w:rsidRPr="006F06C8">
              <w:rPr>
                <w:rFonts w:cs="Arial"/>
                <w:lang w:eastAsia="en-AU"/>
              </w:rPr>
              <w:t xml:space="preserve"> where they are required to</w:t>
            </w:r>
            <w:r w:rsidR="0023608B">
              <w:rPr>
                <w:rFonts w:cs="Arial"/>
                <w:lang w:eastAsia="en-AU"/>
              </w:rPr>
              <w:t xml:space="preserve"> do so</w:t>
            </w:r>
            <w:r w:rsidRPr="006F06C8">
              <w:rPr>
                <w:rFonts w:cs="Arial"/>
                <w:lang w:eastAsia="en-AU"/>
              </w:rPr>
              <w:t xml:space="preserve">. </w:t>
            </w:r>
          </w:p>
        </w:tc>
        <w:tc>
          <w:tcPr>
            <w:tcW w:w="4536" w:type="dxa"/>
            <w:tcBorders>
              <w:top w:val="single" w:sz="4" w:space="0" w:color="auto"/>
              <w:left w:val="single" w:sz="8" w:space="0" w:color="auto"/>
              <w:bottom w:val="single" w:sz="4" w:space="0" w:color="auto"/>
              <w:right w:val="single" w:sz="8" w:space="0" w:color="auto"/>
            </w:tcBorders>
            <w:shd w:val="clear" w:color="000000" w:fill="DEEAF6"/>
          </w:tcPr>
          <w:p w14:paraId="29E9E1A5" w14:textId="0ADA9FA0" w:rsidR="00A9494E" w:rsidRPr="006F06C8" w:rsidRDefault="00A9494E" w:rsidP="007846B7">
            <w:pPr>
              <w:pStyle w:val="Tabletext"/>
              <w:spacing w:line="256" w:lineRule="auto"/>
              <w:rPr>
                <w:rFonts w:cs="Arial"/>
                <w:b/>
                <w:lang w:eastAsia="en-AU"/>
              </w:rPr>
            </w:pPr>
            <w:r w:rsidRPr="006F06C8">
              <w:rPr>
                <w:rFonts w:cs="Arial"/>
                <w:b/>
                <w:lang w:eastAsia="en-AU"/>
              </w:rPr>
              <w:t xml:space="preserve">Overall risk rating: </w:t>
            </w:r>
            <w:r>
              <w:rPr>
                <w:rFonts w:cs="Arial"/>
                <w:b/>
                <w:lang w:eastAsia="en-AU"/>
              </w:rPr>
              <w:t>Low</w:t>
            </w:r>
          </w:p>
          <w:p w14:paraId="7E2E1CA7" w14:textId="7A2234BC" w:rsidR="00A9494E" w:rsidRPr="006F06C8" w:rsidRDefault="00A9494E" w:rsidP="007846B7">
            <w:pPr>
              <w:pStyle w:val="Tabletext"/>
              <w:spacing w:line="256" w:lineRule="auto"/>
              <w:rPr>
                <w:rFonts w:cs="Arial"/>
                <w:b/>
                <w:lang w:eastAsia="en-AU"/>
              </w:rPr>
            </w:pPr>
            <w:r w:rsidRPr="006F06C8">
              <w:rPr>
                <w:rFonts w:cs="Arial"/>
                <w:b/>
                <w:lang w:eastAsia="en-AU"/>
              </w:rPr>
              <w:t>Consequences:</w:t>
            </w:r>
            <w:r w:rsidRPr="006F06C8">
              <w:rPr>
                <w:rFonts w:cs="Arial"/>
                <w:lang w:eastAsia="en-AU"/>
              </w:rPr>
              <w:t xml:space="preserve"> </w:t>
            </w:r>
            <w:r w:rsidRPr="002C68B2">
              <w:rPr>
                <w:rFonts w:cs="Arial"/>
                <w:lang w:eastAsia="en-AU"/>
              </w:rPr>
              <w:t xml:space="preserve">If this occurs, </w:t>
            </w:r>
            <w:r w:rsidR="00BA4E89">
              <w:rPr>
                <w:rFonts w:cs="Arial"/>
                <w:lang w:eastAsia="en-AU"/>
              </w:rPr>
              <w:t>employee</w:t>
            </w:r>
            <w:r w:rsidRPr="002C68B2">
              <w:rPr>
                <w:rFonts w:cs="Arial"/>
                <w:lang w:eastAsia="en-AU"/>
              </w:rPr>
              <w:t xml:space="preserve">s may be denied a long service benefit. </w:t>
            </w:r>
            <w:r w:rsidRPr="000D2B7E">
              <w:rPr>
                <w:rFonts w:cs="Arial"/>
                <w:lang w:eastAsia="en-AU"/>
              </w:rPr>
              <w:t xml:space="preserve">Considering the likely small number of </w:t>
            </w:r>
            <w:r w:rsidR="00BA4E89">
              <w:rPr>
                <w:rFonts w:cs="Arial"/>
                <w:lang w:eastAsia="en-AU"/>
              </w:rPr>
              <w:t>employee</w:t>
            </w:r>
            <w:r w:rsidRPr="000D2B7E">
              <w:rPr>
                <w:rFonts w:cs="Arial"/>
                <w:lang w:eastAsia="en-AU"/>
              </w:rPr>
              <w:t>s in this category</w:t>
            </w:r>
            <w:r w:rsidR="00893D1E">
              <w:rPr>
                <w:rFonts w:cs="Arial"/>
                <w:lang w:eastAsia="en-AU"/>
              </w:rPr>
              <w:t xml:space="preserve">, the consequences are </w:t>
            </w:r>
            <w:r w:rsidRPr="000D2B7E">
              <w:rPr>
                <w:rFonts w:cs="Arial"/>
                <w:b/>
                <w:lang w:eastAsia="en-AU"/>
              </w:rPr>
              <w:t>moderate.</w:t>
            </w:r>
          </w:p>
          <w:p w14:paraId="4A0E2FDF" w14:textId="741A41D1" w:rsidR="00A9494E" w:rsidRPr="006F06C8" w:rsidRDefault="00A9494E" w:rsidP="00D50857">
            <w:pPr>
              <w:pStyle w:val="Tabletext"/>
              <w:rPr>
                <w:rFonts w:cs="Arial"/>
                <w:b/>
                <w:lang w:eastAsia="en-AU"/>
              </w:rPr>
            </w:pPr>
            <w:r w:rsidRPr="006F06C8">
              <w:rPr>
                <w:rFonts w:cs="Arial"/>
                <w:b/>
                <w:lang w:eastAsia="en-AU"/>
              </w:rPr>
              <w:t xml:space="preserve">Likelihood: </w:t>
            </w:r>
            <w:r w:rsidRPr="006F06C8">
              <w:rPr>
                <w:rFonts w:cs="Arial"/>
                <w:lang w:eastAsia="en-AU"/>
              </w:rPr>
              <w:t xml:space="preserve">Considering the </w:t>
            </w:r>
            <w:r>
              <w:rPr>
                <w:rFonts w:cs="Arial"/>
                <w:lang w:eastAsia="en-AU"/>
              </w:rPr>
              <w:t>information</w:t>
            </w:r>
            <w:r w:rsidRPr="006F06C8">
              <w:rPr>
                <w:rFonts w:cs="Arial"/>
                <w:lang w:eastAsia="en-AU"/>
              </w:rPr>
              <w:t xml:space="preserve"> campaign</w:t>
            </w:r>
            <w:r w:rsidR="00682E17">
              <w:rPr>
                <w:rFonts w:cs="Arial"/>
                <w:lang w:eastAsia="en-AU"/>
              </w:rPr>
              <w:t>,</w:t>
            </w:r>
            <w:r w:rsidRPr="006F06C8">
              <w:rPr>
                <w:rFonts w:cs="Arial"/>
                <w:lang w:eastAsia="en-AU"/>
              </w:rPr>
              <w:t xml:space="preserve"> which is to be undertaken by the</w:t>
            </w:r>
            <w:r w:rsidRPr="006F06C8">
              <w:rPr>
                <w:rFonts w:cs="Arial"/>
                <w:b/>
                <w:lang w:eastAsia="en-AU"/>
              </w:rPr>
              <w:t xml:space="preserve"> </w:t>
            </w:r>
            <w:r w:rsidRPr="006F06C8">
              <w:rPr>
                <w:rFonts w:cs="Arial"/>
                <w:lang w:eastAsia="en-AU"/>
              </w:rPr>
              <w:t>Authority</w:t>
            </w:r>
            <w:r w:rsidR="00893D1E">
              <w:rPr>
                <w:rFonts w:cs="Arial"/>
                <w:lang w:eastAsia="en-AU"/>
              </w:rPr>
              <w:t xml:space="preserve">, this </w:t>
            </w:r>
            <w:r w:rsidRPr="006F06C8">
              <w:rPr>
                <w:rFonts w:cs="Arial"/>
                <w:lang w:eastAsia="en-AU"/>
              </w:rPr>
              <w:t xml:space="preserve">is </w:t>
            </w:r>
            <w:r w:rsidRPr="006F06C8">
              <w:rPr>
                <w:rFonts w:cs="Arial"/>
                <w:b/>
                <w:lang w:eastAsia="en-AU"/>
              </w:rPr>
              <w:t>unlikely.</w:t>
            </w:r>
          </w:p>
        </w:tc>
        <w:tc>
          <w:tcPr>
            <w:tcW w:w="3569" w:type="dxa"/>
            <w:tcBorders>
              <w:top w:val="single" w:sz="4" w:space="0" w:color="auto"/>
              <w:left w:val="single" w:sz="8" w:space="0" w:color="auto"/>
              <w:bottom w:val="single" w:sz="4" w:space="0" w:color="auto"/>
              <w:right w:val="nil"/>
            </w:tcBorders>
            <w:shd w:val="clear" w:color="000000" w:fill="DEEAF6"/>
          </w:tcPr>
          <w:p w14:paraId="1D4F6BEF" w14:textId="1AB4106A" w:rsidR="00A9494E" w:rsidRPr="006F06C8" w:rsidRDefault="00A9494E" w:rsidP="0023608B">
            <w:pPr>
              <w:pStyle w:val="Tabletext"/>
              <w:rPr>
                <w:rFonts w:cs="Arial"/>
                <w:lang w:eastAsia="en-AU"/>
              </w:rPr>
            </w:pPr>
            <w:r w:rsidRPr="006F06C8">
              <w:rPr>
                <w:rFonts w:cs="Arial"/>
                <w:lang w:eastAsia="en-AU"/>
              </w:rPr>
              <w:t xml:space="preserve">As detailed above, the Authority will be undertaking an information and awareness campaign to alert </w:t>
            </w:r>
            <w:r w:rsidR="00DB01D9">
              <w:rPr>
                <w:rFonts w:cs="Arial"/>
                <w:lang w:eastAsia="en-AU"/>
              </w:rPr>
              <w:t>employers</w:t>
            </w:r>
            <w:r w:rsidRPr="006F06C8">
              <w:rPr>
                <w:rFonts w:cs="Arial"/>
                <w:lang w:eastAsia="en-AU"/>
              </w:rPr>
              <w:t xml:space="preserve"> to their responsibilities. In addition</w:t>
            </w:r>
            <w:r w:rsidR="0023608B">
              <w:rPr>
                <w:rFonts w:cs="Arial"/>
                <w:lang w:eastAsia="en-AU"/>
              </w:rPr>
              <w:t>,</w:t>
            </w:r>
            <w:r w:rsidRPr="006F06C8">
              <w:rPr>
                <w:rFonts w:cs="Arial"/>
                <w:lang w:eastAsia="en-AU"/>
              </w:rPr>
              <w:t xml:space="preserve"> the Authority should work closely with </w:t>
            </w:r>
            <w:r>
              <w:rPr>
                <w:rFonts w:cs="Arial"/>
                <w:lang w:eastAsia="en-AU"/>
              </w:rPr>
              <w:t xml:space="preserve">industry groups </w:t>
            </w:r>
            <w:r w:rsidRPr="006F06C8">
              <w:rPr>
                <w:rFonts w:cs="Arial"/>
                <w:lang w:eastAsia="en-AU"/>
              </w:rPr>
              <w:t xml:space="preserve">to recognise and address any emerging trends in incorrect or missing </w:t>
            </w:r>
            <w:r>
              <w:rPr>
                <w:rFonts w:cs="Arial"/>
                <w:lang w:eastAsia="en-AU"/>
              </w:rPr>
              <w:t xml:space="preserve">registrations and </w:t>
            </w:r>
            <w:r w:rsidRPr="006F06C8">
              <w:rPr>
                <w:rFonts w:cs="Arial"/>
                <w:lang w:eastAsia="en-AU"/>
              </w:rPr>
              <w:t xml:space="preserve">payments. </w:t>
            </w:r>
          </w:p>
        </w:tc>
      </w:tr>
      <w:tr w:rsidR="001F28FA" w:rsidRPr="00EC5379" w14:paraId="74BF285B" w14:textId="77777777" w:rsidTr="0023608B">
        <w:tc>
          <w:tcPr>
            <w:tcW w:w="2410" w:type="dxa"/>
            <w:tcBorders>
              <w:top w:val="single" w:sz="4" w:space="0" w:color="auto"/>
              <w:left w:val="nil"/>
              <w:bottom w:val="single" w:sz="4" w:space="0" w:color="auto"/>
              <w:right w:val="single" w:sz="8" w:space="0" w:color="auto"/>
            </w:tcBorders>
            <w:shd w:val="clear" w:color="000000" w:fill="DEEAF6"/>
          </w:tcPr>
          <w:p w14:paraId="4E9F8251" w14:textId="77777777" w:rsidR="001F28FA" w:rsidRPr="006F06C8" w:rsidRDefault="001F28FA" w:rsidP="00C67CC9">
            <w:pPr>
              <w:pStyle w:val="Tabletext"/>
              <w:rPr>
                <w:rFonts w:cs="Arial"/>
                <w:lang w:eastAsia="en-AU"/>
              </w:rPr>
            </w:pPr>
            <w:r w:rsidRPr="006F06C8">
              <w:rPr>
                <w:rFonts w:cs="Arial"/>
                <w:lang w:eastAsia="en-AU"/>
              </w:rPr>
              <w:t xml:space="preserve">Employers </w:t>
            </w:r>
            <w:r>
              <w:rPr>
                <w:rFonts w:cs="Arial"/>
                <w:lang w:eastAsia="en-AU"/>
              </w:rPr>
              <w:t xml:space="preserve">in the security sector </w:t>
            </w:r>
            <w:r w:rsidRPr="006F06C8">
              <w:rPr>
                <w:rFonts w:cs="Arial"/>
                <w:lang w:eastAsia="en-AU"/>
              </w:rPr>
              <w:t>do not correctly understand their obligations to pay levies</w:t>
            </w:r>
            <w:r>
              <w:rPr>
                <w:rFonts w:cs="Arial"/>
                <w:lang w:eastAsia="en-AU"/>
              </w:rPr>
              <w:t>, leading to employees incorrectly accessing or being denied portability benefits.</w:t>
            </w:r>
          </w:p>
        </w:tc>
        <w:tc>
          <w:tcPr>
            <w:tcW w:w="3260" w:type="dxa"/>
            <w:tcBorders>
              <w:top w:val="single" w:sz="4" w:space="0" w:color="auto"/>
              <w:left w:val="nil"/>
              <w:bottom w:val="single" w:sz="4" w:space="0" w:color="auto"/>
              <w:right w:val="single" w:sz="8" w:space="0" w:color="auto"/>
            </w:tcBorders>
            <w:shd w:val="clear" w:color="000000" w:fill="DEEAF6"/>
          </w:tcPr>
          <w:p w14:paraId="58574D5E" w14:textId="08E660E4" w:rsidR="001F28FA" w:rsidRPr="006F06C8" w:rsidRDefault="001F28FA" w:rsidP="00C74963">
            <w:pPr>
              <w:pStyle w:val="Tabletext"/>
              <w:rPr>
                <w:rFonts w:cs="Arial"/>
                <w:lang w:eastAsia="en-AU"/>
              </w:rPr>
            </w:pPr>
            <w:r w:rsidRPr="006F06C8">
              <w:rPr>
                <w:rFonts w:cs="Arial"/>
                <w:lang w:eastAsia="en-AU"/>
              </w:rPr>
              <w:t xml:space="preserve">Due to changes to the definition </w:t>
            </w:r>
            <w:r>
              <w:rPr>
                <w:rFonts w:cs="Arial"/>
                <w:lang w:eastAsia="en-AU"/>
              </w:rPr>
              <w:t xml:space="preserve">of who is </w:t>
            </w:r>
            <w:r w:rsidR="0071726F">
              <w:rPr>
                <w:rFonts w:cs="Arial"/>
                <w:color w:val="auto"/>
              </w:rPr>
              <w:t xml:space="preserve">regarded as </w:t>
            </w:r>
            <w:r>
              <w:rPr>
                <w:rFonts w:cs="Arial"/>
                <w:lang w:eastAsia="en-AU"/>
              </w:rPr>
              <w:t>an employee in the security industry</w:t>
            </w:r>
            <w:r w:rsidRPr="006F06C8">
              <w:rPr>
                <w:rFonts w:cs="Arial"/>
                <w:lang w:eastAsia="en-AU"/>
              </w:rPr>
              <w:t xml:space="preserve">, there is potential that employers do not pay levies </w:t>
            </w:r>
            <w:r>
              <w:rPr>
                <w:rFonts w:cs="Arial"/>
                <w:lang w:eastAsia="en-AU"/>
              </w:rPr>
              <w:t>to the Authority</w:t>
            </w:r>
            <w:r w:rsidRPr="006F06C8">
              <w:rPr>
                <w:rFonts w:cs="Arial"/>
                <w:lang w:eastAsia="en-AU"/>
              </w:rPr>
              <w:t xml:space="preserve"> where they are required to</w:t>
            </w:r>
            <w:r w:rsidR="00C74963">
              <w:rPr>
                <w:rFonts w:cs="Arial"/>
                <w:lang w:eastAsia="en-AU"/>
              </w:rPr>
              <w:t xml:space="preserve"> do so</w:t>
            </w:r>
            <w:r w:rsidRPr="006F06C8">
              <w:rPr>
                <w:rFonts w:cs="Arial"/>
                <w:lang w:eastAsia="en-AU"/>
              </w:rPr>
              <w:t xml:space="preserve">. </w:t>
            </w:r>
          </w:p>
        </w:tc>
        <w:tc>
          <w:tcPr>
            <w:tcW w:w="4536" w:type="dxa"/>
            <w:tcBorders>
              <w:top w:val="single" w:sz="4" w:space="0" w:color="auto"/>
              <w:left w:val="single" w:sz="8" w:space="0" w:color="auto"/>
              <w:bottom w:val="single" w:sz="4" w:space="0" w:color="auto"/>
              <w:right w:val="single" w:sz="8" w:space="0" w:color="auto"/>
            </w:tcBorders>
            <w:shd w:val="clear" w:color="000000" w:fill="DEEAF6"/>
          </w:tcPr>
          <w:p w14:paraId="283FF73A" w14:textId="77777777" w:rsidR="001F28FA" w:rsidRPr="006F06C8" w:rsidRDefault="001F28FA" w:rsidP="00C67CC9">
            <w:pPr>
              <w:pStyle w:val="Tabletext"/>
              <w:spacing w:line="256" w:lineRule="auto"/>
              <w:rPr>
                <w:rFonts w:cs="Arial"/>
                <w:b/>
                <w:lang w:eastAsia="en-AU"/>
              </w:rPr>
            </w:pPr>
            <w:r w:rsidRPr="006F06C8">
              <w:rPr>
                <w:rFonts w:cs="Arial"/>
                <w:b/>
                <w:lang w:eastAsia="en-AU"/>
              </w:rPr>
              <w:t xml:space="preserve">Overall risk rating: </w:t>
            </w:r>
            <w:r>
              <w:rPr>
                <w:rFonts w:cs="Arial"/>
                <w:b/>
                <w:lang w:eastAsia="en-AU"/>
              </w:rPr>
              <w:t>Low</w:t>
            </w:r>
          </w:p>
          <w:p w14:paraId="38FC2B03" w14:textId="77777777" w:rsidR="001F28FA" w:rsidRPr="006F06C8" w:rsidRDefault="001F28FA" w:rsidP="00C67CC9">
            <w:pPr>
              <w:pStyle w:val="Tabletext"/>
              <w:spacing w:line="256" w:lineRule="auto"/>
              <w:rPr>
                <w:rFonts w:cs="Arial"/>
                <w:b/>
                <w:lang w:eastAsia="en-AU"/>
              </w:rPr>
            </w:pPr>
            <w:r w:rsidRPr="006F06C8">
              <w:rPr>
                <w:rFonts w:cs="Arial"/>
                <w:b/>
                <w:lang w:eastAsia="en-AU"/>
              </w:rPr>
              <w:t>Consequences:</w:t>
            </w:r>
            <w:r w:rsidRPr="001F28FA">
              <w:rPr>
                <w:rFonts w:cs="Arial"/>
                <w:b/>
                <w:lang w:eastAsia="en-AU"/>
              </w:rPr>
              <w:t xml:space="preserve"> </w:t>
            </w:r>
            <w:r w:rsidRPr="00DB3ADD">
              <w:rPr>
                <w:rFonts w:cs="Arial"/>
                <w:lang w:eastAsia="en-AU"/>
              </w:rPr>
              <w:t>If this occurs, employees may be denied a long service benefit. Considering the likely small number of employees in this category, the consequences are</w:t>
            </w:r>
            <w:r w:rsidRPr="001F28FA">
              <w:rPr>
                <w:rFonts w:cs="Arial"/>
                <w:b/>
                <w:lang w:eastAsia="en-AU"/>
              </w:rPr>
              <w:t xml:space="preserve"> </w:t>
            </w:r>
            <w:r w:rsidRPr="000D2B7E">
              <w:rPr>
                <w:rFonts w:cs="Arial"/>
                <w:b/>
                <w:lang w:eastAsia="en-AU"/>
              </w:rPr>
              <w:t>moderate.</w:t>
            </w:r>
          </w:p>
          <w:p w14:paraId="3D0ADBBF" w14:textId="2E5BDF2B" w:rsidR="001F28FA" w:rsidRPr="006F06C8" w:rsidRDefault="001F28FA" w:rsidP="00C67CC9">
            <w:pPr>
              <w:pStyle w:val="Tabletext"/>
              <w:spacing w:line="256" w:lineRule="auto"/>
              <w:rPr>
                <w:rFonts w:cs="Arial"/>
                <w:b/>
                <w:lang w:eastAsia="en-AU"/>
              </w:rPr>
            </w:pPr>
            <w:r w:rsidRPr="006F06C8">
              <w:rPr>
                <w:rFonts w:cs="Arial"/>
                <w:b/>
                <w:lang w:eastAsia="en-AU"/>
              </w:rPr>
              <w:t xml:space="preserve">Likelihood: </w:t>
            </w:r>
            <w:r w:rsidRPr="00DB3ADD">
              <w:rPr>
                <w:rFonts w:cs="Arial"/>
                <w:lang w:eastAsia="en-AU"/>
              </w:rPr>
              <w:t>Considering the information campaign</w:t>
            </w:r>
            <w:r w:rsidR="00682E17">
              <w:rPr>
                <w:rFonts w:cs="Arial"/>
                <w:lang w:eastAsia="en-AU"/>
              </w:rPr>
              <w:t>,</w:t>
            </w:r>
            <w:r w:rsidRPr="00DB3ADD">
              <w:rPr>
                <w:rFonts w:cs="Arial"/>
                <w:lang w:eastAsia="en-AU"/>
              </w:rPr>
              <w:t xml:space="preserve"> which is to be undertaken by the Authority, this is</w:t>
            </w:r>
            <w:r w:rsidRPr="001F28FA">
              <w:rPr>
                <w:rFonts w:cs="Arial"/>
                <w:b/>
                <w:lang w:eastAsia="en-AU"/>
              </w:rPr>
              <w:t xml:space="preserve"> </w:t>
            </w:r>
            <w:r w:rsidRPr="006F06C8">
              <w:rPr>
                <w:rFonts w:cs="Arial"/>
                <w:b/>
                <w:lang w:eastAsia="en-AU"/>
              </w:rPr>
              <w:t>unlikely.</w:t>
            </w:r>
          </w:p>
        </w:tc>
        <w:tc>
          <w:tcPr>
            <w:tcW w:w="3569" w:type="dxa"/>
            <w:tcBorders>
              <w:top w:val="single" w:sz="4" w:space="0" w:color="auto"/>
              <w:left w:val="single" w:sz="8" w:space="0" w:color="auto"/>
              <w:bottom w:val="single" w:sz="4" w:space="0" w:color="auto"/>
              <w:right w:val="nil"/>
            </w:tcBorders>
            <w:shd w:val="clear" w:color="000000" w:fill="DEEAF6"/>
          </w:tcPr>
          <w:p w14:paraId="649CF711" w14:textId="091FCF04" w:rsidR="001F28FA" w:rsidRPr="006F06C8" w:rsidRDefault="001F28FA" w:rsidP="0023608B">
            <w:pPr>
              <w:pStyle w:val="Tabletext"/>
              <w:rPr>
                <w:rFonts w:cs="Arial"/>
                <w:lang w:eastAsia="en-AU"/>
              </w:rPr>
            </w:pPr>
            <w:r w:rsidRPr="006F06C8">
              <w:rPr>
                <w:rFonts w:cs="Arial"/>
                <w:lang w:eastAsia="en-AU"/>
              </w:rPr>
              <w:t xml:space="preserve">As detailed above, the Authority will be undertaking an information and awareness campaign to alert </w:t>
            </w:r>
            <w:r>
              <w:rPr>
                <w:rFonts w:cs="Arial"/>
                <w:lang w:eastAsia="en-AU"/>
              </w:rPr>
              <w:t>employers</w:t>
            </w:r>
            <w:r w:rsidRPr="006F06C8">
              <w:rPr>
                <w:rFonts w:cs="Arial"/>
                <w:lang w:eastAsia="en-AU"/>
              </w:rPr>
              <w:t xml:space="preserve"> to their responsibilities. In addition</w:t>
            </w:r>
            <w:r w:rsidR="0023608B">
              <w:rPr>
                <w:rFonts w:cs="Arial"/>
                <w:lang w:eastAsia="en-AU"/>
              </w:rPr>
              <w:t>,</w:t>
            </w:r>
            <w:r w:rsidRPr="006F06C8">
              <w:rPr>
                <w:rFonts w:cs="Arial"/>
                <w:lang w:eastAsia="en-AU"/>
              </w:rPr>
              <w:t xml:space="preserve"> the Authority should work closely with </w:t>
            </w:r>
            <w:r>
              <w:rPr>
                <w:rFonts w:cs="Arial"/>
                <w:lang w:eastAsia="en-AU"/>
              </w:rPr>
              <w:t xml:space="preserve">industry groups </w:t>
            </w:r>
            <w:r w:rsidRPr="006F06C8">
              <w:rPr>
                <w:rFonts w:cs="Arial"/>
                <w:lang w:eastAsia="en-AU"/>
              </w:rPr>
              <w:t xml:space="preserve">to recognise and address any emerging trends in incorrect or missing </w:t>
            </w:r>
            <w:r>
              <w:rPr>
                <w:rFonts w:cs="Arial"/>
                <w:lang w:eastAsia="en-AU"/>
              </w:rPr>
              <w:t>registrations and payments</w:t>
            </w:r>
            <w:r w:rsidR="0055008B">
              <w:rPr>
                <w:rFonts w:cs="Arial"/>
                <w:lang w:eastAsia="en-AU"/>
              </w:rPr>
              <w:t xml:space="preserve">. </w:t>
            </w:r>
          </w:p>
        </w:tc>
      </w:tr>
      <w:tr w:rsidR="001F28FA" w:rsidRPr="00EC5379" w14:paraId="4ACE5146" w14:textId="77777777" w:rsidTr="0023608B">
        <w:tc>
          <w:tcPr>
            <w:tcW w:w="2410" w:type="dxa"/>
            <w:tcBorders>
              <w:top w:val="single" w:sz="4" w:space="0" w:color="auto"/>
              <w:left w:val="nil"/>
              <w:bottom w:val="single" w:sz="4" w:space="0" w:color="auto"/>
              <w:right w:val="single" w:sz="8" w:space="0" w:color="auto"/>
            </w:tcBorders>
            <w:shd w:val="clear" w:color="000000" w:fill="DEEAF6"/>
          </w:tcPr>
          <w:p w14:paraId="647C1B73" w14:textId="77777777" w:rsidR="001F28FA" w:rsidRPr="00864EC6" w:rsidRDefault="001F28FA" w:rsidP="00C67CC9">
            <w:pPr>
              <w:pStyle w:val="Tabletext"/>
              <w:rPr>
                <w:rFonts w:cs="Arial"/>
                <w:lang w:eastAsia="en-AU"/>
              </w:rPr>
            </w:pPr>
            <w:r w:rsidRPr="00864EC6">
              <w:rPr>
                <w:rFonts w:cs="Arial"/>
                <w:lang w:eastAsia="en-AU"/>
              </w:rPr>
              <w:t xml:space="preserve">The Authority is not adequately prepared for the </w:t>
            </w:r>
            <w:r>
              <w:rPr>
                <w:rFonts w:cs="Arial"/>
                <w:lang w:eastAsia="en-AU"/>
              </w:rPr>
              <w:t>registration of newly eligible employers and employees, leading to poor experiences.</w:t>
            </w:r>
          </w:p>
        </w:tc>
        <w:tc>
          <w:tcPr>
            <w:tcW w:w="3260" w:type="dxa"/>
            <w:tcBorders>
              <w:top w:val="single" w:sz="4" w:space="0" w:color="auto"/>
              <w:left w:val="nil"/>
              <w:bottom w:val="single" w:sz="4" w:space="0" w:color="auto"/>
              <w:right w:val="single" w:sz="8" w:space="0" w:color="auto"/>
            </w:tcBorders>
            <w:shd w:val="clear" w:color="000000" w:fill="DEEAF6"/>
          </w:tcPr>
          <w:p w14:paraId="0835F64E" w14:textId="24558B2C" w:rsidR="001F28FA" w:rsidRPr="00864EC6" w:rsidRDefault="001F28FA" w:rsidP="00C74963">
            <w:pPr>
              <w:pStyle w:val="Tabletext"/>
              <w:rPr>
                <w:rFonts w:cs="Arial"/>
                <w:lang w:eastAsia="en-AU"/>
              </w:rPr>
            </w:pPr>
            <w:r w:rsidRPr="006F06C8">
              <w:rPr>
                <w:rFonts w:cs="Arial"/>
                <w:lang w:eastAsia="en-AU"/>
              </w:rPr>
              <w:t xml:space="preserve">Due to changes to the definition of </w:t>
            </w:r>
            <w:r>
              <w:rPr>
                <w:rFonts w:cs="Arial"/>
                <w:lang w:eastAsia="en-AU"/>
              </w:rPr>
              <w:t xml:space="preserve">community service work, who is </w:t>
            </w:r>
            <w:r w:rsidR="0071726F">
              <w:rPr>
                <w:rFonts w:cs="Arial"/>
                <w:color w:val="auto"/>
              </w:rPr>
              <w:t xml:space="preserve">regarded as </w:t>
            </w:r>
            <w:r>
              <w:rPr>
                <w:rFonts w:cs="Arial"/>
                <w:lang w:eastAsia="en-AU"/>
              </w:rPr>
              <w:t xml:space="preserve">an </w:t>
            </w:r>
            <w:r w:rsidRPr="006F06C8">
              <w:rPr>
                <w:rFonts w:cs="Arial"/>
                <w:lang w:eastAsia="en-AU"/>
              </w:rPr>
              <w:t xml:space="preserve">employee and </w:t>
            </w:r>
            <w:r>
              <w:rPr>
                <w:rFonts w:cs="Arial"/>
                <w:lang w:eastAsia="en-AU"/>
              </w:rPr>
              <w:t xml:space="preserve">who is </w:t>
            </w:r>
            <w:r w:rsidR="0071726F">
              <w:rPr>
                <w:rFonts w:cs="Arial"/>
                <w:color w:val="auto"/>
              </w:rPr>
              <w:t xml:space="preserve">regarded as </w:t>
            </w:r>
            <w:r>
              <w:rPr>
                <w:rFonts w:cs="Arial"/>
                <w:lang w:eastAsia="en-AU"/>
              </w:rPr>
              <w:t xml:space="preserve">an </w:t>
            </w:r>
            <w:r w:rsidRPr="006F06C8">
              <w:rPr>
                <w:rFonts w:cs="Arial"/>
                <w:lang w:eastAsia="en-AU"/>
              </w:rPr>
              <w:t>employer</w:t>
            </w:r>
            <w:r>
              <w:rPr>
                <w:rFonts w:cs="Arial"/>
                <w:lang w:eastAsia="en-AU"/>
              </w:rPr>
              <w:t xml:space="preserve"> in the social services sector</w:t>
            </w:r>
            <w:r w:rsidRPr="006F06C8">
              <w:rPr>
                <w:rFonts w:cs="Arial"/>
                <w:lang w:eastAsia="en-AU"/>
              </w:rPr>
              <w:t xml:space="preserve">, </w:t>
            </w:r>
            <w:r>
              <w:rPr>
                <w:rFonts w:cs="Arial"/>
                <w:lang w:eastAsia="en-AU"/>
              </w:rPr>
              <w:t xml:space="preserve">and the introduction of a test to determine who is </w:t>
            </w:r>
            <w:r w:rsidR="0071726F">
              <w:rPr>
                <w:rFonts w:cs="Arial"/>
                <w:color w:val="auto"/>
              </w:rPr>
              <w:t xml:space="preserve">regarded as </w:t>
            </w:r>
            <w:r>
              <w:rPr>
                <w:rFonts w:cs="Arial"/>
                <w:lang w:eastAsia="en-AU"/>
              </w:rPr>
              <w:t xml:space="preserve">an employee in the security industry, </w:t>
            </w:r>
            <w:r w:rsidRPr="006F06C8">
              <w:rPr>
                <w:rFonts w:cs="Arial"/>
                <w:lang w:eastAsia="en-AU"/>
              </w:rPr>
              <w:t xml:space="preserve">there is potential </w:t>
            </w:r>
            <w:r>
              <w:rPr>
                <w:rFonts w:cs="Arial"/>
                <w:lang w:eastAsia="en-AU"/>
              </w:rPr>
              <w:t xml:space="preserve">for the Authority to not be prepared for the increase in </w:t>
            </w:r>
            <w:r>
              <w:rPr>
                <w:rFonts w:cs="Arial"/>
                <w:lang w:eastAsia="en-AU"/>
              </w:rPr>
              <w:lastRenderedPageBreak/>
              <w:t>registrations and enquires from employers.</w:t>
            </w:r>
          </w:p>
        </w:tc>
        <w:tc>
          <w:tcPr>
            <w:tcW w:w="4536" w:type="dxa"/>
            <w:tcBorders>
              <w:top w:val="single" w:sz="4" w:space="0" w:color="auto"/>
              <w:left w:val="single" w:sz="8" w:space="0" w:color="auto"/>
              <w:bottom w:val="single" w:sz="4" w:space="0" w:color="auto"/>
              <w:right w:val="single" w:sz="8" w:space="0" w:color="auto"/>
            </w:tcBorders>
            <w:shd w:val="clear" w:color="000000" w:fill="DEEAF6"/>
          </w:tcPr>
          <w:p w14:paraId="1936B48D" w14:textId="77777777" w:rsidR="001F28FA" w:rsidRPr="00864EC6" w:rsidRDefault="001F28FA" w:rsidP="00C67CC9">
            <w:pPr>
              <w:pStyle w:val="Tabletext"/>
              <w:spacing w:line="256" w:lineRule="auto"/>
              <w:rPr>
                <w:rFonts w:cs="Arial"/>
                <w:b/>
                <w:lang w:eastAsia="en-AU"/>
              </w:rPr>
            </w:pPr>
            <w:r w:rsidRPr="00864EC6">
              <w:rPr>
                <w:rFonts w:cs="Arial"/>
                <w:b/>
                <w:lang w:eastAsia="en-AU"/>
              </w:rPr>
              <w:lastRenderedPageBreak/>
              <w:t xml:space="preserve">Overall risk rating: </w:t>
            </w:r>
            <w:r>
              <w:rPr>
                <w:rFonts w:cs="Arial"/>
                <w:b/>
                <w:lang w:eastAsia="en-AU"/>
              </w:rPr>
              <w:t>Low</w:t>
            </w:r>
          </w:p>
          <w:p w14:paraId="62B95120" w14:textId="6EE42B6E" w:rsidR="001F28FA" w:rsidRPr="00864EC6" w:rsidRDefault="001F28FA" w:rsidP="00C67CC9">
            <w:pPr>
              <w:pStyle w:val="Tabletext"/>
              <w:spacing w:line="256" w:lineRule="auto"/>
              <w:rPr>
                <w:rFonts w:cs="Arial"/>
                <w:b/>
                <w:lang w:eastAsia="en-AU"/>
              </w:rPr>
            </w:pPr>
            <w:r w:rsidRPr="00864EC6">
              <w:rPr>
                <w:rFonts w:cs="Arial"/>
                <w:b/>
                <w:lang w:eastAsia="en-AU"/>
              </w:rPr>
              <w:t>Consequences:</w:t>
            </w:r>
            <w:r w:rsidRPr="001F28FA">
              <w:rPr>
                <w:rFonts w:cs="Arial"/>
                <w:b/>
                <w:lang w:eastAsia="en-AU"/>
              </w:rPr>
              <w:t xml:space="preserve"> </w:t>
            </w:r>
            <w:r w:rsidRPr="00DB3ADD">
              <w:rPr>
                <w:rFonts w:cs="Arial"/>
                <w:lang w:eastAsia="en-AU"/>
              </w:rPr>
              <w:t>If the Authority is not prepared, the consequences of employers not having a positive experience with their interactions with the Authority is</w:t>
            </w:r>
            <w:r w:rsidRPr="001F28FA">
              <w:rPr>
                <w:rFonts w:cs="Arial"/>
                <w:b/>
                <w:lang w:eastAsia="en-AU"/>
              </w:rPr>
              <w:t xml:space="preserve"> minor</w:t>
            </w:r>
            <w:r w:rsidR="0055008B">
              <w:rPr>
                <w:rFonts w:cs="Arial"/>
                <w:b/>
                <w:lang w:eastAsia="en-AU"/>
              </w:rPr>
              <w:t xml:space="preserve">. </w:t>
            </w:r>
          </w:p>
          <w:p w14:paraId="7A6A1289" w14:textId="77777777" w:rsidR="001F28FA" w:rsidRPr="001F28FA" w:rsidRDefault="001F28FA" w:rsidP="001F28FA">
            <w:pPr>
              <w:pStyle w:val="Tabletext"/>
              <w:spacing w:line="256" w:lineRule="auto"/>
              <w:rPr>
                <w:rFonts w:cs="Arial"/>
                <w:b/>
                <w:lang w:eastAsia="en-AU"/>
              </w:rPr>
            </w:pPr>
            <w:r w:rsidRPr="00864EC6">
              <w:rPr>
                <w:rFonts w:cs="Arial"/>
                <w:b/>
                <w:lang w:eastAsia="en-AU"/>
              </w:rPr>
              <w:t xml:space="preserve">Likelihood: </w:t>
            </w:r>
            <w:r w:rsidRPr="00DB3ADD">
              <w:rPr>
                <w:rFonts w:cs="Arial"/>
                <w:lang w:eastAsia="en-AU"/>
              </w:rPr>
              <w:t>As the Authority has already shown that it can support the initial establishment of the Scheme and registration of a large number of employers and employees, this is</w:t>
            </w:r>
            <w:r w:rsidRPr="001F28FA">
              <w:rPr>
                <w:rFonts w:cs="Arial"/>
                <w:b/>
                <w:lang w:eastAsia="en-AU"/>
              </w:rPr>
              <w:t xml:space="preserve"> </w:t>
            </w:r>
            <w:r w:rsidRPr="00864EC6">
              <w:rPr>
                <w:rFonts w:cs="Arial"/>
                <w:b/>
                <w:lang w:eastAsia="en-AU"/>
              </w:rPr>
              <w:t>unlikely.</w:t>
            </w:r>
          </w:p>
        </w:tc>
        <w:tc>
          <w:tcPr>
            <w:tcW w:w="3569" w:type="dxa"/>
            <w:tcBorders>
              <w:top w:val="single" w:sz="4" w:space="0" w:color="auto"/>
              <w:left w:val="single" w:sz="8" w:space="0" w:color="auto"/>
              <w:bottom w:val="single" w:sz="4" w:space="0" w:color="auto"/>
              <w:right w:val="nil"/>
            </w:tcBorders>
            <w:shd w:val="clear" w:color="000000" w:fill="DEEAF6"/>
          </w:tcPr>
          <w:p w14:paraId="525610C6" w14:textId="77777777" w:rsidR="001F28FA" w:rsidRPr="00864EC6" w:rsidRDefault="001F28FA" w:rsidP="00C67CC9">
            <w:pPr>
              <w:pStyle w:val="Tabletext"/>
              <w:rPr>
                <w:rFonts w:cs="Arial"/>
                <w:lang w:eastAsia="en-AU"/>
              </w:rPr>
            </w:pPr>
            <w:r>
              <w:rPr>
                <w:rFonts w:cs="Arial"/>
                <w:lang w:eastAsia="en-AU"/>
              </w:rPr>
              <w:t>The Authority will ensure systems are in place to support registration and to educate staff about the changes to the Regulations.</w:t>
            </w:r>
          </w:p>
        </w:tc>
      </w:tr>
      <w:tr w:rsidR="001F28FA" w14:paraId="01287A42" w14:textId="77777777" w:rsidTr="0023608B">
        <w:tc>
          <w:tcPr>
            <w:tcW w:w="2410" w:type="dxa"/>
            <w:tcBorders>
              <w:top w:val="single" w:sz="4" w:space="0" w:color="auto"/>
              <w:left w:val="nil"/>
              <w:bottom w:val="single" w:sz="4" w:space="0" w:color="auto"/>
              <w:right w:val="single" w:sz="8" w:space="0" w:color="auto"/>
            </w:tcBorders>
            <w:shd w:val="clear" w:color="000000" w:fill="DEEAF6"/>
          </w:tcPr>
          <w:p w14:paraId="6810BFFF" w14:textId="323CC057" w:rsidR="001F28FA" w:rsidRPr="001F28FA" w:rsidRDefault="001F28FA" w:rsidP="00DB3ADD">
            <w:pPr>
              <w:pStyle w:val="Tabletext"/>
              <w:rPr>
                <w:rFonts w:cs="Arial"/>
                <w:lang w:eastAsia="en-AU"/>
              </w:rPr>
            </w:pPr>
            <w:r>
              <w:rPr>
                <w:rFonts w:cs="Arial"/>
                <w:lang w:eastAsia="en-AU"/>
              </w:rPr>
              <w:t xml:space="preserve">The number of employers requesting reimbursement for </w:t>
            </w:r>
            <w:r w:rsidR="00DB3ADD">
              <w:rPr>
                <w:rFonts w:cs="Arial"/>
                <w:lang w:eastAsia="en-AU"/>
              </w:rPr>
              <w:t>double-dipping</w:t>
            </w:r>
            <w:r>
              <w:rPr>
                <w:rFonts w:cs="Arial"/>
                <w:lang w:eastAsia="en-AU"/>
              </w:rPr>
              <w:t xml:space="preserve"> is significant, leading to increased calls on claims from the Authority.</w:t>
            </w:r>
          </w:p>
        </w:tc>
        <w:tc>
          <w:tcPr>
            <w:tcW w:w="3260" w:type="dxa"/>
            <w:tcBorders>
              <w:top w:val="single" w:sz="4" w:space="0" w:color="auto"/>
              <w:left w:val="nil"/>
              <w:bottom w:val="single" w:sz="4" w:space="0" w:color="auto"/>
              <w:right w:val="single" w:sz="8" w:space="0" w:color="auto"/>
            </w:tcBorders>
            <w:shd w:val="clear" w:color="000000" w:fill="DEEAF6"/>
          </w:tcPr>
          <w:p w14:paraId="65A2841C" w14:textId="20EFC240" w:rsidR="001F28FA" w:rsidRPr="00055BE3" w:rsidRDefault="001F28FA" w:rsidP="00DB3ADD">
            <w:pPr>
              <w:pStyle w:val="Tabletext"/>
              <w:rPr>
                <w:rFonts w:cs="Arial"/>
                <w:lang w:eastAsia="en-AU"/>
              </w:rPr>
            </w:pPr>
            <w:r w:rsidRPr="00055BE3">
              <w:rPr>
                <w:rFonts w:cs="Arial"/>
                <w:lang w:eastAsia="en-AU"/>
              </w:rPr>
              <w:t xml:space="preserve">There is a risk </w:t>
            </w:r>
            <w:r>
              <w:rPr>
                <w:rFonts w:cs="Arial"/>
                <w:lang w:eastAsia="en-AU"/>
              </w:rPr>
              <w:t xml:space="preserve">that the scale of </w:t>
            </w:r>
            <w:r w:rsidR="00DB3ADD">
              <w:rPr>
                <w:rFonts w:cs="Arial"/>
                <w:lang w:eastAsia="en-AU"/>
              </w:rPr>
              <w:t>double-dipping</w:t>
            </w:r>
            <w:r>
              <w:rPr>
                <w:rFonts w:cs="Arial"/>
                <w:lang w:eastAsia="en-AU"/>
              </w:rPr>
              <w:t xml:space="preserve"> in the sector would occur at a higher rate than anticipated in the modelling used to set the levy rate.</w:t>
            </w:r>
          </w:p>
        </w:tc>
        <w:tc>
          <w:tcPr>
            <w:tcW w:w="4536" w:type="dxa"/>
            <w:tcBorders>
              <w:top w:val="single" w:sz="4" w:space="0" w:color="auto"/>
              <w:left w:val="single" w:sz="8" w:space="0" w:color="auto"/>
              <w:bottom w:val="single" w:sz="4" w:space="0" w:color="auto"/>
              <w:right w:val="single" w:sz="8" w:space="0" w:color="auto"/>
            </w:tcBorders>
            <w:shd w:val="clear" w:color="000000" w:fill="DEEAF6"/>
          </w:tcPr>
          <w:p w14:paraId="26B30449" w14:textId="77777777" w:rsidR="001F28FA" w:rsidRPr="00055BE3" w:rsidRDefault="001F28FA" w:rsidP="00C67CC9">
            <w:pPr>
              <w:pStyle w:val="Tabletext"/>
              <w:spacing w:line="256" w:lineRule="auto"/>
              <w:rPr>
                <w:rFonts w:cs="Arial"/>
                <w:b/>
                <w:lang w:eastAsia="en-AU"/>
              </w:rPr>
            </w:pPr>
            <w:r w:rsidRPr="00055BE3">
              <w:rPr>
                <w:rFonts w:cs="Arial"/>
                <w:b/>
                <w:lang w:eastAsia="en-AU"/>
              </w:rPr>
              <w:t>Overall risk rating: Low</w:t>
            </w:r>
          </w:p>
          <w:p w14:paraId="3CB81D64" w14:textId="77777777" w:rsidR="001F28FA" w:rsidRPr="00055BE3" w:rsidRDefault="001F28FA" w:rsidP="00C67CC9">
            <w:pPr>
              <w:pStyle w:val="Tabletext"/>
              <w:spacing w:line="256" w:lineRule="auto"/>
              <w:rPr>
                <w:rFonts w:cs="Arial"/>
                <w:b/>
                <w:lang w:eastAsia="en-AU"/>
              </w:rPr>
            </w:pPr>
            <w:r w:rsidRPr="00055BE3">
              <w:rPr>
                <w:rFonts w:cs="Arial"/>
                <w:b/>
                <w:lang w:eastAsia="en-AU"/>
              </w:rPr>
              <w:t>Consequences:</w:t>
            </w:r>
            <w:r w:rsidRPr="001F28FA">
              <w:rPr>
                <w:rFonts w:cs="Arial"/>
                <w:b/>
                <w:lang w:eastAsia="en-AU"/>
              </w:rPr>
              <w:t xml:space="preserve"> </w:t>
            </w:r>
            <w:r w:rsidRPr="00DB3ADD">
              <w:rPr>
                <w:rFonts w:cs="Arial"/>
                <w:lang w:eastAsia="en-AU"/>
              </w:rPr>
              <w:t>Depending on the number of individuals who double dip, the Authority stands to lose levies which were not anticipated, and potentially require actuarial work to ensure the fund is able to pay future benefits. Considering the likely small number of employees in this category, the consequences are</w:t>
            </w:r>
            <w:r w:rsidRPr="001F28FA">
              <w:rPr>
                <w:rFonts w:cs="Arial"/>
                <w:b/>
                <w:lang w:eastAsia="en-AU"/>
              </w:rPr>
              <w:t xml:space="preserve"> </w:t>
            </w:r>
            <w:r w:rsidRPr="00055BE3">
              <w:rPr>
                <w:rFonts w:cs="Arial"/>
                <w:b/>
                <w:lang w:eastAsia="en-AU"/>
              </w:rPr>
              <w:t xml:space="preserve">minor. </w:t>
            </w:r>
          </w:p>
          <w:p w14:paraId="7E4C59FE" w14:textId="77777777" w:rsidR="001F28FA" w:rsidRPr="001F28FA" w:rsidRDefault="001F28FA" w:rsidP="00C67CC9">
            <w:pPr>
              <w:pStyle w:val="Tabletext"/>
              <w:spacing w:line="256" w:lineRule="auto"/>
              <w:rPr>
                <w:rFonts w:cs="Arial"/>
                <w:b/>
                <w:lang w:eastAsia="en-AU"/>
              </w:rPr>
            </w:pPr>
            <w:r w:rsidRPr="00055BE3">
              <w:rPr>
                <w:rFonts w:cs="Arial"/>
                <w:b/>
                <w:lang w:eastAsia="en-AU"/>
              </w:rPr>
              <w:t xml:space="preserve">Likelihood: </w:t>
            </w:r>
            <w:r w:rsidRPr="00DB3ADD">
              <w:rPr>
                <w:rFonts w:cs="Arial"/>
                <w:lang w:eastAsia="en-AU"/>
              </w:rPr>
              <w:t>This is</w:t>
            </w:r>
            <w:r w:rsidRPr="001F28FA">
              <w:rPr>
                <w:rFonts w:cs="Arial"/>
                <w:b/>
                <w:lang w:eastAsia="en-AU"/>
              </w:rPr>
              <w:t xml:space="preserve"> </w:t>
            </w:r>
            <w:r w:rsidRPr="00055BE3">
              <w:rPr>
                <w:rFonts w:cs="Arial"/>
                <w:b/>
                <w:lang w:eastAsia="en-AU"/>
              </w:rPr>
              <w:t>possible.</w:t>
            </w:r>
          </w:p>
        </w:tc>
        <w:tc>
          <w:tcPr>
            <w:tcW w:w="3569" w:type="dxa"/>
            <w:tcBorders>
              <w:top w:val="single" w:sz="4" w:space="0" w:color="auto"/>
              <w:left w:val="single" w:sz="8" w:space="0" w:color="auto"/>
              <w:bottom w:val="single" w:sz="4" w:space="0" w:color="auto"/>
              <w:right w:val="nil"/>
            </w:tcBorders>
            <w:shd w:val="clear" w:color="000000" w:fill="DEEAF6"/>
          </w:tcPr>
          <w:p w14:paraId="52256F37" w14:textId="6CDDBF60" w:rsidR="001F28FA" w:rsidRPr="00055BE3" w:rsidRDefault="0060163D" w:rsidP="00C74963">
            <w:pPr>
              <w:pStyle w:val="Tabletext"/>
              <w:rPr>
                <w:rFonts w:cs="Arial"/>
                <w:lang w:eastAsia="en-AU"/>
              </w:rPr>
            </w:pPr>
            <w:r>
              <w:rPr>
                <w:rFonts w:cs="Arial"/>
                <w:lang w:eastAsia="en-AU"/>
              </w:rPr>
              <w:t xml:space="preserve">For the first seven years after commencement of the Scheme, employers will only require reimbursement for double-dipping on a proportional basis. </w:t>
            </w:r>
            <w:r w:rsidR="001F28FA" w:rsidRPr="00055BE3">
              <w:rPr>
                <w:rFonts w:cs="Arial"/>
                <w:lang w:eastAsia="en-AU"/>
              </w:rPr>
              <w:t xml:space="preserve">It is </w:t>
            </w:r>
            <w:r w:rsidR="001F28FA" w:rsidRPr="00186BE4">
              <w:rPr>
                <w:rFonts w:cs="Arial"/>
                <w:lang w:eastAsia="en-AU"/>
              </w:rPr>
              <w:t xml:space="preserve">proposed that the Authority and </w:t>
            </w:r>
            <w:r w:rsidR="001F28FA" w:rsidRPr="00AD518C">
              <w:rPr>
                <w:rFonts w:cs="Arial"/>
                <w:lang w:eastAsia="en-AU"/>
              </w:rPr>
              <w:t xml:space="preserve">IRV will continue to consider </w:t>
            </w:r>
            <w:r w:rsidR="00885201" w:rsidRPr="00AD518C">
              <w:rPr>
                <w:rFonts w:cs="Arial"/>
                <w:lang w:eastAsia="en-AU"/>
              </w:rPr>
              <w:t xml:space="preserve">administrative processes to </w:t>
            </w:r>
            <w:r w:rsidR="00885201" w:rsidRPr="000742E1">
              <w:rPr>
                <w:rFonts w:cs="Arial"/>
                <w:lang w:eastAsia="en-AU"/>
              </w:rPr>
              <w:t xml:space="preserve">prevent double dipping (e.g. </w:t>
            </w:r>
            <w:r w:rsidR="000742E1" w:rsidRPr="00AD518C">
              <w:rPr>
                <w:rFonts w:cs="Arial"/>
                <w:lang w:eastAsia="en-AU"/>
              </w:rPr>
              <w:t>collecting information from employees upon application</w:t>
            </w:r>
            <w:r w:rsidR="00885201" w:rsidRPr="00186BE4">
              <w:rPr>
                <w:rFonts w:cs="Arial"/>
                <w:lang w:eastAsia="en-AU"/>
              </w:rPr>
              <w:t>)</w:t>
            </w:r>
            <w:r w:rsidR="001F28FA" w:rsidRPr="00AD518C">
              <w:rPr>
                <w:rFonts w:cs="Arial"/>
                <w:lang w:eastAsia="en-AU"/>
              </w:rPr>
              <w:t xml:space="preserve">, and </w:t>
            </w:r>
            <w:r w:rsidR="00C74963">
              <w:rPr>
                <w:rFonts w:cs="Arial"/>
                <w:lang w:eastAsia="en-AU"/>
              </w:rPr>
              <w:t xml:space="preserve">will </w:t>
            </w:r>
            <w:r w:rsidR="001F28FA" w:rsidRPr="00AD518C">
              <w:rPr>
                <w:rFonts w:cs="Arial"/>
                <w:lang w:eastAsia="en-AU"/>
              </w:rPr>
              <w:t>work wit</w:t>
            </w:r>
            <w:r w:rsidR="001F28FA" w:rsidRPr="000742E1">
              <w:rPr>
                <w:rFonts w:cs="Arial"/>
                <w:lang w:eastAsia="en-AU"/>
              </w:rPr>
              <w:t xml:space="preserve">h employers to monitor cases of </w:t>
            </w:r>
            <w:r w:rsidR="00DB3ADD" w:rsidRPr="000742E1">
              <w:rPr>
                <w:rFonts w:cs="Arial"/>
                <w:lang w:eastAsia="en-AU"/>
              </w:rPr>
              <w:t>double-dipping</w:t>
            </w:r>
            <w:r w:rsidR="001F28FA" w:rsidRPr="000742E1">
              <w:rPr>
                <w:rFonts w:cs="Arial"/>
                <w:lang w:eastAsia="en-AU"/>
              </w:rPr>
              <w:t>.</w:t>
            </w:r>
            <w:r w:rsidR="001F28FA" w:rsidRPr="00055BE3">
              <w:rPr>
                <w:rFonts w:cs="Arial"/>
                <w:lang w:eastAsia="en-AU"/>
              </w:rPr>
              <w:t xml:space="preserve"> </w:t>
            </w:r>
          </w:p>
        </w:tc>
      </w:tr>
    </w:tbl>
    <w:p w14:paraId="6D0DDDFD" w14:textId="480A1B83" w:rsidR="000709C1" w:rsidRDefault="000709C1" w:rsidP="000709C1">
      <w:pPr>
        <w:rPr>
          <w:rFonts w:ascii="Arial" w:hAnsi="Arial" w:cs="Arial"/>
        </w:rPr>
      </w:pPr>
    </w:p>
    <w:p w14:paraId="1766707A" w14:textId="70B25DB8" w:rsidR="004A514D" w:rsidRDefault="004A514D" w:rsidP="004A514D">
      <w:pPr>
        <w:pStyle w:val="BodyText"/>
        <w:rPr>
          <w:rFonts w:cs="Arial"/>
        </w:rPr>
      </w:pPr>
      <w:r w:rsidRPr="00EC5379">
        <w:t xml:space="preserve">The risks outlined above will be continually monitored and assessed through the risk rating matrix and any new risks identified will equally be subject to this matrix. Actions will be taken </w:t>
      </w:r>
      <w:r>
        <w:t>as required to mitigate risks.</w:t>
      </w:r>
    </w:p>
    <w:p w14:paraId="4FF5BA8E" w14:textId="77777777" w:rsidR="004A514D" w:rsidRDefault="004A514D" w:rsidP="000709C1">
      <w:pPr>
        <w:rPr>
          <w:rFonts w:ascii="Arial" w:hAnsi="Arial" w:cs="Arial"/>
        </w:rPr>
      </w:pPr>
    </w:p>
    <w:p w14:paraId="2102C94E" w14:textId="77777777" w:rsidR="004A514D" w:rsidRDefault="004A514D" w:rsidP="000709C1">
      <w:pPr>
        <w:rPr>
          <w:rFonts w:ascii="Arial" w:hAnsi="Arial" w:cs="Arial"/>
        </w:rPr>
        <w:sectPr w:rsidR="004A514D" w:rsidSect="00076BC8">
          <w:headerReference w:type="default" r:id="rId35"/>
          <w:pgSz w:w="16838" w:h="11906" w:orient="landscape"/>
          <w:pgMar w:top="1440" w:right="1440" w:bottom="1440" w:left="1440" w:header="709" w:footer="709" w:gutter="0"/>
          <w:cols w:space="708"/>
          <w:docGrid w:linePitch="360"/>
        </w:sectPr>
      </w:pPr>
    </w:p>
    <w:p w14:paraId="77985399" w14:textId="77777777" w:rsidR="00893D1E" w:rsidRPr="00EC5379" w:rsidRDefault="00893D1E" w:rsidP="00893D1E">
      <w:pPr>
        <w:pStyle w:val="Heading1"/>
        <w:rPr>
          <w:rFonts w:ascii="Arial" w:hAnsi="Arial" w:cs="Arial"/>
        </w:rPr>
      </w:pPr>
      <w:bookmarkStart w:id="151" w:name="_Toc36806277"/>
      <w:bookmarkStart w:id="152" w:name="_Toc36806278"/>
      <w:bookmarkStart w:id="153" w:name="_Toc7512195"/>
      <w:bookmarkStart w:id="154" w:name="_Toc7512196"/>
      <w:bookmarkStart w:id="155" w:name="_Toc36806279"/>
      <w:bookmarkStart w:id="156" w:name="_Toc7512199"/>
      <w:bookmarkStart w:id="157" w:name="_Toc36806280"/>
      <w:bookmarkStart w:id="158" w:name="_Toc36806281"/>
      <w:bookmarkStart w:id="159" w:name="_Toc36806282"/>
      <w:bookmarkStart w:id="160" w:name="_Toc36806283"/>
      <w:bookmarkStart w:id="161" w:name="_Toc36806284"/>
      <w:bookmarkStart w:id="162" w:name="_Toc36806285"/>
      <w:bookmarkStart w:id="163" w:name="_Toc36806286"/>
      <w:bookmarkStart w:id="164" w:name="_Toc36806287"/>
      <w:bookmarkStart w:id="165" w:name="_Toc36806288"/>
      <w:bookmarkStart w:id="166" w:name="_Toc36806289"/>
      <w:bookmarkStart w:id="167" w:name="_Toc36806290"/>
      <w:bookmarkStart w:id="168" w:name="_Toc36806291"/>
      <w:bookmarkStart w:id="169" w:name="_Toc36806292"/>
      <w:bookmarkStart w:id="170" w:name="_Toc36806293"/>
      <w:bookmarkStart w:id="171" w:name="_Toc36806294"/>
      <w:bookmarkStart w:id="172" w:name="_Toc36806295"/>
      <w:bookmarkStart w:id="173" w:name="_Toc36806296"/>
      <w:bookmarkStart w:id="174" w:name="_Toc36806297"/>
      <w:bookmarkStart w:id="175" w:name="_Toc36806307"/>
      <w:bookmarkStart w:id="176" w:name="_Toc36806315"/>
      <w:bookmarkStart w:id="177" w:name="_Toc36806324"/>
      <w:bookmarkStart w:id="178" w:name="_Toc36806325"/>
      <w:bookmarkStart w:id="179" w:name="_Toc36806326"/>
      <w:bookmarkStart w:id="180" w:name="_Toc36806327"/>
      <w:bookmarkStart w:id="181" w:name="_Toc36806328"/>
      <w:bookmarkStart w:id="182" w:name="_Toc36806329"/>
      <w:bookmarkStart w:id="183" w:name="_Toc36806330"/>
      <w:bookmarkStart w:id="184" w:name="_Toc36806331"/>
      <w:bookmarkStart w:id="185" w:name="_Toc36806332"/>
      <w:bookmarkStart w:id="186" w:name="_Toc36806333"/>
      <w:bookmarkStart w:id="187" w:name="_Toc36806334"/>
      <w:bookmarkStart w:id="188" w:name="_Toc36806335"/>
      <w:bookmarkStart w:id="189" w:name="_Toc36806336"/>
      <w:bookmarkStart w:id="190" w:name="_Toc36806337"/>
      <w:bookmarkStart w:id="191" w:name="_Toc36806338"/>
      <w:bookmarkStart w:id="192" w:name="_Toc36806339"/>
      <w:bookmarkStart w:id="193" w:name="_Toc36806387"/>
      <w:bookmarkStart w:id="194" w:name="_Toc36806388"/>
      <w:bookmarkStart w:id="195" w:name="_Toc36806389"/>
      <w:bookmarkStart w:id="196" w:name="_Toc36806390"/>
      <w:bookmarkStart w:id="197" w:name="_Toc36806391"/>
      <w:bookmarkStart w:id="198" w:name="_Toc36806392"/>
      <w:bookmarkStart w:id="199" w:name="_Ref37062385"/>
      <w:bookmarkStart w:id="200" w:name="_Toc37921505"/>
      <w:bookmarkEnd w:id="14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sidRPr="00EC5379">
        <w:rPr>
          <w:rFonts w:ascii="Arial" w:hAnsi="Arial" w:cs="Arial"/>
        </w:rPr>
        <w:lastRenderedPageBreak/>
        <w:t>EVALUATION STRATEGY</w:t>
      </w:r>
      <w:bookmarkEnd w:id="199"/>
      <w:bookmarkEnd w:id="200"/>
    </w:p>
    <w:p w14:paraId="29CC08DF" w14:textId="77777777" w:rsidR="00893D1E" w:rsidRPr="00EC5379" w:rsidRDefault="00893D1E" w:rsidP="00893D1E">
      <w:pPr>
        <w:pStyle w:val="BodyText"/>
        <w:rPr>
          <w:rFonts w:cs="Arial"/>
        </w:rPr>
      </w:pPr>
      <w:r w:rsidRPr="00EC5379">
        <w:rPr>
          <w:rFonts w:cs="Arial"/>
        </w:rPr>
        <w:t xml:space="preserve">Evaluation </w:t>
      </w:r>
      <w:bookmarkStart w:id="201" w:name="start"/>
      <w:bookmarkEnd w:id="201"/>
      <w:r w:rsidRPr="00EC5379">
        <w:rPr>
          <w:rFonts w:cs="Arial"/>
        </w:rPr>
        <w:t xml:space="preserve">is critical to measuring, and supporting, the success of regulations. </w:t>
      </w:r>
    </w:p>
    <w:p w14:paraId="137D2942" w14:textId="2EB44887" w:rsidR="00893D1E" w:rsidRDefault="00893D1E" w:rsidP="00893D1E">
      <w:pPr>
        <w:pStyle w:val="BodyText"/>
        <w:rPr>
          <w:rFonts w:cs="Arial"/>
        </w:rPr>
      </w:pPr>
      <w:r w:rsidRPr="00EC5379">
        <w:rPr>
          <w:rFonts w:cs="Arial"/>
        </w:rPr>
        <w:t xml:space="preserve">The </w:t>
      </w:r>
      <w:r>
        <w:rPr>
          <w:rFonts w:cs="Arial"/>
        </w:rPr>
        <w:t>Proposed</w:t>
      </w:r>
      <w:r w:rsidRPr="00EC5379">
        <w:rPr>
          <w:rFonts w:cs="Arial"/>
        </w:rPr>
        <w:t xml:space="preserve"> Regulations are made under the LSBP Act, which contains provisions requiring review of the LSBP Act</w:t>
      </w:r>
      <w:r w:rsidRPr="00EC5379" w:rsidDel="00EE442D">
        <w:rPr>
          <w:rFonts w:cs="Arial"/>
        </w:rPr>
        <w:t xml:space="preserve"> </w:t>
      </w:r>
      <w:r w:rsidRPr="00EC5379">
        <w:rPr>
          <w:rFonts w:cs="Arial"/>
        </w:rPr>
        <w:t xml:space="preserve">at three and seven year periods after </w:t>
      </w:r>
      <w:r w:rsidR="007309AB">
        <w:rPr>
          <w:rFonts w:cs="Arial"/>
        </w:rPr>
        <w:t xml:space="preserve">commencement of </w:t>
      </w:r>
      <w:r w:rsidRPr="00EC5379">
        <w:rPr>
          <w:rFonts w:cs="Arial"/>
        </w:rPr>
        <w:t>the LSBP Act. Evaluation of the Regulations should be</w:t>
      </w:r>
      <w:r w:rsidR="00DC52C9">
        <w:rPr>
          <w:rFonts w:cs="Arial"/>
        </w:rPr>
        <w:t xml:space="preserve"> undertaken as part of </w:t>
      </w:r>
      <w:r w:rsidRPr="00EC5379">
        <w:rPr>
          <w:rFonts w:cs="Arial"/>
        </w:rPr>
        <w:t xml:space="preserve">these mandated </w:t>
      </w:r>
      <w:r w:rsidR="00DC52C9">
        <w:rPr>
          <w:rFonts w:cs="Arial"/>
        </w:rPr>
        <w:t>reviews</w:t>
      </w:r>
      <w:r w:rsidRPr="00EC5379">
        <w:rPr>
          <w:rFonts w:cs="Arial"/>
        </w:rPr>
        <w:t xml:space="preserve">. This will allow </w:t>
      </w:r>
      <w:r w:rsidR="007309AB">
        <w:rPr>
          <w:rFonts w:cs="Arial"/>
        </w:rPr>
        <w:t xml:space="preserve">a </w:t>
      </w:r>
      <w:r w:rsidRPr="00EC5379">
        <w:rPr>
          <w:rFonts w:cs="Arial"/>
        </w:rPr>
        <w:t xml:space="preserve">streamlined and comprehensive review, including a full understanding of the interactions between the Regulations and the LSBP Act, as well as their combined impact on the sector. </w:t>
      </w:r>
    </w:p>
    <w:p w14:paraId="7B2C5EFC" w14:textId="19450315" w:rsidR="000709C1" w:rsidRDefault="000709C1" w:rsidP="00893D1E">
      <w:pPr>
        <w:pStyle w:val="BodyText"/>
        <w:rPr>
          <w:rFonts w:cs="Arial"/>
        </w:rPr>
      </w:pPr>
      <w:r>
        <w:rPr>
          <w:rFonts w:cs="Arial"/>
        </w:rPr>
        <w:t xml:space="preserve">The evaluation strategy detailed in this section </w:t>
      </w:r>
      <w:r w:rsidR="004740C1">
        <w:rPr>
          <w:rFonts w:cs="Arial"/>
        </w:rPr>
        <w:t>covers only the changes in the Proposed Regulations compared to the status quo under the Interim Regulations. When undertaking the three and seven year reviews</w:t>
      </w:r>
      <w:r w:rsidR="00030099">
        <w:rPr>
          <w:rFonts w:cs="Arial"/>
        </w:rPr>
        <w:t xml:space="preserve"> mandated in the LSBP Act</w:t>
      </w:r>
      <w:r w:rsidR="004740C1">
        <w:rPr>
          <w:rFonts w:cs="Arial"/>
        </w:rPr>
        <w:t xml:space="preserve">, the review content in this RIS should </w:t>
      </w:r>
      <w:r>
        <w:rPr>
          <w:rFonts w:cs="Arial"/>
        </w:rPr>
        <w:t xml:space="preserve">be combined with the </w:t>
      </w:r>
      <w:r w:rsidR="004740C1">
        <w:rPr>
          <w:rFonts w:cs="Arial"/>
        </w:rPr>
        <w:t xml:space="preserve">relevant </w:t>
      </w:r>
      <w:r>
        <w:rPr>
          <w:rFonts w:cs="Arial"/>
        </w:rPr>
        <w:t xml:space="preserve">review content detailed in the 2019 RIS to ensure all aspects of the Regulations are evaluated. The full 2019 RIS can be found at </w:t>
      </w:r>
      <w:r w:rsidRPr="00D41B29">
        <w:rPr>
          <w:rFonts w:cs="Arial"/>
        </w:rPr>
        <w:t>https://www.vic.gov.au/regulatory-impact-statements-2019#long-service-benefits-portability-regulations-2019</w:t>
      </w:r>
      <w:r>
        <w:rPr>
          <w:rFonts w:cs="Arial"/>
        </w:rPr>
        <w:t>.</w:t>
      </w:r>
    </w:p>
    <w:p w14:paraId="4D402B22" w14:textId="6265B6A7" w:rsidR="004740C1" w:rsidRDefault="004740C1" w:rsidP="00893D1E">
      <w:pPr>
        <w:pStyle w:val="BodyText"/>
        <w:rPr>
          <w:rFonts w:cs="Arial"/>
        </w:rPr>
      </w:pPr>
      <w:r>
        <w:rPr>
          <w:rFonts w:cs="Arial"/>
        </w:rPr>
        <w:t xml:space="preserve">It is not within the scope of this RIS, or the 2019 RIS, to propose an approach to evaluating the LSBP Act as a whole. </w:t>
      </w:r>
    </w:p>
    <w:p w14:paraId="62D3A474" w14:textId="7D869618" w:rsidR="004B3A33" w:rsidRPr="00DB3ADD" w:rsidRDefault="004B3A33" w:rsidP="00464892">
      <w:pPr>
        <w:pStyle w:val="CommentText"/>
      </w:pPr>
      <w:r>
        <w:t xml:space="preserve">In addition to these two formal reviews, </w:t>
      </w:r>
      <w:r w:rsidRPr="00DB3ADD">
        <w:t xml:space="preserve">IRV and the Authority will continue </w:t>
      </w:r>
      <w:r w:rsidR="0060163D">
        <w:t xml:space="preserve">to </w:t>
      </w:r>
      <w:r w:rsidRPr="00DB3ADD">
        <w:t>monitor and track the impl</w:t>
      </w:r>
      <w:r w:rsidRPr="004B3A33">
        <w:t xml:space="preserve">ementation and progress of the </w:t>
      </w:r>
      <w:r>
        <w:t>S</w:t>
      </w:r>
      <w:r w:rsidRPr="00DB3ADD">
        <w:t xml:space="preserve">cheme to ensure it remains efficient and effective. </w:t>
      </w:r>
      <w:r>
        <w:t>Many of the</w:t>
      </w:r>
      <w:r w:rsidRPr="00DB3ADD">
        <w:t xml:space="preserve"> </w:t>
      </w:r>
      <w:r>
        <w:t xml:space="preserve">changes </w:t>
      </w:r>
      <w:r w:rsidRPr="004B3A33">
        <w:t xml:space="preserve">contained within the </w:t>
      </w:r>
      <w:r>
        <w:t>P</w:t>
      </w:r>
      <w:r w:rsidRPr="004B3A33">
        <w:t xml:space="preserve">roposed </w:t>
      </w:r>
      <w:r>
        <w:t>R</w:t>
      </w:r>
      <w:r w:rsidRPr="00DB3ADD">
        <w:t>egulations</w:t>
      </w:r>
      <w:r w:rsidR="00462094">
        <w:t>, including the improved clarity,</w:t>
      </w:r>
      <w:r w:rsidRPr="00DB3ADD">
        <w:t xml:space="preserve"> are as a result of this ongoing role</w:t>
      </w:r>
      <w:r w:rsidRPr="004B3A33">
        <w:t>.</w:t>
      </w:r>
    </w:p>
    <w:p w14:paraId="43A47F13" w14:textId="77777777" w:rsidR="00893D1E" w:rsidRPr="00EC5379" w:rsidRDefault="00893D1E" w:rsidP="00893D1E">
      <w:pPr>
        <w:pStyle w:val="Heading2"/>
        <w:rPr>
          <w:rFonts w:ascii="Arial" w:hAnsi="Arial" w:cs="Arial"/>
        </w:rPr>
      </w:pPr>
      <w:bookmarkStart w:id="202" w:name="_Toc37921506"/>
      <w:r w:rsidRPr="00EC5379">
        <w:rPr>
          <w:rFonts w:ascii="Arial" w:hAnsi="Arial" w:cs="Arial"/>
        </w:rPr>
        <w:t>Year three review</w:t>
      </w:r>
      <w:bookmarkEnd w:id="202"/>
    </w:p>
    <w:p w14:paraId="18ABDB4A" w14:textId="6887E24F" w:rsidR="00893D1E" w:rsidRPr="00EC5379" w:rsidRDefault="00893D1E" w:rsidP="00893D1E">
      <w:pPr>
        <w:pStyle w:val="BodyText"/>
        <w:rPr>
          <w:rFonts w:cs="Arial"/>
        </w:rPr>
      </w:pPr>
      <w:r w:rsidRPr="00EC5379">
        <w:rPr>
          <w:rFonts w:cs="Arial"/>
        </w:rPr>
        <w:t xml:space="preserve">The first review of these Regulations will occur as soon as possible after the three year anniversary </w:t>
      </w:r>
      <w:r w:rsidR="00DC52C9">
        <w:rPr>
          <w:rFonts w:cs="Arial"/>
        </w:rPr>
        <w:t>of the LSBP Act, on 1 July 2022, as part of the broader mandated three year review of the LSBP Act.</w:t>
      </w:r>
      <w:r w:rsidRPr="00EC5379">
        <w:rPr>
          <w:rStyle w:val="FootnoteReference"/>
          <w:rFonts w:cs="Arial"/>
        </w:rPr>
        <w:footnoteReference w:id="36"/>
      </w:r>
      <w:r w:rsidRPr="00EC5379">
        <w:rPr>
          <w:rFonts w:cs="Arial"/>
        </w:rPr>
        <w:t xml:space="preserve"> This will be an ‘implementation review’ which covers the experience of the sector in transitioning to the Regulations. It should include information such as financial and administrative concerns of </w:t>
      </w:r>
      <w:r>
        <w:rPr>
          <w:rFonts w:cs="Arial"/>
        </w:rPr>
        <w:t>employers</w:t>
      </w:r>
      <w:r w:rsidRPr="00EC5379">
        <w:rPr>
          <w:rFonts w:cs="Arial"/>
        </w:rPr>
        <w:t xml:space="preserve"> and the proportion of employees w</w:t>
      </w:r>
      <w:r>
        <w:rPr>
          <w:rFonts w:cs="Arial"/>
        </w:rPr>
        <w:t>ho have been registered in the S</w:t>
      </w:r>
      <w:r w:rsidRPr="00EC5379">
        <w:rPr>
          <w:rFonts w:cs="Arial"/>
        </w:rPr>
        <w:t xml:space="preserve">cheme. This will coincide with the actuarial investigation of funds which is statutorily required every three years. As such, the focus of this review will be on employers and employees rather than the Authority. </w:t>
      </w:r>
    </w:p>
    <w:p w14:paraId="14086221" w14:textId="77777777" w:rsidR="00893D1E" w:rsidRPr="00EC5379" w:rsidRDefault="00893D1E" w:rsidP="00893D1E">
      <w:pPr>
        <w:pStyle w:val="Heading3"/>
        <w:tabs>
          <w:tab w:val="clear" w:pos="5115"/>
        </w:tabs>
        <w:spacing w:after="240"/>
        <w:ind w:left="709"/>
        <w:rPr>
          <w:rFonts w:ascii="Arial" w:hAnsi="Arial" w:cs="Arial"/>
        </w:rPr>
      </w:pPr>
      <w:r w:rsidRPr="00EC5379">
        <w:rPr>
          <w:rFonts w:ascii="Arial" w:hAnsi="Arial" w:cs="Arial"/>
        </w:rPr>
        <w:t xml:space="preserve">Proposed Approach </w:t>
      </w:r>
    </w:p>
    <w:p w14:paraId="20A940F7" w14:textId="77777777" w:rsidR="00893D1E" w:rsidRPr="00EC5379" w:rsidRDefault="00893D1E" w:rsidP="00893D1E">
      <w:pPr>
        <w:pStyle w:val="Heading4"/>
        <w:spacing w:after="240"/>
        <w:ind w:left="709"/>
        <w:rPr>
          <w:rFonts w:ascii="Arial" w:hAnsi="Arial" w:cs="Arial"/>
        </w:rPr>
      </w:pPr>
      <w:r w:rsidRPr="00EC5379">
        <w:rPr>
          <w:rFonts w:ascii="Arial" w:hAnsi="Arial" w:cs="Arial"/>
        </w:rPr>
        <w:t>Who will conduct the review?</w:t>
      </w:r>
    </w:p>
    <w:p w14:paraId="182E0752" w14:textId="77777777" w:rsidR="00893D1E" w:rsidRPr="007846B7" w:rsidRDefault="00893D1E" w:rsidP="00893D1E">
      <w:pPr>
        <w:pStyle w:val="BodyText"/>
        <w:rPr>
          <w:rFonts w:cs="Arial"/>
          <w:color w:val="auto"/>
        </w:rPr>
      </w:pPr>
      <w:r w:rsidRPr="007846B7">
        <w:rPr>
          <w:rFonts w:cs="Arial"/>
        </w:rPr>
        <w:t xml:space="preserve">The primary responsibility for the evaluation process will rest with the Minister for Industrial Relations. It is proposed that </w:t>
      </w:r>
      <w:r>
        <w:rPr>
          <w:rFonts w:cs="Arial"/>
        </w:rPr>
        <w:t>the Minister</w:t>
      </w:r>
      <w:r w:rsidRPr="007846B7">
        <w:rPr>
          <w:rFonts w:cs="Arial"/>
        </w:rPr>
        <w:t xml:space="preserve"> establish a review body to organise and undertake the review. In addition to their coordination, the following stakeholders will also be involved in varying capacities:</w:t>
      </w:r>
    </w:p>
    <w:p w14:paraId="38DB821F" w14:textId="77777777" w:rsidR="00893D1E" w:rsidRPr="007846B7" w:rsidRDefault="00893D1E" w:rsidP="00893D1E">
      <w:pPr>
        <w:pStyle w:val="ListBullet"/>
        <w:contextualSpacing w:val="0"/>
        <w:rPr>
          <w:rFonts w:cs="Arial"/>
        </w:rPr>
      </w:pPr>
      <w:r w:rsidRPr="007846B7">
        <w:rPr>
          <w:rFonts w:cs="Arial"/>
        </w:rPr>
        <w:t>The Authority – will pro</w:t>
      </w:r>
      <w:r>
        <w:rPr>
          <w:rFonts w:cs="Arial"/>
        </w:rPr>
        <w:t>vide data on the uptake of the S</w:t>
      </w:r>
      <w:r w:rsidRPr="007846B7">
        <w:rPr>
          <w:rFonts w:cs="Arial"/>
        </w:rPr>
        <w:t>cheme and the nature of their interactions with employers and employees; and</w:t>
      </w:r>
    </w:p>
    <w:p w14:paraId="581BB4FB" w14:textId="554F2FD8" w:rsidR="00893D1E" w:rsidRPr="007846B7" w:rsidRDefault="00893D1E" w:rsidP="00893D1E">
      <w:pPr>
        <w:pStyle w:val="ListBullet"/>
        <w:contextualSpacing w:val="0"/>
        <w:rPr>
          <w:rFonts w:cs="Arial"/>
        </w:rPr>
      </w:pPr>
      <w:r>
        <w:rPr>
          <w:rFonts w:cs="Arial"/>
        </w:rPr>
        <w:lastRenderedPageBreak/>
        <w:t xml:space="preserve">Employers, employer groups, peak bodies and employee groups </w:t>
      </w:r>
      <w:r w:rsidRPr="007846B7">
        <w:rPr>
          <w:rFonts w:cs="Arial"/>
        </w:rPr>
        <w:t>will be consulted to provide feedback on various aspects of the Regulations, as detailed below in</w:t>
      </w:r>
      <w:r>
        <w:rPr>
          <w:rFonts w:cs="Arial"/>
        </w:rPr>
        <w:t xml:space="preserve"> </w:t>
      </w:r>
      <w:r w:rsidR="003409BC">
        <w:rPr>
          <w:rFonts w:cs="Arial"/>
          <w:highlight w:val="yellow"/>
        </w:rPr>
        <w:fldChar w:fldCharType="begin"/>
      </w:r>
      <w:r w:rsidR="003409BC">
        <w:rPr>
          <w:rFonts w:cs="Arial"/>
        </w:rPr>
        <w:instrText xml:space="preserve"> REF _Ref36802480 \h </w:instrText>
      </w:r>
      <w:r w:rsidR="003409BC">
        <w:rPr>
          <w:rFonts w:cs="Arial"/>
          <w:highlight w:val="yellow"/>
        </w:rPr>
      </w:r>
      <w:r w:rsidR="003409BC">
        <w:rPr>
          <w:rFonts w:cs="Arial"/>
          <w:highlight w:val="yellow"/>
        </w:rPr>
        <w:fldChar w:fldCharType="separate"/>
      </w:r>
      <w:r w:rsidR="003409BC" w:rsidRPr="00EC5379">
        <w:rPr>
          <w:rFonts w:cs="Arial"/>
        </w:rPr>
        <w:t xml:space="preserve">Table </w:t>
      </w:r>
      <w:r w:rsidR="003409BC">
        <w:rPr>
          <w:rFonts w:cs="Arial"/>
          <w:noProof/>
        </w:rPr>
        <w:t>19</w:t>
      </w:r>
      <w:r w:rsidR="003409BC">
        <w:rPr>
          <w:rFonts w:cs="Arial"/>
          <w:highlight w:val="yellow"/>
        </w:rPr>
        <w:fldChar w:fldCharType="end"/>
      </w:r>
      <w:r w:rsidRPr="007846B7">
        <w:rPr>
          <w:rFonts w:cs="Arial"/>
        </w:rPr>
        <w:t>.</w:t>
      </w:r>
    </w:p>
    <w:p w14:paraId="39FAD33B" w14:textId="77777777" w:rsidR="00893D1E" w:rsidRPr="00EC5379" w:rsidRDefault="00893D1E" w:rsidP="00893D1E">
      <w:pPr>
        <w:pStyle w:val="Heading4"/>
        <w:ind w:left="709"/>
        <w:rPr>
          <w:rFonts w:ascii="Arial" w:hAnsi="Arial" w:cs="Arial"/>
        </w:rPr>
      </w:pPr>
      <w:r w:rsidRPr="00EC5379">
        <w:rPr>
          <w:rFonts w:ascii="Arial" w:hAnsi="Arial" w:cs="Arial"/>
        </w:rPr>
        <w:t>How will the review be conducted?</w:t>
      </w:r>
    </w:p>
    <w:p w14:paraId="6686544D" w14:textId="59EB5246" w:rsidR="00893D1E" w:rsidRDefault="00893D1E" w:rsidP="00893D1E">
      <w:pPr>
        <w:pStyle w:val="BodyText"/>
        <w:rPr>
          <w:rFonts w:cs="Arial"/>
        </w:rPr>
      </w:pPr>
      <w:r w:rsidRPr="007846B7">
        <w:rPr>
          <w:rFonts w:cs="Arial"/>
        </w:rPr>
        <w:t xml:space="preserve">The review will require synthesis of </w:t>
      </w:r>
      <w:r w:rsidR="000709C1">
        <w:rPr>
          <w:rFonts w:cs="Arial"/>
        </w:rPr>
        <w:t>data from the Authority</w:t>
      </w:r>
      <w:r w:rsidRPr="007846B7">
        <w:rPr>
          <w:rFonts w:cs="Arial"/>
        </w:rPr>
        <w:t xml:space="preserve"> with stakeholder input to address the objectives of</w:t>
      </w:r>
      <w:r w:rsidR="007309AB">
        <w:rPr>
          <w:rFonts w:cs="Arial"/>
        </w:rPr>
        <w:t xml:space="preserve"> the</w:t>
      </w:r>
      <w:r w:rsidRPr="007846B7">
        <w:rPr>
          <w:rFonts w:cs="Arial"/>
        </w:rPr>
        <w:t xml:space="preserve"> review. This will require significant consultation with a broad range of employers to gather data on their experience of the implementation of the </w:t>
      </w:r>
      <w:r w:rsidR="007309AB">
        <w:rPr>
          <w:rFonts w:cs="Arial"/>
        </w:rPr>
        <w:t>S</w:t>
      </w:r>
      <w:r w:rsidRPr="007846B7">
        <w:rPr>
          <w:rFonts w:cs="Arial"/>
        </w:rPr>
        <w:t xml:space="preserve">cheme and to inform the analysis and results of the review. </w:t>
      </w:r>
    </w:p>
    <w:p w14:paraId="6A219DA1" w14:textId="465859DB" w:rsidR="00893D1E" w:rsidRPr="007846B7" w:rsidRDefault="00893D1E" w:rsidP="00893D1E">
      <w:pPr>
        <w:pStyle w:val="BodyText"/>
        <w:rPr>
          <w:rFonts w:cs="Arial"/>
        </w:rPr>
      </w:pPr>
      <w:r w:rsidRPr="007846B7">
        <w:rPr>
          <w:rFonts w:cs="Arial"/>
        </w:rPr>
        <w:t xml:space="preserve">It is proposed that the review body establish a working group who can be used on an ongoing basis to provide feedback and steering throughout the development of the review. </w:t>
      </w:r>
      <w:r w:rsidR="004740C1">
        <w:rPr>
          <w:rFonts w:cs="Arial"/>
        </w:rPr>
        <w:t>This could be modelled on the existing</w:t>
      </w:r>
      <w:r w:rsidRPr="00EC5379">
        <w:rPr>
          <w:rFonts w:cs="Arial"/>
        </w:rPr>
        <w:t xml:space="preserve"> Working Party that has been established by IRV which in</w:t>
      </w:r>
      <w:r>
        <w:rPr>
          <w:rFonts w:cs="Arial"/>
        </w:rPr>
        <w:t xml:space="preserve">cludes unions, employer groups, government departments, </w:t>
      </w:r>
      <w:r w:rsidRPr="00EC5379">
        <w:rPr>
          <w:rFonts w:cs="Arial"/>
        </w:rPr>
        <w:t xml:space="preserve">and </w:t>
      </w:r>
      <w:r>
        <w:rPr>
          <w:rFonts w:cs="Arial"/>
        </w:rPr>
        <w:t>peak body organisations.</w:t>
      </w:r>
    </w:p>
    <w:p w14:paraId="26A90A39" w14:textId="77777777" w:rsidR="00893D1E" w:rsidRPr="00EC5379" w:rsidRDefault="00893D1E" w:rsidP="00893D1E">
      <w:pPr>
        <w:pStyle w:val="Heading3"/>
        <w:tabs>
          <w:tab w:val="clear" w:pos="5115"/>
        </w:tabs>
        <w:ind w:left="709"/>
        <w:rPr>
          <w:rFonts w:ascii="Arial" w:hAnsi="Arial" w:cs="Arial"/>
        </w:rPr>
      </w:pPr>
      <w:r w:rsidRPr="00EC5379">
        <w:rPr>
          <w:rFonts w:ascii="Arial" w:hAnsi="Arial" w:cs="Arial"/>
        </w:rPr>
        <w:t>Content</w:t>
      </w:r>
    </w:p>
    <w:p w14:paraId="3DF9F34A" w14:textId="35ACD21B" w:rsidR="00893D1E" w:rsidRPr="00EC5379" w:rsidRDefault="00893D1E" w:rsidP="00893D1E">
      <w:pPr>
        <w:pStyle w:val="BodyText"/>
        <w:rPr>
          <w:rFonts w:cs="Arial"/>
        </w:rPr>
      </w:pPr>
      <w:r w:rsidRPr="00EC5379">
        <w:rPr>
          <w:rFonts w:cs="Arial"/>
        </w:rPr>
        <w:t xml:space="preserve">This will be an ‘implementation review’ which covers the experience of the sector in the first </w:t>
      </w:r>
      <w:r>
        <w:rPr>
          <w:rFonts w:cs="Arial"/>
        </w:rPr>
        <w:t xml:space="preserve">phase of implementation of the </w:t>
      </w:r>
      <w:r w:rsidR="004740C1">
        <w:rPr>
          <w:rFonts w:cs="Arial"/>
        </w:rPr>
        <w:t xml:space="preserve">Proposed </w:t>
      </w:r>
      <w:r w:rsidRPr="00EC5379">
        <w:rPr>
          <w:rFonts w:cs="Arial"/>
        </w:rPr>
        <w:t xml:space="preserve">Regulations. Its focus should be on matters such as financial and administrative concerns of </w:t>
      </w:r>
      <w:r>
        <w:rPr>
          <w:rFonts w:cs="Arial"/>
        </w:rPr>
        <w:t>employers and the uptake of the S</w:t>
      </w:r>
      <w:r w:rsidRPr="00EC5379">
        <w:rPr>
          <w:rFonts w:cs="Arial"/>
        </w:rPr>
        <w:t xml:space="preserve">cheme. </w:t>
      </w:r>
    </w:p>
    <w:p w14:paraId="38F73BC5" w14:textId="33C03B58" w:rsidR="00893D1E" w:rsidRPr="00DB3ADD" w:rsidRDefault="00893D1E" w:rsidP="00893D1E">
      <w:pPr>
        <w:pStyle w:val="BodyText"/>
        <w:rPr>
          <w:rFonts w:cs="Arial"/>
          <w:b/>
        </w:rPr>
      </w:pPr>
      <w:r w:rsidRPr="00EC5379">
        <w:rPr>
          <w:rFonts w:cs="Arial"/>
        </w:rPr>
        <w:t xml:space="preserve">Key objectives of the review, proposed measures, and potential data sources are summarised in </w:t>
      </w:r>
      <w:r>
        <w:rPr>
          <w:rFonts w:cs="Arial"/>
        </w:rPr>
        <w:fldChar w:fldCharType="begin"/>
      </w:r>
      <w:r>
        <w:rPr>
          <w:rFonts w:cs="Arial"/>
        </w:rPr>
        <w:instrText xml:space="preserve"> REF _Ref5822579 \h </w:instrText>
      </w:r>
      <w:r>
        <w:rPr>
          <w:rFonts w:cs="Arial"/>
        </w:rPr>
      </w:r>
      <w:r>
        <w:rPr>
          <w:rFonts w:cs="Arial"/>
        </w:rPr>
        <w:fldChar w:fldCharType="separate"/>
      </w:r>
      <w:r w:rsidRPr="00EC5379">
        <w:rPr>
          <w:rFonts w:cs="Arial"/>
        </w:rPr>
        <w:t xml:space="preserve">Table </w:t>
      </w:r>
      <w:r>
        <w:rPr>
          <w:rFonts w:cs="Arial"/>
          <w:noProof/>
        </w:rPr>
        <w:t>19</w:t>
      </w:r>
      <w:r>
        <w:rPr>
          <w:rFonts w:cs="Arial"/>
        </w:rPr>
        <w:fldChar w:fldCharType="end"/>
      </w:r>
      <w:r>
        <w:rPr>
          <w:rFonts w:cs="Arial"/>
        </w:rPr>
        <w:t xml:space="preserve"> </w:t>
      </w:r>
      <w:r w:rsidRPr="00EC5379">
        <w:rPr>
          <w:rFonts w:cs="Arial"/>
        </w:rPr>
        <w:t>below.</w:t>
      </w:r>
      <w:r>
        <w:rPr>
          <w:rFonts w:cs="Arial"/>
        </w:rPr>
        <w:t xml:space="preserve"> </w:t>
      </w:r>
      <w:r w:rsidR="004740C1">
        <w:rPr>
          <w:rFonts w:cs="Arial"/>
        </w:rPr>
        <w:t>Th</w:t>
      </w:r>
      <w:r w:rsidR="00D86A39">
        <w:rPr>
          <w:rFonts w:cs="Arial"/>
        </w:rPr>
        <w:t>is table</w:t>
      </w:r>
      <w:r w:rsidR="004740C1">
        <w:rPr>
          <w:rFonts w:cs="Arial"/>
        </w:rPr>
        <w:t xml:space="preserve"> only relate</w:t>
      </w:r>
      <w:r w:rsidR="00D86A39">
        <w:rPr>
          <w:rFonts w:cs="Arial"/>
        </w:rPr>
        <w:t>s</w:t>
      </w:r>
      <w:r w:rsidR="004740C1">
        <w:rPr>
          <w:rFonts w:cs="Arial"/>
        </w:rPr>
        <w:t xml:space="preserve"> to the changes in the Proposed Regulations compared to the status quo under the Interim Regulations.</w:t>
      </w:r>
      <w:r w:rsidR="00D86A39">
        <w:rPr>
          <w:rFonts w:cs="Arial"/>
        </w:rPr>
        <w:t xml:space="preserve"> Evaluation of the content in the Interim Regulations was discussed in the 2019 RIS.  </w:t>
      </w:r>
    </w:p>
    <w:p w14:paraId="7FBCBEE4" w14:textId="77777777" w:rsidR="00893D1E" w:rsidRPr="00EC5379" w:rsidRDefault="00893D1E" w:rsidP="00893D1E">
      <w:pPr>
        <w:pStyle w:val="Caption"/>
        <w:rPr>
          <w:rFonts w:ascii="Arial" w:hAnsi="Arial" w:cs="Arial"/>
        </w:rPr>
      </w:pPr>
      <w:bookmarkStart w:id="203" w:name="_Ref36802480"/>
      <w:r w:rsidRPr="00EC5379">
        <w:rPr>
          <w:rFonts w:ascii="Arial" w:hAnsi="Arial" w:cs="Arial"/>
        </w:rPr>
        <w:t xml:space="preserve">Table </w:t>
      </w:r>
      <w:r w:rsidRPr="00EC5379">
        <w:rPr>
          <w:rFonts w:ascii="Arial" w:hAnsi="Arial" w:cs="Arial"/>
          <w:noProof/>
        </w:rPr>
        <w:fldChar w:fldCharType="begin"/>
      </w:r>
      <w:r w:rsidRPr="00EC5379">
        <w:rPr>
          <w:rFonts w:ascii="Arial" w:hAnsi="Arial" w:cs="Arial"/>
          <w:noProof/>
        </w:rPr>
        <w:instrText xml:space="preserve"> SEQ Table \* ARABIC </w:instrText>
      </w:r>
      <w:r w:rsidRPr="00EC5379">
        <w:rPr>
          <w:rFonts w:ascii="Arial" w:hAnsi="Arial" w:cs="Arial"/>
          <w:noProof/>
        </w:rPr>
        <w:fldChar w:fldCharType="separate"/>
      </w:r>
      <w:r>
        <w:rPr>
          <w:rFonts w:ascii="Arial" w:hAnsi="Arial" w:cs="Arial"/>
          <w:noProof/>
        </w:rPr>
        <w:t>19</w:t>
      </w:r>
      <w:r w:rsidRPr="00EC5379">
        <w:rPr>
          <w:rFonts w:ascii="Arial" w:hAnsi="Arial" w:cs="Arial"/>
          <w:noProof/>
        </w:rPr>
        <w:fldChar w:fldCharType="end"/>
      </w:r>
      <w:bookmarkEnd w:id="203"/>
      <w:r w:rsidRPr="00EC5379">
        <w:rPr>
          <w:rFonts w:ascii="Arial" w:hAnsi="Arial" w:cs="Arial"/>
        </w:rPr>
        <w:t>: Content of the year three review</w:t>
      </w:r>
    </w:p>
    <w:tbl>
      <w:tblPr>
        <w:tblStyle w:val="TableGrid"/>
        <w:tblW w:w="9129" w:type="dxa"/>
        <w:tblLook w:val="04A0" w:firstRow="1" w:lastRow="0" w:firstColumn="1" w:lastColumn="0" w:noHBand="0" w:noVBand="1"/>
      </w:tblPr>
      <w:tblGrid>
        <w:gridCol w:w="3043"/>
        <w:gridCol w:w="3043"/>
        <w:gridCol w:w="3043"/>
      </w:tblGrid>
      <w:tr w:rsidR="00893D1E" w:rsidRPr="003A2B09" w14:paraId="33BCEE1D" w14:textId="77777777" w:rsidTr="00D50857">
        <w:trPr>
          <w:trHeight w:val="256"/>
          <w:tblHeader/>
        </w:trPr>
        <w:tc>
          <w:tcPr>
            <w:tcW w:w="3043" w:type="dxa"/>
            <w:shd w:val="clear" w:color="auto" w:fill="002060"/>
          </w:tcPr>
          <w:p w14:paraId="06F4383A" w14:textId="77777777" w:rsidR="00893D1E" w:rsidRPr="003A2B09" w:rsidRDefault="00893D1E" w:rsidP="003A2B09">
            <w:pPr>
              <w:pStyle w:val="Tableheading"/>
            </w:pPr>
            <w:r w:rsidRPr="003A2B09">
              <w:t>Review objective</w:t>
            </w:r>
          </w:p>
        </w:tc>
        <w:tc>
          <w:tcPr>
            <w:tcW w:w="3043" w:type="dxa"/>
            <w:shd w:val="clear" w:color="auto" w:fill="002060"/>
          </w:tcPr>
          <w:p w14:paraId="621DC53C" w14:textId="77777777" w:rsidR="00893D1E" w:rsidRPr="003A2B09" w:rsidRDefault="00893D1E" w:rsidP="003A2B09">
            <w:pPr>
              <w:pStyle w:val="Tableheading"/>
            </w:pPr>
            <w:r w:rsidRPr="003A2B09">
              <w:t>Measure</w:t>
            </w:r>
          </w:p>
        </w:tc>
        <w:tc>
          <w:tcPr>
            <w:tcW w:w="3043" w:type="dxa"/>
            <w:shd w:val="clear" w:color="auto" w:fill="002060"/>
          </w:tcPr>
          <w:p w14:paraId="2B248988" w14:textId="77777777" w:rsidR="00893D1E" w:rsidRPr="003A2B09" w:rsidRDefault="00893D1E" w:rsidP="003A2B09">
            <w:pPr>
              <w:pStyle w:val="Tableheading"/>
            </w:pPr>
            <w:r w:rsidRPr="003A2B09">
              <w:t>Data sources</w:t>
            </w:r>
          </w:p>
        </w:tc>
      </w:tr>
      <w:tr w:rsidR="00DC52C9" w:rsidRPr="00EC5379" w14:paraId="36F09DDD" w14:textId="77777777" w:rsidTr="00DB3ADD">
        <w:trPr>
          <w:trHeight w:val="3252"/>
        </w:trPr>
        <w:tc>
          <w:tcPr>
            <w:tcW w:w="3043" w:type="dxa"/>
            <w:shd w:val="clear" w:color="auto" w:fill="DEEAF6" w:themeFill="accent1" w:themeFillTint="33"/>
          </w:tcPr>
          <w:p w14:paraId="7207A1DA" w14:textId="77777777" w:rsidR="00DC52C9" w:rsidRPr="00697EE2" w:rsidRDefault="00DC52C9" w:rsidP="003A2B09">
            <w:pPr>
              <w:pStyle w:val="Tabletext"/>
            </w:pPr>
            <w:r w:rsidRPr="00697EE2">
              <w:t>Determine if there is appropriate uptake of the Scheme.</w:t>
            </w:r>
          </w:p>
        </w:tc>
        <w:tc>
          <w:tcPr>
            <w:tcW w:w="3043" w:type="dxa"/>
            <w:shd w:val="clear" w:color="auto" w:fill="DEEAF6" w:themeFill="accent1" w:themeFillTint="33"/>
          </w:tcPr>
          <w:p w14:paraId="22910512" w14:textId="056BF5EC" w:rsidR="00DC52C9" w:rsidRPr="00DC52C9" w:rsidRDefault="00DC52C9" w:rsidP="003A2B09">
            <w:pPr>
              <w:pStyle w:val="Tablebullet1"/>
            </w:pPr>
            <w:r w:rsidRPr="00697EE2">
              <w:t xml:space="preserve">Number of employees registered at the end of the 12th quarter compared to the number of </w:t>
            </w:r>
            <w:r>
              <w:t>employee</w:t>
            </w:r>
            <w:r w:rsidRPr="00697EE2">
              <w:t>s considered to be in-scope at that point</w:t>
            </w:r>
            <w:r>
              <w:t xml:space="preserve"> (based on actuarial modelling prepared during the development of the Scheme)</w:t>
            </w:r>
            <w:r w:rsidRPr="00697EE2">
              <w:t>.</w:t>
            </w:r>
          </w:p>
          <w:p w14:paraId="29D927CD" w14:textId="4461AA6C" w:rsidR="00DC52C9" w:rsidRPr="00697EE2" w:rsidRDefault="00DC52C9" w:rsidP="003A2B09">
            <w:pPr>
              <w:pStyle w:val="Tablebullet1"/>
            </w:pPr>
            <w:r>
              <w:t>Employee satisfaction that employers are registering covered employees with the Authority.</w:t>
            </w:r>
          </w:p>
        </w:tc>
        <w:tc>
          <w:tcPr>
            <w:tcW w:w="3043" w:type="dxa"/>
            <w:shd w:val="clear" w:color="auto" w:fill="DEEAF6" w:themeFill="accent1" w:themeFillTint="33"/>
          </w:tcPr>
          <w:p w14:paraId="142ABC2F" w14:textId="69E6574C" w:rsidR="00DC52C9" w:rsidRPr="003A2B09" w:rsidRDefault="00DC52C9" w:rsidP="003A2B09">
            <w:pPr>
              <w:pStyle w:val="Tablebullet1"/>
            </w:pPr>
            <w:r w:rsidRPr="00697EE2">
              <w:t>The Authority’s internal data, particularly the registers established under section 7 of the LSBP Act.</w:t>
            </w:r>
          </w:p>
          <w:p w14:paraId="341223B5" w14:textId="77777777" w:rsidR="00DC52C9" w:rsidRPr="00697EE2" w:rsidRDefault="00DC52C9" w:rsidP="003A2B09">
            <w:pPr>
              <w:pStyle w:val="Tablebullet1"/>
            </w:pPr>
            <w:r w:rsidRPr="00697EE2">
              <w:t>Consultation with employers, employer groups</w:t>
            </w:r>
            <w:r>
              <w:t>, employees, employee groups, and</w:t>
            </w:r>
            <w:r w:rsidRPr="00697EE2">
              <w:t xml:space="preserve"> peak bodies</w:t>
            </w:r>
            <w:r>
              <w:t xml:space="preserve"> across the three sectors</w:t>
            </w:r>
            <w:r w:rsidRPr="00697EE2">
              <w:t>.</w:t>
            </w:r>
          </w:p>
        </w:tc>
      </w:tr>
      <w:tr w:rsidR="00030099" w:rsidRPr="00EC5379" w14:paraId="1289AA90" w14:textId="77777777" w:rsidTr="00DB3ADD">
        <w:trPr>
          <w:trHeight w:val="1124"/>
        </w:trPr>
        <w:tc>
          <w:tcPr>
            <w:tcW w:w="3043" w:type="dxa"/>
            <w:shd w:val="clear" w:color="auto" w:fill="DEEAF6" w:themeFill="accent1" w:themeFillTint="33"/>
          </w:tcPr>
          <w:p w14:paraId="6751BB1C" w14:textId="77777777" w:rsidR="00030099" w:rsidRPr="003A2B09" w:rsidRDefault="00030099" w:rsidP="003A2B09">
            <w:pPr>
              <w:pStyle w:val="Tabletext"/>
            </w:pPr>
            <w:r w:rsidRPr="003A2B09">
              <w:t>Measure the ease with which employers have been able to implement the Scheme.</w:t>
            </w:r>
          </w:p>
        </w:tc>
        <w:tc>
          <w:tcPr>
            <w:tcW w:w="3043" w:type="dxa"/>
            <w:shd w:val="clear" w:color="auto" w:fill="DEEAF6" w:themeFill="accent1" w:themeFillTint="33"/>
          </w:tcPr>
          <w:p w14:paraId="4584207A" w14:textId="0F7E0841" w:rsidR="00030099" w:rsidRPr="00697EE2" w:rsidRDefault="00030099" w:rsidP="003A2B09">
            <w:pPr>
              <w:pStyle w:val="Tablebullet1"/>
            </w:pPr>
            <w:r>
              <w:t>Employer satisfaction</w:t>
            </w:r>
            <w:r w:rsidRPr="00697EE2">
              <w:t xml:space="preserve"> with the implementation processes required by the LSBP Act</w:t>
            </w:r>
            <w:r>
              <w:t xml:space="preserve"> and Regulations</w:t>
            </w:r>
            <w:r w:rsidRPr="00697EE2">
              <w:t>.</w:t>
            </w:r>
          </w:p>
        </w:tc>
        <w:tc>
          <w:tcPr>
            <w:tcW w:w="3043" w:type="dxa"/>
            <w:shd w:val="clear" w:color="auto" w:fill="DEEAF6" w:themeFill="accent1" w:themeFillTint="33"/>
          </w:tcPr>
          <w:p w14:paraId="78DEB318" w14:textId="77777777" w:rsidR="00030099" w:rsidRPr="00697EE2" w:rsidRDefault="00030099" w:rsidP="003A2B09">
            <w:pPr>
              <w:pStyle w:val="Tablebullet1"/>
            </w:pPr>
            <w:r w:rsidRPr="00697EE2">
              <w:t>Consultation with employers, employer groups and peak bodies</w:t>
            </w:r>
            <w:r>
              <w:t xml:space="preserve"> across the three sectors</w:t>
            </w:r>
            <w:r w:rsidRPr="00697EE2">
              <w:t>.</w:t>
            </w:r>
          </w:p>
        </w:tc>
      </w:tr>
      <w:tr w:rsidR="00893D1E" w:rsidRPr="00EC5379" w14:paraId="4AB1E7AE" w14:textId="77777777" w:rsidTr="003A2B09">
        <w:trPr>
          <w:cantSplit/>
        </w:trPr>
        <w:tc>
          <w:tcPr>
            <w:tcW w:w="3043" w:type="dxa"/>
            <w:shd w:val="clear" w:color="auto" w:fill="DEEAF6" w:themeFill="accent1" w:themeFillTint="33"/>
          </w:tcPr>
          <w:p w14:paraId="65F84692" w14:textId="63718F00" w:rsidR="00893D1E" w:rsidRPr="003A2B09" w:rsidRDefault="003A2B09" w:rsidP="003A2B09">
            <w:pPr>
              <w:pStyle w:val="Tabletext"/>
            </w:pPr>
            <w:r>
              <w:lastRenderedPageBreak/>
              <w:t>Determine if the cost of the S</w:t>
            </w:r>
            <w:r w:rsidR="00893D1E" w:rsidRPr="003A2B09">
              <w:t xml:space="preserve">cheme is threatening the financial viability of </w:t>
            </w:r>
            <w:r w:rsidR="0072722B" w:rsidRPr="003A2B09">
              <w:t>Women’s Health</w:t>
            </w:r>
            <w:r w:rsidR="00893D1E" w:rsidRPr="003A2B09">
              <w:t xml:space="preserve"> and </w:t>
            </w:r>
            <w:r w:rsidR="0072722B" w:rsidRPr="003A2B09">
              <w:t>Community Health</w:t>
            </w:r>
            <w:r w:rsidR="00893D1E" w:rsidRPr="003A2B09">
              <w:t xml:space="preserve"> employers.</w:t>
            </w:r>
          </w:p>
        </w:tc>
        <w:tc>
          <w:tcPr>
            <w:tcW w:w="3043" w:type="dxa"/>
            <w:shd w:val="clear" w:color="auto" w:fill="DEEAF6" w:themeFill="accent1" w:themeFillTint="33"/>
          </w:tcPr>
          <w:p w14:paraId="00B83F23" w14:textId="7359DF4F" w:rsidR="00893D1E" w:rsidRPr="00697EE2" w:rsidRDefault="00893D1E" w:rsidP="003A2B09">
            <w:pPr>
              <w:pStyle w:val="Tablebullet1"/>
            </w:pPr>
            <w:r w:rsidRPr="00697EE2">
              <w:t xml:space="preserve">Number of </w:t>
            </w:r>
            <w:r w:rsidR="0072722B">
              <w:t>Community Health</w:t>
            </w:r>
            <w:r w:rsidRPr="00697EE2">
              <w:t xml:space="preserve"> and/or </w:t>
            </w:r>
            <w:r w:rsidR="0072722B">
              <w:t>Women’s Health</w:t>
            </w:r>
            <w:r w:rsidRPr="00697EE2">
              <w:t xml:space="preserve"> </w:t>
            </w:r>
            <w:r>
              <w:t>providers</w:t>
            </w:r>
            <w:r w:rsidRPr="00697EE2">
              <w:t xml:space="preserve"> that have experienced financial difficulties or are in financial distress as a result of the Scheme.</w:t>
            </w:r>
          </w:p>
        </w:tc>
        <w:tc>
          <w:tcPr>
            <w:tcW w:w="3043" w:type="dxa"/>
            <w:shd w:val="clear" w:color="auto" w:fill="DEEAF6" w:themeFill="accent1" w:themeFillTint="33"/>
          </w:tcPr>
          <w:p w14:paraId="375ACB00" w14:textId="6CF8DE03" w:rsidR="00893D1E" w:rsidRPr="003A2B09" w:rsidRDefault="00893D1E" w:rsidP="003A2B09">
            <w:pPr>
              <w:pStyle w:val="Tablebullet1"/>
              <w:ind w:left="357" w:hanging="357"/>
            </w:pPr>
            <w:r w:rsidRPr="00697EE2">
              <w:t xml:space="preserve">Consultation with employers in the </w:t>
            </w:r>
            <w:r w:rsidR="0072722B">
              <w:t>Community Health</w:t>
            </w:r>
            <w:r w:rsidRPr="00697EE2">
              <w:t xml:space="preserve"> and </w:t>
            </w:r>
            <w:r w:rsidR="0072722B">
              <w:t>Women’s Health</w:t>
            </w:r>
            <w:r w:rsidRPr="00697EE2">
              <w:t xml:space="preserve"> </w:t>
            </w:r>
            <w:r w:rsidR="002106A3">
              <w:t>sub</w:t>
            </w:r>
            <w:r w:rsidR="002106A3">
              <w:noBreakHyphen/>
              <w:t>sector</w:t>
            </w:r>
            <w:r w:rsidRPr="00697EE2">
              <w:t>s.</w:t>
            </w:r>
          </w:p>
          <w:p w14:paraId="312A9C10" w14:textId="56E3F769" w:rsidR="00893D1E" w:rsidRPr="00697EE2" w:rsidRDefault="00893D1E" w:rsidP="003A2B09">
            <w:pPr>
              <w:pStyle w:val="Tablebullet1"/>
            </w:pPr>
            <w:r w:rsidRPr="00697EE2">
              <w:t xml:space="preserve">Comparison of the costs of complying with overall revenue and costs of </w:t>
            </w:r>
            <w:r w:rsidR="0072722B">
              <w:t>Community Health</w:t>
            </w:r>
            <w:r w:rsidRPr="00697EE2">
              <w:t xml:space="preserve"> and </w:t>
            </w:r>
            <w:r w:rsidR="0072722B">
              <w:t>Women’s Health</w:t>
            </w:r>
            <w:r w:rsidRPr="00697EE2">
              <w:t xml:space="preserve"> employers.</w:t>
            </w:r>
          </w:p>
        </w:tc>
      </w:tr>
    </w:tbl>
    <w:p w14:paraId="42794C7B" w14:textId="77777777" w:rsidR="00893D1E" w:rsidRPr="00EC5379" w:rsidRDefault="00893D1E" w:rsidP="00893D1E">
      <w:pPr>
        <w:pStyle w:val="Heading2"/>
        <w:rPr>
          <w:rFonts w:ascii="Arial" w:hAnsi="Arial" w:cs="Arial"/>
        </w:rPr>
      </w:pPr>
      <w:bookmarkStart w:id="204" w:name="_Toc37921507"/>
      <w:r w:rsidRPr="00EC5379">
        <w:rPr>
          <w:rFonts w:ascii="Arial" w:hAnsi="Arial" w:cs="Arial"/>
        </w:rPr>
        <w:t>Year seven review</w:t>
      </w:r>
      <w:bookmarkEnd w:id="204"/>
    </w:p>
    <w:p w14:paraId="4277E892" w14:textId="7F2AC4D7" w:rsidR="00893D1E" w:rsidRPr="00EC5379" w:rsidRDefault="00030099" w:rsidP="00893D1E">
      <w:pPr>
        <w:pStyle w:val="Bodytextkeepwithnext"/>
        <w:keepLines/>
        <w:rPr>
          <w:rFonts w:cs="Arial"/>
        </w:rPr>
      </w:pPr>
      <w:r>
        <w:rPr>
          <w:rFonts w:cs="Arial"/>
        </w:rPr>
        <w:t>The second review of the</w:t>
      </w:r>
      <w:r w:rsidR="00893D1E" w:rsidRPr="00EC5379">
        <w:rPr>
          <w:rFonts w:cs="Arial"/>
        </w:rPr>
        <w:t xml:space="preserve"> Regulations will occur as soon as possible after the seven year anniversary </w:t>
      </w:r>
      <w:r w:rsidR="00DC52C9">
        <w:rPr>
          <w:rFonts w:cs="Arial"/>
        </w:rPr>
        <w:t>of the LSBP Act, on 1 July 2026, as part of the broader mandated seven year review of the LSBP Act.</w:t>
      </w:r>
      <w:r w:rsidR="00893D1E" w:rsidRPr="00EC5379">
        <w:rPr>
          <w:rStyle w:val="FootnoteReference"/>
          <w:rFonts w:cs="Arial"/>
        </w:rPr>
        <w:footnoteReference w:id="37"/>
      </w:r>
      <w:r w:rsidR="00893D1E" w:rsidRPr="00EC5379">
        <w:rPr>
          <w:rFonts w:cs="Arial"/>
        </w:rPr>
        <w:t xml:space="preserve"> This date has been chosen as it is the first year from which employee</w:t>
      </w:r>
      <w:r w:rsidR="00893D1E">
        <w:rPr>
          <w:rFonts w:cs="Arial"/>
        </w:rPr>
        <w:t>s can claim benefits under the S</w:t>
      </w:r>
      <w:r w:rsidR="00893D1E" w:rsidRPr="00EC5379">
        <w:rPr>
          <w:rFonts w:cs="Arial"/>
        </w:rPr>
        <w:t xml:space="preserve">cheme. </w:t>
      </w:r>
      <w:r>
        <w:rPr>
          <w:rFonts w:cs="Arial"/>
        </w:rPr>
        <w:t xml:space="preserve">The review of the Regulations will </w:t>
      </w:r>
      <w:r w:rsidR="00D86A39">
        <w:rPr>
          <w:rFonts w:cs="Arial"/>
        </w:rPr>
        <w:t>be part of</w:t>
      </w:r>
      <w:r w:rsidR="00D86A39" w:rsidRPr="00EC5379">
        <w:rPr>
          <w:rFonts w:cs="Arial"/>
        </w:rPr>
        <w:t xml:space="preserve"> </w:t>
      </w:r>
      <w:r w:rsidR="00893D1E" w:rsidRPr="00EC5379">
        <w:rPr>
          <w:rFonts w:cs="Arial"/>
        </w:rPr>
        <w:t>a broader assessm</w:t>
      </w:r>
      <w:r w:rsidR="00893D1E">
        <w:rPr>
          <w:rFonts w:cs="Arial"/>
        </w:rPr>
        <w:t>ent of the extent to which the S</w:t>
      </w:r>
      <w:r w:rsidR="00893D1E" w:rsidRPr="00EC5379">
        <w:rPr>
          <w:rFonts w:cs="Arial"/>
        </w:rPr>
        <w:t>cheme</w:t>
      </w:r>
      <w:r w:rsidR="00D86A39">
        <w:rPr>
          <w:rFonts w:cs="Arial"/>
        </w:rPr>
        <w:t>’s objectives are being met.</w:t>
      </w:r>
    </w:p>
    <w:p w14:paraId="0D21F35F" w14:textId="77777777" w:rsidR="00893D1E" w:rsidRPr="00EC5379" w:rsidRDefault="00893D1E" w:rsidP="00893D1E">
      <w:pPr>
        <w:pStyle w:val="Heading3"/>
        <w:tabs>
          <w:tab w:val="clear" w:pos="5115"/>
        </w:tabs>
        <w:spacing w:after="240"/>
        <w:ind w:left="709"/>
        <w:rPr>
          <w:rFonts w:ascii="Arial" w:hAnsi="Arial" w:cs="Arial"/>
        </w:rPr>
      </w:pPr>
      <w:r w:rsidRPr="00EC5379">
        <w:rPr>
          <w:rFonts w:ascii="Arial" w:hAnsi="Arial" w:cs="Arial"/>
        </w:rPr>
        <w:t xml:space="preserve">Proposed Approach </w:t>
      </w:r>
    </w:p>
    <w:p w14:paraId="6A823E2E" w14:textId="77777777" w:rsidR="00893D1E" w:rsidRPr="00EC5379" w:rsidRDefault="00893D1E" w:rsidP="00893D1E">
      <w:pPr>
        <w:pStyle w:val="Heading4"/>
        <w:spacing w:after="240"/>
        <w:ind w:left="709"/>
        <w:rPr>
          <w:rFonts w:ascii="Arial" w:hAnsi="Arial" w:cs="Arial"/>
        </w:rPr>
      </w:pPr>
      <w:r w:rsidRPr="00EC5379">
        <w:rPr>
          <w:rFonts w:ascii="Arial" w:hAnsi="Arial" w:cs="Arial"/>
        </w:rPr>
        <w:t>Who will conduct the review?</w:t>
      </w:r>
    </w:p>
    <w:p w14:paraId="21984D2B" w14:textId="77777777" w:rsidR="00893D1E" w:rsidRDefault="00893D1E" w:rsidP="00893D1E">
      <w:pPr>
        <w:pStyle w:val="BodyText"/>
        <w:rPr>
          <w:rFonts w:cs="Arial"/>
        </w:rPr>
      </w:pPr>
      <w:r w:rsidRPr="007846B7">
        <w:rPr>
          <w:rFonts w:cs="Arial"/>
        </w:rPr>
        <w:t>The primary responsibility for the evaluation process will rest with the Minister for Industrial Relations. It is proposed that the review body that was established at the year three review will again conduct this review. In addition to their coordination, the following stakeholders will also be involved in varying capacities:</w:t>
      </w:r>
    </w:p>
    <w:p w14:paraId="6AD53805" w14:textId="26CE7752" w:rsidR="00893D1E" w:rsidRPr="007846B7" w:rsidRDefault="00893D1E" w:rsidP="00893D1E">
      <w:pPr>
        <w:pStyle w:val="ListBullet"/>
        <w:contextualSpacing w:val="0"/>
        <w:rPr>
          <w:rFonts w:cs="Arial"/>
        </w:rPr>
      </w:pPr>
      <w:r w:rsidRPr="007846B7">
        <w:rPr>
          <w:rFonts w:cs="Arial"/>
        </w:rPr>
        <w:t>The Authority will pro</w:t>
      </w:r>
      <w:r>
        <w:rPr>
          <w:rFonts w:cs="Arial"/>
        </w:rPr>
        <w:t>vide data on the uptake of the S</w:t>
      </w:r>
      <w:r w:rsidRPr="007846B7">
        <w:rPr>
          <w:rFonts w:cs="Arial"/>
        </w:rPr>
        <w:t>cheme and the nature of their interactions with employers and employees; and</w:t>
      </w:r>
    </w:p>
    <w:p w14:paraId="10D30A03" w14:textId="595E86FA" w:rsidR="00893D1E" w:rsidRPr="007846B7" w:rsidRDefault="00893D1E" w:rsidP="00893D1E">
      <w:pPr>
        <w:pStyle w:val="ListBullet"/>
        <w:contextualSpacing w:val="0"/>
        <w:rPr>
          <w:rFonts w:cs="Arial"/>
        </w:rPr>
      </w:pPr>
      <w:r>
        <w:rPr>
          <w:rFonts w:cs="Arial"/>
        </w:rPr>
        <w:t>Employers, employer groups, peak bodies and employee groups</w:t>
      </w:r>
      <w:r w:rsidRPr="007846B7">
        <w:rPr>
          <w:rFonts w:cs="Arial"/>
        </w:rPr>
        <w:t xml:space="preserve"> will be consulted to provide feedback on various aspects of the Regulations, as detailed in</w:t>
      </w:r>
      <w:r>
        <w:rPr>
          <w:rFonts w:cs="Arial"/>
        </w:rPr>
        <w:t xml:space="preserve"> </w:t>
      </w:r>
      <w:r w:rsidR="003409BC">
        <w:rPr>
          <w:rFonts w:cs="Arial"/>
        </w:rPr>
        <w:fldChar w:fldCharType="begin"/>
      </w:r>
      <w:r w:rsidR="003409BC">
        <w:rPr>
          <w:rFonts w:cs="Arial"/>
        </w:rPr>
        <w:instrText xml:space="preserve"> REF _Ref36802492 \h </w:instrText>
      </w:r>
      <w:r w:rsidR="003409BC">
        <w:rPr>
          <w:rFonts w:cs="Arial"/>
        </w:rPr>
      </w:r>
      <w:r w:rsidR="003409BC">
        <w:rPr>
          <w:rFonts w:cs="Arial"/>
        </w:rPr>
        <w:fldChar w:fldCharType="separate"/>
      </w:r>
      <w:r w:rsidR="003409BC" w:rsidRPr="00EC5379">
        <w:rPr>
          <w:rFonts w:cs="Arial"/>
        </w:rPr>
        <w:t xml:space="preserve">Table </w:t>
      </w:r>
      <w:r w:rsidR="003409BC">
        <w:rPr>
          <w:rFonts w:cs="Arial"/>
          <w:noProof/>
        </w:rPr>
        <w:t>20</w:t>
      </w:r>
      <w:r w:rsidR="003409BC">
        <w:rPr>
          <w:rFonts w:cs="Arial"/>
        </w:rPr>
        <w:fldChar w:fldCharType="end"/>
      </w:r>
      <w:r>
        <w:rPr>
          <w:rFonts w:cs="Arial"/>
        </w:rPr>
        <w:t>.</w:t>
      </w:r>
    </w:p>
    <w:p w14:paraId="0B33C1AD" w14:textId="77777777" w:rsidR="00893D1E" w:rsidRPr="00EC5379" w:rsidRDefault="00893D1E" w:rsidP="00893D1E">
      <w:pPr>
        <w:pStyle w:val="Heading4"/>
        <w:spacing w:after="240"/>
        <w:ind w:left="709"/>
        <w:rPr>
          <w:rFonts w:ascii="Arial" w:hAnsi="Arial" w:cs="Arial"/>
        </w:rPr>
      </w:pPr>
      <w:r w:rsidRPr="00EC5379">
        <w:rPr>
          <w:rFonts w:ascii="Arial" w:hAnsi="Arial" w:cs="Arial"/>
        </w:rPr>
        <w:t>How will the review be conducted?</w:t>
      </w:r>
    </w:p>
    <w:p w14:paraId="5B99C03F" w14:textId="1A6CF9DE" w:rsidR="00893D1E" w:rsidRPr="007846B7" w:rsidRDefault="00893D1E" w:rsidP="00893D1E">
      <w:pPr>
        <w:pStyle w:val="BodyText"/>
        <w:rPr>
          <w:rFonts w:cs="Arial"/>
          <w:color w:val="auto"/>
        </w:rPr>
      </w:pPr>
      <w:r w:rsidRPr="007846B7">
        <w:rPr>
          <w:rFonts w:cs="Arial"/>
        </w:rPr>
        <w:t xml:space="preserve">The review will require synthesis of </w:t>
      </w:r>
      <w:r w:rsidR="00D50857">
        <w:rPr>
          <w:rFonts w:cs="Arial"/>
        </w:rPr>
        <w:t>data from the Authority</w:t>
      </w:r>
      <w:r w:rsidRPr="007846B7">
        <w:rPr>
          <w:rFonts w:cs="Arial"/>
        </w:rPr>
        <w:t xml:space="preserve"> with stakeholder input to address the objectives of review. This will require significant consultation with a broad range of </w:t>
      </w:r>
      <w:r>
        <w:rPr>
          <w:rFonts w:cs="Arial"/>
        </w:rPr>
        <w:t>stakeholders</w:t>
      </w:r>
      <w:r w:rsidRPr="007846B7">
        <w:rPr>
          <w:rFonts w:cs="Arial"/>
        </w:rPr>
        <w:t xml:space="preserve"> to gather data on their experience of the implementation of the </w:t>
      </w:r>
      <w:r w:rsidR="003E5AC1">
        <w:rPr>
          <w:rFonts w:cs="Arial"/>
        </w:rPr>
        <w:t>S</w:t>
      </w:r>
      <w:r w:rsidRPr="007846B7">
        <w:rPr>
          <w:rFonts w:cs="Arial"/>
        </w:rPr>
        <w:t>cheme and to inform the analysis and results of the review.</w:t>
      </w:r>
    </w:p>
    <w:p w14:paraId="347105C8" w14:textId="61BA7357" w:rsidR="00893D1E" w:rsidRPr="007846B7" w:rsidRDefault="00893D1E" w:rsidP="00893D1E">
      <w:pPr>
        <w:pStyle w:val="BodyText"/>
        <w:rPr>
          <w:rFonts w:cs="Arial"/>
        </w:rPr>
      </w:pPr>
      <w:r w:rsidRPr="007846B7">
        <w:rPr>
          <w:rFonts w:cs="Arial"/>
        </w:rPr>
        <w:t xml:space="preserve">It is proposed that the review body seek input from the working group established at the year three review on an annual basis following that review, to build an appropriate evidence base which responds to the below objectives, to inform the year seven review. In addition, the review body will need to undertake further secondary data analysis and another round of consultations and workshop sessions with the working group to develop the detail required to evaluate the extent to </w:t>
      </w:r>
      <w:r w:rsidR="003E5AC1">
        <w:rPr>
          <w:rFonts w:cs="Arial"/>
        </w:rPr>
        <w:t>which</w:t>
      </w:r>
      <w:r w:rsidR="003E5AC1" w:rsidRPr="007846B7">
        <w:rPr>
          <w:rFonts w:cs="Arial"/>
        </w:rPr>
        <w:t xml:space="preserve"> </w:t>
      </w:r>
      <w:r w:rsidRPr="007846B7">
        <w:rPr>
          <w:rFonts w:cs="Arial"/>
        </w:rPr>
        <w:t xml:space="preserve">the Regulations have met their objectives. </w:t>
      </w:r>
    </w:p>
    <w:p w14:paraId="6EF79BC6" w14:textId="77777777" w:rsidR="00893D1E" w:rsidRPr="00EC5379" w:rsidRDefault="00893D1E" w:rsidP="00893D1E">
      <w:pPr>
        <w:pStyle w:val="Heading3"/>
        <w:tabs>
          <w:tab w:val="clear" w:pos="5115"/>
        </w:tabs>
        <w:ind w:left="709"/>
        <w:rPr>
          <w:rFonts w:ascii="Arial" w:hAnsi="Arial" w:cs="Arial"/>
        </w:rPr>
      </w:pPr>
      <w:r w:rsidRPr="00EC5379">
        <w:rPr>
          <w:rFonts w:ascii="Arial" w:hAnsi="Arial" w:cs="Arial"/>
        </w:rPr>
        <w:lastRenderedPageBreak/>
        <w:t>Content</w:t>
      </w:r>
    </w:p>
    <w:p w14:paraId="2C1FFE21" w14:textId="48E7CB90" w:rsidR="00893D1E" w:rsidRDefault="00893D1E" w:rsidP="00893D1E">
      <w:pPr>
        <w:pStyle w:val="BodyText"/>
        <w:rPr>
          <w:rFonts w:cs="Arial"/>
        </w:rPr>
      </w:pPr>
      <w:r w:rsidRPr="00EC5379">
        <w:rPr>
          <w:rFonts w:cs="Arial"/>
        </w:rPr>
        <w:t xml:space="preserve">The focus of the review will be on measuring the extent to which the Regulations have met the objectives stated in section </w:t>
      </w:r>
      <w:r w:rsidRPr="00EC5379">
        <w:rPr>
          <w:rFonts w:cs="Arial"/>
        </w:rPr>
        <w:fldChar w:fldCharType="begin"/>
      </w:r>
      <w:r w:rsidRPr="00EC5379">
        <w:rPr>
          <w:rFonts w:cs="Arial"/>
        </w:rPr>
        <w:instrText xml:space="preserve"> REF _Ref5830357 \w \h </w:instrText>
      </w:r>
      <w:r>
        <w:rPr>
          <w:rFonts w:cs="Arial"/>
        </w:rPr>
        <w:instrText xml:space="preserve"> \* MERGEFORMAT </w:instrText>
      </w:r>
      <w:r w:rsidRPr="00EC5379">
        <w:rPr>
          <w:rFonts w:cs="Arial"/>
        </w:rPr>
      </w:r>
      <w:r w:rsidRPr="00EC5379">
        <w:rPr>
          <w:rFonts w:cs="Arial"/>
        </w:rPr>
        <w:fldChar w:fldCharType="separate"/>
      </w:r>
      <w:r>
        <w:rPr>
          <w:rFonts w:cs="Arial"/>
        </w:rPr>
        <w:t>3</w:t>
      </w:r>
      <w:r w:rsidRPr="00EC5379">
        <w:rPr>
          <w:rFonts w:cs="Arial"/>
        </w:rPr>
        <w:fldChar w:fldCharType="end"/>
      </w:r>
      <w:r w:rsidRPr="00EC5379">
        <w:rPr>
          <w:rFonts w:cs="Arial"/>
        </w:rPr>
        <w:t xml:space="preserve"> of this RIS. These objectives, suggested measures, and potential data sources are</w:t>
      </w:r>
      <w:r>
        <w:rPr>
          <w:rFonts w:cs="Arial"/>
        </w:rPr>
        <w:t xml:space="preserve"> summarised</w:t>
      </w:r>
      <w:r w:rsidR="003409BC">
        <w:rPr>
          <w:rFonts w:cs="Arial"/>
        </w:rPr>
        <w:t xml:space="preserve"> over the page </w:t>
      </w:r>
      <w:r>
        <w:rPr>
          <w:rFonts w:cs="Arial"/>
        </w:rPr>
        <w:t xml:space="preserve">in </w:t>
      </w:r>
      <w:r>
        <w:rPr>
          <w:rFonts w:cs="Arial"/>
        </w:rPr>
        <w:fldChar w:fldCharType="begin"/>
      </w:r>
      <w:r>
        <w:rPr>
          <w:rFonts w:cs="Arial"/>
        </w:rPr>
        <w:instrText xml:space="preserve"> REF _Ref5824694 \h </w:instrText>
      </w:r>
      <w:r>
        <w:rPr>
          <w:rFonts w:cs="Arial"/>
        </w:rPr>
      </w:r>
      <w:r>
        <w:rPr>
          <w:rFonts w:cs="Arial"/>
        </w:rPr>
        <w:fldChar w:fldCharType="separate"/>
      </w:r>
      <w:r w:rsidRPr="00EC5379">
        <w:rPr>
          <w:rFonts w:cs="Arial"/>
        </w:rPr>
        <w:t xml:space="preserve">Table </w:t>
      </w:r>
      <w:r>
        <w:rPr>
          <w:rFonts w:cs="Arial"/>
          <w:noProof/>
        </w:rPr>
        <w:t>20</w:t>
      </w:r>
      <w:r>
        <w:rPr>
          <w:rFonts w:cs="Arial"/>
        </w:rPr>
        <w:fldChar w:fldCharType="end"/>
      </w:r>
      <w:r w:rsidR="0055008B">
        <w:rPr>
          <w:rFonts w:cs="Arial"/>
        </w:rPr>
        <w:t xml:space="preserve">. </w:t>
      </w:r>
      <w:r w:rsidR="00030099">
        <w:rPr>
          <w:rFonts w:cs="Arial"/>
        </w:rPr>
        <w:t>T</w:t>
      </w:r>
      <w:r w:rsidR="00D86A39">
        <w:rPr>
          <w:rFonts w:cs="Arial"/>
        </w:rPr>
        <w:t>his table</w:t>
      </w:r>
      <w:r w:rsidR="00030099">
        <w:rPr>
          <w:rFonts w:cs="Arial"/>
        </w:rPr>
        <w:t xml:space="preserve"> only relate</w:t>
      </w:r>
      <w:r w:rsidR="00D86A39">
        <w:rPr>
          <w:rFonts w:cs="Arial"/>
        </w:rPr>
        <w:t>s</w:t>
      </w:r>
      <w:r w:rsidR="00030099">
        <w:rPr>
          <w:rFonts w:cs="Arial"/>
        </w:rPr>
        <w:t xml:space="preserve"> to the changes in the Proposed Regulations compared to the status quo under the Interim Regulations.</w:t>
      </w:r>
      <w:r w:rsidR="00D86A39">
        <w:rPr>
          <w:rFonts w:cs="Arial"/>
        </w:rPr>
        <w:t xml:space="preserve"> Evaluation of the content in the Interim Regulations was discussed in the 2019 RIS.  </w:t>
      </w:r>
    </w:p>
    <w:p w14:paraId="626513EC" w14:textId="77777777" w:rsidR="00893D1E" w:rsidRPr="00EC5379" w:rsidRDefault="00893D1E" w:rsidP="00893D1E">
      <w:pPr>
        <w:pStyle w:val="Caption"/>
        <w:rPr>
          <w:rFonts w:ascii="Arial" w:hAnsi="Arial" w:cs="Arial"/>
        </w:rPr>
      </w:pPr>
      <w:bookmarkStart w:id="205" w:name="_Ref36802492"/>
      <w:r w:rsidRPr="00EC5379">
        <w:rPr>
          <w:rFonts w:ascii="Arial" w:hAnsi="Arial" w:cs="Arial"/>
        </w:rPr>
        <w:t xml:space="preserve">Table </w:t>
      </w:r>
      <w:r w:rsidRPr="00EC5379">
        <w:rPr>
          <w:rFonts w:ascii="Arial" w:hAnsi="Arial" w:cs="Arial"/>
          <w:noProof/>
        </w:rPr>
        <w:fldChar w:fldCharType="begin"/>
      </w:r>
      <w:r w:rsidRPr="00EC5379">
        <w:rPr>
          <w:rFonts w:ascii="Arial" w:hAnsi="Arial" w:cs="Arial"/>
          <w:noProof/>
        </w:rPr>
        <w:instrText xml:space="preserve"> SEQ Table \* ARABIC </w:instrText>
      </w:r>
      <w:r w:rsidRPr="00EC5379">
        <w:rPr>
          <w:rFonts w:ascii="Arial" w:hAnsi="Arial" w:cs="Arial"/>
          <w:noProof/>
        </w:rPr>
        <w:fldChar w:fldCharType="separate"/>
      </w:r>
      <w:r>
        <w:rPr>
          <w:rFonts w:ascii="Arial" w:hAnsi="Arial" w:cs="Arial"/>
          <w:noProof/>
        </w:rPr>
        <w:t>20</w:t>
      </w:r>
      <w:r w:rsidRPr="00EC5379">
        <w:rPr>
          <w:rFonts w:ascii="Arial" w:hAnsi="Arial" w:cs="Arial"/>
          <w:noProof/>
        </w:rPr>
        <w:fldChar w:fldCharType="end"/>
      </w:r>
      <w:bookmarkEnd w:id="205"/>
      <w:r w:rsidRPr="00EC5379">
        <w:rPr>
          <w:rFonts w:ascii="Arial" w:hAnsi="Arial" w:cs="Arial"/>
        </w:rPr>
        <w:t>: Content of the year seven review</w:t>
      </w:r>
    </w:p>
    <w:tbl>
      <w:tblPr>
        <w:tblStyle w:val="TableGrid"/>
        <w:tblW w:w="0" w:type="auto"/>
        <w:tblLook w:val="04A0" w:firstRow="1" w:lastRow="0" w:firstColumn="1" w:lastColumn="0" w:noHBand="0" w:noVBand="1"/>
      </w:tblPr>
      <w:tblGrid>
        <w:gridCol w:w="1451"/>
        <w:gridCol w:w="2797"/>
        <w:gridCol w:w="2410"/>
        <w:gridCol w:w="2140"/>
      </w:tblGrid>
      <w:tr w:rsidR="00893D1E" w:rsidRPr="000378AE" w14:paraId="0B4C77A7" w14:textId="77777777" w:rsidTr="00AD518C">
        <w:trPr>
          <w:tblHeader/>
        </w:trPr>
        <w:tc>
          <w:tcPr>
            <w:tcW w:w="1451" w:type="dxa"/>
            <w:shd w:val="clear" w:color="auto" w:fill="002060"/>
          </w:tcPr>
          <w:p w14:paraId="5ABA4011" w14:textId="77777777" w:rsidR="00893D1E" w:rsidRPr="000378AE" w:rsidRDefault="00893D1E" w:rsidP="00D50857">
            <w:pPr>
              <w:pStyle w:val="Tableheading"/>
              <w:keepNext/>
              <w:rPr>
                <w:rFonts w:ascii="Arial" w:hAnsi="Arial" w:cs="Arial"/>
              </w:rPr>
            </w:pPr>
            <w:r w:rsidRPr="000378AE">
              <w:rPr>
                <w:rFonts w:ascii="Arial" w:hAnsi="Arial" w:cs="Arial"/>
              </w:rPr>
              <w:t>Regulation element</w:t>
            </w:r>
          </w:p>
        </w:tc>
        <w:tc>
          <w:tcPr>
            <w:tcW w:w="2797" w:type="dxa"/>
            <w:shd w:val="clear" w:color="auto" w:fill="002060"/>
          </w:tcPr>
          <w:p w14:paraId="3638A544" w14:textId="77777777" w:rsidR="00893D1E" w:rsidRPr="000378AE" w:rsidRDefault="00893D1E" w:rsidP="00D50857">
            <w:pPr>
              <w:pStyle w:val="Tableheading"/>
              <w:keepNext/>
              <w:rPr>
                <w:rFonts w:ascii="Arial" w:hAnsi="Arial" w:cs="Arial"/>
              </w:rPr>
            </w:pPr>
            <w:r w:rsidRPr="000378AE">
              <w:rPr>
                <w:rFonts w:ascii="Arial" w:hAnsi="Arial" w:cs="Arial"/>
              </w:rPr>
              <w:t>Objectives</w:t>
            </w:r>
          </w:p>
        </w:tc>
        <w:tc>
          <w:tcPr>
            <w:tcW w:w="2410" w:type="dxa"/>
            <w:shd w:val="clear" w:color="auto" w:fill="002060"/>
          </w:tcPr>
          <w:p w14:paraId="3628FA6B" w14:textId="77777777" w:rsidR="00893D1E" w:rsidRPr="000378AE" w:rsidRDefault="00893D1E" w:rsidP="00D50857">
            <w:pPr>
              <w:pStyle w:val="Tableheading"/>
              <w:keepNext/>
              <w:rPr>
                <w:rFonts w:ascii="Arial" w:hAnsi="Arial" w:cs="Arial"/>
              </w:rPr>
            </w:pPr>
            <w:r w:rsidRPr="000378AE">
              <w:rPr>
                <w:rFonts w:ascii="Arial" w:hAnsi="Arial" w:cs="Arial"/>
              </w:rPr>
              <w:t>Measure(s)</w:t>
            </w:r>
          </w:p>
        </w:tc>
        <w:tc>
          <w:tcPr>
            <w:tcW w:w="2140" w:type="dxa"/>
            <w:shd w:val="clear" w:color="auto" w:fill="002060"/>
          </w:tcPr>
          <w:p w14:paraId="5D1BB71B" w14:textId="77777777" w:rsidR="00893D1E" w:rsidRPr="000378AE" w:rsidRDefault="00893D1E" w:rsidP="00D50857">
            <w:pPr>
              <w:pStyle w:val="Tableheading"/>
              <w:keepNext/>
              <w:rPr>
                <w:rFonts w:ascii="Arial" w:hAnsi="Arial" w:cs="Arial"/>
              </w:rPr>
            </w:pPr>
            <w:r w:rsidRPr="000378AE">
              <w:rPr>
                <w:rFonts w:ascii="Arial" w:hAnsi="Arial" w:cs="Arial"/>
              </w:rPr>
              <w:t>Data Sources</w:t>
            </w:r>
          </w:p>
        </w:tc>
      </w:tr>
      <w:tr w:rsidR="00030099" w:rsidRPr="000378AE" w14:paraId="3D65DEA2" w14:textId="77777777" w:rsidTr="00AD518C">
        <w:trPr>
          <w:trHeight w:val="20"/>
        </w:trPr>
        <w:tc>
          <w:tcPr>
            <w:tcW w:w="1451" w:type="dxa"/>
            <w:shd w:val="clear" w:color="auto" w:fill="DEEAF6" w:themeFill="accent1" w:themeFillTint="33"/>
          </w:tcPr>
          <w:p w14:paraId="6FE86F4E" w14:textId="064825D9" w:rsidR="00030099" w:rsidRPr="000378AE" w:rsidRDefault="00030099" w:rsidP="003E5AC1">
            <w:pPr>
              <w:pStyle w:val="Tabletext"/>
            </w:pPr>
            <w:r>
              <w:t xml:space="preserve">What is defined as community service work </w:t>
            </w:r>
          </w:p>
        </w:tc>
        <w:tc>
          <w:tcPr>
            <w:tcW w:w="2797" w:type="dxa"/>
            <w:shd w:val="clear" w:color="auto" w:fill="DEEAF6" w:themeFill="accent1" w:themeFillTint="33"/>
          </w:tcPr>
          <w:p w14:paraId="71F4997F" w14:textId="77777777" w:rsidR="00D50857" w:rsidRPr="00DB3ADD" w:rsidRDefault="00D50857" w:rsidP="00D50857">
            <w:pPr>
              <w:pStyle w:val="Tablebullet1"/>
              <w:rPr>
                <w:rFonts w:cs="Arial"/>
              </w:rPr>
            </w:pPr>
            <w:r w:rsidRPr="00DB3ADD">
              <w:rPr>
                <w:rFonts w:cs="Arial"/>
              </w:rPr>
              <w:t>Provide certainty to employees and employers about the scope of the community services sector to be covered by the LSBP Act; and</w:t>
            </w:r>
          </w:p>
          <w:p w14:paraId="4302F48D" w14:textId="7B6CDE02" w:rsidR="00030099" w:rsidRPr="000378AE" w:rsidRDefault="00D50857" w:rsidP="00D50857">
            <w:pPr>
              <w:pStyle w:val="Tablebullet1"/>
            </w:pPr>
            <w:r w:rsidRPr="00DB3ADD">
              <w:rPr>
                <w:rFonts w:cs="Arial"/>
              </w:rPr>
              <w:t>Ensure employees across the community services sector have fair and equitable access to the Scheme.</w:t>
            </w:r>
          </w:p>
        </w:tc>
        <w:tc>
          <w:tcPr>
            <w:tcW w:w="2410" w:type="dxa"/>
            <w:shd w:val="clear" w:color="auto" w:fill="DEEAF6" w:themeFill="accent1" w:themeFillTint="33"/>
          </w:tcPr>
          <w:p w14:paraId="16798815" w14:textId="07D92753" w:rsidR="00D50857" w:rsidRPr="003E5AC1" w:rsidRDefault="00D50857" w:rsidP="003E5AC1">
            <w:pPr>
              <w:pStyle w:val="Tablebullet1"/>
              <w:rPr>
                <w:color w:val="auto"/>
              </w:rPr>
            </w:pPr>
            <w:r w:rsidRPr="000378AE">
              <w:t>Quantum of levies paid to the Authority in error.</w:t>
            </w:r>
          </w:p>
          <w:p w14:paraId="23C4F8FD" w14:textId="4D51254C" w:rsidR="00030099" w:rsidRDefault="00D50857" w:rsidP="003E5AC1">
            <w:pPr>
              <w:pStyle w:val="Tablebullet1"/>
            </w:pPr>
            <w:r w:rsidRPr="000378AE">
              <w:t xml:space="preserve">Number of employers </w:t>
            </w:r>
            <w:r>
              <w:t xml:space="preserve">or employees </w:t>
            </w:r>
            <w:r w:rsidRPr="000378AE">
              <w:t>incorrectly registered</w:t>
            </w:r>
            <w:r w:rsidR="00D86A39">
              <w:t>, or incorrectly not registered,</w:t>
            </w:r>
            <w:r w:rsidRPr="000378AE">
              <w:t xml:space="preserve"> with the Author</w:t>
            </w:r>
            <w:r w:rsidR="003E5AC1">
              <w:t>ity.</w:t>
            </w:r>
          </w:p>
          <w:p w14:paraId="636CB0BE" w14:textId="049B3751" w:rsidR="00D50857" w:rsidRPr="000378AE" w:rsidRDefault="00D50857" w:rsidP="003E5AC1">
            <w:pPr>
              <w:pStyle w:val="Tablebullet1"/>
            </w:pPr>
            <w:r>
              <w:t>Feedback from stakeholders.</w:t>
            </w:r>
          </w:p>
        </w:tc>
        <w:tc>
          <w:tcPr>
            <w:tcW w:w="2140" w:type="dxa"/>
            <w:shd w:val="clear" w:color="auto" w:fill="DEEAF6" w:themeFill="accent1" w:themeFillTint="33"/>
          </w:tcPr>
          <w:p w14:paraId="5484604A" w14:textId="4118E0C2" w:rsidR="00D50857" w:rsidRPr="003E5AC1" w:rsidRDefault="00D50857" w:rsidP="003E5AC1">
            <w:pPr>
              <w:pStyle w:val="Tablebullet1"/>
              <w:rPr>
                <w:color w:val="auto"/>
              </w:rPr>
            </w:pPr>
            <w:r w:rsidRPr="000378AE">
              <w:t>The Authority’s internal data, particularly the registers established under section 7 of the LSBP Act.</w:t>
            </w:r>
          </w:p>
          <w:p w14:paraId="5BC55BF6" w14:textId="756EE195" w:rsidR="00030099" w:rsidRPr="000378AE" w:rsidRDefault="00D50857" w:rsidP="003E5AC1">
            <w:pPr>
              <w:pStyle w:val="Tablebullet1"/>
            </w:pPr>
            <w:r w:rsidRPr="000378AE">
              <w:t>Consultation with employers and employer groups in the community services sector.</w:t>
            </w:r>
          </w:p>
        </w:tc>
      </w:tr>
      <w:tr w:rsidR="00893D1E" w:rsidRPr="000378AE" w14:paraId="413D2CD5" w14:textId="77777777" w:rsidTr="00AD518C">
        <w:trPr>
          <w:trHeight w:val="20"/>
        </w:trPr>
        <w:tc>
          <w:tcPr>
            <w:tcW w:w="1451" w:type="dxa"/>
            <w:shd w:val="clear" w:color="auto" w:fill="DEEAF6" w:themeFill="accent1" w:themeFillTint="33"/>
          </w:tcPr>
          <w:p w14:paraId="0F970A47" w14:textId="6A91CD17" w:rsidR="00893D1E" w:rsidRPr="000378AE" w:rsidRDefault="00893D1E" w:rsidP="003E5AC1">
            <w:pPr>
              <w:pStyle w:val="Tabletext"/>
            </w:pPr>
            <w:r w:rsidRPr="000378AE">
              <w:t xml:space="preserve">Who is </w:t>
            </w:r>
            <w:r w:rsidR="0071726F">
              <w:rPr>
                <w:color w:val="auto"/>
              </w:rPr>
              <w:t xml:space="preserve">regarded as </w:t>
            </w:r>
            <w:r w:rsidRPr="000378AE">
              <w:t>an employer in the community services sector</w:t>
            </w:r>
          </w:p>
        </w:tc>
        <w:tc>
          <w:tcPr>
            <w:tcW w:w="2797" w:type="dxa"/>
            <w:shd w:val="clear" w:color="auto" w:fill="DEEAF6" w:themeFill="accent1" w:themeFillTint="33"/>
          </w:tcPr>
          <w:p w14:paraId="3071F9A5" w14:textId="08B8EF04" w:rsidR="00893D1E" w:rsidRPr="000378AE" w:rsidRDefault="00893D1E" w:rsidP="00D50857">
            <w:pPr>
              <w:pStyle w:val="Tablebullet1"/>
              <w:keepNext/>
              <w:rPr>
                <w:rFonts w:cs="Arial"/>
              </w:rPr>
            </w:pPr>
            <w:r w:rsidRPr="000378AE">
              <w:rPr>
                <w:rFonts w:cs="Arial"/>
              </w:rPr>
              <w:t xml:space="preserve">Provide certainty to </w:t>
            </w:r>
            <w:r>
              <w:rPr>
                <w:rFonts w:cs="Arial"/>
              </w:rPr>
              <w:t>employee</w:t>
            </w:r>
            <w:r w:rsidRPr="000378AE">
              <w:rPr>
                <w:rFonts w:cs="Arial"/>
              </w:rPr>
              <w:t xml:space="preserve">s and </w:t>
            </w:r>
            <w:r>
              <w:rPr>
                <w:rFonts w:cs="Arial"/>
              </w:rPr>
              <w:t>employers</w:t>
            </w:r>
            <w:r w:rsidRPr="000378AE">
              <w:rPr>
                <w:rFonts w:cs="Arial"/>
              </w:rPr>
              <w:t xml:space="preserve"> in the sector regarding which employers are covered by the Scheme; </w:t>
            </w:r>
            <w:r w:rsidR="00D50857">
              <w:rPr>
                <w:rFonts w:cs="Arial"/>
              </w:rPr>
              <w:t>and</w:t>
            </w:r>
          </w:p>
          <w:p w14:paraId="1F82FD18" w14:textId="77777777" w:rsidR="00893D1E" w:rsidRPr="000378AE" w:rsidRDefault="00893D1E" w:rsidP="00D50857">
            <w:pPr>
              <w:pStyle w:val="Tablebullet1"/>
              <w:keepNext/>
              <w:rPr>
                <w:rFonts w:cs="Arial"/>
              </w:rPr>
            </w:pPr>
            <w:r w:rsidRPr="000378AE">
              <w:rPr>
                <w:rFonts w:cs="Arial"/>
              </w:rPr>
              <w:t>Ensure employees across the community services sector have fair and equitable access to the Scheme.</w:t>
            </w:r>
          </w:p>
        </w:tc>
        <w:tc>
          <w:tcPr>
            <w:tcW w:w="2410" w:type="dxa"/>
            <w:shd w:val="clear" w:color="auto" w:fill="DEEAF6" w:themeFill="accent1" w:themeFillTint="33"/>
          </w:tcPr>
          <w:p w14:paraId="138192F7" w14:textId="777D079C" w:rsidR="00893D1E" w:rsidRPr="003E5AC1" w:rsidRDefault="00893D1E" w:rsidP="003E5AC1">
            <w:pPr>
              <w:pStyle w:val="Tablebullet1"/>
              <w:rPr>
                <w:color w:val="auto"/>
              </w:rPr>
            </w:pPr>
            <w:r w:rsidRPr="000378AE">
              <w:t>Quantum of levies paid to the Authority in error.</w:t>
            </w:r>
          </w:p>
          <w:p w14:paraId="45D69449" w14:textId="6A5F0A14" w:rsidR="00893D1E" w:rsidRPr="000378AE" w:rsidRDefault="00893D1E" w:rsidP="003E5AC1">
            <w:pPr>
              <w:pStyle w:val="Tablebullet1"/>
            </w:pPr>
            <w:r w:rsidRPr="000378AE">
              <w:t>Number of employers incorrectly registered</w:t>
            </w:r>
            <w:r w:rsidR="00D86A39">
              <w:t>, or incorrectly not registered,</w:t>
            </w:r>
            <w:r w:rsidR="003E5AC1">
              <w:t xml:space="preserve"> with the Authority.</w:t>
            </w:r>
          </w:p>
          <w:p w14:paraId="29509BE3" w14:textId="67305E0D" w:rsidR="00893D1E" w:rsidRPr="000378AE" w:rsidRDefault="00893D1E" w:rsidP="003E5AC1">
            <w:pPr>
              <w:pStyle w:val="Tablebullet1"/>
              <w:ind w:left="357" w:hanging="357"/>
            </w:pPr>
            <w:r w:rsidRPr="000378AE">
              <w:t xml:space="preserve">Number of </w:t>
            </w:r>
            <w:r w:rsidR="0072722B">
              <w:t>Women’s Health</w:t>
            </w:r>
            <w:r w:rsidRPr="000378AE">
              <w:t xml:space="preserve"> and </w:t>
            </w:r>
            <w:r w:rsidR="0072722B">
              <w:t>Community Health</w:t>
            </w:r>
            <w:r w:rsidRPr="000378AE">
              <w:t xml:space="preserve"> </w:t>
            </w:r>
            <w:r>
              <w:t xml:space="preserve">providers </w:t>
            </w:r>
            <w:r w:rsidRPr="000378AE">
              <w:t>experienced financial difficulties or are in financial dist</w:t>
            </w:r>
            <w:r w:rsidR="003E5AC1">
              <w:t>ress as a result of the Scheme.</w:t>
            </w:r>
          </w:p>
        </w:tc>
        <w:tc>
          <w:tcPr>
            <w:tcW w:w="2140" w:type="dxa"/>
            <w:shd w:val="clear" w:color="auto" w:fill="DEEAF6" w:themeFill="accent1" w:themeFillTint="33"/>
          </w:tcPr>
          <w:p w14:paraId="042E44A8" w14:textId="17808C13" w:rsidR="00893D1E" w:rsidRPr="003E5AC1" w:rsidRDefault="00893D1E" w:rsidP="003E5AC1">
            <w:pPr>
              <w:pStyle w:val="Tablebullet1"/>
              <w:rPr>
                <w:color w:val="auto"/>
              </w:rPr>
            </w:pPr>
            <w:r w:rsidRPr="000378AE">
              <w:t>The Authority’s internal data, particularly the registers established under section 7 of the LSBP Act.</w:t>
            </w:r>
          </w:p>
          <w:p w14:paraId="7E0C8452" w14:textId="77777777" w:rsidR="00893D1E" w:rsidRPr="000378AE" w:rsidRDefault="00893D1E" w:rsidP="003E5AC1">
            <w:pPr>
              <w:pStyle w:val="Tablebullet1"/>
            </w:pPr>
            <w:r w:rsidRPr="000378AE">
              <w:t>Consultation with employers and employer groups in the community services sector.</w:t>
            </w:r>
          </w:p>
        </w:tc>
      </w:tr>
      <w:tr w:rsidR="00893D1E" w:rsidRPr="000378AE" w14:paraId="04982C2D" w14:textId="77777777" w:rsidTr="00AD518C">
        <w:trPr>
          <w:trHeight w:val="20"/>
        </w:trPr>
        <w:tc>
          <w:tcPr>
            <w:tcW w:w="1451" w:type="dxa"/>
            <w:shd w:val="clear" w:color="auto" w:fill="DEEAF6" w:themeFill="accent1" w:themeFillTint="33"/>
          </w:tcPr>
          <w:p w14:paraId="62EDC8B5" w14:textId="7675E483" w:rsidR="00893D1E" w:rsidRPr="000378AE" w:rsidRDefault="00893D1E" w:rsidP="00D50857">
            <w:pPr>
              <w:pStyle w:val="Tabletext"/>
              <w:rPr>
                <w:rFonts w:cs="Arial"/>
              </w:rPr>
            </w:pPr>
            <w:r w:rsidRPr="000378AE">
              <w:rPr>
                <w:rFonts w:cs="Arial"/>
              </w:rPr>
              <w:t xml:space="preserve">Who is </w:t>
            </w:r>
            <w:r w:rsidR="0071726F">
              <w:rPr>
                <w:rFonts w:cs="Arial"/>
                <w:color w:val="auto"/>
              </w:rPr>
              <w:t xml:space="preserve">regarded as </w:t>
            </w:r>
            <w:r w:rsidRPr="000378AE">
              <w:rPr>
                <w:rFonts w:cs="Arial"/>
              </w:rPr>
              <w:t>an employee in the community services sector</w:t>
            </w:r>
          </w:p>
        </w:tc>
        <w:tc>
          <w:tcPr>
            <w:tcW w:w="2797" w:type="dxa"/>
            <w:shd w:val="clear" w:color="auto" w:fill="DEEAF6" w:themeFill="accent1" w:themeFillTint="33"/>
          </w:tcPr>
          <w:p w14:paraId="5739C615" w14:textId="77777777" w:rsidR="00893D1E" w:rsidRPr="000378AE" w:rsidRDefault="00893D1E" w:rsidP="00D50857">
            <w:pPr>
              <w:pStyle w:val="Tablebullet1"/>
              <w:rPr>
                <w:rFonts w:cs="Arial"/>
              </w:rPr>
            </w:pPr>
            <w:r w:rsidRPr="000378AE">
              <w:rPr>
                <w:rFonts w:cs="Arial"/>
              </w:rPr>
              <w:t xml:space="preserve">Provide certainty to </w:t>
            </w:r>
            <w:r>
              <w:rPr>
                <w:rFonts w:cs="Arial"/>
              </w:rPr>
              <w:t>employers</w:t>
            </w:r>
            <w:r w:rsidRPr="000378AE">
              <w:rPr>
                <w:rFonts w:cs="Arial"/>
              </w:rPr>
              <w:t xml:space="preserve"> on which employees will need to have levies paid to the Authority on their behalf; and </w:t>
            </w:r>
          </w:p>
          <w:p w14:paraId="5E70F6E8" w14:textId="77777777" w:rsidR="00893D1E" w:rsidRPr="000378AE" w:rsidRDefault="00893D1E" w:rsidP="00D50857">
            <w:pPr>
              <w:pStyle w:val="Tablebullet1"/>
              <w:rPr>
                <w:rFonts w:cs="Arial"/>
              </w:rPr>
            </w:pPr>
            <w:r w:rsidRPr="000378AE">
              <w:rPr>
                <w:rFonts w:cs="Arial"/>
              </w:rPr>
              <w:t xml:space="preserve">Ensure employees undertaking community service work have fair </w:t>
            </w:r>
            <w:r w:rsidRPr="000378AE">
              <w:rPr>
                <w:rFonts w:cs="Arial"/>
              </w:rPr>
              <w:lastRenderedPageBreak/>
              <w:t>and equitable access to the Scheme.</w:t>
            </w:r>
          </w:p>
        </w:tc>
        <w:tc>
          <w:tcPr>
            <w:tcW w:w="2410" w:type="dxa"/>
            <w:shd w:val="clear" w:color="auto" w:fill="DEEAF6" w:themeFill="accent1" w:themeFillTint="33"/>
          </w:tcPr>
          <w:p w14:paraId="2700B651" w14:textId="7DA02325" w:rsidR="00893D1E" w:rsidRPr="003E5AC1" w:rsidRDefault="00893D1E" w:rsidP="003E5AC1">
            <w:pPr>
              <w:pStyle w:val="Tablebullet1"/>
              <w:rPr>
                <w:color w:val="auto"/>
              </w:rPr>
            </w:pPr>
            <w:r w:rsidRPr="000378AE">
              <w:lastRenderedPageBreak/>
              <w:t>Quantum of levies paid to the Authority in error.</w:t>
            </w:r>
          </w:p>
          <w:p w14:paraId="615F187E" w14:textId="437E0799" w:rsidR="00893D1E" w:rsidRPr="000378AE" w:rsidRDefault="00893D1E" w:rsidP="003E5AC1">
            <w:pPr>
              <w:pStyle w:val="Tablebullet1"/>
            </w:pPr>
            <w:r w:rsidRPr="000378AE">
              <w:t>Number of employees incorrectly registered</w:t>
            </w:r>
            <w:r w:rsidR="00D86A39">
              <w:t xml:space="preserve">, or incorrectly not </w:t>
            </w:r>
            <w:r w:rsidR="00D86A39">
              <w:lastRenderedPageBreak/>
              <w:t>registered,</w:t>
            </w:r>
            <w:r w:rsidRPr="000378AE">
              <w:t xml:space="preserve"> with the Authority.</w:t>
            </w:r>
          </w:p>
        </w:tc>
        <w:tc>
          <w:tcPr>
            <w:tcW w:w="2140" w:type="dxa"/>
            <w:shd w:val="clear" w:color="auto" w:fill="DEEAF6" w:themeFill="accent1" w:themeFillTint="33"/>
          </w:tcPr>
          <w:p w14:paraId="3C30DB4F" w14:textId="55C74F6E" w:rsidR="00893D1E" w:rsidRPr="003E5AC1" w:rsidRDefault="00893D1E" w:rsidP="003E5AC1">
            <w:pPr>
              <w:pStyle w:val="Tablebullet1"/>
              <w:rPr>
                <w:color w:val="auto"/>
              </w:rPr>
            </w:pPr>
            <w:r w:rsidRPr="000378AE">
              <w:lastRenderedPageBreak/>
              <w:t>The Authority’s internal data, particularly the registers established under section 7 of the LSBP Act.</w:t>
            </w:r>
          </w:p>
          <w:p w14:paraId="5832CC8F" w14:textId="31348AD2" w:rsidR="00893D1E" w:rsidRPr="000378AE" w:rsidRDefault="00893D1E" w:rsidP="003E5AC1">
            <w:pPr>
              <w:pStyle w:val="Tablebullet1"/>
              <w:ind w:left="357" w:hanging="357"/>
            </w:pPr>
            <w:r w:rsidRPr="000378AE">
              <w:t xml:space="preserve">Consultation with employers </w:t>
            </w:r>
            <w:r w:rsidRPr="000378AE">
              <w:lastRenderedPageBreak/>
              <w:t>and employer groups in</w:t>
            </w:r>
            <w:r w:rsidR="003E5AC1">
              <w:t xml:space="preserve"> the community services sector.</w:t>
            </w:r>
          </w:p>
          <w:p w14:paraId="2FDE776C" w14:textId="77777777" w:rsidR="00893D1E" w:rsidRPr="000378AE" w:rsidRDefault="00893D1E" w:rsidP="003E5AC1">
            <w:pPr>
              <w:pStyle w:val="Tablebullet1"/>
            </w:pPr>
            <w:r w:rsidRPr="000378AE">
              <w:t>Consultation with employees and employee groups in the community services sector.</w:t>
            </w:r>
          </w:p>
        </w:tc>
      </w:tr>
      <w:tr w:rsidR="00893D1E" w:rsidRPr="000378AE" w14:paraId="06BC99D7" w14:textId="77777777" w:rsidTr="00AD518C">
        <w:trPr>
          <w:trHeight w:val="20"/>
        </w:trPr>
        <w:tc>
          <w:tcPr>
            <w:tcW w:w="1451" w:type="dxa"/>
            <w:shd w:val="clear" w:color="auto" w:fill="DEEAF6" w:themeFill="accent1" w:themeFillTint="33"/>
          </w:tcPr>
          <w:p w14:paraId="5CE367D4" w14:textId="23CC6AC8" w:rsidR="00893D1E" w:rsidRPr="000378AE" w:rsidRDefault="00893D1E" w:rsidP="00D50857">
            <w:pPr>
              <w:rPr>
                <w:rFonts w:ascii="Arial" w:hAnsi="Arial" w:cs="Arial"/>
              </w:rPr>
            </w:pPr>
            <w:r w:rsidRPr="000378AE">
              <w:rPr>
                <w:rFonts w:ascii="Arial" w:hAnsi="Arial" w:cs="Arial"/>
              </w:rPr>
              <w:lastRenderedPageBreak/>
              <w:t xml:space="preserve">Who is </w:t>
            </w:r>
            <w:r w:rsidR="0071726F">
              <w:rPr>
                <w:rFonts w:ascii="Arial" w:hAnsi="Arial" w:cs="Arial"/>
                <w:color w:val="auto"/>
              </w:rPr>
              <w:t xml:space="preserve">regarded as </w:t>
            </w:r>
            <w:r w:rsidRPr="000378AE">
              <w:rPr>
                <w:rFonts w:ascii="Arial" w:hAnsi="Arial" w:cs="Arial"/>
              </w:rPr>
              <w:t>an employee in the security industry</w:t>
            </w:r>
          </w:p>
        </w:tc>
        <w:tc>
          <w:tcPr>
            <w:tcW w:w="2797" w:type="dxa"/>
            <w:shd w:val="clear" w:color="auto" w:fill="DEEAF6" w:themeFill="accent1" w:themeFillTint="33"/>
          </w:tcPr>
          <w:p w14:paraId="1B1313AC" w14:textId="45951986" w:rsidR="00893D1E" w:rsidRDefault="00893D1E" w:rsidP="00D50857">
            <w:pPr>
              <w:pStyle w:val="Tablebullet1"/>
              <w:rPr>
                <w:rFonts w:cs="Arial"/>
              </w:rPr>
            </w:pPr>
            <w:r w:rsidRPr="000378AE">
              <w:rPr>
                <w:rFonts w:cs="Arial"/>
              </w:rPr>
              <w:t xml:space="preserve">Provide certainty to </w:t>
            </w:r>
            <w:r>
              <w:rPr>
                <w:rFonts w:cs="Arial"/>
              </w:rPr>
              <w:t>employers</w:t>
            </w:r>
            <w:r w:rsidRPr="000378AE">
              <w:rPr>
                <w:rFonts w:cs="Arial"/>
              </w:rPr>
              <w:t xml:space="preserve"> on which employees will </w:t>
            </w:r>
            <w:r w:rsidR="003E5AC1">
              <w:rPr>
                <w:rFonts w:cs="Arial"/>
              </w:rPr>
              <w:t>be required</w:t>
            </w:r>
            <w:r w:rsidR="003E5AC1" w:rsidRPr="000378AE">
              <w:rPr>
                <w:rFonts w:cs="Arial"/>
              </w:rPr>
              <w:t xml:space="preserve"> </w:t>
            </w:r>
            <w:r w:rsidRPr="000378AE">
              <w:rPr>
                <w:rFonts w:cs="Arial"/>
              </w:rPr>
              <w:t>to have levies paid to the Authority on their behalf.</w:t>
            </w:r>
          </w:p>
          <w:p w14:paraId="45E6774A" w14:textId="77777777" w:rsidR="00893D1E" w:rsidRPr="000378AE" w:rsidRDefault="00893D1E" w:rsidP="00D50857">
            <w:pPr>
              <w:pStyle w:val="Tablebullet1"/>
              <w:rPr>
                <w:rFonts w:cs="Arial"/>
              </w:rPr>
            </w:pPr>
            <w:r w:rsidRPr="000378AE">
              <w:rPr>
                <w:rFonts w:cs="Arial"/>
              </w:rPr>
              <w:t xml:space="preserve">Ensure employees undertaking </w:t>
            </w:r>
            <w:r>
              <w:rPr>
                <w:rFonts w:cs="Arial"/>
              </w:rPr>
              <w:t>security</w:t>
            </w:r>
            <w:r w:rsidRPr="000378AE">
              <w:rPr>
                <w:rFonts w:cs="Arial"/>
              </w:rPr>
              <w:t xml:space="preserve"> work have fair and equitable access to the Scheme.</w:t>
            </w:r>
          </w:p>
        </w:tc>
        <w:tc>
          <w:tcPr>
            <w:tcW w:w="2410" w:type="dxa"/>
            <w:shd w:val="clear" w:color="auto" w:fill="DEEAF6" w:themeFill="accent1" w:themeFillTint="33"/>
          </w:tcPr>
          <w:p w14:paraId="50CD8F70" w14:textId="45AEF92B" w:rsidR="00893D1E" w:rsidRPr="003E5AC1" w:rsidRDefault="00893D1E" w:rsidP="003E5AC1">
            <w:pPr>
              <w:pStyle w:val="Tablebullet1"/>
              <w:rPr>
                <w:color w:val="auto"/>
              </w:rPr>
            </w:pPr>
            <w:r w:rsidRPr="000378AE">
              <w:t>Quantum of levies paid to the Authority in error.</w:t>
            </w:r>
          </w:p>
          <w:p w14:paraId="7904ACD3" w14:textId="06100A14" w:rsidR="00893D1E" w:rsidRPr="000378AE" w:rsidRDefault="00893D1E" w:rsidP="003E5AC1">
            <w:pPr>
              <w:pStyle w:val="Tablebullet1"/>
            </w:pPr>
            <w:r w:rsidRPr="000378AE">
              <w:t>Number of employees incorrectly registered</w:t>
            </w:r>
            <w:r w:rsidR="00D86A39">
              <w:t>, or incorrectly not registered,</w:t>
            </w:r>
            <w:r w:rsidRPr="000378AE">
              <w:t xml:space="preserve"> with the Authority.</w:t>
            </w:r>
          </w:p>
        </w:tc>
        <w:tc>
          <w:tcPr>
            <w:tcW w:w="2140" w:type="dxa"/>
            <w:shd w:val="clear" w:color="auto" w:fill="DEEAF6" w:themeFill="accent1" w:themeFillTint="33"/>
          </w:tcPr>
          <w:p w14:paraId="671642F0" w14:textId="698B23D5" w:rsidR="00893D1E" w:rsidRPr="003E5AC1" w:rsidRDefault="00893D1E" w:rsidP="003E5AC1">
            <w:pPr>
              <w:pStyle w:val="Tablebullet1"/>
              <w:rPr>
                <w:color w:val="auto"/>
              </w:rPr>
            </w:pPr>
            <w:r w:rsidRPr="000378AE">
              <w:t>The Authority’s internal data, particularly the registers established under section 7 of the LSBP Act.</w:t>
            </w:r>
          </w:p>
          <w:p w14:paraId="5D47C08F" w14:textId="77561314" w:rsidR="00893D1E" w:rsidRPr="000378AE" w:rsidRDefault="00893D1E" w:rsidP="003E5AC1">
            <w:pPr>
              <w:pStyle w:val="Tablebullet1"/>
            </w:pPr>
            <w:r w:rsidRPr="000378AE">
              <w:t>Consultation with employers and employer g</w:t>
            </w:r>
            <w:r w:rsidR="003E5AC1">
              <w:t>roups in the security industry.</w:t>
            </w:r>
          </w:p>
          <w:p w14:paraId="24B31F18" w14:textId="77777777" w:rsidR="00893D1E" w:rsidRPr="000378AE" w:rsidRDefault="00893D1E" w:rsidP="003E5AC1">
            <w:pPr>
              <w:pStyle w:val="Tablebullet1"/>
            </w:pPr>
            <w:r w:rsidRPr="000378AE">
              <w:t>Consultation with employees and employee groups in the security industry.</w:t>
            </w:r>
          </w:p>
        </w:tc>
      </w:tr>
      <w:tr w:rsidR="00893D1E" w:rsidRPr="000378AE" w14:paraId="41CA5B15" w14:textId="77777777" w:rsidTr="00AD518C">
        <w:trPr>
          <w:trHeight w:val="20"/>
        </w:trPr>
        <w:tc>
          <w:tcPr>
            <w:tcW w:w="1451" w:type="dxa"/>
            <w:shd w:val="clear" w:color="auto" w:fill="DEEAF6" w:themeFill="accent1" w:themeFillTint="33"/>
          </w:tcPr>
          <w:p w14:paraId="0C66707A" w14:textId="6C9B44AA" w:rsidR="00893D1E" w:rsidRPr="000378AE" w:rsidRDefault="00893D1E" w:rsidP="00D50857">
            <w:pPr>
              <w:pStyle w:val="Tabletext"/>
              <w:rPr>
                <w:rFonts w:cs="Arial"/>
              </w:rPr>
            </w:pPr>
            <w:r>
              <w:rPr>
                <w:rFonts w:cs="Arial"/>
              </w:rPr>
              <w:t xml:space="preserve">Reimbursing employers for </w:t>
            </w:r>
            <w:r w:rsidR="00DB3ADD">
              <w:rPr>
                <w:rFonts w:cs="Arial"/>
              </w:rPr>
              <w:t>double-dipping</w:t>
            </w:r>
            <w:r w:rsidR="0072722B">
              <w:rPr>
                <w:rFonts w:cs="Arial"/>
              </w:rPr>
              <w:t xml:space="preserve"> claims</w:t>
            </w:r>
            <w:r w:rsidRPr="000378AE">
              <w:rPr>
                <w:rFonts w:cs="Arial"/>
              </w:rPr>
              <w:t xml:space="preserve"> in the community services sector </w:t>
            </w:r>
          </w:p>
        </w:tc>
        <w:tc>
          <w:tcPr>
            <w:tcW w:w="2797" w:type="dxa"/>
            <w:shd w:val="clear" w:color="auto" w:fill="DEEAF6" w:themeFill="accent1" w:themeFillTint="33"/>
          </w:tcPr>
          <w:p w14:paraId="50F5A19B" w14:textId="04010CBD" w:rsidR="00893D1E" w:rsidRPr="00CF5417" w:rsidRDefault="00893D1E" w:rsidP="003E5AC1">
            <w:pPr>
              <w:pStyle w:val="Tablebullet1"/>
              <w:rPr>
                <w:rFonts w:cs="Arial"/>
              </w:rPr>
            </w:pPr>
            <w:r w:rsidRPr="000378AE">
              <w:rPr>
                <w:rFonts w:cs="Arial"/>
              </w:rPr>
              <w:t>An employer is not to be required to pay a</w:t>
            </w:r>
            <w:r>
              <w:rPr>
                <w:rFonts w:cs="Arial"/>
              </w:rPr>
              <w:t>n</w:t>
            </w:r>
            <w:r w:rsidRPr="000378AE">
              <w:rPr>
                <w:rFonts w:cs="Arial"/>
              </w:rPr>
              <w:t xml:space="preserve"> </w:t>
            </w:r>
            <w:r>
              <w:rPr>
                <w:rFonts w:cs="Arial"/>
              </w:rPr>
              <w:t>employee</w:t>
            </w:r>
            <w:r w:rsidRPr="000378AE">
              <w:rPr>
                <w:rFonts w:cs="Arial"/>
              </w:rPr>
              <w:t xml:space="preserve"> for long service leave under an existing workplace law or industrial instrument and to pay a levy under the LSBP Act</w:t>
            </w:r>
            <w:r w:rsidRPr="000378AE" w:rsidDel="00EE442D">
              <w:rPr>
                <w:rFonts w:cs="Arial"/>
              </w:rPr>
              <w:t xml:space="preserve"> </w:t>
            </w:r>
            <w:r w:rsidRPr="000378AE">
              <w:rPr>
                <w:rFonts w:cs="Arial"/>
              </w:rPr>
              <w:t xml:space="preserve">for the </w:t>
            </w:r>
            <w:r>
              <w:rPr>
                <w:rFonts w:cs="Arial"/>
              </w:rPr>
              <w:t>employee</w:t>
            </w:r>
            <w:r w:rsidRPr="000378AE">
              <w:rPr>
                <w:rFonts w:cs="Arial"/>
              </w:rPr>
              <w:t xml:space="preserve"> in respect of the same service peri</w:t>
            </w:r>
            <w:r>
              <w:rPr>
                <w:rFonts w:cs="Arial"/>
              </w:rPr>
              <w:t>od (without reimbursement)</w:t>
            </w:r>
            <w:r w:rsidR="003E5AC1">
              <w:rPr>
                <w:rFonts w:cs="Arial"/>
              </w:rPr>
              <w:t>.</w:t>
            </w:r>
          </w:p>
        </w:tc>
        <w:tc>
          <w:tcPr>
            <w:tcW w:w="2410" w:type="dxa"/>
            <w:shd w:val="clear" w:color="auto" w:fill="DEEAF6" w:themeFill="accent1" w:themeFillTint="33"/>
          </w:tcPr>
          <w:p w14:paraId="7A45945E" w14:textId="53D86434" w:rsidR="00893D1E" w:rsidRPr="000378AE" w:rsidRDefault="00893D1E" w:rsidP="003E5AC1">
            <w:pPr>
              <w:pStyle w:val="Tablebullet1"/>
            </w:pPr>
            <w:r w:rsidRPr="000378AE">
              <w:t xml:space="preserve">Number of instances of </w:t>
            </w:r>
            <w:r w:rsidR="00DB3ADD">
              <w:t>double-dipping</w:t>
            </w:r>
          </w:p>
        </w:tc>
        <w:tc>
          <w:tcPr>
            <w:tcW w:w="2140" w:type="dxa"/>
            <w:shd w:val="clear" w:color="auto" w:fill="DEEAF6" w:themeFill="accent1" w:themeFillTint="33"/>
          </w:tcPr>
          <w:p w14:paraId="5A59CAEA" w14:textId="2F890AA4" w:rsidR="00893D1E" w:rsidRPr="000378AE" w:rsidRDefault="00893D1E" w:rsidP="003E5AC1">
            <w:pPr>
              <w:pStyle w:val="Tablebullet1"/>
            </w:pPr>
            <w:r w:rsidRPr="000378AE">
              <w:t xml:space="preserve">Consultation with working group and any </w:t>
            </w:r>
            <w:r>
              <w:t>employers</w:t>
            </w:r>
            <w:r w:rsidRPr="000378AE">
              <w:t xml:space="preserve"> that have experienced </w:t>
            </w:r>
            <w:r w:rsidR="00DB3ADD">
              <w:t>double-dipping</w:t>
            </w:r>
            <w:r w:rsidRPr="000378AE">
              <w:t>.</w:t>
            </w:r>
          </w:p>
        </w:tc>
      </w:tr>
    </w:tbl>
    <w:p w14:paraId="188D5C68" w14:textId="77777777" w:rsidR="00E13F2A" w:rsidRDefault="00E13F2A" w:rsidP="00E13F2A">
      <w:pPr>
        <w:rPr>
          <w:rFonts w:ascii="Arial" w:hAnsi="Arial" w:cs="Arial"/>
        </w:rPr>
      </w:pPr>
    </w:p>
    <w:p w14:paraId="172662E7" w14:textId="77777777" w:rsidR="003E5AC1" w:rsidRPr="00EC5379" w:rsidRDefault="003E5AC1" w:rsidP="00E13F2A">
      <w:pPr>
        <w:rPr>
          <w:rFonts w:ascii="Arial" w:hAnsi="Arial" w:cs="Arial"/>
        </w:rPr>
        <w:sectPr w:rsidR="003E5AC1" w:rsidRPr="00EC5379" w:rsidSect="00076BC8">
          <w:headerReference w:type="default" r:id="rId36"/>
          <w:pgSz w:w="11906" w:h="16838"/>
          <w:pgMar w:top="1440" w:right="1440" w:bottom="1440" w:left="1440" w:header="708" w:footer="708" w:gutter="0"/>
          <w:cols w:space="708"/>
          <w:docGrid w:linePitch="360"/>
        </w:sectPr>
      </w:pPr>
    </w:p>
    <w:p w14:paraId="021EBFC0" w14:textId="596D28BF" w:rsidR="00E13F2A" w:rsidRPr="00EC5379" w:rsidRDefault="00E13F2A" w:rsidP="009B6294">
      <w:pPr>
        <w:pStyle w:val="Appendixheading"/>
        <w:rPr>
          <w:rFonts w:ascii="Arial" w:hAnsi="Arial" w:cs="Arial"/>
        </w:rPr>
      </w:pPr>
      <w:bookmarkStart w:id="206" w:name="_Toc955758"/>
      <w:bookmarkStart w:id="207" w:name="_Toc4768899"/>
      <w:bookmarkStart w:id="208" w:name="_Toc37921508"/>
      <w:r w:rsidRPr="00EC5379">
        <w:rPr>
          <w:rFonts w:ascii="Arial" w:hAnsi="Arial" w:cs="Arial"/>
        </w:rPr>
        <w:lastRenderedPageBreak/>
        <w:t xml:space="preserve">: </w:t>
      </w:r>
      <w:bookmarkEnd w:id="206"/>
      <w:r w:rsidRPr="00EC5379">
        <w:rPr>
          <w:rFonts w:ascii="Arial" w:hAnsi="Arial" w:cs="Arial"/>
        </w:rPr>
        <w:t xml:space="preserve">SCHEDULE 1 </w:t>
      </w:r>
      <w:r w:rsidR="00F97FE5">
        <w:rPr>
          <w:rFonts w:ascii="Arial" w:hAnsi="Arial" w:cs="Arial"/>
        </w:rPr>
        <w:t xml:space="preserve">AND SCHEDULE 3 </w:t>
      </w:r>
      <w:r w:rsidRPr="00EC5379">
        <w:rPr>
          <w:rFonts w:ascii="Arial" w:hAnsi="Arial" w:cs="Arial"/>
        </w:rPr>
        <w:t>OF THE LSBP ACT</w:t>
      </w:r>
      <w:bookmarkEnd w:id="207"/>
      <w:bookmarkEnd w:id="208"/>
    </w:p>
    <w:p w14:paraId="1690B9B9" w14:textId="77777777" w:rsidR="007779F0" w:rsidRDefault="00BF4E33" w:rsidP="00BF4E33">
      <w:pPr>
        <w:pStyle w:val="BodyText"/>
        <w:rPr>
          <w:rFonts w:cs="Arial"/>
        </w:rPr>
      </w:pPr>
      <w:bookmarkStart w:id="209" w:name="_Toc4768900"/>
      <w:r w:rsidRPr="00EC5379">
        <w:rPr>
          <w:rFonts w:cs="Arial"/>
        </w:rPr>
        <w:t>In order to cover all three sectors in a coherent manner, the LSBP</w:t>
      </w:r>
      <w:r>
        <w:rPr>
          <w:rFonts w:cs="Arial"/>
        </w:rPr>
        <w:t xml:space="preserve"> Act</w:t>
      </w:r>
      <w:r w:rsidRPr="00EC5379">
        <w:rPr>
          <w:rFonts w:cs="Arial"/>
        </w:rPr>
        <w:t xml:space="preserve"> is organised into two key sections. Firstly, the provisions which appl</w:t>
      </w:r>
      <w:r>
        <w:rPr>
          <w:rFonts w:cs="Arial"/>
        </w:rPr>
        <w:t>y to all three sectors (or the S</w:t>
      </w:r>
      <w:r w:rsidRPr="00EC5379">
        <w:rPr>
          <w:rFonts w:cs="Arial"/>
        </w:rPr>
        <w:t xml:space="preserve">cheme generally) are included in the main text of the </w:t>
      </w:r>
      <w:r w:rsidR="002E3F81">
        <w:rPr>
          <w:rFonts w:cs="Arial"/>
        </w:rPr>
        <w:t xml:space="preserve">LSBP </w:t>
      </w:r>
      <w:r w:rsidRPr="00EC5379">
        <w:rPr>
          <w:rFonts w:cs="Arial"/>
        </w:rPr>
        <w:t>Act. Secondly, there are three schedules, each of whi</w:t>
      </w:r>
      <w:r>
        <w:rPr>
          <w:rFonts w:cs="Arial"/>
        </w:rPr>
        <w:t>ch provides the details of the S</w:t>
      </w:r>
      <w:r w:rsidRPr="00EC5379">
        <w:rPr>
          <w:rFonts w:cs="Arial"/>
        </w:rPr>
        <w:t>cheme in a covered sector. Schedule 1 covers the community services sector</w:t>
      </w:r>
      <w:r w:rsidR="007779F0">
        <w:rPr>
          <w:rFonts w:cs="Arial"/>
        </w:rPr>
        <w:t xml:space="preserve">, Schedule 2 covers the contract cleaning sector, and </w:t>
      </w:r>
      <w:r>
        <w:rPr>
          <w:rFonts w:cs="Arial"/>
        </w:rPr>
        <w:t>Schedule 3 covers the security industry</w:t>
      </w:r>
      <w:r w:rsidRPr="00EC5379">
        <w:rPr>
          <w:rFonts w:cs="Arial"/>
        </w:rPr>
        <w:t xml:space="preserve">. </w:t>
      </w:r>
    </w:p>
    <w:p w14:paraId="1585A880" w14:textId="00645571" w:rsidR="00BF4E33" w:rsidRPr="00EC5379" w:rsidRDefault="007779F0" w:rsidP="00BF4E33">
      <w:pPr>
        <w:pStyle w:val="BodyText"/>
        <w:rPr>
          <w:rFonts w:cs="Arial"/>
        </w:rPr>
      </w:pPr>
      <w:r>
        <w:rPr>
          <w:rFonts w:cs="Arial"/>
        </w:rPr>
        <w:t>T</w:t>
      </w:r>
      <w:r w:rsidR="00BF4E33">
        <w:rPr>
          <w:rFonts w:cs="Arial"/>
        </w:rPr>
        <w:t xml:space="preserve">he regulatory changes assessed in this </w:t>
      </w:r>
      <w:r w:rsidR="00BF4E33" w:rsidRPr="00EC5379">
        <w:rPr>
          <w:rFonts w:cs="Arial"/>
        </w:rPr>
        <w:t xml:space="preserve">RIS </w:t>
      </w:r>
      <w:r>
        <w:rPr>
          <w:rFonts w:cs="Arial"/>
        </w:rPr>
        <w:t>only impact</w:t>
      </w:r>
      <w:r w:rsidR="00BF4E33" w:rsidRPr="00EC5379">
        <w:rPr>
          <w:rFonts w:cs="Arial"/>
        </w:rPr>
        <w:t xml:space="preserve"> </w:t>
      </w:r>
      <w:r>
        <w:rPr>
          <w:rFonts w:cs="Arial"/>
        </w:rPr>
        <w:t>the community services sector and security industry</w:t>
      </w:r>
      <w:r w:rsidR="00BF4E33">
        <w:rPr>
          <w:rFonts w:cs="Arial"/>
        </w:rPr>
        <w:t xml:space="preserve">. </w:t>
      </w:r>
      <w:r w:rsidR="00BF4E33" w:rsidRPr="00EC5379">
        <w:rPr>
          <w:rFonts w:cs="Arial"/>
        </w:rPr>
        <w:t xml:space="preserve">For this reason, a simple summary is provided </w:t>
      </w:r>
      <w:r w:rsidR="003E5AC1">
        <w:rPr>
          <w:rFonts w:cs="Arial"/>
        </w:rPr>
        <w:t>below</w:t>
      </w:r>
      <w:r w:rsidR="003E5AC1" w:rsidRPr="00EC5379">
        <w:rPr>
          <w:rFonts w:cs="Arial"/>
        </w:rPr>
        <w:t xml:space="preserve"> </w:t>
      </w:r>
      <w:r w:rsidR="00BF4E33" w:rsidRPr="00EC5379">
        <w:rPr>
          <w:rFonts w:cs="Arial"/>
        </w:rPr>
        <w:t xml:space="preserve">of the key provisions in </w:t>
      </w:r>
      <w:r w:rsidR="00BF4E33">
        <w:rPr>
          <w:rFonts w:cs="Arial"/>
        </w:rPr>
        <w:t>Schedule 1 and Schedule 3</w:t>
      </w:r>
      <w:r w:rsidR="00BF4E33" w:rsidRPr="00EC5379">
        <w:rPr>
          <w:rFonts w:cs="Arial"/>
        </w:rPr>
        <w:t xml:space="preserve"> which are </w:t>
      </w:r>
      <w:r w:rsidR="008942FC">
        <w:rPr>
          <w:rFonts w:cs="Arial"/>
        </w:rPr>
        <w:t>relevant to</w:t>
      </w:r>
      <w:r w:rsidR="00BF4E33" w:rsidRPr="00EC5379">
        <w:rPr>
          <w:rFonts w:cs="Arial"/>
        </w:rPr>
        <w:t xml:space="preserve"> th</w:t>
      </w:r>
      <w:r w:rsidR="003E5AC1">
        <w:rPr>
          <w:rFonts w:cs="Arial"/>
        </w:rPr>
        <w:t>is</w:t>
      </w:r>
      <w:r w:rsidR="00BF4E33" w:rsidRPr="00EC5379">
        <w:rPr>
          <w:rFonts w:cs="Arial"/>
        </w:rPr>
        <w:t xml:space="preserve"> RIS. </w:t>
      </w:r>
      <w:r>
        <w:rPr>
          <w:rFonts w:cs="Arial"/>
        </w:rPr>
        <w:t>A summary of Schedule 2 is not provided as no changes are being proposed to the provisions in the Interim Regulations that apply to the contract cleaning sector.</w:t>
      </w:r>
    </w:p>
    <w:p w14:paraId="439DF9DC" w14:textId="69357208" w:rsidR="00BF4E33" w:rsidRPr="00EC5379" w:rsidRDefault="00BF4E33" w:rsidP="00BF4E33">
      <w:pPr>
        <w:pStyle w:val="Caption"/>
        <w:rPr>
          <w:rFonts w:ascii="Arial" w:hAnsi="Arial" w:cs="Arial"/>
        </w:rPr>
      </w:pPr>
      <w:r w:rsidRPr="00EC5379">
        <w:rPr>
          <w:rFonts w:ascii="Arial" w:hAnsi="Arial" w:cs="Arial"/>
        </w:rPr>
        <w:t xml:space="preserve">Table </w:t>
      </w:r>
      <w:r w:rsidRPr="00EC5379">
        <w:rPr>
          <w:rFonts w:ascii="Arial" w:hAnsi="Arial" w:cs="Arial"/>
          <w:noProof/>
        </w:rPr>
        <w:fldChar w:fldCharType="begin"/>
      </w:r>
      <w:r w:rsidRPr="00EC5379">
        <w:rPr>
          <w:rFonts w:ascii="Arial" w:hAnsi="Arial" w:cs="Arial"/>
          <w:noProof/>
        </w:rPr>
        <w:instrText xml:space="preserve"> SEQ Table \* ARABIC </w:instrText>
      </w:r>
      <w:r w:rsidRPr="00EC5379">
        <w:rPr>
          <w:rFonts w:ascii="Arial" w:hAnsi="Arial" w:cs="Arial"/>
          <w:noProof/>
        </w:rPr>
        <w:fldChar w:fldCharType="separate"/>
      </w:r>
      <w:r w:rsidR="00F11F33">
        <w:rPr>
          <w:rFonts w:ascii="Arial" w:hAnsi="Arial" w:cs="Arial"/>
          <w:noProof/>
        </w:rPr>
        <w:t>21</w:t>
      </w:r>
      <w:r w:rsidRPr="00EC5379">
        <w:rPr>
          <w:rFonts w:ascii="Arial" w:hAnsi="Arial" w:cs="Arial"/>
          <w:noProof/>
        </w:rPr>
        <w:fldChar w:fldCharType="end"/>
      </w:r>
      <w:r w:rsidRPr="00EC5379">
        <w:rPr>
          <w:rFonts w:ascii="Arial" w:hAnsi="Arial" w:cs="Arial"/>
        </w:rPr>
        <w:t>: Summar</w:t>
      </w:r>
      <w:r>
        <w:rPr>
          <w:rFonts w:ascii="Arial" w:hAnsi="Arial" w:cs="Arial"/>
        </w:rPr>
        <w:t>y of Schedule 1 – Community Services Sector</w:t>
      </w:r>
      <w:r w:rsidRPr="00EC5379">
        <w:rPr>
          <w:rFonts w:ascii="Arial" w:hAnsi="Arial" w:cs="Arial"/>
        </w:rPr>
        <w:t xml:space="preserve"> of the </w:t>
      </w:r>
      <w:r w:rsidRPr="007546E6">
        <w:rPr>
          <w:rFonts w:ascii="Arial" w:hAnsi="Arial" w:cs="Arial"/>
          <w:i w:val="0"/>
        </w:rPr>
        <w:t>LSBP Act</w:t>
      </w:r>
    </w:p>
    <w:tbl>
      <w:tblPr>
        <w:tblW w:w="13775" w:type="dxa"/>
        <w:tblLayout w:type="fixed"/>
        <w:tblLook w:val="04A0" w:firstRow="1" w:lastRow="0" w:firstColumn="1" w:lastColumn="0" w:noHBand="0" w:noVBand="1"/>
      </w:tblPr>
      <w:tblGrid>
        <w:gridCol w:w="2977"/>
        <w:gridCol w:w="10798"/>
      </w:tblGrid>
      <w:tr w:rsidR="00BF4E33" w:rsidRPr="004A514D" w14:paraId="534E8878" w14:textId="77777777" w:rsidTr="004A514D">
        <w:trPr>
          <w:tblHeader/>
        </w:trPr>
        <w:tc>
          <w:tcPr>
            <w:tcW w:w="2977" w:type="dxa"/>
            <w:tcBorders>
              <w:top w:val="single" w:sz="8" w:space="0" w:color="auto"/>
              <w:left w:val="nil"/>
              <w:bottom w:val="single" w:sz="8" w:space="0" w:color="auto"/>
              <w:right w:val="single" w:sz="8" w:space="0" w:color="auto"/>
            </w:tcBorders>
            <w:shd w:val="clear" w:color="auto" w:fill="002060"/>
            <w:vAlign w:val="center"/>
          </w:tcPr>
          <w:p w14:paraId="1E875214" w14:textId="77777777" w:rsidR="00BF4E33" w:rsidRPr="004A514D" w:rsidRDefault="00BF4E33" w:rsidP="00174F37">
            <w:pPr>
              <w:pStyle w:val="Tableheading"/>
              <w:rPr>
                <w:rFonts w:ascii="Arial" w:hAnsi="Arial" w:cs="Arial"/>
                <w:lang w:eastAsia="en-AU"/>
              </w:rPr>
            </w:pPr>
            <w:r w:rsidRPr="004A514D">
              <w:rPr>
                <w:rFonts w:ascii="Arial" w:hAnsi="Arial" w:cs="Arial"/>
                <w:lang w:eastAsia="en-AU"/>
              </w:rPr>
              <w:t>Clause and heading</w:t>
            </w:r>
          </w:p>
        </w:tc>
        <w:tc>
          <w:tcPr>
            <w:tcW w:w="10798" w:type="dxa"/>
            <w:tcBorders>
              <w:top w:val="single" w:sz="8" w:space="0" w:color="auto"/>
              <w:left w:val="nil"/>
              <w:bottom w:val="single" w:sz="8" w:space="0" w:color="auto"/>
            </w:tcBorders>
            <w:shd w:val="clear" w:color="auto" w:fill="002060"/>
            <w:vAlign w:val="center"/>
            <w:hideMark/>
          </w:tcPr>
          <w:p w14:paraId="486484FC" w14:textId="77777777" w:rsidR="00BF4E33" w:rsidRPr="004A514D" w:rsidRDefault="00BF4E33" w:rsidP="00174F37">
            <w:pPr>
              <w:pStyle w:val="Tableheading"/>
              <w:rPr>
                <w:rFonts w:ascii="Arial" w:hAnsi="Arial" w:cs="Arial"/>
                <w:lang w:eastAsia="en-AU"/>
              </w:rPr>
            </w:pPr>
            <w:r w:rsidRPr="004A514D">
              <w:rPr>
                <w:rFonts w:ascii="Arial" w:hAnsi="Arial" w:cs="Arial"/>
                <w:lang w:eastAsia="en-AU"/>
              </w:rPr>
              <w:t>Explanation</w:t>
            </w:r>
          </w:p>
        </w:tc>
      </w:tr>
      <w:tr w:rsidR="00BF4E33" w:rsidRPr="004A514D" w14:paraId="486B2268" w14:textId="77777777" w:rsidTr="004A514D">
        <w:tc>
          <w:tcPr>
            <w:tcW w:w="2977" w:type="dxa"/>
            <w:tcBorders>
              <w:top w:val="nil"/>
              <w:left w:val="nil"/>
              <w:bottom w:val="single" w:sz="4" w:space="0" w:color="auto"/>
              <w:right w:val="single" w:sz="8" w:space="0" w:color="auto"/>
            </w:tcBorders>
            <w:shd w:val="clear" w:color="000000" w:fill="DEEAF6"/>
            <w:vAlign w:val="center"/>
          </w:tcPr>
          <w:p w14:paraId="06D64408" w14:textId="77777777" w:rsidR="00BF4E33" w:rsidRPr="003E5AC1" w:rsidRDefault="00BF4E33" w:rsidP="003E5AC1">
            <w:pPr>
              <w:pStyle w:val="ListParagraph"/>
              <w:numPr>
                <w:ilvl w:val="0"/>
                <w:numId w:val="10"/>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What is the community services sector?</w:t>
            </w:r>
          </w:p>
        </w:tc>
        <w:tc>
          <w:tcPr>
            <w:tcW w:w="10798" w:type="dxa"/>
            <w:tcBorders>
              <w:top w:val="nil"/>
              <w:left w:val="nil"/>
              <w:bottom w:val="single" w:sz="4" w:space="0" w:color="auto"/>
            </w:tcBorders>
            <w:shd w:val="clear" w:color="000000" w:fill="DEEAF6"/>
            <w:vAlign w:val="center"/>
            <w:hideMark/>
          </w:tcPr>
          <w:p w14:paraId="64FC919D" w14:textId="77777777" w:rsidR="00BF4E33" w:rsidRPr="004A514D" w:rsidRDefault="00BF4E33" w:rsidP="00174F37">
            <w:pPr>
              <w:pStyle w:val="Tabletext"/>
              <w:rPr>
                <w:rFonts w:cs="Arial"/>
                <w:lang w:eastAsia="en-AU"/>
              </w:rPr>
            </w:pPr>
            <w:r w:rsidRPr="004A514D">
              <w:rPr>
                <w:rFonts w:cs="Arial"/>
                <w:lang w:eastAsia="en-AU"/>
              </w:rPr>
              <w:t xml:space="preserve">The community services sector is where community service work is performed. This applies to Victoria as well as other states and territories. Community service work is defined in clause 2. </w:t>
            </w:r>
          </w:p>
        </w:tc>
      </w:tr>
      <w:tr w:rsidR="00BF4E33" w:rsidRPr="004A514D" w14:paraId="20E917F4" w14:textId="77777777" w:rsidTr="004A514D">
        <w:tc>
          <w:tcPr>
            <w:tcW w:w="2977" w:type="dxa"/>
            <w:tcBorders>
              <w:top w:val="single" w:sz="4" w:space="0" w:color="auto"/>
              <w:left w:val="nil"/>
              <w:bottom w:val="single" w:sz="4" w:space="0" w:color="auto"/>
              <w:right w:val="single" w:sz="8" w:space="0" w:color="auto"/>
            </w:tcBorders>
            <w:shd w:val="clear" w:color="000000" w:fill="DEEAF6"/>
            <w:vAlign w:val="center"/>
          </w:tcPr>
          <w:p w14:paraId="5113B89C" w14:textId="77777777" w:rsidR="00BF4E33" w:rsidRPr="003E5AC1" w:rsidRDefault="00BF4E33" w:rsidP="003E5AC1">
            <w:pPr>
              <w:pStyle w:val="ListParagraph"/>
              <w:numPr>
                <w:ilvl w:val="0"/>
                <w:numId w:val="10"/>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What is community service work?</w:t>
            </w:r>
          </w:p>
        </w:tc>
        <w:tc>
          <w:tcPr>
            <w:tcW w:w="10798" w:type="dxa"/>
            <w:tcBorders>
              <w:top w:val="single" w:sz="4" w:space="0" w:color="auto"/>
              <w:left w:val="nil"/>
              <w:bottom w:val="single" w:sz="4" w:space="0" w:color="auto"/>
            </w:tcBorders>
            <w:shd w:val="clear" w:color="000000" w:fill="DEEAF6"/>
            <w:vAlign w:val="center"/>
          </w:tcPr>
          <w:p w14:paraId="7C9E27CA" w14:textId="77777777" w:rsidR="00BF4E33" w:rsidRPr="004A514D" w:rsidRDefault="00BF4E33" w:rsidP="00174F37">
            <w:pPr>
              <w:pStyle w:val="Tabletext"/>
              <w:rPr>
                <w:rFonts w:cs="Arial"/>
              </w:rPr>
            </w:pPr>
            <w:r w:rsidRPr="004A514D">
              <w:rPr>
                <w:rFonts w:cs="Arial"/>
              </w:rPr>
              <w:t>The community services sector has been defined in the LSBP Act as work that provides the following for persons who have a disability or other persons who are vulnerable, disadvantaged or in crisis:</w:t>
            </w:r>
          </w:p>
          <w:p w14:paraId="5A695888" w14:textId="27FA2BBE" w:rsidR="00BF4E33" w:rsidRPr="004A514D" w:rsidRDefault="00B66AEB" w:rsidP="003E5AC1">
            <w:pPr>
              <w:pStyle w:val="Tablebullet1"/>
            </w:pPr>
            <w:r>
              <w:t>t</w:t>
            </w:r>
            <w:r w:rsidR="00BF4E33" w:rsidRPr="004A514D">
              <w:t xml:space="preserve">raining and employment support; </w:t>
            </w:r>
          </w:p>
          <w:p w14:paraId="167645D5" w14:textId="436CE892" w:rsidR="00BF4E33" w:rsidRPr="004A514D" w:rsidRDefault="00B66AEB" w:rsidP="003E5AC1">
            <w:pPr>
              <w:pStyle w:val="Tablebullet1"/>
            </w:pPr>
            <w:r>
              <w:t>f</w:t>
            </w:r>
            <w:r w:rsidR="00BF4E33" w:rsidRPr="004A514D">
              <w:t xml:space="preserve">inancial support or goods; </w:t>
            </w:r>
          </w:p>
          <w:p w14:paraId="5261A97C" w14:textId="44230CFE" w:rsidR="00BF4E33" w:rsidRPr="004A514D" w:rsidRDefault="00B66AEB" w:rsidP="003E5AC1">
            <w:pPr>
              <w:pStyle w:val="Tablebullet1"/>
            </w:pPr>
            <w:r>
              <w:t>a</w:t>
            </w:r>
            <w:r w:rsidR="00BF4E33" w:rsidRPr="004A514D">
              <w:t xml:space="preserve">ccommodation, or accommodation-related support services; </w:t>
            </w:r>
          </w:p>
          <w:p w14:paraId="07AFE13A" w14:textId="0FB651F4" w:rsidR="00BF4E33" w:rsidRPr="004A514D" w:rsidRDefault="00B66AEB" w:rsidP="003E5AC1">
            <w:pPr>
              <w:pStyle w:val="Tablebullet1"/>
            </w:pPr>
            <w:r>
              <w:t>h</w:t>
            </w:r>
            <w:r w:rsidR="00BF4E33" w:rsidRPr="004A514D">
              <w:t xml:space="preserve">ome-care support services; and </w:t>
            </w:r>
          </w:p>
          <w:p w14:paraId="0160261F" w14:textId="6072C3C6" w:rsidR="00BF4E33" w:rsidRPr="004A514D" w:rsidRDefault="00B66AEB" w:rsidP="003E5AC1">
            <w:pPr>
              <w:pStyle w:val="Tablebullet1"/>
            </w:pPr>
            <w:r>
              <w:t>o</w:t>
            </w:r>
            <w:r w:rsidR="00BF4E33" w:rsidRPr="004A514D">
              <w:t xml:space="preserve">ther support services. </w:t>
            </w:r>
          </w:p>
          <w:p w14:paraId="60A321A4" w14:textId="5911681B" w:rsidR="00BF4E33" w:rsidRPr="004A514D" w:rsidRDefault="008942FC" w:rsidP="003E5AC1">
            <w:pPr>
              <w:pStyle w:val="Tabletext"/>
            </w:pPr>
            <w:r w:rsidRPr="004A514D">
              <w:t>In addition, the LSBP</w:t>
            </w:r>
            <w:r w:rsidR="00BF4E33" w:rsidRPr="004A514D">
              <w:t xml:space="preserve"> Act also includes work that provides the following: </w:t>
            </w:r>
          </w:p>
          <w:p w14:paraId="6D4E7B20" w14:textId="2DCD5D5F" w:rsidR="00BF4E33" w:rsidRPr="004A514D" w:rsidRDefault="00B66AEB" w:rsidP="003E5AC1">
            <w:pPr>
              <w:pStyle w:val="Tablebullet1"/>
            </w:pPr>
            <w:r>
              <w:t>c</w:t>
            </w:r>
            <w:r w:rsidR="00BF4E33" w:rsidRPr="004A514D">
              <w:t xml:space="preserve">ommunity and legal services, community education and information services, or community advocacy services; </w:t>
            </w:r>
          </w:p>
          <w:p w14:paraId="76D66B2A" w14:textId="3A83C234" w:rsidR="00BF4E33" w:rsidRPr="004A514D" w:rsidRDefault="00B66AEB" w:rsidP="003E5AC1">
            <w:pPr>
              <w:pStyle w:val="Tablebullet1"/>
            </w:pPr>
            <w:r>
              <w:t>c</w:t>
            </w:r>
            <w:r w:rsidR="00BF4E33" w:rsidRPr="004A514D">
              <w:t xml:space="preserve">ommunity development services; </w:t>
            </w:r>
          </w:p>
          <w:p w14:paraId="1ADA23DE" w14:textId="14324BF5" w:rsidR="00BF4E33" w:rsidRPr="004A514D" w:rsidRDefault="006771ED" w:rsidP="003E5AC1">
            <w:pPr>
              <w:pStyle w:val="Tablebullet1"/>
            </w:pPr>
            <w:r>
              <w:t>f</w:t>
            </w:r>
            <w:r w:rsidR="00BF4E33" w:rsidRPr="004A514D">
              <w:t xml:space="preserve">undraising assistance for community groups; and </w:t>
            </w:r>
          </w:p>
          <w:p w14:paraId="3D9ECDFF" w14:textId="786B7511" w:rsidR="00BF4E33" w:rsidRPr="004A514D" w:rsidRDefault="00B66AEB" w:rsidP="003E5AC1">
            <w:pPr>
              <w:pStyle w:val="Tablebullet1"/>
            </w:pPr>
            <w:r>
              <w:t>s</w:t>
            </w:r>
            <w:r w:rsidR="00BF4E33" w:rsidRPr="004A514D">
              <w:t xml:space="preserve">ervices providing assistance to particular culture or linguistically diverse communities. </w:t>
            </w:r>
          </w:p>
          <w:p w14:paraId="10517B05" w14:textId="6AB39AB5" w:rsidR="00BF4E33" w:rsidRPr="004A514D" w:rsidRDefault="00BF4E33" w:rsidP="003E5AC1">
            <w:pPr>
              <w:pStyle w:val="Tabletext"/>
              <w:rPr>
                <w:rFonts w:eastAsia="Times New Roman"/>
                <w:color w:val="000000"/>
                <w:lang w:eastAsia="en-AU"/>
              </w:rPr>
            </w:pPr>
            <w:r w:rsidRPr="004A514D">
              <w:lastRenderedPageBreak/>
              <w:t>Notably, the definition of community service</w:t>
            </w:r>
            <w:r w:rsidR="0027356E" w:rsidRPr="004A514D">
              <w:t xml:space="preserve"> </w:t>
            </w:r>
            <w:r w:rsidRPr="004A514D">
              <w:t>work explicitly excludes from the coverage of the LSBP Act</w:t>
            </w:r>
            <w:r w:rsidRPr="004A514D" w:rsidDel="00EE442D">
              <w:t xml:space="preserve"> </w:t>
            </w:r>
            <w:r w:rsidRPr="004A514D">
              <w:t xml:space="preserve">activities funded under the NDIS, services provided by entities licensed under the </w:t>
            </w:r>
            <w:r w:rsidRPr="004A514D">
              <w:rPr>
                <w:i/>
              </w:rPr>
              <w:t>Children’s Services Act 1996</w:t>
            </w:r>
            <w:r w:rsidRPr="004A514D">
              <w:t xml:space="preserve">, and anything that </w:t>
            </w:r>
            <w:r w:rsidR="003E5AC1">
              <w:t>G</w:t>
            </w:r>
            <w:r w:rsidRPr="004A514D">
              <w:t>overnment may stipulate to be excluded.</w:t>
            </w:r>
            <w:r w:rsidRPr="004A514D">
              <w:rPr>
                <w:b/>
              </w:rPr>
              <w:t xml:space="preserve"> </w:t>
            </w:r>
          </w:p>
        </w:tc>
      </w:tr>
      <w:tr w:rsidR="00BF4E33" w:rsidRPr="004A514D" w14:paraId="7FA991BF" w14:textId="77777777" w:rsidTr="004A514D">
        <w:trPr>
          <w:cantSplit/>
        </w:trPr>
        <w:tc>
          <w:tcPr>
            <w:tcW w:w="2977" w:type="dxa"/>
            <w:tcBorders>
              <w:top w:val="single" w:sz="4" w:space="0" w:color="auto"/>
              <w:left w:val="nil"/>
              <w:bottom w:val="single" w:sz="4" w:space="0" w:color="auto"/>
              <w:right w:val="single" w:sz="8" w:space="0" w:color="auto"/>
            </w:tcBorders>
            <w:shd w:val="clear" w:color="000000" w:fill="DEEAF6"/>
            <w:vAlign w:val="center"/>
          </w:tcPr>
          <w:p w14:paraId="2948BAC4" w14:textId="7289F4C5" w:rsidR="00BF4E33" w:rsidRPr="003E5AC1" w:rsidRDefault="00BF4E33" w:rsidP="003E5AC1">
            <w:pPr>
              <w:pStyle w:val="ListParagraph"/>
              <w:numPr>
                <w:ilvl w:val="0"/>
                <w:numId w:val="10"/>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lastRenderedPageBreak/>
              <w:t>Who is an employer?</w:t>
            </w:r>
          </w:p>
        </w:tc>
        <w:tc>
          <w:tcPr>
            <w:tcW w:w="10798" w:type="dxa"/>
            <w:tcBorders>
              <w:top w:val="single" w:sz="4" w:space="0" w:color="auto"/>
              <w:left w:val="nil"/>
              <w:bottom w:val="single" w:sz="4" w:space="0" w:color="auto"/>
            </w:tcBorders>
            <w:shd w:val="clear" w:color="000000" w:fill="DEEAF6"/>
            <w:vAlign w:val="center"/>
          </w:tcPr>
          <w:p w14:paraId="6631C3D9" w14:textId="07430898" w:rsidR="00BF4E33" w:rsidRPr="004A514D" w:rsidRDefault="00BF4E33" w:rsidP="003E5AC1">
            <w:pPr>
              <w:pStyle w:val="Tabletext"/>
            </w:pPr>
            <w:r w:rsidRPr="004A514D">
              <w:t>An employer is a not-for profit, or for</w:t>
            </w:r>
            <w:r w:rsidR="003E5AC1">
              <w:t>-</w:t>
            </w:r>
            <w:r w:rsidRPr="004A514D">
              <w:t xml:space="preserve">profit entity that employs one or more individuals to perform community service work, or a person who is prescribed to be an employer. </w:t>
            </w:r>
          </w:p>
          <w:p w14:paraId="1E334316" w14:textId="77777777" w:rsidR="00BF4E33" w:rsidRPr="004A514D" w:rsidRDefault="00BF4E33" w:rsidP="003E5AC1">
            <w:pPr>
              <w:pStyle w:val="Tabletext"/>
            </w:pPr>
            <w:r w:rsidRPr="004A514D">
              <w:t xml:space="preserve">The following are not employers: </w:t>
            </w:r>
          </w:p>
          <w:p w14:paraId="2FA16202" w14:textId="77777777" w:rsidR="00BF4E33" w:rsidRPr="004A514D" w:rsidRDefault="00BF4E33" w:rsidP="003E5AC1">
            <w:pPr>
              <w:pStyle w:val="Tablebullet1"/>
            </w:pPr>
            <w:r w:rsidRPr="004A514D">
              <w:t>the Commonwealth;</w:t>
            </w:r>
          </w:p>
          <w:p w14:paraId="5D39B759" w14:textId="77777777" w:rsidR="00BF4E33" w:rsidRPr="004A514D" w:rsidRDefault="00BF4E33" w:rsidP="003E5AC1">
            <w:pPr>
              <w:pStyle w:val="Tablebullet1"/>
            </w:pPr>
            <w:r w:rsidRPr="004A514D">
              <w:t>the State;</w:t>
            </w:r>
          </w:p>
          <w:p w14:paraId="0A3BBC42" w14:textId="77777777" w:rsidR="00BF4E33" w:rsidRPr="004A514D" w:rsidRDefault="00BF4E33" w:rsidP="003E5AC1">
            <w:pPr>
              <w:pStyle w:val="Tablebullet1"/>
            </w:pPr>
            <w:r w:rsidRPr="004A514D">
              <w:t>entities with governing bodies appointed under an Act of the Commonwealth or State;</w:t>
            </w:r>
          </w:p>
          <w:p w14:paraId="30B1EB2C" w14:textId="77777777" w:rsidR="00BF4E33" w:rsidRPr="004A514D" w:rsidRDefault="00BF4E33" w:rsidP="003E5AC1">
            <w:pPr>
              <w:pStyle w:val="Tablebullet1"/>
            </w:pPr>
            <w:r w:rsidRPr="004A514D">
              <w:t>a municipal council or other statutory body;</w:t>
            </w:r>
          </w:p>
          <w:p w14:paraId="3497BD7E" w14:textId="77777777" w:rsidR="00BF4E33" w:rsidRPr="004A514D" w:rsidRDefault="00BF4E33" w:rsidP="003E5AC1">
            <w:pPr>
              <w:pStyle w:val="Tablebullet1"/>
              <w:rPr>
                <w:rFonts w:eastAsia="Times New Roman"/>
                <w:color w:val="000000"/>
                <w:lang w:eastAsia="en-AU"/>
              </w:rPr>
            </w:pPr>
            <w:r w:rsidRPr="004A514D">
              <w:t xml:space="preserve">a public health service or a public hospital under the </w:t>
            </w:r>
            <w:r w:rsidRPr="004A514D">
              <w:rPr>
                <w:i/>
              </w:rPr>
              <w:t>Health Services Act 1988; and</w:t>
            </w:r>
          </w:p>
          <w:p w14:paraId="3C4D61B1" w14:textId="77777777" w:rsidR="00BF4E33" w:rsidRPr="004A514D" w:rsidRDefault="00BF4E33" w:rsidP="003E5AC1">
            <w:pPr>
              <w:pStyle w:val="Tablebullet1"/>
              <w:rPr>
                <w:rFonts w:eastAsia="Times New Roman"/>
                <w:color w:val="000000"/>
                <w:lang w:eastAsia="en-AU"/>
              </w:rPr>
            </w:pPr>
            <w:r w:rsidRPr="004A514D">
              <w:t>a person prescribed not to be an employer.</w:t>
            </w:r>
          </w:p>
        </w:tc>
      </w:tr>
      <w:tr w:rsidR="00BF4E33" w:rsidRPr="004A514D" w14:paraId="246760EA" w14:textId="77777777" w:rsidTr="004A514D">
        <w:tc>
          <w:tcPr>
            <w:tcW w:w="2977" w:type="dxa"/>
            <w:tcBorders>
              <w:top w:val="single" w:sz="4" w:space="0" w:color="auto"/>
              <w:left w:val="nil"/>
              <w:bottom w:val="single" w:sz="4" w:space="0" w:color="auto"/>
              <w:right w:val="single" w:sz="8" w:space="0" w:color="auto"/>
            </w:tcBorders>
            <w:shd w:val="clear" w:color="000000" w:fill="DEEAF6"/>
            <w:vAlign w:val="center"/>
          </w:tcPr>
          <w:p w14:paraId="27495369" w14:textId="1ADDF2C4" w:rsidR="00BF4E33" w:rsidRPr="003E5AC1" w:rsidRDefault="00BF4E33" w:rsidP="003E5AC1">
            <w:pPr>
              <w:pStyle w:val="ListParagraph"/>
              <w:numPr>
                <w:ilvl w:val="0"/>
                <w:numId w:val="10"/>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Who is an employee?</w:t>
            </w:r>
          </w:p>
        </w:tc>
        <w:tc>
          <w:tcPr>
            <w:tcW w:w="10798" w:type="dxa"/>
            <w:tcBorders>
              <w:top w:val="single" w:sz="4" w:space="0" w:color="auto"/>
              <w:left w:val="nil"/>
              <w:bottom w:val="single" w:sz="4" w:space="0" w:color="auto"/>
            </w:tcBorders>
            <w:shd w:val="clear" w:color="000000" w:fill="DEEAF6"/>
            <w:vAlign w:val="center"/>
          </w:tcPr>
          <w:p w14:paraId="4311A2E9" w14:textId="77777777" w:rsidR="00BF4E33" w:rsidRPr="004A514D" w:rsidRDefault="00BF4E33" w:rsidP="003E5AC1">
            <w:pPr>
              <w:pStyle w:val="Tabletext"/>
            </w:pPr>
            <w:r w:rsidRPr="004A514D">
              <w:t xml:space="preserve">The definition of an employee is an individual employed by an employer for the sector, and includes those employed on a casual basis. </w:t>
            </w:r>
          </w:p>
          <w:p w14:paraId="16A38E3A" w14:textId="77777777" w:rsidR="00BF4E33" w:rsidRPr="004A514D" w:rsidRDefault="00BF4E33" w:rsidP="003E5AC1">
            <w:pPr>
              <w:pStyle w:val="Tabletext"/>
            </w:pPr>
            <w:r w:rsidRPr="004A514D">
              <w:t xml:space="preserve">The following are not employees: </w:t>
            </w:r>
          </w:p>
          <w:p w14:paraId="1B9408C9" w14:textId="77777777" w:rsidR="00BF4E33" w:rsidRPr="004A514D" w:rsidRDefault="00BF4E33" w:rsidP="003E5AC1">
            <w:pPr>
              <w:pStyle w:val="Tablebullet1"/>
            </w:pPr>
            <w:r w:rsidRPr="004A514D">
              <w:t xml:space="preserve">those who care for children or coordinate the care of children for a business licensed under the </w:t>
            </w:r>
            <w:r w:rsidRPr="004A514D">
              <w:rPr>
                <w:i/>
              </w:rPr>
              <w:t>Children’s Services Act 1996</w:t>
            </w:r>
            <w:r w:rsidRPr="004A514D">
              <w:t xml:space="preserve">; </w:t>
            </w:r>
          </w:p>
          <w:p w14:paraId="1921C5F6" w14:textId="31AD65D8" w:rsidR="00BF4E33" w:rsidRPr="004A514D" w:rsidRDefault="00BF4E33" w:rsidP="003E5AC1">
            <w:pPr>
              <w:pStyle w:val="Tablebullet1"/>
            </w:pPr>
            <w:r w:rsidRPr="004A514D">
              <w:t xml:space="preserve">employees whose employer is a </w:t>
            </w:r>
            <w:r w:rsidR="0072722B">
              <w:t>Community Health Centre</w:t>
            </w:r>
            <w:r w:rsidRPr="004A514D">
              <w:t xml:space="preserve"> registered under section 48 of the </w:t>
            </w:r>
            <w:r w:rsidRPr="004A514D">
              <w:rPr>
                <w:i/>
              </w:rPr>
              <w:t>Health Services Act 1988</w:t>
            </w:r>
            <w:r w:rsidRPr="004A514D">
              <w:t xml:space="preserve"> (unless their role is to carry out community service work);</w:t>
            </w:r>
          </w:p>
          <w:p w14:paraId="3FB43806" w14:textId="77777777" w:rsidR="00BF4E33" w:rsidRPr="004A514D" w:rsidRDefault="00BF4E33" w:rsidP="003E5AC1">
            <w:pPr>
              <w:pStyle w:val="Tablebullet1"/>
            </w:pPr>
            <w:r w:rsidRPr="004A514D">
              <w:t xml:space="preserve">individuals employed by employers who provide services to persons with a disability but whose primary role is to provide health services to those persons; </w:t>
            </w:r>
          </w:p>
          <w:p w14:paraId="7FD606DB" w14:textId="77777777" w:rsidR="00BF4E33" w:rsidRPr="004A514D" w:rsidRDefault="00BF4E33" w:rsidP="003E5AC1">
            <w:pPr>
              <w:pStyle w:val="Tablebullet1"/>
              <w:rPr>
                <w:rFonts w:eastAsia="Times New Roman"/>
                <w:color w:val="000000"/>
                <w:lang w:eastAsia="en-AU"/>
              </w:rPr>
            </w:pPr>
            <w:r w:rsidRPr="004A514D">
              <w:t xml:space="preserve">individuals employed under the </w:t>
            </w:r>
            <w:r w:rsidRPr="004A514D">
              <w:rPr>
                <w:i/>
              </w:rPr>
              <w:t>Aged Care Award 2010</w:t>
            </w:r>
            <w:r w:rsidRPr="004A514D">
              <w:t xml:space="preserve"> or other prescribed awards; and </w:t>
            </w:r>
          </w:p>
          <w:p w14:paraId="50D2071A" w14:textId="77777777" w:rsidR="00BF4E33" w:rsidRPr="004A514D" w:rsidRDefault="00BF4E33" w:rsidP="003E5AC1">
            <w:pPr>
              <w:pStyle w:val="Tablebullet1"/>
              <w:rPr>
                <w:rFonts w:eastAsia="Times New Roman"/>
                <w:color w:val="000000"/>
                <w:lang w:eastAsia="en-AU"/>
              </w:rPr>
            </w:pPr>
            <w:r w:rsidRPr="004A514D">
              <w:t>individuals prescribed not to be employees.</w:t>
            </w:r>
          </w:p>
        </w:tc>
      </w:tr>
      <w:tr w:rsidR="00BF4E33" w:rsidRPr="004A514D" w14:paraId="486C5443" w14:textId="77777777" w:rsidTr="004A514D">
        <w:tc>
          <w:tcPr>
            <w:tcW w:w="2977" w:type="dxa"/>
            <w:tcBorders>
              <w:top w:val="single" w:sz="4" w:space="0" w:color="auto"/>
              <w:left w:val="nil"/>
              <w:bottom w:val="single" w:sz="4" w:space="0" w:color="auto"/>
              <w:right w:val="single" w:sz="8" w:space="0" w:color="auto"/>
            </w:tcBorders>
            <w:shd w:val="clear" w:color="000000" w:fill="DEEAF6"/>
            <w:vAlign w:val="center"/>
          </w:tcPr>
          <w:p w14:paraId="2CFDBD23" w14:textId="77777777" w:rsidR="00BF4E33" w:rsidRPr="003E5AC1" w:rsidRDefault="00BF4E33" w:rsidP="003E5AC1">
            <w:pPr>
              <w:pStyle w:val="ListParagraph"/>
              <w:numPr>
                <w:ilvl w:val="0"/>
                <w:numId w:val="10"/>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What is recognised service?</w:t>
            </w:r>
          </w:p>
        </w:tc>
        <w:tc>
          <w:tcPr>
            <w:tcW w:w="10798" w:type="dxa"/>
            <w:tcBorders>
              <w:top w:val="single" w:sz="4" w:space="0" w:color="auto"/>
              <w:left w:val="nil"/>
              <w:bottom w:val="single" w:sz="4" w:space="0" w:color="auto"/>
            </w:tcBorders>
            <w:shd w:val="clear" w:color="000000" w:fill="DEEAF6"/>
            <w:vAlign w:val="center"/>
          </w:tcPr>
          <w:p w14:paraId="1D4DB02C" w14:textId="77777777" w:rsidR="00BF4E33" w:rsidRPr="004A514D" w:rsidRDefault="00BF4E33" w:rsidP="003E5AC1">
            <w:pPr>
              <w:pStyle w:val="Tabletext"/>
              <w:rPr>
                <w:lang w:eastAsia="en-AU"/>
              </w:rPr>
            </w:pPr>
            <w:r w:rsidRPr="004A514D">
              <w:rPr>
                <w:lang w:eastAsia="en-AU"/>
              </w:rPr>
              <w:t xml:space="preserve">Recognised service is the amount of time an employee has recorded under the Scheme for the purposes of accessing a portable long service benefit. This is all recorded days minus any days taken off for long service. 365 days of recognised service is considered one year of recognised service. </w:t>
            </w:r>
          </w:p>
        </w:tc>
      </w:tr>
      <w:tr w:rsidR="00BF4E33" w:rsidRPr="004A514D" w14:paraId="1CAC4806" w14:textId="77777777" w:rsidTr="004A514D">
        <w:tc>
          <w:tcPr>
            <w:tcW w:w="2977" w:type="dxa"/>
            <w:tcBorders>
              <w:top w:val="single" w:sz="4" w:space="0" w:color="auto"/>
              <w:left w:val="nil"/>
              <w:bottom w:val="single" w:sz="4" w:space="0" w:color="auto"/>
              <w:right w:val="single" w:sz="8" w:space="0" w:color="auto"/>
            </w:tcBorders>
            <w:shd w:val="clear" w:color="000000" w:fill="DEEAF6"/>
            <w:vAlign w:val="center"/>
          </w:tcPr>
          <w:p w14:paraId="7EE964BB" w14:textId="77777777" w:rsidR="00BF4E33" w:rsidRPr="003E5AC1" w:rsidRDefault="00BF4E33" w:rsidP="003E5AC1">
            <w:pPr>
              <w:pStyle w:val="ListParagraph"/>
              <w:numPr>
                <w:ilvl w:val="0"/>
                <w:numId w:val="10"/>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Crediting service</w:t>
            </w:r>
          </w:p>
        </w:tc>
        <w:tc>
          <w:tcPr>
            <w:tcW w:w="10798" w:type="dxa"/>
            <w:tcBorders>
              <w:top w:val="single" w:sz="4" w:space="0" w:color="auto"/>
              <w:left w:val="nil"/>
              <w:bottom w:val="single" w:sz="4" w:space="0" w:color="auto"/>
            </w:tcBorders>
            <w:shd w:val="clear" w:color="000000" w:fill="DEEAF6"/>
            <w:vAlign w:val="center"/>
          </w:tcPr>
          <w:p w14:paraId="5ACA4455" w14:textId="369FD4EE" w:rsidR="00BF4E33" w:rsidRPr="004A514D" w:rsidRDefault="00BF4E33" w:rsidP="003E5AC1">
            <w:pPr>
              <w:pStyle w:val="Tabletext"/>
              <w:rPr>
                <w:lang w:eastAsia="en-AU"/>
              </w:rPr>
            </w:pPr>
            <w:r w:rsidRPr="004A514D">
              <w:rPr>
                <w:lang w:eastAsia="en-AU"/>
              </w:rPr>
              <w:t>A</w:t>
            </w:r>
            <w:r w:rsidR="00BA4E89" w:rsidRPr="004A514D">
              <w:rPr>
                <w:lang w:eastAsia="en-AU"/>
              </w:rPr>
              <w:t>n</w:t>
            </w:r>
            <w:r w:rsidRPr="004A514D">
              <w:rPr>
                <w:lang w:eastAsia="en-AU"/>
              </w:rPr>
              <w:t xml:space="preserve"> </w:t>
            </w:r>
            <w:r w:rsidR="00BA4E89" w:rsidRPr="004A514D">
              <w:rPr>
                <w:lang w:eastAsia="en-AU"/>
              </w:rPr>
              <w:t>employee</w:t>
            </w:r>
            <w:r w:rsidRPr="004A514D">
              <w:rPr>
                <w:lang w:eastAsia="en-AU"/>
              </w:rPr>
              <w:t xml:space="preserve"> is credited one day of service for every day that they are employed, regardless of if they work that day. </w:t>
            </w:r>
            <w:r w:rsidR="00BA4E89" w:rsidRPr="004A514D">
              <w:rPr>
                <w:lang w:eastAsia="en-AU"/>
              </w:rPr>
              <w:t>Employee</w:t>
            </w:r>
            <w:r w:rsidRPr="004A514D">
              <w:rPr>
                <w:lang w:eastAsia="en-AU"/>
              </w:rPr>
              <w:t xml:space="preserve">s are not able to accrue more than 365 days of service in a year. </w:t>
            </w:r>
          </w:p>
        </w:tc>
      </w:tr>
      <w:tr w:rsidR="00BF4E33" w:rsidRPr="004A514D" w14:paraId="426AD8B7" w14:textId="77777777" w:rsidTr="004A514D">
        <w:tc>
          <w:tcPr>
            <w:tcW w:w="2977" w:type="dxa"/>
            <w:tcBorders>
              <w:top w:val="single" w:sz="4" w:space="0" w:color="auto"/>
              <w:left w:val="nil"/>
              <w:bottom w:val="single" w:sz="4" w:space="0" w:color="auto"/>
              <w:right w:val="single" w:sz="8" w:space="0" w:color="auto"/>
            </w:tcBorders>
            <w:shd w:val="clear" w:color="000000" w:fill="DEEAF6"/>
            <w:vAlign w:val="center"/>
          </w:tcPr>
          <w:p w14:paraId="1853CB2D" w14:textId="77777777" w:rsidR="00BF4E33" w:rsidRPr="003E5AC1" w:rsidRDefault="00BF4E33" w:rsidP="003E5AC1">
            <w:pPr>
              <w:pStyle w:val="ListParagraph"/>
              <w:numPr>
                <w:ilvl w:val="0"/>
                <w:numId w:val="10"/>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lastRenderedPageBreak/>
              <w:t>What is a service period?</w:t>
            </w:r>
          </w:p>
        </w:tc>
        <w:tc>
          <w:tcPr>
            <w:tcW w:w="10798" w:type="dxa"/>
            <w:tcBorders>
              <w:top w:val="single" w:sz="4" w:space="0" w:color="auto"/>
              <w:left w:val="nil"/>
              <w:bottom w:val="single" w:sz="4" w:space="0" w:color="auto"/>
            </w:tcBorders>
            <w:shd w:val="clear" w:color="000000" w:fill="DEEAF6"/>
            <w:vAlign w:val="center"/>
          </w:tcPr>
          <w:p w14:paraId="61A62B47" w14:textId="31C0DAA5" w:rsidR="00BF4E33" w:rsidRPr="004A514D" w:rsidRDefault="00BF4E33" w:rsidP="003E5AC1">
            <w:pPr>
              <w:pStyle w:val="Tabletext"/>
              <w:rPr>
                <w:lang w:eastAsia="en-AU"/>
              </w:rPr>
            </w:pPr>
            <w:r w:rsidRPr="004A514D">
              <w:rPr>
                <w:lang w:eastAsia="en-AU"/>
              </w:rPr>
              <w:t xml:space="preserve">A service period is a continuous period starting when the LSBP Act comes into effect, and for </w:t>
            </w:r>
            <w:r w:rsidR="00BA4E89" w:rsidRPr="004A514D">
              <w:rPr>
                <w:lang w:eastAsia="en-AU"/>
              </w:rPr>
              <w:t>employee</w:t>
            </w:r>
            <w:r w:rsidRPr="004A514D">
              <w:rPr>
                <w:lang w:eastAsia="en-AU"/>
              </w:rPr>
              <w:t xml:space="preserve">s starting after that date, when they commence employment in the sector. The service period ends when the </w:t>
            </w:r>
            <w:r w:rsidR="00BA4E89" w:rsidRPr="004A514D">
              <w:rPr>
                <w:lang w:eastAsia="en-AU"/>
              </w:rPr>
              <w:t>employee</w:t>
            </w:r>
            <w:r w:rsidRPr="004A514D">
              <w:rPr>
                <w:lang w:eastAsia="en-AU"/>
              </w:rPr>
              <w:t xml:space="preserve"> leave</w:t>
            </w:r>
            <w:r w:rsidR="00B66AEB">
              <w:rPr>
                <w:lang w:eastAsia="en-AU"/>
              </w:rPr>
              <w:t>s</w:t>
            </w:r>
            <w:r w:rsidRPr="004A514D">
              <w:rPr>
                <w:lang w:eastAsia="en-AU"/>
              </w:rPr>
              <w:t xml:space="preserve"> the sector. </w:t>
            </w:r>
          </w:p>
          <w:p w14:paraId="3ED729E5" w14:textId="6428D2E7" w:rsidR="00BF4E33" w:rsidRPr="004A514D" w:rsidRDefault="00BF4E33" w:rsidP="003E5AC1">
            <w:pPr>
              <w:pStyle w:val="Tabletext"/>
              <w:rPr>
                <w:lang w:eastAsia="en-AU"/>
              </w:rPr>
            </w:pPr>
            <w:r w:rsidRPr="004A514D">
              <w:rPr>
                <w:lang w:eastAsia="en-AU"/>
              </w:rPr>
              <w:t xml:space="preserve">An employee </w:t>
            </w:r>
            <w:r w:rsidR="00B66AEB">
              <w:rPr>
                <w:lang w:eastAsia="en-AU"/>
              </w:rPr>
              <w:t>ceases</w:t>
            </w:r>
            <w:r w:rsidR="00B66AEB" w:rsidRPr="004A514D">
              <w:rPr>
                <w:lang w:eastAsia="en-AU"/>
              </w:rPr>
              <w:t xml:space="preserve"> </w:t>
            </w:r>
            <w:r w:rsidRPr="004A514D">
              <w:rPr>
                <w:lang w:eastAsia="en-AU"/>
              </w:rPr>
              <w:t xml:space="preserve">being employed when there is no ordinary pay recorded on their quarterly returns for any employers they worked for during that quarterly reporting period. </w:t>
            </w:r>
          </w:p>
          <w:p w14:paraId="5F6F0DA2" w14:textId="673AD584" w:rsidR="00BF4E33" w:rsidRPr="004A514D" w:rsidRDefault="00BF4E33" w:rsidP="00B66AEB">
            <w:pPr>
              <w:pStyle w:val="BodyText"/>
              <w:rPr>
                <w:rFonts w:cs="Arial"/>
                <w:lang w:eastAsia="en-AU"/>
              </w:rPr>
            </w:pPr>
            <w:r w:rsidRPr="004A514D">
              <w:rPr>
                <w:rFonts w:cs="Arial"/>
                <w:lang w:eastAsia="en-AU"/>
              </w:rPr>
              <w:t xml:space="preserve">A service period is not taken to end if the </w:t>
            </w:r>
            <w:r w:rsidR="00BA4E89" w:rsidRPr="004A514D">
              <w:rPr>
                <w:rFonts w:cs="Arial"/>
                <w:lang w:eastAsia="en-AU"/>
              </w:rPr>
              <w:t>employee</w:t>
            </w:r>
            <w:r w:rsidRPr="004A514D">
              <w:rPr>
                <w:rFonts w:cs="Arial"/>
                <w:lang w:eastAsia="en-AU"/>
              </w:rPr>
              <w:t xml:space="preserve"> </w:t>
            </w:r>
            <w:r w:rsidR="00B66AEB">
              <w:rPr>
                <w:rFonts w:cs="Arial"/>
                <w:lang w:eastAsia="en-AU"/>
              </w:rPr>
              <w:t>ceases</w:t>
            </w:r>
            <w:r w:rsidR="00B66AEB" w:rsidRPr="004A514D">
              <w:rPr>
                <w:rFonts w:cs="Arial"/>
                <w:lang w:eastAsia="en-AU"/>
              </w:rPr>
              <w:t xml:space="preserve"> </w:t>
            </w:r>
            <w:r w:rsidRPr="004A514D">
              <w:rPr>
                <w:rFonts w:cs="Arial"/>
                <w:lang w:eastAsia="en-AU"/>
              </w:rPr>
              <w:t>being a</w:t>
            </w:r>
            <w:r w:rsidR="00BA4E89" w:rsidRPr="004A514D">
              <w:rPr>
                <w:rFonts w:cs="Arial"/>
                <w:lang w:eastAsia="en-AU"/>
              </w:rPr>
              <w:t>n</w:t>
            </w:r>
            <w:r w:rsidRPr="004A514D">
              <w:rPr>
                <w:rFonts w:cs="Arial"/>
                <w:lang w:eastAsia="en-AU"/>
              </w:rPr>
              <w:t xml:space="preserve"> </w:t>
            </w:r>
            <w:r w:rsidR="00BA4E89" w:rsidRPr="004A514D">
              <w:rPr>
                <w:rFonts w:cs="Arial"/>
                <w:lang w:eastAsia="en-AU"/>
              </w:rPr>
              <w:t>employee</w:t>
            </w:r>
            <w:r w:rsidRPr="004A514D">
              <w:rPr>
                <w:rFonts w:cs="Arial"/>
                <w:lang w:eastAsia="en-AU"/>
              </w:rPr>
              <w:t xml:space="preserve"> because of an injury in which they are entitled to </w:t>
            </w:r>
            <w:r w:rsidR="0060163D" w:rsidRPr="004A514D">
              <w:rPr>
                <w:rFonts w:cs="Arial"/>
                <w:lang w:eastAsia="en-AU"/>
              </w:rPr>
              <w:t>workers</w:t>
            </w:r>
            <w:r w:rsidR="00B66AEB">
              <w:rPr>
                <w:rFonts w:cs="Arial"/>
                <w:lang w:eastAsia="en-AU"/>
              </w:rPr>
              <w:t>’</w:t>
            </w:r>
            <w:r w:rsidR="0060163D" w:rsidRPr="004A514D">
              <w:rPr>
                <w:rFonts w:cs="Arial"/>
                <w:lang w:eastAsia="en-AU"/>
              </w:rPr>
              <w:t xml:space="preserve"> </w:t>
            </w:r>
            <w:r w:rsidRPr="004A514D">
              <w:rPr>
                <w:rFonts w:cs="Arial"/>
                <w:lang w:eastAsia="en-AU"/>
              </w:rPr>
              <w:t>compensation,</w:t>
            </w:r>
            <w:r w:rsidRPr="004A514D" w:rsidDel="00E4363E">
              <w:rPr>
                <w:rFonts w:cs="Arial"/>
                <w:lang w:eastAsia="en-AU"/>
              </w:rPr>
              <w:t xml:space="preserve"> </w:t>
            </w:r>
            <w:r w:rsidRPr="004A514D">
              <w:rPr>
                <w:rFonts w:cs="Arial"/>
                <w:lang w:eastAsia="en-AU"/>
              </w:rPr>
              <w:t xml:space="preserve">or if their employment is terminated by an employer who wishes to ensure that the </w:t>
            </w:r>
            <w:r w:rsidR="00BA4E89" w:rsidRPr="004A514D">
              <w:rPr>
                <w:rFonts w:cs="Arial"/>
                <w:lang w:eastAsia="en-AU"/>
              </w:rPr>
              <w:t>employee</w:t>
            </w:r>
            <w:r w:rsidRPr="004A514D">
              <w:rPr>
                <w:rFonts w:cs="Arial"/>
                <w:lang w:eastAsia="en-AU"/>
              </w:rPr>
              <w:t xml:space="preserve"> is not entitled to long service benefits from them. </w:t>
            </w:r>
          </w:p>
        </w:tc>
      </w:tr>
      <w:tr w:rsidR="00BF4E33" w:rsidRPr="004A514D" w14:paraId="2A58B16C" w14:textId="77777777" w:rsidTr="004A514D">
        <w:tc>
          <w:tcPr>
            <w:tcW w:w="2977" w:type="dxa"/>
            <w:tcBorders>
              <w:top w:val="single" w:sz="4" w:space="0" w:color="auto"/>
              <w:left w:val="nil"/>
              <w:bottom w:val="single" w:sz="4" w:space="0" w:color="auto"/>
              <w:right w:val="single" w:sz="8" w:space="0" w:color="auto"/>
            </w:tcBorders>
            <w:shd w:val="clear" w:color="000000" w:fill="DEEAF6"/>
            <w:vAlign w:val="center"/>
          </w:tcPr>
          <w:p w14:paraId="1808CEA8" w14:textId="77777777" w:rsidR="00BF4E33" w:rsidRPr="003E5AC1" w:rsidRDefault="00BF4E33" w:rsidP="003E5AC1">
            <w:pPr>
              <w:pStyle w:val="ListParagraph"/>
              <w:numPr>
                <w:ilvl w:val="0"/>
                <w:numId w:val="10"/>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Entitlement to long service benefit payment</w:t>
            </w:r>
          </w:p>
        </w:tc>
        <w:tc>
          <w:tcPr>
            <w:tcW w:w="10798" w:type="dxa"/>
            <w:tcBorders>
              <w:top w:val="single" w:sz="4" w:space="0" w:color="auto"/>
              <w:left w:val="nil"/>
              <w:bottom w:val="single" w:sz="4" w:space="0" w:color="auto"/>
            </w:tcBorders>
            <w:shd w:val="clear" w:color="000000" w:fill="DEEAF6"/>
            <w:vAlign w:val="center"/>
          </w:tcPr>
          <w:p w14:paraId="24ECC545" w14:textId="571E05F0" w:rsidR="00BF4E33" w:rsidRPr="004A514D" w:rsidRDefault="00BF4E33" w:rsidP="003E5AC1">
            <w:pPr>
              <w:pStyle w:val="Tabletext"/>
              <w:rPr>
                <w:lang w:eastAsia="en-AU"/>
              </w:rPr>
            </w:pPr>
            <w:r w:rsidRPr="004A514D">
              <w:rPr>
                <w:lang w:eastAsia="en-AU"/>
              </w:rPr>
              <w:t>Once a</w:t>
            </w:r>
            <w:r w:rsidR="00BA4E89" w:rsidRPr="004A514D">
              <w:rPr>
                <w:lang w:eastAsia="en-AU"/>
              </w:rPr>
              <w:t>n</w:t>
            </w:r>
            <w:r w:rsidRPr="004A514D">
              <w:rPr>
                <w:lang w:eastAsia="en-AU"/>
              </w:rPr>
              <w:t xml:space="preserve"> </w:t>
            </w:r>
            <w:r w:rsidR="00BA4E89" w:rsidRPr="004A514D">
              <w:rPr>
                <w:lang w:eastAsia="en-AU"/>
              </w:rPr>
              <w:t>employee</w:t>
            </w:r>
            <w:r w:rsidRPr="004A514D">
              <w:rPr>
                <w:lang w:eastAsia="en-AU"/>
              </w:rPr>
              <w:t xml:space="preserve"> has </w:t>
            </w:r>
            <w:r w:rsidR="00B66AEB">
              <w:rPr>
                <w:lang w:eastAsia="en-AU"/>
              </w:rPr>
              <w:t>seven</w:t>
            </w:r>
            <w:r w:rsidRPr="004A514D">
              <w:rPr>
                <w:lang w:eastAsia="en-AU"/>
              </w:rPr>
              <w:t xml:space="preserve"> years of recognised service</w:t>
            </w:r>
            <w:r w:rsidR="00B66AEB">
              <w:rPr>
                <w:lang w:eastAsia="en-AU"/>
              </w:rPr>
              <w:t>,</w:t>
            </w:r>
            <w:r w:rsidRPr="004A514D">
              <w:rPr>
                <w:lang w:eastAsia="en-AU"/>
              </w:rPr>
              <w:t xml:space="preserve"> they can take a long service payment equivalent to 1/60</w:t>
            </w:r>
            <w:r w:rsidRPr="004A514D">
              <w:rPr>
                <w:vertAlign w:val="superscript"/>
                <w:lang w:eastAsia="en-AU"/>
              </w:rPr>
              <w:t>th</w:t>
            </w:r>
            <w:r w:rsidRPr="004A514D">
              <w:rPr>
                <w:lang w:eastAsia="en-AU"/>
              </w:rPr>
              <w:t xml:space="preserve"> of their total recognised service. This equates to 8.76 weeks of pay for each 10 years worked. The payment is calculated based on the </w:t>
            </w:r>
            <w:r w:rsidR="00BA4E89" w:rsidRPr="004A514D">
              <w:rPr>
                <w:lang w:eastAsia="en-AU"/>
              </w:rPr>
              <w:t>employee</w:t>
            </w:r>
            <w:r w:rsidRPr="004A514D">
              <w:rPr>
                <w:lang w:eastAsia="en-AU"/>
              </w:rPr>
              <w:t xml:space="preserve">’s ‘ordinary pay’ at the time of claiming. </w:t>
            </w:r>
          </w:p>
        </w:tc>
      </w:tr>
      <w:tr w:rsidR="00BF4E33" w:rsidRPr="004A514D" w14:paraId="44B98DA4" w14:textId="77777777" w:rsidTr="004A514D">
        <w:tc>
          <w:tcPr>
            <w:tcW w:w="2977" w:type="dxa"/>
            <w:tcBorders>
              <w:top w:val="single" w:sz="4" w:space="0" w:color="auto"/>
              <w:left w:val="nil"/>
              <w:bottom w:val="single" w:sz="4" w:space="0" w:color="auto"/>
              <w:right w:val="single" w:sz="8" w:space="0" w:color="auto"/>
            </w:tcBorders>
            <w:shd w:val="clear" w:color="000000" w:fill="DEEAF6"/>
            <w:vAlign w:val="center"/>
          </w:tcPr>
          <w:p w14:paraId="279B4F68" w14:textId="77777777" w:rsidR="00BF4E33" w:rsidRPr="003E5AC1" w:rsidRDefault="00BF4E33" w:rsidP="003E5AC1">
            <w:pPr>
              <w:pStyle w:val="ListParagraph"/>
              <w:numPr>
                <w:ilvl w:val="0"/>
                <w:numId w:val="10"/>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What is ordinary pay?</w:t>
            </w:r>
          </w:p>
        </w:tc>
        <w:tc>
          <w:tcPr>
            <w:tcW w:w="10798" w:type="dxa"/>
            <w:tcBorders>
              <w:top w:val="single" w:sz="4" w:space="0" w:color="auto"/>
              <w:left w:val="nil"/>
              <w:bottom w:val="single" w:sz="4" w:space="0" w:color="auto"/>
            </w:tcBorders>
            <w:shd w:val="clear" w:color="000000" w:fill="DEEAF6"/>
            <w:vAlign w:val="center"/>
          </w:tcPr>
          <w:p w14:paraId="0C421416" w14:textId="0876FCAC" w:rsidR="00BF4E33" w:rsidRPr="004A514D" w:rsidRDefault="00BF4E33" w:rsidP="003E5AC1">
            <w:pPr>
              <w:pStyle w:val="Tabletext"/>
              <w:rPr>
                <w:lang w:eastAsia="en-AU"/>
              </w:rPr>
            </w:pPr>
            <w:r w:rsidRPr="004A514D">
              <w:rPr>
                <w:lang w:eastAsia="en-AU"/>
              </w:rPr>
              <w:t xml:space="preserve">Ordinary pay is the salary or wages due to an employee for their work. This includes any </w:t>
            </w:r>
            <w:r w:rsidR="0060163D" w:rsidRPr="004A514D">
              <w:rPr>
                <w:lang w:eastAsia="en-AU"/>
              </w:rPr>
              <w:t>workers</w:t>
            </w:r>
            <w:r w:rsidR="00B66AEB">
              <w:rPr>
                <w:lang w:eastAsia="en-AU"/>
              </w:rPr>
              <w:t>’</w:t>
            </w:r>
            <w:r w:rsidR="0060163D" w:rsidRPr="004A514D">
              <w:rPr>
                <w:lang w:eastAsia="en-AU"/>
              </w:rPr>
              <w:t xml:space="preserve"> </w:t>
            </w:r>
            <w:r w:rsidRPr="004A514D">
              <w:rPr>
                <w:lang w:eastAsia="en-AU"/>
              </w:rPr>
              <w:t xml:space="preserve">compensation payments. </w:t>
            </w:r>
          </w:p>
          <w:p w14:paraId="5E095885" w14:textId="77777777" w:rsidR="00BF4E33" w:rsidRPr="004A514D" w:rsidRDefault="00BF4E33" w:rsidP="003E5AC1">
            <w:pPr>
              <w:pStyle w:val="Tabletext"/>
              <w:rPr>
                <w:lang w:eastAsia="en-AU"/>
              </w:rPr>
            </w:pPr>
            <w:r w:rsidRPr="004A514D">
              <w:rPr>
                <w:lang w:eastAsia="en-AU"/>
              </w:rPr>
              <w:t>It does not include:</w:t>
            </w:r>
          </w:p>
          <w:p w14:paraId="2795DFED" w14:textId="57C80A14" w:rsidR="00BF4E33" w:rsidRPr="004A514D" w:rsidRDefault="00B66AEB" w:rsidP="00B66AEB">
            <w:pPr>
              <w:pStyle w:val="Tablebullet1"/>
              <w:rPr>
                <w:lang w:eastAsia="en-AU"/>
              </w:rPr>
            </w:pPr>
            <w:r>
              <w:rPr>
                <w:lang w:eastAsia="en-AU"/>
              </w:rPr>
              <w:t>o</w:t>
            </w:r>
            <w:r w:rsidR="00BF4E33" w:rsidRPr="004A514D">
              <w:rPr>
                <w:lang w:eastAsia="en-AU"/>
              </w:rPr>
              <w:t>vertime;</w:t>
            </w:r>
          </w:p>
          <w:p w14:paraId="3BBC595F" w14:textId="303798ED" w:rsidR="00BF4E33" w:rsidRPr="004A514D" w:rsidRDefault="00B66AEB" w:rsidP="00B66AEB">
            <w:pPr>
              <w:pStyle w:val="Tablebullet1"/>
              <w:rPr>
                <w:lang w:eastAsia="en-AU"/>
              </w:rPr>
            </w:pPr>
            <w:r>
              <w:rPr>
                <w:lang w:eastAsia="en-AU"/>
              </w:rPr>
              <w:t>r</w:t>
            </w:r>
            <w:r w:rsidR="00BF4E33" w:rsidRPr="004A514D">
              <w:rPr>
                <w:lang w:eastAsia="en-AU"/>
              </w:rPr>
              <w:t>eimbursement for expenses;</w:t>
            </w:r>
          </w:p>
          <w:p w14:paraId="43BD55EC" w14:textId="5FF29902" w:rsidR="00BF4E33" w:rsidRPr="004A514D" w:rsidRDefault="00B66AEB" w:rsidP="00B66AEB">
            <w:pPr>
              <w:pStyle w:val="Tablebullet1"/>
              <w:rPr>
                <w:lang w:eastAsia="en-AU"/>
              </w:rPr>
            </w:pPr>
            <w:r>
              <w:rPr>
                <w:lang w:eastAsia="en-AU"/>
              </w:rPr>
              <w:t>e</w:t>
            </w:r>
            <w:r w:rsidR="00BF4E33" w:rsidRPr="004A514D">
              <w:rPr>
                <w:lang w:eastAsia="en-AU"/>
              </w:rPr>
              <w:t xml:space="preserve">quipment provided to the </w:t>
            </w:r>
            <w:r w:rsidR="00BA4E89" w:rsidRPr="004A514D">
              <w:rPr>
                <w:lang w:eastAsia="en-AU"/>
              </w:rPr>
              <w:t>employee</w:t>
            </w:r>
            <w:r w:rsidR="00BF4E33" w:rsidRPr="004A514D">
              <w:rPr>
                <w:lang w:eastAsia="en-AU"/>
              </w:rPr>
              <w:t xml:space="preserve"> (including a car);</w:t>
            </w:r>
          </w:p>
          <w:p w14:paraId="5196125B" w14:textId="78E4C48E" w:rsidR="00BF4E33" w:rsidRPr="004A514D" w:rsidRDefault="00B66AEB" w:rsidP="00B66AEB">
            <w:pPr>
              <w:pStyle w:val="Tablebullet1"/>
              <w:rPr>
                <w:lang w:eastAsia="en-AU"/>
              </w:rPr>
            </w:pPr>
            <w:r>
              <w:rPr>
                <w:lang w:eastAsia="en-AU"/>
              </w:rPr>
              <w:t>a</w:t>
            </w:r>
            <w:r w:rsidR="00BF4E33" w:rsidRPr="004A514D">
              <w:rPr>
                <w:lang w:eastAsia="en-AU"/>
              </w:rPr>
              <w:t xml:space="preserve">llowances paid to the </w:t>
            </w:r>
            <w:r w:rsidR="00BA4E89" w:rsidRPr="004A514D">
              <w:rPr>
                <w:lang w:eastAsia="en-AU"/>
              </w:rPr>
              <w:t>employee</w:t>
            </w:r>
            <w:r w:rsidR="00BF4E33" w:rsidRPr="004A514D">
              <w:rPr>
                <w:lang w:eastAsia="en-AU"/>
              </w:rPr>
              <w:t xml:space="preserve"> including shift allowances and allowances for travel, meals or protective clothing;</w:t>
            </w:r>
          </w:p>
          <w:p w14:paraId="054AFBD0" w14:textId="7B556BD3" w:rsidR="00BF4E33" w:rsidRPr="004A514D" w:rsidRDefault="00B66AEB" w:rsidP="00B66AEB">
            <w:pPr>
              <w:pStyle w:val="Tablebullet1"/>
              <w:rPr>
                <w:lang w:eastAsia="en-AU"/>
              </w:rPr>
            </w:pPr>
            <w:r>
              <w:rPr>
                <w:lang w:eastAsia="en-AU"/>
              </w:rPr>
              <w:t>a</w:t>
            </w:r>
            <w:r w:rsidR="00BF4E33" w:rsidRPr="004A514D">
              <w:rPr>
                <w:lang w:eastAsia="en-AU"/>
              </w:rPr>
              <w:t xml:space="preserve">ny payments associated with termination of employment (including payment in lieu of notice, redundancy pay and lump sum payments for accrued leave); and </w:t>
            </w:r>
          </w:p>
          <w:p w14:paraId="28AB0A5E" w14:textId="171681C1" w:rsidR="00BF4E33" w:rsidRPr="004A514D" w:rsidRDefault="00B66AEB" w:rsidP="00B66AEB">
            <w:pPr>
              <w:pStyle w:val="Tablebullet1"/>
              <w:rPr>
                <w:lang w:eastAsia="en-AU"/>
              </w:rPr>
            </w:pPr>
            <w:r>
              <w:rPr>
                <w:lang w:eastAsia="en-AU"/>
              </w:rPr>
              <w:t>s</w:t>
            </w:r>
            <w:r w:rsidR="00BF4E33" w:rsidRPr="004A514D">
              <w:rPr>
                <w:lang w:eastAsia="en-AU"/>
              </w:rPr>
              <w:t xml:space="preserve">uperannuation. </w:t>
            </w:r>
          </w:p>
        </w:tc>
      </w:tr>
      <w:tr w:rsidR="00BF4E33" w:rsidRPr="004A514D" w14:paraId="5B407DD8" w14:textId="77777777" w:rsidTr="004A514D">
        <w:tc>
          <w:tcPr>
            <w:tcW w:w="2977" w:type="dxa"/>
            <w:tcBorders>
              <w:top w:val="single" w:sz="4" w:space="0" w:color="auto"/>
              <w:left w:val="nil"/>
              <w:bottom w:val="single" w:sz="4" w:space="0" w:color="auto"/>
              <w:right w:val="single" w:sz="8" w:space="0" w:color="auto"/>
            </w:tcBorders>
            <w:shd w:val="clear" w:color="000000" w:fill="DEEAF6"/>
            <w:vAlign w:val="center"/>
          </w:tcPr>
          <w:p w14:paraId="1D7BB016" w14:textId="77777777" w:rsidR="00BF4E33" w:rsidRPr="003E5AC1" w:rsidRDefault="00BF4E33" w:rsidP="003E5AC1">
            <w:pPr>
              <w:pStyle w:val="ListParagraph"/>
              <w:numPr>
                <w:ilvl w:val="0"/>
                <w:numId w:val="10"/>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Determination and payment of long service benefit</w:t>
            </w:r>
          </w:p>
        </w:tc>
        <w:tc>
          <w:tcPr>
            <w:tcW w:w="10798" w:type="dxa"/>
            <w:tcBorders>
              <w:top w:val="single" w:sz="4" w:space="0" w:color="auto"/>
              <w:left w:val="nil"/>
              <w:bottom w:val="single" w:sz="4" w:space="0" w:color="auto"/>
            </w:tcBorders>
            <w:shd w:val="clear" w:color="000000" w:fill="DEEAF6"/>
            <w:vAlign w:val="center"/>
          </w:tcPr>
          <w:p w14:paraId="2D1EF7DD" w14:textId="557C8594" w:rsidR="00BF4E33" w:rsidRPr="004A514D" w:rsidRDefault="00BA4E89" w:rsidP="00B66AEB">
            <w:pPr>
              <w:pStyle w:val="Tabletext"/>
              <w:rPr>
                <w:lang w:eastAsia="en-AU"/>
              </w:rPr>
            </w:pPr>
            <w:r w:rsidRPr="004A514D">
              <w:rPr>
                <w:lang w:eastAsia="en-AU"/>
              </w:rPr>
              <w:t>Employee</w:t>
            </w:r>
            <w:r w:rsidR="00BF4E33" w:rsidRPr="004A514D">
              <w:rPr>
                <w:lang w:eastAsia="en-AU"/>
              </w:rPr>
              <w:t xml:space="preserve">s may apply to the Authority to </w:t>
            </w:r>
            <w:r w:rsidR="00B66AEB">
              <w:rPr>
                <w:lang w:eastAsia="en-AU"/>
              </w:rPr>
              <w:t>determine</w:t>
            </w:r>
            <w:r w:rsidR="00BF4E33" w:rsidRPr="004A514D">
              <w:rPr>
                <w:lang w:eastAsia="en-AU"/>
              </w:rPr>
              <w:t xml:space="preserve"> if they are entitled to a payment under the Scheme, or to have this payment processed.</w:t>
            </w:r>
          </w:p>
          <w:p w14:paraId="181791C9" w14:textId="251D6F03" w:rsidR="00BF4E33" w:rsidRPr="004A514D" w:rsidRDefault="00BF4E33" w:rsidP="00B66AEB">
            <w:pPr>
              <w:pStyle w:val="Tabletext"/>
              <w:rPr>
                <w:lang w:eastAsia="en-AU"/>
              </w:rPr>
            </w:pPr>
            <w:r w:rsidRPr="004A514D">
              <w:rPr>
                <w:lang w:eastAsia="en-AU"/>
              </w:rPr>
              <w:t xml:space="preserve">The Authority must respond by determining the </w:t>
            </w:r>
            <w:r w:rsidR="00BA4E89" w:rsidRPr="004A514D">
              <w:rPr>
                <w:lang w:eastAsia="en-AU"/>
              </w:rPr>
              <w:t>employee</w:t>
            </w:r>
            <w:r w:rsidR="00B66AEB">
              <w:rPr>
                <w:lang w:eastAsia="en-AU"/>
              </w:rPr>
              <w:t>’</w:t>
            </w:r>
            <w:r w:rsidRPr="004A514D">
              <w:rPr>
                <w:lang w:eastAsia="en-AU"/>
              </w:rPr>
              <w:t xml:space="preserve">s right to payment, informing the </w:t>
            </w:r>
            <w:r w:rsidR="00BA4E89" w:rsidRPr="004A514D">
              <w:rPr>
                <w:lang w:eastAsia="en-AU"/>
              </w:rPr>
              <w:t>employee</w:t>
            </w:r>
            <w:r w:rsidRPr="004A514D">
              <w:rPr>
                <w:lang w:eastAsia="en-AU"/>
              </w:rPr>
              <w:t xml:space="preserve">, and paying their benefit (if applicable). </w:t>
            </w:r>
          </w:p>
        </w:tc>
      </w:tr>
      <w:tr w:rsidR="00BF4E33" w:rsidRPr="004A514D" w14:paraId="43290C9F" w14:textId="77777777" w:rsidTr="004A514D">
        <w:tc>
          <w:tcPr>
            <w:tcW w:w="2977" w:type="dxa"/>
            <w:tcBorders>
              <w:top w:val="single" w:sz="4" w:space="0" w:color="auto"/>
              <w:left w:val="nil"/>
              <w:bottom w:val="single" w:sz="4" w:space="0" w:color="auto"/>
              <w:right w:val="single" w:sz="8" w:space="0" w:color="auto"/>
            </w:tcBorders>
            <w:shd w:val="clear" w:color="000000" w:fill="DEEAF6"/>
            <w:vAlign w:val="center"/>
          </w:tcPr>
          <w:p w14:paraId="5428BFA7" w14:textId="77777777" w:rsidR="00BF4E33" w:rsidRPr="003E5AC1" w:rsidRDefault="00BF4E33" w:rsidP="003E5AC1">
            <w:pPr>
              <w:pStyle w:val="ListParagraph"/>
              <w:numPr>
                <w:ilvl w:val="0"/>
                <w:numId w:val="10"/>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Entitlement to payment of benefit on leaving the community services sector or death</w:t>
            </w:r>
          </w:p>
        </w:tc>
        <w:tc>
          <w:tcPr>
            <w:tcW w:w="10798" w:type="dxa"/>
            <w:tcBorders>
              <w:top w:val="single" w:sz="4" w:space="0" w:color="auto"/>
              <w:left w:val="nil"/>
              <w:bottom w:val="single" w:sz="4" w:space="0" w:color="auto"/>
            </w:tcBorders>
            <w:shd w:val="clear" w:color="000000" w:fill="DEEAF6"/>
            <w:vAlign w:val="center"/>
          </w:tcPr>
          <w:p w14:paraId="3A4D50FF" w14:textId="5B8839E7" w:rsidR="00BF4E33" w:rsidRPr="004A514D" w:rsidRDefault="00BF4E33" w:rsidP="00B66AEB">
            <w:pPr>
              <w:pStyle w:val="Tabletext"/>
              <w:rPr>
                <w:lang w:eastAsia="en-AU"/>
              </w:rPr>
            </w:pPr>
            <w:r w:rsidRPr="004A514D">
              <w:rPr>
                <w:lang w:eastAsia="en-AU"/>
              </w:rPr>
              <w:t>If a</w:t>
            </w:r>
            <w:r w:rsidR="00BA4E89" w:rsidRPr="004A514D">
              <w:rPr>
                <w:lang w:eastAsia="en-AU"/>
              </w:rPr>
              <w:t>n</w:t>
            </w:r>
            <w:r w:rsidRPr="004A514D">
              <w:rPr>
                <w:lang w:eastAsia="en-AU"/>
              </w:rPr>
              <w:t xml:space="preserve"> </w:t>
            </w:r>
            <w:r w:rsidR="00BA4E89" w:rsidRPr="004A514D">
              <w:rPr>
                <w:lang w:eastAsia="en-AU"/>
              </w:rPr>
              <w:t>employee</w:t>
            </w:r>
            <w:r w:rsidRPr="004A514D">
              <w:rPr>
                <w:lang w:eastAsia="en-AU"/>
              </w:rPr>
              <w:t xml:space="preserve"> dies or leaves the sector before claiming a benefit, they may apply to the Authority to have this benefit paid. The Authority must pay the </w:t>
            </w:r>
            <w:r w:rsidR="00BA4E89" w:rsidRPr="004A514D">
              <w:rPr>
                <w:lang w:eastAsia="en-AU"/>
              </w:rPr>
              <w:t>employee</w:t>
            </w:r>
            <w:r w:rsidRPr="004A514D">
              <w:rPr>
                <w:lang w:eastAsia="en-AU"/>
              </w:rPr>
              <w:t xml:space="preserve"> any benefits owed in accordance with the regulations.</w:t>
            </w:r>
          </w:p>
        </w:tc>
      </w:tr>
      <w:tr w:rsidR="00BF4E33" w:rsidRPr="004A514D" w14:paraId="59E92840" w14:textId="77777777" w:rsidTr="004A514D">
        <w:tc>
          <w:tcPr>
            <w:tcW w:w="2977" w:type="dxa"/>
            <w:tcBorders>
              <w:top w:val="single" w:sz="4" w:space="0" w:color="auto"/>
              <w:left w:val="nil"/>
              <w:bottom w:val="single" w:sz="4" w:space="0" w:color="auto"/>
              <w:right w:val="single" w:sz="8" w:space="0" w:color="auto"/>
            </w:tcBorders>
            <w:shd w:val="clear" w:color="000000" w:fill="DEEAF6"/>
            <w:vAlign w:val="center"/>
          </w:tcPr>
          <w:p w14:paraId="18D5FC44" w14:textId="77777777" w:rsidR="00BF4E33" w:rsidRPr="003E5AC1" w:rsidRDefault="00BF4E33" w:rsidP="003E5AC1">
            <w:pPr>
              <w:pStyle w:val="ListParagraph"/>
              <w:numPr>
                <w:ilvl w:val="0"/>
                <w:numId w:val="10"/>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lastRenderedPageBreak/>
              <w:t>Payment by Authority on reciprocal authority's behalf</w:t>
            </w:r>
          </w:p>
        </w:tc>
        <w:tc>
          <w:tcPr>
            <w:tcW w:w="10798" w:type="dxa"/>
            <w:tcBorders>
              <w:top w:val="single" w:sz="4" w:space="0" w:color="auto"/>
              <w:left w:val="nil"/>
              <w:bottom w:val="single" w:sz="4" w:space="0" w:color="auto"/>
            </w:tcBorders>
            <w:shd w:val="clear" w:color="000000" w:fill="DEEAF6"/>
            <w:vAlign w:val="center"/>
          </w:tcPr>
          <w:p w14:paraId="643B81A3" w14:textId="132C3AE2" w:rsidR="00BF4E33" w:rsidRPr="004A514D" w:rsidRDefault="00BA4E89" w:rsidP="00B66AEB">
            <w:pPr>
              <w:pStyle w:val="Tabletext"/>
              <w:rPr>
                <w:lang w:eastAsia="en-AU"/>
              </w:rPr>
            </w:pPr>
            <w:r w:rsidRPr="004A514D">
              <w:rPr>
                <w:lang w:eastAsia="en-AU"/>
              </w:rPr>
              <w:t>Employee</w:t>
            </w:r>
            <w:r w:rsidR="00BF4E33" w:rsidRPr="004A514D">
              <w:rPr>
                <w:lang w:eastAsia="en-AU"/>
              </w:rPr>
              <w:t xml:space="preserve">s registered under the Victorian Scheme who have an entitlement to a benefit under the Victorian Scheme, and another portable long service scheme, may apply to the Victorian Authority to have that benefit payed in accordance with the other </w:t>
            </w:r>
            <w:r w:rsidR="00B66AEB">
              <w:rPr>
                <w:lang w:eastAsia="en-AU"/>
              </w:rPr>
              <w:t>S</w:t>
            </w:r>
            <w:r w:rsidR="00BF4E33" w:rsidRPr="004A514D">
              <w:rPr>
                <w:lang w:eastAsia="en-AU"/>
              </w:rPr>
              <w:t>cheme</w:t>
            </w:r>
            <w:r w:rsidR="00B66AEB">
              <w:rPr>
                <w:lang w:eastAsia="en-AU"/>
              </w:rPr>
              <w:t>’</w:t>
            </w:r>
            <w:r w:rsidR="00BF4E33" w:rsidRPr="004A514D">
              <w:rPr>
                <w:lang w:eastAsia="en-AU"/>
              </w:rPr>
              <w:t xml:space="preserve">s rules. </w:t>
            </w:r>
          </w:p>
        </w:tc>
      </w:tr>
      <w:tr w:rsidR="00BF4E33" w:rsidRPr="004A514D" w14:paraId="54216B3A" w14:textId="77777777" w:rsidTr="004A514D">
        <w:tc>
          <w:tcPr>
            <w:tcW w:w="2977" w:type="dxa"/>
            <w:tcBorders>
              <w:top w:val="single" w:sz="4" w:space="0" w:color="auto"/>
              <w:left w:val="nil"/>
              <w:bottom w:val="single" w:sz="4" w:space="0" w:color="auto"/>
              <w:right w:val="single" w:sz="8" w:space="0" w:color="auto"/>
            </w:tcBorders>
            <w:shd w:val="clear" w:color="000000" w:fill="DEEAF6"/>
            <w:vAlign w:val="center"/>
          </w:tcPr>
          <w:p w14:paraId="60B9F784" w14:textId="77777777" w:rsidR="00BF4E33" w:rsidRPr="003E5AC1" w:rsidRDefault="00BF4E33" w:rsidP="003E5AC1">
            <w:pPr>
              <w:pStyle w:val="ListParagraph"/>
              <w:numPr>
                <w:ilvl w:val="0"/>
                <w:numId w:val="10"/>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Payment by reciprocal authority on Authority's behalf</w:t>
            </w:r>
          </w:p>
        </w:tc>
        <w:tc>
          <w:tcPr>
            <w:tcW w:w="10798" w:type="dxa"/>
            <w:tcBorders>
              <w:top w:val="single" w:sz="4" w:space="0" w:color="auto"/>
              <w:left w:val="nil"/>
              <w:bottom w:val="single" w:sz="4" w:space="0" w:color="auto"/>
            </w:tcBorders>
            <w:shd w:val="clear" w:color="000000" w:fill="DEEAF6"/>
            <w:vAlign w:val="center"/>
          </w:tcPr>
          <w:p w14:paraId="59595BBE" w14:textId="0599E33F" w:rsidR="00BF4E33" w:rsidRPr="004A514D" w:rsidRDefault="00BF4E33" w:rsidP="00B66AEB">
            <w:pPr>
              <w:pStyle w:val="Tabletext"/>
              <w:rPr>
                <w:lang w:eastAsia="en-AU"/>
              </w:rPr>
            </w:pPr>
            <w:r w:rsidRPr="004A514D">
              <w:rPr>
                <w:lang w:eastAsia="en-AU"/>
              </w:rPr>
              <w:t xml:space="preserve">If an Authority from another portable long service scheme pays a benefit that otherwise would have been due by the Victorian Authority, the Victorian Authority is to pay the other scheme the amount owed. This will remove the </w:t>
            </w:r>
            <w:r w:rsidR="00BA4E89" w:rsidRPr="004A514D">
              <w:rPr>
                <w:lang w:eastAsia="en-AU"/>
              </w:rPr>
              <w:t>employee’</w:t>
            </w:r>
            <w:r w:rsidRPr="004A514D">
              <w:rPr>
                <w:lang w:eastAsia="en-AU"/>
              </w:rPr>
              <w:t xml:space="preserve">s entitlement under the Victorian Scheme. </w:t>
            </w:r>
          </w:p>
        </w:tc>
      </w:tr>
      <w:tr w:rsidR="00BF4E33" w:rsidRPr="004A514D" w14:paraId="7E4D83F2" w14:textId="77777777" w:rsidTr="004A514D">
        <w:tc>
          <w:tcPr>
            <w:tcW w:w="2977" w:type="dxa"/>
            <w:tcBorders>
              <w:top w:val="single" w:sz="4" w:space="0" w:color="auto"/>
              <w:left w:val="nil"/>
              <w:bottom w:val="single" w:sz="4" w:space="0" w:color="auto"/>
              <w:right w:val="single" w:sz="8" w:space="0" w:color="auto"/>
            </w:tcBorders>
            <w:shd w:val="clear" w:color="000000" w:fill="DEEAF6"/>
            <w:vAlign w:val="center"/>
          </w:tcPr>
          <w:p w14:paraId="211B7CCB" w14:textId="77777777" w:rsidR="00BF4E33" w:rsidRPr="003E5AC1" w:rsidRDefault="00BF4E33" w:rsidP="003E5AC1">
            <w:pPr>
              <w:pStyle w:val="ListParagraph"/>
              <w:numPr>
                <w:ilvl w:val="0"/>
                <w:numId w:val="10"/>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Periods of absence from work taken to be days of service for crediting service</w:t>
            </w:r>
          </w:p>
        </w:tc>
        <w:tc>
          <w:tcPr>
            <w:tcW w:w="10798" w:type="dxa"/>
            <w:tcBorders>
              <w:top w:val="single" w:sz="4" w:space="0" w:color="auto"/>
              <w:left w:val="nil"/>
              <w:bottom w:val="single" w:sz="4" w:space="0" w:color="auto"/>
            </w:tcBorders>
            <w:shd w:val="clear" w:color="000000" w:fill="DEEAF6"/>
            <w:vAlign w:val="center"/>
          </w:tcPr>
          <w:p w14:paraId="368F40BA" w14:textId="77777777" w:rsidR="00BF4E33" w:rsidRPr="004A514D" w:rsidRDefault="00BF4E33" w:rsidP="00B66AEB">
            <w:pPr>
              <w:pStyle w:val="Tabletext"/>
              <w:rPr>
                <w:lang w:eastAsia="en-AU"/>
              </w:rPr>
            </w:pPr>
            <w:r w:rsidRPr="004A514D">
              <w:rPr>
                <w:lang w:eastAsia="en-AU"/>
              </w:rPr>
              <w:t>Many periods of leave are recognised as service under the LSBP Act. These are:</w:t>
            </w:r>
          </w:p>
          <w:p w14:paraId="30B2F643" w14:textId="77777777" w:rsidR="00BF4E33" w:rsidRPr="004A514D" w:rsidRDefault="00BF4E33" w:rsidP="00B66AEB">
            <w:pPr>
              <w:pStyle w:val="Tablebullet1"/>
              <w:rPr>
                <w:lang w:eastAsia="en-AU"/>
              </w:rPr>
            </w:pPr>
            <w:r w:rsidRPr="004A514D">
              <w:rPr>
                <w:lang w:eastAsia="en-AU"/>
              </w:rPr>
              <w:t>a period of paid leave;</w:t>
            </w:r>
          </w:p>
          <w:p w14:paraId="5C9E483F" w14:textId="77777777" w:rsidR="00BF4E33" w:rsidRPr="004A514D" w:rsidRDefault="00BF4E33" w:rsidP="00B66AEB">
            <w:pPr>
              <w:pStyle w:val="Tablebullet1"/>
              <w:rPr>
                <w:lang w:eastAsia="en-AU"/>
              </w:rPr>
            </w:pPr>
            <w:r w:rsidRPr="004A514D">
              <w:rPr>
                <w:lang w:eastAsia="en-AU"/>
              </w:rPr>
              <w:t>a period of unpaid leave that is less than or equal to 52 weeks;</w:t>
            </w:r>
          </w:p>
          <w:p w14:paraId="3F4685E8" w14:textId="77777777" w:rsidR="00BF4E33" w:rsidRPr="004A514D" w:rsidRDefault="00BF4E33" w:rsidP="00B66AEB">
            <w:pPr>
              <w:pStyle w:val="Tablebullet1"/>
              <w:rPr>
                <w:lang w:eastAsia="en-AU"/>
              </w:rPr>
            </w:pPr>
            <w:r w:rsidRPr="004A514D">
              <w:rPr>
                <w:lang w:eastAsia="en-AU"/>
              </w:rPr>
              <w:t>if a period of unpaid leave is more than 52 weeks, the initial 52 weeks;</w:t>
            </w:r>
          </w:p>
          <w:p w14:paraId="0F8BFA23" w14:textId="77777777" w:rsidR="00BF4E33" w:rsidRPr="004A514D" w:rsidRDefault="00BF4E33" w:rsidP="00B66AEB">
            <w:pPr>
              <w:pStyle w:val="Tablebullet1"/>
              <w:rPr>
                <w:lang w:eastAsia="en-AU"/>
              </w:rPr>
            </w:pPr>
            <w:r w:rsidRPr="004A514D">
              <w:rPr>
                <w:lang w:eastAsia="en-AU"/>
              </w:rPr>
              <w:t>periods of leave greater than 52 weeks if they are in accordance with an employment agreement, or were agreed in writing to be employment periods, or is taken due to illness;</w:t>
            </w:r>
          </w:p>
          <w:p w14:paraId="0807D6ED" w14:textId="77777777" w:rsidR="00BF4E33" w:rsidRPr="004A514D" w:rsidRDefault="00BF4E33" w:rsidP="00B66AEB">
            <w:pPr>
              <w:pStyle w:val="Tablebullet1"/>
              <w:rPr>
                <w:lang w:eastAsia="en-AU"/>
              </w:rPr>
            </w:pPr>
            <w:r w:rsidRPr="004A514D">
              <w:rPr>
                <w:lang w:eastAsia="en-AU"/>
              </w:rPr>
              <w:t>interruptions instigated by employers to avoid their duties under the LSBP Act;</w:t>
            </w:r>
          </w:p>
          <w:p w14:paraId="2FCCFD24" w14:textId="2CBEFA9E" w:rsidR="00BF4E33" w:rsidRPr="004A514D" w:rsidRDefault="00BF4E33" w:rsidP="00B66AEB">
            <w:pPr>
              <w:pStyle w:val="Tablebullet1"/>
              <w:rPr>
                <w:lang w:eastAsia="en-AU"/>
              </w:rPr>
            </w:pPr>
            <w:r w:rsidRPr="004A514D">
              <w:rPr>
                <w:lang w:eastAsia="en-AU"/>
              </w:rPr>
              <w:t>interruptions based on the transfer of assets (</w:t>
            </w:r>
            <w:r w:rsidR="00682E17" w:rsidRPr="004A514D">
              <w:rPr>
                <w:lang w:eastAsia="en-AU"/>
              </w:rPr>
              <w:t>i.e.</w:t>
            </w:r>
            <w:r w:rsidRPr="004A514D">
              <w:rPr>
                <w:lang w:eastAsia="en-AU"/>
              </w:rPr>
              <w:t xml:space="preserve"> a sale of business in which the employee works); and</w:t>
            </w:r>
          </w:p>
          <w:p w14:paraId="66182D03" w14:textId="77777777" w:rsidR="00BF4E33" w:rsidRPr="004A514D" w:rsidRDefault="00BF4E33" w:rsidP="00B66AEB">
            <w:pPr>
              <w:pStyle w:val="Tablebullet1"/>
              <w:rPr>
                <w:lang w:eastAsia="en-AU"/>
              </w:rPr>
            </w:pPr>
            <w:r w:rsidRPr="004A514D">
              <w:rPr>
                <w:lang w:eastAsia="en-AU"/>
              </w:rPr>
              <w:t xml:space="preserve">any other agreed period between the employer and employee. </w:t>
            </w:r>
          </w:p>
          <w:p w14:paraId="4883AB40" w14:textId="77777777" w:rsidR="00BF4E33" w:rsidRPr="004A514D" w:rsidRDefault="00BF4E33" w:rsidP="00B66AEB">
            <w:pPr>
              <w:pStyle w:val="Tabletext"/>
              <w:rPr>
                <w:lang w:eastAsia="en-AU"/>
              </w:rPr>
            </w:pPr>
            <w:r w:rsidRPr="004A514D">
              <w:rPr>
                <w:lang w:eastAsia="en-AU"/>
              </w:rPr>
              <w:t xml:space="preserve">All other absences are not counted as recognised service. </w:t>
            </w:r>
          </w:p>
        </w:tc>
      </w:tr>
      <w:tr w:rsidR="00BF4E33" w:rsidRPr="004A514D" w14:paraId="44DCEBB7" w14:textId="77777777" w:rsidTr="004A514D">
        <w:tc>
          <w:tcPr>
            <w:tcW w:w="2977" w:type="dxa"/>
            <w:tcBorders>
              <w:top w:val="single" w:sz="4" w:space="0" w:color="auto"/>
              <w:left w:val="nil"/>
              <w:bottom w:val="single" w:sz="4" w:space="0" w:color="auto"/>
              <w:right w:val="single" w:sz="8" w:space="0" w:color="auto"/>
            </w:tcBorders>
            <w:shd w:val="clear" w:color="000000" w:fill="DEEAF6"/>
            <w:vAlign w:val="center"/>
          </w:tcPr>
          <w:p w14:paraId="7ECBE8F9" w14:textId="77777777" w:rsidR="00BF4E33" w:rsidRPr="003E5AC1" w:rsidRDefault="00BF4E33" w:rsidP="003E5AC1">
            <w:pPr>
              <w:pStyle w:val="ListParagraph"/>
              <w:numPr>
                <w:ilvl w:val="0"/>
                <w:numId w:val="10"/>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No double-dipping</w:t>
            </w:r>
          </w:p>
        </w:tc>
        <w:tc>
          <w:tcPr>
            <w:tcW w:w="10798" w:type="dxa"/>
            <w:tcBorders>
              <w:top w:val="single" w:sz="4" w:space="0" w:color="auto"/>
              <w:left w:val="nil"/>
              <w:bottom w:val="single" w:sz="4" w:space="0" w:color="auto"/>
            </w:tcBorders>
            <w:shd w:val="clear" w:color="000000" w:fill="DEEAF6"/>
            <w:vAlign w:val="center"/>
          </w:tcPr>
          <w:p w14:paraId="3932E048" w14:textId="77777777" w:rsidR="00BD42DB" w:rsidRPr="004A514D" w:rsidRDefault="00BD42DB" w:rsidP="00B66AEB">
            <w:pPr>
              <w:pStyle w:val="Tabletext"/>
              <w:rPr>
                <w:lang w:eastAsia="en-AU"/>
              </w:rPr>
            </w:pPr>
            <w:r w:rsidRPr="004A514D">
              <w:rPr>
                <w:lang w:eastAsia="en-AU"/>
              </w:rPr>
              <w:t>Where an employee has overlapping entitlements to long service benefits under a fair work instrument and the LSBP Act, regulations are to be made to give effect to the following principles:</w:t>
            </w:r>
          </w:p>
          <w:p w14:paraId="6FD30737" w14:textId="5DDFED8A" w:rsidR="00BD42DB" w:rsidRPr="004A514D" w:rsidRDefault="00B66AEB" w:rsidP="00B66AEB">
            <w:pPr>
              <w:pStyle w:val="Tablebullet1"/>
              <w:rPr>
                <w:lang w:eastAsia="en-AU"/>
              </w:rPr>
            </w:pPr>
            <w:r>
              <w:rPr>
                <w:lang w:eastAsia="en-AU"/>
              </w:rPr>
              <w:t>a</w:t>
            </w:r>
            <w:r w:rsidR="00BD42DB" w:rsidRPr="004A514D">
              <w:rPr>
                <w:lang w:eastAsia="en-AU"/>
              </w:rPr>
              <w:t>n employee is not entitled to both long service leave under a fair work instrument and payment of a long service benefit under the LSBP Act in respect of the same service period;</w:t>
            </w:r>
          </w:p>
          <w:p w14:paraId="0DC8B9C0" w14:textId="7A250BEA" w:rsidR="00BD42DB" w:rsidRPr="004A514D" w:rsidRDefault="00B66AEB" w:rsidP="00B66AEB">
            <w:pPr>
              <w:pStyle w:val="Tablebullet1"/>
              <w:rPr>
                <w:lang w:eastAsia="en-AU"/>
              </w:rPr>
            </w:pPr>
            <w:r>
              <w:rPr>
                <w:lang w:eastAsia="en-AU"/>
              </w:rPr>
              <w:t>a</w:t>
            </w:r>
            <w:r w:rsidR="00BD42DB" w:rsidRPr="004A514D">
              <w:rPr>
                <w:lang w:eastAsia="en-AU"/>
              </w:rPr>
              <w:t>n employer does not need to pay portable long service levies into the Scheme for the overlapping period; and</w:t>
            </w:r>
          </w:p>
          <w:p w14:paraId="25303138" w14:textId="28DDA5A4" w:rsidR="00BF4E33" w:rsidRPr="004A514D" w:rsidRDefault="00B66AEB" w:rsidP="00B66AEB">
            <w:pPr>
              <w:pStyle w:val="Tablebullet1"/>
              <w:rPr>
                <w:lang w:eastAsia="en-AU"/>
              </w:rPr>
            </w:pPr>
            <w:r>
              <w:rPr>
                <w:lang w:eastAsia="en-AU"/>
              </w:rPr>
              <w:t>t</w:t>
            </w:r>
            <w:r w:rsidR="00BD42DB" w:rsidRPr="004A514D">
              <w:rPr>
                <w:lang w:eastAsia="en-AU"/>
              </w:rPr>
              <w:t>he Authority is not required to pay a benefit for the overlapping period.</w:t>
            </w:r>
          </w:p>
        </w:tc>
      </w:tr>
      <w:tr w:rsidR="00BF4E33" w:rsidRPr="004A514D" w14:paraId="53DF0EF6" w14:textId="77777777" w:rsidTr="004A514D">
        <w:trPr>
          <w:cantSplit/>
        </w:trPr>
        <w:tc>
          <w:tcPr>
            <w:tcW w:w="2977" w:type="dxa"/>
            <w:tcBorders>
              <w:top w:val="single" w:sz="4" w:space="0" w:color="auto"/>
              <w:left w:val="nil"/>
              <w:bottom w:val="single" w:sz="8" w:space="0" w:color="auto"/>
              <w:right w:val="single" w:sz="8" w:space="0" w:color="auto"/>
            </w:tcBorders>
            <w:shd w:val="clear" w:color="000000" w:fill="DEEAF6"/>
            <w:vAlign w:val="center"/>
          </w:tcPr>
          <w:p w14:paraId="6A4B9210" w14:textId="77777777" w:rsidR="00BF4E33" w:rsidRPr="003E5AC1" w:rsidRDefault="00BF4E33" w:rsidP="003E5AC1">
            <w:pPr>
              <w:pStyle w:val="ListParagraph"/>
              <w:numPr>
                <w:ilvl w:val="0"/>
                <w:numId w:val="10"/>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Annual statement</w:t>
            </w:r>
          </w:p>
        </w:tc>
        <w:tc>
          <w:tcPr>
            <w:tcW w:w="10798" w:type="dxa"/>
            <w:tcBorders>
              <w:top w:val="single" w:sz="4" w:space="0" w:color="auto"/>
              <w:left w:val="nil"/>
              <w:bottom w:val="single" w:sz="8" w:space="0" w:color="auto"/>
            </w:tcBorders>
            <w:shd w:val="clear" w:color="000000" w:fill="DEEAF6"/>
            <w:vAlign w:val="center"/>
          </w:tcPr>
          <w:p w14:paraId="702F4DB2" w14:textId="3892EADD" w:rsidR="00BF4E33" w:rsidRPr="004A514D" w:rsidRDefault="00BF4E33" w:rsidP="00B66AEB">
            <w:pPr>
              <w:pStyle w:val="Tabletext"/>
              <w:rPr>
                <w:lang w:eastAsia="en-AU"/>
              </w:rPr>
            </w:pPr>
            <w:r w:rsidRPr="004A514D">
              <w:rPr>
                <w:lang w:eastAsia="en-AU"/>
              </w:rPr>
              <w:t>Within 30 days of the end of financial year</w:t>
            </w:r>
            <w:r w:rsidR="00B66AEB">
              <w:rPr>
                <w:lang w:eastAsia="en-AU"/>
              </w:rPr>
              <w:t>,</w:t>
            </w:r>
            <w:r w:rsidRPr="004A514D">
              <w:rPr>
                <w:lang w:eastAsia="en-AU"/>
              </w:rPr>
              <w:t xml:space="preserve"> the Authority must provide registered active </w:t>
            </w:r>
            <w:r w:rsidR="00BA4E89" w:rsidRPr="004A514D">
              <w:rPr>
                <w:lang w:eastAsia="en-AU"/>
              </w:rPr>
              <w:t>employee</w:t>
            </w:r>
            <w:r w:rsidRPr="004A514D">
              <w:rPr>
                <w:lang w:eastAsia="en-AU"/>
              </w:rPr>
              <w:t>s with a statement setting out:</w:t>
            </w:r>
          </w:p>
          <w:p w14:paraId="61C4965B" w14:textId="29E0D894" w:rsidR="00BF4E33" w:rsidRPr="004A514D" w:rsidRDefault="00B66AEB" w:rsidP="00B66AEB">
            <w:pPr>
              <w:pStyle w:val="Tablebullet1"/>
              <w:rPr>
                <w:lang w:eastAsia="en-AU"/>
              </w:rPr>
            </w:pPr>
            <w:r>
              <w:rPr>
                <w:lang w:eastAsia="en-AU"/>
              </w:rPr>
              <w:t>t</w:t>
            </w:r>
            <w:r w:rsidR="00BF4E33" w:rsidRPr="004A514D">
              <w:rPr>
                <w:lang w:eastAsia="en-AU"/>
              </w:rPr>
              <w:t>he amount of levy paid for them;</w:t>
            </w:r>
          </w:p>
          <w:p w14:paraId="4DC90217" w14:textId="32CE7DCC" w:rsidR="00BF4E33" w:rsidRPr="004A514D" w:rsidRDefault="00B66AEB" w:rsidP="00B66AEB">
            <w:pPr>
              <w:pStyle w:val="Tablebullet1"/>
              <w:rPr>
                <w:lang w:eastAsia="en-AU"/>
              </w:rPr>
            </w:pPr>
            <w:r>
              <w:rPr>
                <w:lang w:eastAsia="en-AU"/>
              </w:rPr>
              <w:t>t</w:t>
            </w:r>
            <w:r w:rsidR="00BF4E33" w:rsidRPr="004A514D">
              <w:rPr>
                <w:lang w:eastAsia="en-AU"/>
              </w:rPr>
              <w:t xml:space="preserve">heir current entitlement (if any); and </w:t>
            </w:r>
          </w:p>
          <w:p w14:paraId="33620ED0" w14:textId="13500AB9" w:rsidR="00BF4E33" w:rsidRPr="004A514D" w:rsidRDefault="00B66AEB" w:rsidP="00B66AEB">
            <w:pPr>
              <w:pStyle w:val="Tablebullet1"/>
              <w:rPr>
                <w:lang w:eastAsia="en-AU"/>
              </w:rPr>
            </w:pPr>
            <w:r>
              <w:rPr>
                <w:lang w:eastAsia="en-AU"/>
              </w:rPr>
              <w:t>a</w:t>
            </w:r>
            <w:r w:rsidR="00BF4E33" w:rsidRPr="004A514D">
              <w:rPr>
                <w:lang w:eastAsia="en-AU"/>
              </w:rPr>
              <w:t xml:space="preserve">ny information prescribed by Regulations. </w:t>
            </w:r>
          </w:p>
        </w:tc>
      </w:tr>
    </w:tbl>
    <w:p w14:paraId="2F4DE58F" w14:textId="77777777" w:rsidR="00BF4E33" w:rsidRDefault="00BF4E33" w:rsidP="00BF4E33">
      <w:pPr>
        <w:rPr>
          <w:rFonts w:ascii="Arial" w:hAnsi="Arial" w:cs="Arial"/>
        </w:rPr>
      </w:pPr>
    </w:p>
    <w:p w14:paraId="5A6C71E5" w14:textId="42647CBD" w:rsidR="00BF4E33" w:rsidRPr="00EC5379" w:rsidRDefault="00BF4E33" w:rsidP="00BF4E33">
      <w:pPr>
        <w:pStyle w:val="Caption"/>
        <w:rPr>
          <w:rFonts w:ascii="Arial" w:hAnsi="Arial" w:cs="Arial"/>
        </w:rPr>
      </w:pPr>
      <w:r w:rsidRPr="00EC5379">
        <w:rPr>
          <w:rFonts w:ascii="Arial" w:hAnsi="Arial" w:cs="Arial"/>
        </w:rPr>
        <w:lastRenderedPageBreak/>
        <w:t xml:space="preserve">Table </w:t>
      </w:r>
      <w:r w:rsidRPr="00EC5379">
        <w:rPr>
          <w:rFonts w:ascii="Arial" w:hAnsi="Arial" w:cs="Arial"/>
          <w:noProof/>
        </w:rPr>
        <w:fldChar w:fldCharType="begin"/>
      </w:r>
      <w:r w:rsidRPr="00EC5379">
        <w:rPr>
          <w:rFonts w:ascii="Arial" w:hAnsi="Arial" w:cs="Arial"/>
          <w:noProof/>
        </w:rPr>
        <w:instrText xml:space="preserve"> SEQ Table \* ARABIC </w:instrText>
      </w:r>
      <w:r w:rsidRPr="00EC5379">
        <w:rPr>
          <w:rFonts w:ascii="Arial" w:hAnsi="Arial" w:cs="Arial"/>
          <w:noProof/>
        </w:rPr>
        <w:fldChar w:fldCharType="separate"/>
      </w:r>
      <w:r w:rsidR="00F11F33">
        <w:rPr>
          <w:rFonts w:ascii="Arial" w:hAnsi="Arial" w:cs="Arial"/>
          <w:noProof/>
        </w:rPr>
        <w:t>22</w:t>
      </w:r>
      <w:r w:rsidRPr="00EC5379">
        <w:rPr>
          <w:rFonts w:ascii="Arial" w:hAnsi="Arial" w:cs="Arial"/>
          <w:noProof/>
        </w:rPr>
        <w:fldChar w:fldCharType="end"/>
      </w:r>
      <w:r w:rsidRPr="00EC5379">
        <w:rPr>
          <w:rFonts w:ascii="Arial" w:hAnsi="Arial" w:cs="Arial"/>
        </w:rPr>
        <w:t>: Summar</w:t>
      </w:r>
      <w:r>
        <w:rPr>
          <w:rFonts w:ascii="Arial" w:hAnsi="Arial" w:cs="Arial"/>
        </w:rPr>
        <w:t>y of Schedule 3 – Security Industry</w:t>
      </w:r>
      <w:r w:rsidRPr="00EC5379">
        <w:rPr>
          <w:rFonts w:ascii="Arial" w:hAnsi="Arial" w:cs="Arial"/>
        </w:rPr>
        <w:t xml:space="preserve"> of the </w:t>
      </w:r>
      <w:r w:rsidRPr="007546E6">
        <w:rPr>
          <w:rFonts w:ascii="Arial" w:hAnsi="Arial" w:cs="Arial"/>
          <w:i w:val="0"/>
        </w:rPr>
        <w:t>LSBP Act</w:t>
      </w:r>
    </w:p>
    <w:tbl>
      <w:tblPr>
        <w:tblW w:w="13775" w:type="dxa"/>
        <w:tblLayout w:type="fixed"/>
        <w:tblLook w:val="04A0" w:firstRow="1" w:lastRow="0" w:firstColumn="1" w:lastColumn="0" w:noHBand="0" w:noVBand="1"/>
      </w:tblPr>
      <w:tblGrid>
        <w:gridCol w:w="2977"/>
        <w:gridCol w:w="10798"/>
      </w:tblGrid>
      <w:tr w:rsidR="00BF4E33" w:rsidRPr="001949BD" w14:paraId="2FBA94E4" w14:textId="77777777" w:rsidTr="001949BD">
        <w:trPr>
          <w:tblHeader/>
        </w:trPr>
        <w:tc>
          <w:tcPr>
            <w:tcW w:w="2977" w:type="dxa"/>
            <w:tcBorders>
              <w:top w:val="single" w:sz="8" w:space="0" w:color="auto"/>
              <w:left w:val="nil"/>
              <w:bottom w:val="single" w:sz="8" w:space="0" w:color="auto"/>
              <w:right w:val="single" w:sz="8" w:space="0" w:color="auto"/>
            </w:tcBorders>
            <w:shd w:val="clear" w:color="auto" w:fill="002060"/>
            <w:vAlign w:val="center"/>
          </w:tcPr>
          <w:p w14:paraId="0D5A3AF5" w14:textId="77777777" w:rsidR="00BF4E33" w:rsidRPr="001949BD" w:rsidRDefault="00BF4E33" w:rsidP="00174F37">
            <w:pPr>
              <w:pStyle w:val="Tableheading"/>
              <w:rPr>
                <w:rFonts w:ascii="Arial" w:hAnsi="Arial" w:cs="Arial"/>
                <w:lang w:eastAsia="en-AU"/>
              </w:rPr>
            </w:pPr>
            <w:r w:rsidRPr="001949BD">
              <w:rPr>
                <w:rFonts w:ascii="Arial" w:hAnsi="Arial" w:cs="Arial"/>
                <w:lang w:eastAsia="en-AU"/>
              </w:rPr>
              <w:t>Clause and heading</w:t>
            </w:r>
          </w:p>
        </w:tc>
        <w:tc>
          <w:tcPr>
            <w:tcW w:w="10798" w:type="dxa"/>
            <w:tcBorders>
              <w:top w:val="single" w:sz="8" w:space="0" w:color="auto"/>
              <w:left w:val="nil"/>
              <w:bottom w:val="single" w:sz="8" w:space="0" w:color="auto"/>
            </w:tcBorders>
            <w:shd w:val="clear" w:color="auto" w:fill="002060"/>
            <w:vAlign w:val="center"/>
            <w:hideMark/>
          </w:tcPr>
          <w:p w14:paraId="59947788" w14:textId="77777777" w:rsidR="00BF4E33" w:rsidRPr="001949BD" w:rsidRDefault="00BF4E33" w:rsidP="00174F37">
            <w:pPr>
              <w:pStyle w:val="Tableheading"/>
              <w:rPr>
                <w:rFonts w:ascii="Arial" w:hAnsi="Arial" w:cs="Arial"/>
                <w:lang w:eastAsia="en-AU"/>
              </w:rPr>
            </w:pPr>
            <w:r w:rsidRPr="001949BD">
              <w:rPr>
                <w:rFonts w:ascii="Arial" w:hAnsi="Arial" w:cs="Arial"/>
                <w:lang w:eastAsia="en-AU"/>
              </w:rPr>
              <w:t>Explanation</w:t>
            </w:r>
          </w:p>
        </w:tc>
      </w:tr>
      <w:tr w:rsidR="00BF4E33" w:rsidRPr="001949BD" w14:paraId="6F666D5B" w14:textId="77777777" w:rsidTr="001949BD">
        <w:tc>
          <w:tcPr>
            <w:tcW w:w="2977" w:type="dxa"/>
            <w:tcBorders>
              <w:top w:val="nil"/>
              <w:left w:val="nil"/>
              <w:bottom w:val="single" w:sz="4" w:space="0" w:color="auto"/>
              <w:right w:val="single" w:sz="8" w:space="0" w:color="auto"/>
            </w:tcBorders>
            <w:shd w:val="clear" w:color="000000" w:fill="DEEAF6"/>
            <w:vAlign w:val="center"/>
          </w:tcPr>
          <w:p w14:paraId="23EECBAB"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What is the security industry?</w:t>
            </w:r>
          </w:p>
        </w:tc>
        <w:tc>
          <w:tcPr>
            <w:tcW w:w="10798" w:type="dxa"/>
            <w:tcBorders>
              <w:top w:val="nil"/>
              <w:left w:val="nil"/>
              <w:bottom w:val="single" w:sz="4" w:space="0" w:color="auto"/>
            </w:tcBorders>
            <w:shd w:val="clear" w:color="000000" w:fill="DEEAF6"/>
            <w:vAlign w:val="center"/>
          </w:tcPr>
          <w:p w14:paraId="1B08149F" w14:textId="343580E5" w:rsidR="00BF4E33" w:rsidRPr="001949BD" w:rsidRDefault="00BF4E33" w:rsidP="008C24BD">
            <w:pPr>
              <w:pStyle w:val="Tabletext"/>
            </w:pPr>
            <w:r w:rsidRPr="001949BD">
              <w:t>The LSBP Act defines the security industry as:</w:t>
            </w:r>
          </w:p>
          <w:p w14:paraId="200BE5C4" w14:textId="77777777" w:rsidR="00BF4E33" w:rsidRPr="001949BD" w:rsidRDefault="00BF4E33" w:rsidP="008C24BD">
            <w:pPr>
              <w:pStyle w:val="Tablebullet1"/>
            </w:pPr>
            <w:r w:rsidRPr="001949BD">
              <w:t xml:space="preserve">in relation to Victoria, the industry in which security activities are undertaken by persons licensed under the </w:t>
            </w:r>
            <w:r w:rsidRPr="001949BD">
              <w:rPr>
                <w:i/>
              </w:rPr>
              <w:t>Private Security Act 2004</w:t>
            </w:r>
            <w:r w:rsidRPr="001949BD">
              <w:t>; and</w:t>
            </w:r>
          </w:p>
          <w:p w14:paraId="037A470E" w14:textId="77777777" w:rsidR="00BF4E33" w:rsidRPr="001949BD" w:rsidRDefault="00BF4E33" w:rsidP="008C24BD">
            <w:pPr>
              <w:pStyle w:val="Tablebullet1"/>
            </w:pPr>
            <w:r w:rsidRPr="001949BD">
              <w:t xml:space="preserve">in relation to reciprocating jurisdictions, the security industry within the meaning of the corresponding law of that jurisdiction. </w:t>
            </w:r>
          </w:p>
          <w:p w14:paraId="05049611" w14:textId="77777777" w:rsidR="00BF4E33" w:rsidRPr="001949BD" w:rsidRDefault="00BF4E33" w:rsidP="008C24BD">
            <w:pPr>
              <w:pStyle w:val="Tabletext"/>
            </w:pPr>
            <w:r w:rsidRPr="001949BD">
              <w:t>A ‘security activity’ includes:</w:t>
            </w:r>
          </w:p>
          <w:p w14:paraId="1BFDC393" w14:textId="77777777" w:rsidR="00BF4E33" w:rsidRPr="001949BD" w:rsidRDefault="00BF4E33" w:rsidP="008C24BD">
            <w:pPr>
              <w:pStyle w:val="Tablebullet1"/>
            </w:pPr>
            <w:r w:rsidRPr="001949BD">
              <w:t>acting as an investigator, bodyguard, crowd controller, security guard or private security trainer; or</w:t>
            </w:r>
          </w:p>
          <w:p w14:paraId="7144971F" w14:textId="77777777" w:rsidR="00BF4E33" w:rsidRPr="001949BD" w:rsidRDefault="00BF4E33" w:rsidP="008C24BD">
            <w:pPr>
              <w:pStyle w:val="Tablebullet1"/>
            </w:pPr>
            <w:r w:rsidRPr="001949BD">
              <w:t xml:space="preserve">acting as a security equipment installer or security adviser. </w:t>
            </w:r>
          </w:p>
        </w:tc>
      </w:tr>
      <w:tr w:rsidR="00BF4E33" w:rsidRPr="001949BD" w14:paraId="32E9F23C"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477E27E1"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What is security work?</w:t>
            </w:r>
          </w:p>
        </w:tc>
        <w:tc>
          <w:tcPr>
            <w:tcW w:w="10798" w:type="dxa"/>
            <w:tcBorders>
              <w:top w:val="single" w:sz="4" w:space="0" w:color="auto"/>
              <w:left w:val="nil"/>
              <w:bottom w:val="single" w:sz="4" w:space="0" w:color="auto"/>
            </w:tcBorders>
            <w:shd w:val="clear" w:color="000000" w:fill="DEEAF6"/>
            <w:vAlign w:val="center"/>
          </w:tcPr>
          <w:p w14:paraId="4DCCCB43" w14:textId="77777777" w:rsidR="00BF4E33" w:rsidRPr="001949BD" w:rsidRDefault="00BF4E33" w:rsidP="00F73678">
            <w:pPr>
              <w:pStyle w:val="Tabletext"/>
            </w:pPr>
            <w:r w:rsidRPr="001949BD">
              <w:t>Security work is:</w:t>
            </w:r>
          </w:p>
          <w:p w14:paraId="449EB217" w14:textId="2E2B4C94" w:rsidR="00BF4E33" w:rsidRPr="001949BD" w:rsidRDefault="008C24BD" w:rsidP="008C24BD">
            <w:pPr>
              <w:pStyle w:val="Tablebullet1"/>
            </w:pPr>
            <w:r>
              <w:t>w</w:t>
            </w:r>
            <w:r w:rsidR="00BF4E33" w:rsidRPr="001949BD">
              <w:t>ork performed in the security industry; or</w:t>
            </w:r>
          </w:p>
          <w:p w14:paraId="1722F3A6" w14:textId="4BC4F19C" w:rsidR="00BF4E33" w:rsidRPr="001949BD" w:rsidRDefault="008C24BD" w:rsidP="008C24BD">
            <w:pPr>
              <w:pStyle w:val="Tablebullet1"/>
            </w:pPr>
            <w:r>
              <w:t>a</w:t>
            </w:r>
            <w:r w:rsidR="00BF4E33" w:rsidRPr="001949BD">
              <w:t>n activity or an activity of a class, prescribed to be security work</w:t>
            </w:r>
            <w:r w:rsidR="0055008B" w:rsidRPr="001949BD">
              <w:t xml:space="preserve">. </w:t>
            </w:r>
          </w:p>
        </w:tc>
      </w:tr>
      <w:tr w:rsidR="00BF4E33" w:rsidRPr="001949BD" w14:paraId="0E042C56" w14:textId="77777777" w:rsidTr="001949BD">
        <w:trPr>
          <w:cantSplit/>
        </w:trPr>
        <w:tc>
          <w:tcPr>
            <w:tcW w:w="2977" w:type="dxa"/>
            <w:tcBorders>
              <w:top w:val="single" w:sz="4" w:space="0" w:color="auto"/>
              <w:left w:val="nil"/>
              <w:bottom w:val="single" w:sz="4" w:space="0" w:color="auto"/>
              <w:right w:val="single" w:sz="8" w:space="0" w:color="auto"/>
            </w:tcBorders>
            <w:shd w:val="clear" w:color="000000" w:fill="DEEAF6"/>
            <w:vAlign w:val="center"/>
          </w:tcPr>
          <w:p w14:paraId="53FEB3D9" w14:textId="198DDDFD"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Who is an employer?</w:t>
            </w:r>
          </w:p>
        </w:tc>
        <w:tc>
          <w:tcPr>
            <w:tcW w:w="10798" w:type="dxa"/>
            <w:tcBorders>
              <w:top w:val="single" w:sz="4" w:space="0" w:color="auto"/>
              <w:left w:val="nil"/>
              <w:bottom w:val="single" w:sz="4" w:space="0" w:color="auto"/>
            </w:tcBorders>
            <w:shd w:val="clear" w:color="000000" w:fill="DEEAF6"/>
            <w:vAlign w:val="center"/>
          </w:tcPr>
          <w:p w14:paraId="6D4673AE" w14:textId="77777777" w:rsidR="00BF4E33" w:rsidRPr="001949BD" w:rsidRDefault="00BF4E33" w:rsidP="00F73678">
            <w:pPr>
              <w:pStyle w:val="Tabletext"/>
            </w:pPr>
            <w:r w:rsidRPr="001949BD">
              <w:t xml:space="preserve">An employer in the security industry is a person engaged in the industry in Victoria who employs someone else (whether in Victoria or elsewhere) to perform work in the industry. </w:t>
            </w:r>
          </w:p>
          <w:p w14:paraId="42D0D0F9" w14:textId="77777777" w:rsidR="00BF4E33" w:rsidRPr="001949BD" w:rsidRDefault="00BF4E33" w:rsidP="00F73678">
            <w:pPr>
              <w:pStyle w:val="Tabletext"/>
            </w:pPr>
            <w:r w:rsidRPr="001949BD">
              <w:t>A person is also an employer for the security industry if:</w:t>
            </w:r>
          </w:p>
          <w:p w14:paraId="5FEDB68C" w14:textId="06BBFA18" w:rsidR="00BF4E33" w:rsidRPr="001949BD" w:rsidRDefault="008C24BD" w:rsidP="008C24BD">
            <w:pPr>
              <w:pStyle w:val="Tablebullet1"/>
            </w:pPr>
            <w:r>
              <w:t>t</w:t>
            </w:r>
            <w:r w:rsidR="00BF4E33" w:rsidRPr="001949BD">
              <w:t xml:space="preserve">he person employs or engages someone else (the </w:t>
            </w:r>
            <w:r w:rsidR="00BA4E89" w:rsidRPr="001949BD">
              <w:t>employee</w:t>
            </w:r>
            <w:r w:rsidR="00BF4E33" w:rsidRPr="001949BD">
              <w:t>) to perform work in the industry for another person engaged in the industry in Victoria for fee or reward; and</w:t>
            </w:r>
          </w:p>
          <w:p w14:paraId="3D810DBF" w14:textId="01340B54" w:rsidR="00BF4E33" w:rsidRPr="001949BD" w:rsidRDefault="008C24BD" w:rsidP="008C24BD">
            <w:pPr>
              <w:pStyle w:val="Tablebullet1"/>
            </w:pPr>
            <w:r>
              <w:t>t</w:t>
            </w:r>
            <w:r w:rsidR="00BF4E33" w:rsidRPr="001949BD">
              <w:t xml:space="preserve">here is no contract to perform the work between the </w:t>
            </w:r>
            <w:r w:rsidR="00BA4E89" w:rsidRPr="001949BD">
              <w:t>employee</w:t>
            </w:r>
            <w:r w:rsidR="00BF4E33" w:rsidRPr="001949BD">
              <w:t xml:space="preserve"> and the person for whom the work is performed. </w:t>
            </w:r>
          </w:p>
          <w:p w14:paraId="1AF94004" w14:textId="77777777" w:rsidR="00BF4E33" w:rsidRPr="001949BD" w:rsidRDefault="00BF4E33" w:rsidP="00F73678">
            <w:pPr>
              <w:pStyle w:val="Tabletext"/>
            </w:pPr>
            <w:r w:rsidRPr="001949BD">
              <w:t>The following are not employers:</w:t>
            </w:r>
          </w:p>
          <w:p w14:paraId="671994F2" w14:textId="79C484C6" w:rsidR="00BF4E33" w:rsidRPr="001949BD" w:rsidRDefault="008C24BD" w:rsidP="008C24BD">
            <w:pPr>
              <w:pStyle w:val="Tablebullet1"/>
            </w:pPr>
            <w:r>
              <w:t>t</w:t>
            </w:r>
            <w:r w:rsidR="00BF4E33" w:rsidRPr="001949BD">
              <w:t>he Commonwealth;</w:t>
            </w:r>
          </w:p>
          <w:p w14:paraId="5B73EA4B" w14:textId="0AEE41B5" w:rsidR="00BF4E33" w:rsidRPr="001949BD" w:rsidRDefault="008C24BD" w:rsidP="008C24BD">
            <w:pPr>
              <w:pStyle w:val="Tablebullet1"/>
            </w:pPr>
            <w:r>
              <w:t>t</w:t>
            </w:r>
            <w:r w:rsidR="00BF4E33" w:rsidRPr="001949BD">
              <w:t>he State;</w:t>
            </w:r>
          </w:p>
          <w:p w14:paraId="08F02C0C" w14:textId="5BA82168" w:rsidR="00BF4E33" w:rsidRPr="001949BD" w:rsidRDefault="008C24BD" w:rsidP="008C24BD">
            <w:pPr>
              <w:pStyle w:val="Tablebullet1"/>
            </w:pPr>
            <w:r>
              <w:t>a</w:t>
            </w:r>
            <w:r w:rsidR="00BF4E33" w:rsidRPr="001949BD">
              <w:t>n entity that has a governing body appointed under an Act of the Commonwealth or the State;</w:t>
            </w:r>
          </w:p>
          <w:p w14:paraId="00D671F3" w14:textId="1CF32089" w:rsidR="00BF4E33" w:rsidRPr="001949BD" w:rsidRDefault="008C24BD" w:rsidP="008C24BD">
            <w:pPr>
              <w:pStyle w:val="Tablebullet1"/>
            </w:pPr>
            <w:r>
              <w:t>a</w:t>
            </w:r>
            <w:r w:rsidR="00BF4E33" w:rsidRPr="001949BD">
              <w:t xml:space="preserve"> municipal council or other public statutory body;</w:t>
            </w:r>
          </w:p>
          <w:p w14:paraId="3DDE237C" w14:textId="3158C908" w:rsidR="00BF4E33" w:rsidRPr="001949BD" w:rsidRDefault="008C24BD" w:rsidP="008C24BD">
            <w:pPr>
              <w:pStyle w:val="Tablebullet1"/>
            </w:pPr>
            <w:r>
              <w:t>a</w:t>
            </w:r>
            <w:r w:rsidR="00BF4E33" w:rsidRPr="001949BD">
              <w:t xml:space="preserve"> person who is, or is a member of a class prescribed not to be an employer for the security industry. </w:t>
            </w:r>
          </w:p>
        </w:tc>
      </w:tr>
      <w:tr w:rsidR="00BF4E33" w:rsidRPr="001949BD" w14:paraId="731CAC08" w14:textId="77777777" w:rsidTr="00F73678">
        <w:trPr>
          <w:cantSplit/>
        </w:trPr>
        <w:tc>
          <w:tcPr>
            <w:tcW w:w="2977" w:type="dxa"/>
            <w:tcBorders>
              <w:top w:val="single" w:sz="4" w:space="0" w:color="auto"/>
              <w:left w:val="nil"/>
              <w:bottom w:val="single" w:sz="4" w:space="0" w:color="auto"/>
              <w:right w:val="single" w:sz="8" w:space="0" w:color="auto"/>
            </w:tcBorders>
            <w:shd w:val="clear" w:color="000000" w:fill="DEEAF6"/>
            <w:vAlign w:val="center"/>
          </w:tcPr>
          <w:p w14:paraId="5125877A" w14:textId="6DE23165"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lastRenderedPageBreak/>
              <w:t>Who is an employee?</w:t>
            </w:r>
          </w:p>
        </w:tc>
        <w:tc>
          <w:tcPr>
            <w:tcW w:w="10798" w:type="dxa"/>
            <w:tcBorders>
              <w:top w:val="single" w:sz="4" w:space="0" w:color="auto"/>
              <w:left w:val="nil"/>
              <w:bottom w:val="single" w:sz="4" w:space="0" w:color="auto"/>
            </w:tcBorders>
            <w:shd w:val="clear" w:color="000000" w:fill="DEEAF6"/>
            <w:vAlign w:val="center"/>
          </w:tcPr>
          <w:p w14:paraId="27CB41EB" w14:textId="77777777" w:rsidR="00BF4E33" w:rsidRPr="001949BD" w:rsidRDefault="00BF4E33" w:rsidP="00F73678">
            <w:pPr>
              <w:pStyle w:val="Tabletext"/>
            </w:pPr>
            <w:r w:rsidRPr="001949BD">
              <w:t>An employee for the security industry is an individual employed by an employer for the industry (whether in Victoria or elsewhere) and includes:</w:t>
            </w:r>
          </w:p>
          <w:p w14:paraId="3BAC8BBE" w14:textId="6925CC2F" w:rsidR="00BF4E33" w:rsidRPr="001949BD" w:rsidRDefault="008C24BD" w:rsidP="008C24BD">
            <w:pPr>
              <w:pStyle w:val="Tablebullet1"/>
            </w:pPr>
            <w:r>
              <w:t>a</w:t>
            </w:r>
            <w:r w:rsidR="00BF4E33" w:rsidRPr="001949BD">
              <w:t xml:space="preserve">n apprentice and any individual required to learn or be taught security </w:t>
            </w:r>
            <w:r w:rsidR="00BA4E89" w:rsidRPr="001949BD">
              <w:t>employee</w:t>
            </w:r>
            <w:r w:rsidR="00BF4E33" w:rsidRPr="001949BD">
              <w:t xml:space="preserve"> under their employment agreement; and</w:t>
            </w:r>
          </w:p>
          <w:p w14:paraId="6579DAC7" w14:textId="483B5545" w:rsidR="00BF4E33" w:rsidRPr="001949BD" w:rsidRDefault="008C24BD" w:rsidP="008C24BD">
            <w:pPr>
              <w:pStyle w:val="Tablebullet1"/>
            </w:pPr>
            <w:r>
              <w:t>a</w:t>
            </w:r>
            <w:r w:rsidR="00BF4E33" w:rsidRPr="001949BD">
              <w:t xml:space="preserve"> casual employee or an employee employed on a seasonal basis. </w:t>
            </w:r>
          </w:p>
          <w:p w14:paraId="0ECAED92" w14:textId="77777777" w:rsidR="00BF4E33" w:rsidRPr="001949BD" w:rsidRDefault="00BF4E33" w:rsidP="008C24BD">
            <w:pPr>
              <w:pStyle w:val="Tabletext"/>
            </w:pPr>
            <w:r w:rsidRPr="001949BD">
              <w:t>An individual is not an employee for the security industry if:</w:t>
            </w:r>
          </w:p>
          <w:p w14:paraId="1A08B563" w14:textId="7025B881" w:rsidR="00BF4E33" w:rsidRPr="001949BD" w:rsidRDefault="008C24BD" w:rsidP="008C24BD">
            <w:pPr>
              <w:pStyle w:val="Tablebullet1"/>
            </w:pPr>
            <w:r>
              <w:t>t</w:t>
            </w:r>
            <w:r w:rsidR="00BF4E33" w:rsidRPr="001949BD">
              <w:t xml:space="preserve">heir name is included on the register of </w:t>
            </w:r>
            <w:r w:rsidR="00BA4E89" w:rsidRPr="001949BD">
              <w:t>employee</w:t>
            </w:r>
            <w:r w:rsidR="00BF4E33" w:rsidRPr="001949BD">
              <w:t xml:space="preserve">s kept by the trustee in accordance with the trust deed under the </w:t>
            </w:r>
            <w:r w:rsidR="00BF4E33" w:rsidRPr="001949BD">
              <w:rPr>
                <w:i/>
              </w:rPr>
              <w:t>Construction Industry Long Service Leave Act 1997</w:t>
            </w:r>
            <w:r w:rsidR="00BF4E33" w:rsidRPr="001949BD">
              <w:t>; or</w:t>
            </w:r>
          </w:p>
          <w:p w14:paraId="5B23450B" w14:textId="481936E9" w:rsidR="00BF4E33" w:rsidRPr="001949BD" w:rsidRDefault="008C24BD" w:rsidP="008C24BD">
            <w:pPr>
              <w:pStyle w:val="Tablebullet1"/>
            </w:pPr>
            <w:r>
              <w:t>t</w:t>
            </w:r>
            <w:r w:rsidR="00BF4E33" w:rsidRPr="001949BD">
              <w:t xml:space="preserve">he individual is, or is a member of a class, prescribed not to be an employee for the security industry. </w:t>
            </w:r>
          </w:p>
        </w:tc>
      </w:tr>
      <w:tr w:rsidR="00BF4E33" w:rsidRPr="001949BD" w14:paraId="418E8E8B"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2E00A478" w14:textId="315EB63F"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 xml:space="preserve">Who is a contract </w:t>
            </w:r>
            <w:r w:rsidR="00BA4E89" w:rsidRPr="003E5AC1">
              <w:rPr>
                <w:rFonts w:ascii="Arial" w:eastAsia="Times New Roman" w:hAnsi="Arial" w:cs="Arial"/>
                <w:i/>
                <w:color w:val="000000"/>
                <w:szCs w:val="20"/>
                <w:lang w:eastAsia="en-AU"/>
              </w:rPr>
              <w:t>employee</w:t>
            </w:r>
            <w:r w:rsidRPr="003E5AC1">
              <w:rPr>
                <w:rFonts w:ascii="Arial" w:eastAsia="Times New Roman" w:hAnsi="Arial" w:cs="Arial"/>
                <w:i/>
                <w:color w:val="000000"/>
                <w:szCs w:val="20"/>
                <w:lang w:eastAsia="en-AU"/>
              </w:rPr>
              <w:t>?</w:t>
            </w:r>
          </w:p>
        </w:tc>
        <w:tc>
          <w:tcPr>
            <w:tcW w:w="10798" w:type="dxa"/>
            <w:tcBorders>
              <w:top w:val="single" w:sz="4" w:space="0" w:color="auto"/>
              <w:left w:val="nil"/>
              <w:bottom w:val="single" w:sz="4" w:space="0" w:color="auto"/>
            </w:tcBorders>
            <w:shd w:val="clear" w:color="000000" w:fill="DEEAF6"/>
            <w:vAlign w:val="center"/>
          </w:tcPr>
          <w:p w14:paraId="69B26948" w14:textId="19826B47" w:rsidR="00BF4E33" w:rsidRPr="001949BD" w:rsidRDefault="00BF4E33" w:rsidP="008C24BD">
            <w:pPr>
              <w:pStyle w:val="Tabletext"/>
            </w:pPr>
            <w:r w:rsidRPr="001949BD">
              <w:t xml:space="preserve">A contract </w:t>
            </w:r>
            <w:r w:rsidR="00BA4E89" w:rsidRPr="001949BD">
              <w:t>employee</w:t>
            </w:r>
            <w:r w:rsidRPr="001949BD">
              <w:t xml:space="preserve"> for the security industry is an individual who performs work in the industry for another person for fee or reward on the individual’s own account. </w:t>
            </w:r>
          </w:p>
          <w:p w14:paraId="7C7DD940" w14:textId="3B5A34D8" w:rsidR="00BF4E33" w:rsidRPr="001949BD" w:rsidRDefault="00BF4E33" w:rsidP="008C24BD">
            <w:pPr>
              <w:pStyle w:val="Tabletext"/>
            </w:pPr>
            <w:r w:rsidRPr="001949BD">
              <w:t xml:space="preserve">An individual is not a contract </w:t>
            </w:r>
            <w:r w:rsidR="00BA4E89" w:rsidRPr="001949BD">
              <w:t>employee</w:t>
            </w:r>
            <w:r w:rsidRPr="001949BD">
              <w:t xml:space="preserve"> for the security industry if:</w:t>
            </w:r>
          </w:p>
          <w:p w14:paraId="03047440" w14:textId="7247C9C3" w:rsidR="00BF4E33" w:rsidRPr="001949BD" w:rsidRDefault="008C24BD" w:rsidP="008C24BD">
            <w:pPr>
              <w:pStyle w:val="Tablebullet1"/>
            </w:pPr>
            <w:r>
              <w:t>t</w:t>
            </w:r>
            <w:r w:rsidR="00BF4E33" w:rsidRPr="001949BD">
              <w:t xml:space="preserve">heir name is included on the register of working sub-contractors kept by the trustee in accordance with the trust deed under the </w:t>
            </w:r>
            <w:r w:rsidR="00BF4E33" w:rsidRPr="001949BD">
              <w:rPr>
                <w:i/>
              </w:rPr>
              <w:t>Construction Industry Long Service Leave Act 1997</w:t>
            </w:r>
            <w:r w:rsidR="00BF4E33" w:rsidRPr="001949BD">
              <w:t>; or</w:t>
            </w:r>
          </w:p>
          <w:p w14:paraId="5CEC6270" w14:textId="2E9C9099" w:rsidR="00BF4E33" w:rsidRPr="001949BD" w:rsidRDefault="008C24BD" w:rsidP="008C24BD">
            <w:pPr>
              <w:pStyle w:val="Tablebullet1"/>
            </w:pPr>
            <w:r>
              <w:t>t</w:t>
            </w:r>
            <w:r w:rsidR="00BF4E33" w:rsidRPr="001949BD">
              <w:t xml:space="preserve">he individual is, or is a member of a class, prescribed not to be a contract </w:t>
            </w:r>
            <w:r w:rsidR="00BA4E89" w:rsidRPr="001949BD">
              <w:t>employee</w:t>
            </w:r>
            <w:r w:rsidR="00BF4E33" w:rsidRPr="001949BD">
              <w:t xml:space="preserve"> for the security industry. </w:t>
            </w:r>
          </w:p>
          <w:p w14:paraId="73893C73" w14:textId="30FB3E21" w:rsidR="00BF4E33" w:rsidRPr="001949BD" w:rsidRDefault="00BF4E33" w:rsidP="008C24BD">
            <w:pPr>
              <w:pStyle w:val="Tabletext"/>
            </w:pPr>
            <w:r w:rsidRPr="001949BD">
              <w:t xml:space="preserve">The following are contract </w:t>
            </w:r>
            <w:r w:rsidR="00BA4E89" w:rsidRPr="001949BD">
              <w:t>employee</w:t>
            </w:r>
            <w:r w:rsidRPr="001949BD">
              <w:t>s (not employees):</w:t>
            </w:r>
          </w:p>
          <w:p w14:paraId="72E10FD8" w14:textId="50957946" w:rsidR="00BF4E33" w:rsidRPr="001949BD" w:rsidRDefault="008C24BD" w:rsidP="008C24BD">
            <w:pPr>
              <w:pStyle w:val="Tablebullet1"/>
            </w:pPr>
            <w:r>
              <w:t>d</w:t>
            </w:r>
            <w:r w:rsidR="00BF4E33" w:rsidRPr="001949BD">
              <w:t xml:space="preserve">irectors of a company whose only employees or contract </w:t>
            </w:r>
            <w:r w:rsidR="00BA4E89" w:rsidRPr="001949BD">
              <w:t>employee</w:t>
            </w:r>
            <w:r w:rsidR="00BF4E33" w:rsidRPr="001949BD">
              <w:t>s are directors, if each of the directors participates in the management of a company or shares in its profits;</w:t>
            </w:r>
          </w:p>
          <w:p w14:paraId="3F29CC47" w14:textId="29D28E00" w:rsidR="00BF4E33" w:rsidRPr="001949BD" w:rsidRDefault="008C24BD" w:rsidP="008C24BD">
            <w:pPr>
              <w:pStyle w:val="Tablebullet1"/>
            </w:pPr>
            <w:r>
              <w:t>t</w:t>
            </w:r>
            <w:r w:rsidR="00BF4E33" w:rsidRPr="001949BD">
              <w:t xml:space="preserve">he partners of a partnership. </w:t>
            </w:r>
          </w:p>
        </w:tc>
      </w:tr>
      <w:tr w:rsidR="00BF4E33" w:rsidRPr="001949BD" w14:paraId="65D36758"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14FF40AB"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What is recognised service?</w:t>
            </w:r>
          </w:p>
        </w:tc>
        <w:tc>
          <w:tcPr>
            <w:tcW w:w="10798" w:type="dxa"/>
            <w:tcBorders>
              <w:top w:val="single" w:sz="4" w:space="0" w:color="auto"/>
              <w:left w:val="nil"/>
              <w:bottom w:val="single" w:sz="4" w:space="0" w:color="auto"/>
            </w:tcBorders>
            <w:shd w:val="clear" w:color="000000" w:fill="DEEAF6"/>
            <w:vAlign w:val="center"/>
          </w:tcPr>
          <w:p w14:paraId="56646DC1" w14:textId="77777777" w:rsidR="00BF4E33" w:rsidRPr="001949BD" w:rsidRDefault="00BF4E33" w:rsidP="008C24BD">
            <w:pPr>
              <w:pStyle w:val="Tabletext"/>
              <w:rPr>
                <w:lang w:eastAsia="en-AU"/>
              </w:rPr>
            </w:pPr>
            <w:r w:rsidRPr="001949BD">
              <w:rPr>
                <w:lang w:eastAsia="en-AU"/>
              </w:rPr>
              <w:t>Recognised service is the amount of time an employee has recorded under the Scheme for the purposes of accessing a portable long service benefit. This is all recorded days minus any days taken off for long service. 365 days of recognised service is considered one year of recognised service.</w:t>
            </w:r>
          </w:p>
        </w:tc>
      </w:tr>
      <w:tr w:rsidR="00BF4E33" w:rsidRPr="001949BD" w14:paraId="19FBCD27"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7A3079D3"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Crediting service</w:t>
            </w:r>
          </w:p>
        </w:tc>
        <w:tc>
          <w:tcPr>
            <w:tcW w:w="10798" w:type="dxa"/>
            <w:tcBorders>
              <w:top w:val="single" w:sz="4" w:space="0" w:color="auto"/>
              <w:left w:val="nil"/>
              <w:bottom w:val="single" w:sz="4" w:space="0" w:color="auto"/>
            </w:tcBorders>
            <w:shd w:val="clear" w:color="000000" w:fill="DEEAF6"/>
            <w:vAlign w:val="center"/>
          </w:tcPr>
          <w:p w14:paraId="30BE9235" w14:textId="1809E7AA" w:rsidR="00BF4E33" w:rsidRPr="001949BD" w:rsidRDefault="00BF4E33" w:rsidP="008C24BD">
            <w:pPr>
              <w:pStyle w:val="Tabletext"/>
              <w:rPr>
                <w:color w:val="auto"/>
              </w:rPr>
            </w:pPr>
            <w:r w:rsidRPr="001949BD">
              <w:rPr>
                <w:lang w:eastAsia="en-AU"/>
              </w:rPr>
              <w:t>A</w:t>
            </w:r>
            <w:r w:rsidR="00BA4E89" w:rsidRPr="001949BD">
              <w:rPr>
                <w:lang w:eastAsia="en-AU"/>
              </w:rPr>
              <w:t>n</w:t>
            </w:r>
            <w:r w:rsidRPr="001949BD">
              <w:rPr>
                <w:lang w:eastAsia="en-AU"/>
              </w:rPr>
              <w:t xml:space="preserve"> </w:t>
            </w:r>
            <w:r w:rsidR="00BA4E89" w:rsidRPr="001949BD">
              <w:rPr>
                <w:lang w:eastAsia="en-AU"/>
              </w:rPr>
              <w:t>employee</w:t>
            </w:r>
            <w:r w:rsidRPr="001949BD">
              <w:rPr>
                <w:lang w:eastAsia="en-AU"/>
              </w:rPr>
              <w:t xml:space="preserve"> is credited one day of service for every day that they are employed, regardless of if they work that day. </w:t>
            </w:r>
            <w:r w:rsidR="00BA4E89" w:rsidRPr="001949BD">
              <w:rPr>
                <w:lang w:eastAsia="en-AU"/>
              </w:rPr>
              <w:t>Employee</w:t>
            </w:r>
            <w:r w:rsidRPr="001949BD">
              <w:rPr>
                <w:lang w:eastAsia="en-AU"/>
              </w:rPr>
              <w:t>s are not able to accrue more than 365 days of service in a year.</w:t>
            </w:r>
          </w:p>
        </w:tc>
      </w:tr>
      <w:tr w:rsidR="00BF4E33" w:rsidRPr="001949BD" w14:paraId="3E3F71FA"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6BFA1919"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What is a service period?</w:t>
            </w:r>
          </w:p>
        </w:tc>
        <w:tc>
          <w:tcPr>
            <w:tcW w:w="10798" w:type="dxa"/>
            <w:tcBorders>
              <w:top w:val="single" w:sz="4" w:space="0" w:color="auto"/>
              <w:left w:val="nil"/>
              <w:bottom w:val="single" w:sz="4" w:space="0" w:color="auto"/>
            </w:tcBorders>
            <w:shd w:val="clear" w:color="000000" w:fill="DEEAF6"/>
            <w:vAlign w:val="center"/>
          </w:tcPr>
          <w:p w14:paraId="74A1BC4E" w14:textId="69B974C5" w:rsidR="00BF4E33" w:rsidRPr="001949BD" w:rsidRDefault="00BF4E33" w:rsidP="008C24BD">
            <w:pPr>
              <w:pStyle w:val="Tabletext"/>
              <w:rPr>
                <w:lang w:eastAsia="en-AU"/>
              </w:rPr>
            </w:pPr>
            <w:r w:rsidRPr="001949BD">
              <w:rPr>
                <w:lang w:eastAsia="en-AU"/>
              </w:rPr>
              <w:t xml:space="preserve">A service period is a continuous period starting when the LSBP Act comes into effect, and for </w:t>
            </w:r>
            <w:r w:rsidR="00BA4E89" w:rsidRPr="001949BD">
              <w:rPr>
                <w:lang w:eastAsia="en-AU"/>
              </w:rPr>
              <w:t>employee</w:t>
            </w:r>
            <w:r w:rsidRPr="001949BD">
              <w:rPr>
                <w:lang w:eastAsia="en-AU"/>
              </w:rPr>
              <w:t xml:space="preserve">s starting after that date, when they commence employment in the sector. The service period ends when the </w:t>
            </w:r>
            <w:r w:rsidR="00BA4E89" w:rsidRPr="001949BD">
              <w:rPr>
                <w:lang w:eastAsia="en-AU"/>
              </w:rPr>
              <w:t>employee</w:t>
            </w:r>
            <w:r w:rsidRPr="001949BD">
              <w:rPr>
                <w:lang w:eastAsia="en-AU"/>
              </w:rPr>
              <w:t xml:space="preserve"> leave</w:t>
            </w:r>
            <w:r w:rsidR="00F73678">
              <w:rPr>
                <w:lang w:eastAsia="en-AU"/>
              </w:rPr>
              <w:t>s</w:t>
            </w:r>
            <w:r w:rsidRPr="001949BD">
              <w:rPr>
                <w:lang w:eastAsia="en-AU"/>
              </w:rPr>
              <w:t xml:space="preserve"> the sector. </w:t>
            </w:r>
          </w:p>
          <w:p w14:paraId="7BC1EFA6" w14:textId="22DBBB42" w:rsidR="00BF4E33" w:rsidRPr="001949BD" w:rsidRDefault="00BF4E33" w:rsidP="008C24BD">
            <w:pPr>
              <w:pStyle w:val="Tabletext"/>
              <w:rPr>
                <w:lang w:eastAsia="en-AU"/>
              </w:rPr>
            </w:pPr>
            <w:r w:rsidRPr="001949BD">
              <w:rPr>
                <w:lang w:eastAsia="en-AU"/>
              </w:rPr>
              <w:lastRenderedPageBreak/>
              <w:t xml:space="preserve">An employee </w:t>
            </w:r>
            <w:r w:rsidR="00F73678">
              <w:rPr>
                <w:lang w:eastAsia="en-AU"/>
              </w:rPr>
              <w:t>ceases</w:t>
            </w:r>
            <w:r w:rsidR="00F73678" w:rsidRPr="001949BD">
              <w:rPr>
                <w:lang w:eastAsia="en-AU"/>
              </w:rPr>
              <w:t xml:space="preserve"> </w:t>
            </w:r>
            <w:r w:rsidRPr="001949BD">
              <w:rPr>
                <w:lang w:eastAsia="en-AU"/>
              </w:rPr>
              <w:t xml:space="preserve">being employed when there is no ordinary pay recorded on their quarterly returns for any employers they worked for during that quarterly reporting period. </w:t>
            </w:r>
          </w:p>
          <w:p w14:paraId="5A13A21F" w14:textId="6A62F586" w:rsidR="00BF4E33" w:rsidRPr="001949BD" w:rsidRDefault="00BF4E33" w:rsidP="008C24BD">
            <w:pPr>
              <w:pStyle w:val="Tabletext"/>
              <w:rPr>
                <w:color w:val="auto"/>
              </w:rPr>
            </w:pPr>
            <w:r w:rsidRPr="001949BD">
              <w:rPr>
                <w:lang w:eastAsia="en-AU"/>
              </w:rPr>
              <w:t xml:space="preserve">A service period is not taken to end if the </w:t>
            </w:r>
            <w:r w:rsidR="00BA4E89" w:rsidRPr="001949BD">
              <w:rPr>
                <w:lang w:eastAsia="en-AU"/>
              </w:rPr>
              <w:t>employee</w:t>
            </w:r>
            <w:r w:rsidRPr="001949BD">
              <w:rPr>
                <w:lang w:eastAsia="en-AU"/>
              </w:rPr>
              <w:t xml:space="preserve"> stops being a</w:t>
            </w:r>
            <w:r w:rsidR="00BA4E89" w:rsidRPr="001949BD">
              <w:rPr>
                <w:lang w:eastAsia="en-AU"/>
              </w:rPr>
              <w:t>n</w:t>
            </w:r>
            <w:r w:rsidRPr="001949BD">
              <w:rPr>
                <w:lang w:eastAsia="en-AU"/>
              </w:rPr>
              <w:t xml:space="preserve"> </w:t>
            </w:r>
            <w:r w:rsidR="00BA4E89" w:rsidRPr="001949BD">
              <w:rPr>
                <w:lang w:eastAsia="en-AU"/>
              </w:rPr>
              <w:t>employee</w:t>
            </w:r>
            <w:r w:rsidRPr="001949BD">
              <w:rPr>
                <w:lang w:eastAsia="en-AU"/>
              </w:rPr>
              <w:t xml:space="preserve"> because of an injury in which they are entitled to </w:t>
            </w:r>
            <w:r w:rsidR="0060163D" w:rsidRPr="001949BD">
              <w:rPr>
                <w:lang w:eastAsia="en-AU"/>
              </w:rPr>
              <w:t xml:space="preserve">workers </w:t>
            </w:r>
            <w:r w:rsidRPr="001949BD">
              <w:rPr>
                <w:lang w:eastAsia="en-AU"/>
              </w:rPr>
              <w:t xml:space="preserve">compensation, or if their employment is terminated by an employer who wishes to ensure that the </w:t>
            </w:r>
            <w:r w:rsidR="00BA4E89" w:rsidRPr="001949BD">
              <w:rPr>
                <w:lang w:eastAsia="en-AU"/>
              </w:rPr>
              <w:t>employee</w:t>
            </w:r>
            <w:r w:rsidRPr="001949BD">
              <w:rPr>
                <w:lang w:eastAsia="en-AU"/>
              </w:rPr>
              <w:t xml:space="preserve"> is not entitled to long service benefits from them.</w:t>
            </w:r>
          </w:p>
        </w:tc>
      </w:tr>
      <w:tr w:rsidR="00BF4E33" w:rsidRPr="001949BD" w14:paraId="27BCD16F"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2304612F"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lastRenderedPageBreak/>
              <w:t>Entitlement to long service leave</w:t>
            </w:r>
          </w:p>
        </w:tc>
        <w:tc>
          <w:tcPr>
            <w:tcW w:w="10798" w:type="dxa"/>
            <w:tcBorders>
              <w:top w:val="single" w:sz="4" w:space="0" w:color="auto"/>
              <w:left w:val="nil"/>
              <w:bottom w:val="single" w:sz="4" w:space="0" w:color="auto"/>
            </w:tcBorders>
            <w:shd w:val="clear" w:color="000000" w:fill="DEEAF6"/>
            <w:vAlign w:val="center"/>
          </w:tcPr>
          <w:p w14:paraId="7A1107FC" w14:textId="71720D90" w:rsidR="00BF4E33" w:rsidRPr="001949BD" w:rsidRDefault="00BF4E33" w:rsidP="008C24BD">
            <w:pPr>
              <w:pStyle w:val="Tabletext"/>
              <w:rPr>
                <w:lang w:eastAsia="en-AU"/>
              </w:rPr>
            </w:pPr>
            <w:r w:rsidRPr="001949BD">
              <w:rPr>
                <w:lang w:eastAsia="en-AU"/>
              </w:rPr>
              <w:t>Once a</w:t>
            </w:r>
            <w:r w:rsidR="00BA4E89" w:rsidRPr="001949BD">
              <w:rPr>
                <w:lang w:eastAsia="en-AU"/>
              </w:rPr>
              <w:t>n</w:t>
            </w:r>
            <w:r w:rsidRPr="001949BD">
              <w:rPr>
                <w:lang w:eastAsia="en-AU"/>
              </w:rPr>
              <w:t xml:space="preserve"> </w:t>
            </w:r>
            <w:r w:rsidR="00BA4E89" w:rsidRPr="001949BD">
              <w:rPr>
                <w:lang w:eastAsia="en-AU"/>
              </w:rPr>
              <w:t>employee</w:t>
            </w:r>
            <w:r w:rsidRPr="001949BD">
              <w:rPr>
                <w:lang w:eastAsia="en-AU"/>
              </w:rPr>
              <w:t xml:space="preserve"> has </w:t>
            </w:r>
            <w:r w:rsidR="00F73678">
              <w:rPr>
                <w:lang w:eastAsia="en-AU"/>
              </w:rPr>
              <w:t>seven</w:t>
            </w:r>
            <w:r w:rsidRPr="001949BD">
              <w:rPr>
                <w:lang w:eastAsia="en-AU"/>
              </w:rPr>
              <w:t xml:space="preserve"> years of recognised service they are entitled to an amount of long service leave equivalent to 1/60</w:t>
            </w:r>
            <w:r w:rsidRPr="001949BD">
              <w:rPr>
                <w:vertAlign w:val="superscript"/>
                <w:lang w:eastAsia="en-AU"/>
              </w:rPr>
              <w:t>th</w:t>
            </w:r>
            <w:r w:rsidRPr="001949BD">
              <w:rPr>
                <w:lang w:eastAsia="en-AU"/>
              </w:rPr>
              <w:t xml:space="preserve"> of their total recognised service less any period of long service leave taken during that period. This equates to 8.76 weeks of pay for each 10 years worked. The payment is calculated based on the </w:t>
            </w:r>
            <w:r w:rsidR="00BA4E89" w:rsidRPr="001949BD">
              <w:rPr>
                <w:lang w:eastAsia="en-AU"/>
              </w:rPr>
              <w:t>employee</w:t>
            </w:r>
            <w:r w:rsidRPr="001949BD">
              <w:rPr>
                <w:lang w:eastAsia="en-AU"/>
              </w:rPr>
              <w:t xml:space="preserve">’s ‘ordinary pay’ at the time of claiming. </w:t>
            </w:r>
          </w:p>
          <w:p w14:paraId="7A6C4C6C" w14:textId="77777777" w:rsidR="00BF4E33" w:rsidRPr="001949BD" w:rsidDel="00CA30D2" w:rsidRDefault="00BF4E33" w:rsidP="008C24BD">
            <w:pPr>
              <w:pStyle w:val="Tabletext"/>
              <w:rPr>
                <w:color w:val="auto"/>
              </w:rPr>
            </w:pPr>
            <w:r w:rsidRPr="001949BD">
              <w:rPr>
                <w:lang w:eastAsia="en-AU"/>
              </w:rPr>
              <w:t xml:space="preserve">Long service leave does not include any public holiday occurring, or annual leave taken, during the period when the long service leave is taken. </w:t>
            </w:r>
          </w:p>
        </w:tc>
      </w:tr>
      <w:tr w:rsidR="00BF4E33" w:rsidRPr="001949BD" w14:paraId="7F3C2EE5"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11BB4F17"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When is long service leave to be taken?</w:t>
            </w:r>
          </w:p>
        </w:tc>
        <w:tc>
          <w:tcPr>
            <w:tcW w:w="10798" w:type="dxa"/>
            <w:tcBorders>
              <w:top w:val="single" w:sz="4" w:space="0" w:color="auto"/>
              <w:left w:val="nil"/>
              <w:bottom w:val="single" w:sz="4" w:space="0" w:color="auto"/>
            </w:tcBorders>
            <w:shd w:val="clear" w:color="000000" w:fill="DEEAF6"/>
            <w:vAlign w:val="center"/>
          </w:tcPr>
          <w:p w14:paraId="59D5EEEF" w14:textId="17D4D516" w:rsidR="00BF4E33" w:rsidRPr="001949BD" w:rsidRDefault="00BF4E33" w:rsidP="008C24BD">
            <w:pPr>
              <w:pStyle w:val="Tabletext"/>
              <w:rPr>
                <w:lang w:eastAsia="en-AU"/>
              </w:rPr>
            </w:pPr>
            <w:r w:rsidRPr="001949BD">
              <w:rPr>
                <w:lang w:eastAsia="en-AU"/>
              </w:rPr>
              <w:t xml:space="preserve">A registered </w:t>
            </w:r>
            <w:r w:rsidR="00BA4E89" w:rsidRPr="001949BD">
              <w:rPr>
                <w:lang w:eastAsia="en-AU"/>
              </w:rPr>
              <w:t>employee</w:t>
            </w:r>
            <w:r w:rsidRPr="001949BD">
              <w:rPr>
                <w:lang w:eastAsia="en-AU"/>
              </w:rPr>
              <w:t xml:space="preserve"> may request to take long service leave for a period of not less than one day. If the employer refuses the request, the </w:t>
            </w:r>
            <w:r w:rsidR="00BA4E89" w:rsidRPr="001949BD">
              <w:rPr>
                <w:lang w:eastAsia="en-AU"/>
              </w:rPr>
              <w:t>employee</w:t>
            </w:r>
            <w:r w:rsidRPr="001949BD">
              <w:rPr>
                <w:lang w:eastAsia="en-AU"/>
              </w:rPr>
              <w:t xml:space="preserve"> may apply to the Authority for a determination. </w:t>
            </w:r>
          </w:p>
        </w:tc>
      </w:tr>
      <w:tr w:rsidR="00BF4E33" w:rsidRPr="001949BD" w14:paraId="22A03573"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42E012DC"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Entitlement to payment in lieu of leave on leaving the security industry or death</w:t>
            </w:r>
          </w:p>
        </w:tc>
        <w:tc>
          <w:tcPr>
            <w:tcW w:w="10798" w:type="dxa"/>
            <w:tcBorders>
              <w:top w:val="single" w:sz="4" w:space="0" w:color="auto"/>
              <w:left w:val="nil"/>
              <w:bottom w:val="single" w:sz="4" w:space="0" w:color="auto"/>
            </w:tcBorders>
            <w:shd w:val="clear" w:color="000000" w:fill="DEEAF6"/>
            <w:vAlign w:val="center"/>
          </w:tcPr>
          <w:p w14:paraId="29404B94" w14:textId="5AFF68B5" w:rsidR="00BF4E33" w:rsidRPr="001949BD" w:rsidDel="00CA30D2" w:rsidRDefault="00BF4E33" w:rsidP="008C24BD">
            <w:pPr>
              <w:pStyle w:val="Tabletext"/>
              <w:rPr>
                <w:color w:val="auto"/>
              </w:rPr>
            </w:pPr>
            <w:r w:rsidRPr="001949BD">
              <w:rPr>
                <w:lang w:eastAsia="en-AU"/>
              </w:rPr>
              <w:t>If a</w:t>
            </w:r>
            <w:r w:rsidR="00BA4E89" w:rsidRPr="001949BD">
              <w:rPr>
                <w:lang w:eastAsia="en-AU"/>
              </w:rPr>
              <w:t>n</w:t>
            </w:r>
            <w:r w:rsidRPr="001949BD">
              <w:rPr>
                <w:lang w:eastAsia="en-AU"/>
              </w:rPr>
              <w:t xml:space="preserve"> </w:t>
            </w:r>
            <w:r w:rsidR="00BA4E89" w:rsidRPr="001949BD">
              <w:rPr>
                <w:lang w:eastAsia="en-AU"/>
              </w:rPr>
              <w:t>employee</w:t>
            </w:r>
            <w:r w:rsidRPr="001949BD">
              <w:rPr>
                <w:lang w:eastAsia="en-AU"/>
              </w:rPr>
              <w:t xml:space="preserve"> dies or leaves the sector before claiming a benefit, they are entitled to payment in lieu of the long service leave to which they are entitled as at the date of leaving the industry or death. </w:t>
            </w:r>
          </w:p>
        </w:tc>
      </w:tr>
      <w:tr w:rsidR="00BF4E33" w:rsidRPr="001949BD" w14:paraId="5B7EC314"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772F3798"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What is ordinary pay?</w:t>
            </w:r>
          </w:p>
        </w:tc>
        <w:tc>
          <w:tcPr>
            <w:tcW w:w="10798" w:type="dxa"/>
            <w:tcBorders>
              <w:top w:val="single" w:sz="4" w:space="0" w:color="auto"/>
              <w:left w:val="nil"/>
              <w:bottom w:val="single" w:sz="4" w:space="0" w:color="auto"/>
            </w:tcBorders>
            <w:shd w:val="clear" w:color="000000" w:fill="DEEAF6"/>
            <w:vAlign w:val="center"/>
          </w:tcPr>
          <w:p w14:paraId="6974B29C" w14:textId="1360DF0B" w:rsidR="00BF4E33" w:rsidRPr="001949BD" w:rsidRDefault="00BF4E33" w:rsidP="008C24BD">
            <w:pPr>
              <w:pStyle w:val="Tabletext"/>
              <w:rPr>
                <w:lang w:eastAsia="en-AU"/>
              </w:rPr>
            </w:pPr>
            <w:r w:rsidRPr="001949BD">
              <w:rPr>
                <w:lang w:eastAsia="en-AU"/>
              </w:rPr>
              <w:t xml:space="preserve">Ordinary pay is the salary or wages, and allowances (including shift allowances) due to an employee for their work. This includes any </w:t>
            </w:r>
            <w:r w:rsidR="00BA4E89" w:rsidRPr="001949BD">
              <w:rPr>
                <w:lang w:eastAsia="en-AU"/>
              </w:rPr>
              <w:t>employee</w:t>
            </w:r>
            <w:r w:rsidRPr="001949BD">
              <w:rPr>
                <w:lang w:eastAsia="en-AU"/>
              </w:rPr>
              <w:t>s</w:t>
            </w:r>
            <w:r w:rsidR="00BA4E89" w:rsidRPr="001949BD">
              <w:rPr>
                <w:lang w:eastAsia="en-AU"/>
              </w:rPr>
              <w:t>’</w:t>
            </w:r>
            <w:r w:rsidRPr="001949BD">
              <w:rPr>
                <w:lang w:eastAsia="en-AU"/>
              </w:rPr>
              <w:t xml:space="preserve"> compensation payments. </w:t>
            </w:r>
          </w:p>
          <w:p w14:paraId="3CF4F632" w14:textId="77777777" w:rsidR="00BF4E33" w:rsidRPr="001949BD" w:rsidRDefault="00BF4E33" w:rsidP="008C24BD">
            <w:pPr>
              <w:pStyle w:val="Tabletext"/>
              <w:rPr>
                <w:lang w:eastAsia="en-AU"/>
              </w:rPr>
            </w:pPr>
            <w:r w:rsidRPr="001949BD">
              <w:rPr>
                <w:lang w:eastAsia="en-AU"/>
              </w:rPr>
              <w:t>It does not include:</w:t>
            </w:r>
          </w:p>
          <w:p w14:paraId="1C95A8BE" w14:textId="1563FEDB" w:rsidR="00BF4E33" w:rsidRPr="001949BD" w:rsidRDefault="008C24BD" w:rsidP="008C24BD">
            <w:pPr>
              <w:pStyle w:val="Tablebullet1"/>
              <w:rPr>
                <w:lang w:eastAsia="en-AU"/>
              </w:rPr>
            </w:pPr>
            <w:r>
              <w:rPr>
                <w:lang w:eastAsia="en-AU"/>
              </w:rPr>
              <w:t>o</w:t>
            </w:r>
            <w:r w:rsidR="00BF4E33" w:rsidRPr="001949BD">
              <w:rPr>
                <w:lang w:eastAsia="en-AU"/>
              </w:rPr>
              <w:t>vertime;</w:t>
            </w:r>
          </w:p>
          <w:p w14:paraId="34774CED" w14:textId="5633B52C" w:rsidR="00BF4E33" w:rsidRPr="001949BD" w:rsidRDefault="008C24BD" w:rsidP="008C24BD">
            <w:pPr>
              <w:pStyle w:val="Tablebullet1"/>
              <w:rPr>
                <w:lang w:eastAsia="en-AU"/>
              </w:rPr>
            </w:pPr>
            <w:r>
              <w:rPr>
                <w:lang w:eastAsia="en-AU"/>
              </w:rPr>
              <w:t>r</w:t>
            </w:r>
            <w:r w:rsidR="00BF4E33" w:rsidRPr="001949BD">
              <w:rPr>
                <w:lang w:eastAsia="en-AU"/>
              </w:rPr>
              <w:t>eimbursement for expenses;</w:t>
            </w:r>
          </w:p>
          <w:p w14:paraId="5FCEFA03" w14:textId="14160D31" w:rsidR="00BF4E33" w:rsidRPr="001949BD" w:rsidRDefault="008C24BD" w:rsidP="008C24BD">
            <w:pPr>
              <w:pStyle w:val="Tablebullet1"/>
              <w:rPr>
                <w:lang w:eastAsia="en-AU"/>
              </w:rPr>
            </w:pPr>
            <w:r>
              <w:rPr>
                <w:lang w:eastAsia="en-AU"/>
              </w:rPr>
              <w:t>e</w:t>
            </w:r>
            <w:r w:rsidR="00BF4E33" w:rsidRPr="001949BD">
              <w:rPr>
                <w:lang w:eastAsia="en-AU"/>
              </w:rPr>
              <w:t xml:space="preserve">quipment provided to the </w:t>
            </w:r>
            <w:r w:rsidR="00BA4E89" w:rsidRPr="001949BD">
              <w:rPr>
                <w:lang w:eastAsia="en-AU"/>
              </w:rPr>
              <w:t>employee</w:t>
            </w:r>
            <w:r w:rsidR="00BF4E33" w:rsidRPr="001949BD">
              <w:rPr>
                <w:lang w:eastAsia="en-AU"/>
              </w:rPr>
              <w:t xml:space="preserve"> (including a car);</w:t>
            </w:r>
          </w:p>
          <w:p w14:paraId="225A1DBB" w14:textId="5F640BF4" w:rsidR="00BF4E33" w:rsidRPr="001949BD" w:rsidRDefault="008C24BD" w:rsidP="008C24BD">
            <w:pPr>
              <w:pStyle w:val="Tablebullet1"/>
              <w:rPr>
                <w:lang w:eastAsia="en-AU"/>
              </w:rPr>
            </w:pPr>
            <w:r>
              <w:rPr>
                <w:lang w:eastAsia="en-AU"/>
              </w:rPr>
              <w:t>a</w:t>
            </w:r>
            <w:r w:rsidR="00BF4E33" w:rsidRPr="001949BD">
              <w:rPr>
                <w:lang w:eastAsia="en-AU"/>
              </w:rPr>
              <w:t>llowances paid for travel, meals or protective clothing;</w:t>
            </w:r>
          </w:p>
          <w:p w14:paraId="76336433" w14:textId="1356D5AC" w:rsidR="00BF4E33" w:rsidRPr="001949BD" w:rsidRDefault="008C24BD" w:rsidP="008C24BD">
            <w:pPr>
              <w:pStyle w:val="Tablebullet1"/>
              <w:rPr>
                <w:lang w:eastAsia="en-AU"/>
              </w:rPr>
            </w:pPr>
            <w:r>
              <w:rPr>
                <w:lang w:eastAsia="en-AU"/>
              </w:rPr>
              <w:t>a</w:t>
            </w:r>
            <w:r w:rsidR="00BF4E33" w:rsidRPr="001949BD">
              <w:rPr>
                <w:lang w:eastAsia="en-AU"/>
              </w:rPr>
              <w:t xml:space="preserve">ny payments associated with termination of employment (including payment in lieu of notice, redundancy pay and lump sum payments for accrued leave); and </w:t>
            </w:r>
          </w:p>
          <w:p w14:paraId="2C97ED7E" w14:textId="63BF1EBF" w:rsidR="00BF4E33" w:rsidRPr="001949BD" w:rsidRDefault="008C24BD" w:rsidP="008C24BD">
            <w:pPr>
              <w:pStyle w:val="Tablebullet1"/>
              <w:rPr>
                <w:lang w:eastAsia="en-AU"/>
              </w:rPr>
            </w:pPr>
            <w:r>
              <w:rPr>
                <w:lang w:eastAsia="en-AU"/>
              </w:rPr>
              <w:t>s</w:t>
            </w:r>
            <w:r w:rsidR="00BF4E33" w:rsidRPr="001949BD">
              <w:rPr>
                <w:lang w:eastAsia="en-AU"/>
              </w:rPr>
              <w:t>uperannuation.</w:t>
            </w:r>
          </w:p>
        </w:tc>
      </w:tr>
      <w:tr w:rsidR="00BF4E33" w:rsidRPr="001949BD" w14:paraId="4B67BB38"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290EBAF9"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Payments for leave</w:t>
            </w:r>
          </w:p>
        </w:tc>
        <w:tc>
          <w:tcPr>
            <w:tcW w:w="10798" w:type="dxa"/>
            <w:tcBorders>
              <w:top w:val="single" w:sz="4" w:space="0" w:color="auto"/>
              <w:left w:val="nil"/>
              <w:bottom w:val="single" w:sz="4" w:space="0" w:color="auto"/>
            </w:tcBorders>
            <w:shd w:val="clear" w:color="000000" w:fill="DEEAF6"/>
            <w:vAlign w:val="center"/>
          </w:tcPr>
          <w:p w14:paraId="35279ABB" w14:textId="2E3A5440" w:rsidR="00BF4E33" w:rsidRPr="001949BD" w:rsidRDefault="00BF4E33" w:rsidP="008C24BD">
            <w:pPr>
              <w:pStyle w:val="Tabletext"/>
              <w:rPr>
                <w:lang w:eastAsia="en-AU"/>
              </w:rPr>
            </w:pPr>
            <w:r w:rsidRPr="001949BD">
              <w:rPr>
                <w:lang w:eastAsia="en-AU"/>
              </w:rPr>
              <w:t xml:space="preserve">An employee or contract </w:t>
            </w:r>
            <w:r w:rsidR="00BA4E89" w:rsidRPr="001949BD">
              <w:rPr>
                <w:lang w:eastAsia="en-AU"/>
              </w:rPr>
              <w:t>employee</w:t>
            </w:r>
            <w:r w:rsidRPr="001949BD">
              <w:rPr>
                <w:lang w:eastAsia="en-AU"/>
              </w:rPr>
              <w:t xml:space="preserve"> may apply to the Authority for payment for the leave. The Authority must pay the applicant the applicable amount calculated under clause 16 if satisfied that the applicant is entitled to long service leave under the LSBP Act, and the applicant has been granted leave by the employer. </w:t>
            </w:r>
          </w:p>
        </w:tc>
      </w:tr>
      <w:tr w:rsidR="00BF4E33" w:rsidRPr="001949BD" w14:paraId="388EB76F"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65863187"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lastRenderedPageBreak/>
              <w:t>Payment in lieu of leave</w:t>
            </w:r>
          </w:p>
        </w:tc>
        <w:tc>
          <w:tcPr>
            <w:tcW w:w="10798" w:type="dxa"/>
            <w:tcBorders>
              <w:top w:val="single" w:sz="4" w:space="0" w:color="auto"/>
              <w:left w:val="nil"/>
              <w:bottom w:val="single" w:sz="4" w:space="0" w:color="auto"/>
            </w:tcBorders>
            <w:shd w:val="clear" w:color="000000" w:fill="DEEAF6"/>
            <w:vAlign w:val="center"/>
          </w:tcPr>
          <w:p w14:paraId="6826EE3E" w14:textId="77777777" w:rsidR="00BF4E33" w:rsidRPr="001949BD" w:rsidRDefault="00BF4E33" w:rsidP="008C24BD">
            <w:pPr>
              <w:pStyle w:val="Tabletext"/>
              <w:rPr>
                <w:lang w:eastAsia="en-AU"/>
              </w:rPr>
            </w:pPr>
            <w:r w:rsidRPr="001949BD">
              <w:rPr>
                <w:lang w:eastAsia="en-AU"/>
              </w:rPr>
              <w:t xml:space="preserve">The Authority must pay an applicant the amount payable under clause 16 if the Authority is satisfied that the applicant is entitled to payment in lieu of long service leave under the LSBP Act for work performed in the security industry. </w:t>
            </w:r>
          </w:p>
        </w:tc>
      </w:tr>
      <w:tr w:rsidR="00BF4E33" w:rsidRPr="001949BD" w14:paraId="75753932"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56200147"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Calculating leave payments for service as an employee</w:t>
            </w:r>
          </w:p>
        </w:tc>
        <w:tc>
          <w:tcPr>
            <w:tcW w:w="10798" w:type="dxa"/>
            <w:tcBorders>
              <w:top w:val="single" w:sz="4" w:space="0" w:color="auto"/>
              <w:left w:val="nil"/>
              <w:bottom w:val="single" w:sz="4" w:space="0" w:color="auto"/>
            </w:tcBorders>
            <w:shd w:val="clear" w:color="000000" w:fill="DEEAF6"/>
            <w:vAlign w:val="center"/>
          </w:tcPr>
          <w:p w14:paraId="24DDE679" w14:textId="77777777" w:rsidR="00BF4E33" w:rsidRPr="001949BD" w:rsidRDefault="00BF4E33" w:rsidP="008C24BD">
            <w:pPr>
              <w:pStyle w:val="Tabletext"/>
              <w:rPr>
                <w:lang w:eastAsia="en-AU"/>
              </w:rPr>
            </w:pPr>
            <w:r w:rsidRPr="001949BD">
              <w:rPr>
                <w:lang w:eastAsia="en-AU"/>
              </w:rPr>
              <w:t>The amount payable for long service leave for service accrued must be calculated:</w:t>
            </w:r>
          </w:p>
          <w:p w14:paraId="6FDF7616" w14:textId="5FC1BDA1" w:rsidR="00BF4E33" w:rsidRPr="001949BD" w:rsidRDefault="008C24BD" w:rsidP="008C24BD">
            <w:pPr>
              <w:pStyle w:val="Tablebullet1"/>
              <w:rPr>
                <w:lang w:eastAsia="en-AU"/>
              </w:rPr>
            </w:pPr>
            <w:r>
              <w:rPr>
                <w:lang w:eastAsia="en-AU"/>
              </w:rPr>
              <w:t>o</w:t>
            </w:r>
            <w:r w:rsidR="00BF4E33" w:rsidRPr="001949BD">
              <w:rPr>
                <w:lang w:eastAsia="en-AU"/>
              </w:rPr>
              <w:t>n the lesser of:</w:t>
            </w:r>
          </w:p>
          <w:p w14:paraId="6AC22ACB" w14:textId="20BC6953" w:rsidR="00BF4E33" w:rsidRPr="001949BD" w:rsidRDefault="008C24BD" w:rsidP="008C24BD">
            <w:pPr>
              <w:pStyle w:val="Tablebullet2"/>
              <w:rPr>
                <w:lang w:eastAsia="en-AU"/>
              </w:rPr>
            </w:pPr>
            <w:r>
              <w:rPr>
                <w:lang w:eastAsia="en-AU"/>
              </w:rPr>
              <w:t>t</w:t>
            </w:r>
            <w:r w:rsidR="00BF4E33" w:rsidRPr="001949BD">
              <w:rPr>
                <w:lang w:eastAsia="en-AU"/>
              </w:rPr>
              <w:t>he number of days long service leave granted to the employee under clause 11; and</w:t>
            </w:r>
          </w:p>
          <w:p w14:paraId="35F090E1" w14:textId="438B007C" w:rsidR="00BF4E33" w:rsidRPr="001949BD" w:rsidRDefault="008C24BD" w:rsidP="008C24BD">
            <w:pPr>
              <w:pStyle w:val="Tablebullet2"/>
              <w:rPr>
                <w:lang w:eastAsia="en-AU"/>
              </w:rPr>
            </w:pPr>
            <w:r>
              <w:rPr>
                <w:lang w:eastAsia="en-AU"/>
              </w:rPr>
              <w:t>t</w:t>
            </w:r>
            <w:r w:rsidR="00BF4E33" w:rsidRPr="001949BD">
              <w:rPr>
                <w:lang w:eastAsia="en-AU"/>
              </w:rPr>
              <w:t xml:space="preserve">he number of days of the employee’s remaining long service leave credit; and </w:t>
            </w:r>
          </w:p>
          <w:p w14:paraId="44CE0A17" w14:textId="14CD74E8" w:rsidR="00BF4E33" w:rsidRPr="008C24BD" w:rsidRDefault="008C24BD" w:rsidP="008C24BD">
            <w:pPr>
              <w:pStyle w:val="BodyText"/>
              <w:numPr>
                <w:ilvl w:val="0"/>
                <w:numId w:val="26"/>
              </w:numPr>
              <w:rPr>
                <w:rFonts w:cs="Arial"/>
                <w:lang w:eastAsia="en-AU"/>
              </w:rPr>
            </w:pPr>
            <w:r>
              <w:rPr>
                <w:rFonts w:cs="Arial"/>
                <w:lang w:eastAsia="en-AU"/>
              </w:rPr>
              <w:t>o</w:t>
            </w:r>
            <w:r w:rsidR="00BF4E33" w:rsidRPr="001949BD">
              <w:rPr>
                <w:rFonts w:cs="Arial"/>
                <w:lang w:eastAsia="en-AU"/>
              </w:rPr>
              <w:t xml:space="preserve">n the basis of the employee’s ordinary pay at the time the leave commences. </w:t>
            </w:r>
          </w:p>
          <w:p w14:paraId="2F65EAAD" w14:textId="77777777" w:rsidR="00BF4E33" w:rsidRPr="001949BD" w:rsidRDefault="00BF4E33" w:rsidP="008C24BD">
            <w:pPr>
              <w:pStyle w:val="Tabletext"/>
              <w:rPr>
                <w:lang w:eastAsia="en-AU"/>
              </w:rPr>
            </w:pPr>
            <w:r w:rsidRPr="001949BD">
              <w:rPr>
                <w:lang w:eastAsia="en-AU"/>
              </w:rPr>
              <w:t xml:space="preserve">The amount payable </w:t>
            </w:r>
            <w:r w:rsidRPr="001949BD">
              <w:rPr>
                <w:b/>
                <w:lang w:eastAsia="en-AU"/>
              </w:rPr>
              <w:t>in lieu</w:t>
            </w:r>
            <w:r w:rsidRPr="001949BD">
              <w:rPr>
                <w:lang w:eastAsia="en-AU"/>
              </w:rPr>
              <w:t xml:space="preserve"> of long service leave for service accrued must be calculated:</w:t>
            </w:r>
          </w:p>
          <w:p w14:paraId="73E8ABE9" w14:textId="1B02F0DD" w:rsidR="00BF4E33" w:rsidRPr="001949BD" w:rsidRDefault="008C24BD" w:rsidP="008C24BD">
            <w:pPr>
              <w:pStyle w:val="Tablebullet1"/>
              <w:rPr>
                <w:lang w:eastAsia="en-AU"/>
              </w:rPr>
            </w:pPr>
            <w:r>
              <w:rPr>
                <w:lang w:eastAsia="en-AU"/>
              </w:rPr>
              <w:t>o</w:t>
            </w:r>
            <w:r w:rsidR="00BF4E33" w:rsidRPr="001949BD">
              <w:rPr>
                <w:lang w:eastAsia="en-AU"/>
              </w:rPr>
              <w:t>n the number of days of the employee’s remaining long service leave credit; and</w:t>
            </w:r>
          </w:p>
          <w:p w14:paraId="40180B45" w14:textId="2E655073" w:rsidR="00BF4E33" w:rsidRPr="001949BD" w:rsidRDefault="008C24BD" w:rsidP="008C24BD">
            <w:pPr>
              <w:pStyle w:val="Tablebullet1"/>
              <w:rPr>
                <w:lang w:eastAsia="en-AU"/>
              </w:rPr>
            </w:pPr>
            <w:r>
              <w:rPr>
                <w:lang w:eastAsia="en-AU"/>
              </w:rPr>
              <w:t>o</w:t>
            </w:r>
            <w:r w:rsidR="00BF4E33" w:rsidRPr="001949BD">
              <w:rPr>
                <w:lang w:eastAsia="en-AU"/>
              </w:rPr>
              <w:t xml:space="preserve">n the basis of the employee’s ordinary pay immediately before the employee left the industry or died. </w:t>
            </w:r>
          </w:p>
        </w:tc>
      </w:tr>
      <w:tr w:rsidR="00BF4E33" w:rsidRPr="001949BD" w14:paraId="39D8B797"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2D2018EB" w14:textId="0EBEE342"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 xml:space="preserve">Calculating leave payments for service as a contract </w:t>
            </w:r>
            <w:r w:rsidR="00BA4E89" w:rsidRPr="003E5AC1">
              <w:rPr>
                <w:rFonts w:ascii="Arial" w:eastAsia="Times New Roman" w:hAnsi="Arial" w:cs="Arial"/>
                <w:i/>
                <w:color w:val="000000"/>
                <w:szCs w:val="20"/>
                <w:lang w:eastAsia="en-AU"/>
              </w:rPr>
              <w:t>employee</w:t>
            </w:r>
          </w:p>
        </w:tc>
        <w:tc>
          <w:tcPr>
            <w:tcW w:w="10798" w:type="dxa"/>
            <w:tcBorders>
              <w:top w:val="single" w:sz="4" w:space="0" w:color="auto"/>
              <w:left w:val="nil"/>
              <w:bottom w:val="single" w:sz="4" w:space="0" w:color="auto"/>
            </w:tcBorders>
            <w:shd w:val="clear" w:color="000000" w:fill="DEEAF6"/>
            <w:vAlign w:val="center"/>
          </w:tcPr>
          <w:p w14:paraId="4368BC9F" w14:textId="4C2123CE" w:rsidR="00BF4E33" w:rsidRPr="001949BD" w:rsidRDefault="00BF4E33" w:rsidP="008C24BD">
            <w:pPr>
              <w:pStyle w:val="Tabletext"/>
              <w:rPr>
                <w:lang w:eastAsia="en-AU"/>
              </w:rPr>
            </w:pPr>
            <w:r w:rsidRPr="001949BD">
              <w:rPr>
                <w:lang w:eastAsia="en-AU"/>
              </w:rPr>
              <w:t xml:space="preserve">The amount payable for long service leave, or for payment in lieu of long service leave, for service accrued as a registered active contract </w:t>
            </w:r>
            <w:r w:rsidR="00BA4E89" w:rsidRPr="001949BD">
              <w:rPr>
                <w:lang w:eastAsia="en-AU"/>
              </w:rPr>
              <w:t>employee</w:t>
            </w:r>
            <w:r w:rsidRPr="001949BD">
              <w:rPr>
                <w:lang w:eastAsia="en-AU"/>
              </w:rPr>
              <w:t xml:space="preserve"> for the security industry is the total of the following for the service:</w:t>
            </w:r>
          </w:p>
          <w:p w14:paraId="24190405" w14:textId="03CBE7A9" w:rsidR="00BF4E33" w:rsidRPr="001949BD" w:rsidRDefault="008C24BD" w:rsidP="008C24BD">
            <w:pPr>
              <w:pStyle w:val="Tablebullet1"/>
              <w:rPr>
                <w:lang w:eastAsia="en-AU"/>
              </w:rPr>
            </w:pPr>
            <w:r>
              <w:rPr>
                <w:lang w:eastAsia="en-AU"/>
              </w:rPr>
              <w:t>a</w:t>
            </w:r>
            <w:r w:rsidR="00BF4E33" w:rsidRPr="001949BD">
              <w:rPr>
                <w:lang w:eastAsia="en-AU"/>
              </w:rPr>
              <w:t xml:space="preserve">mounts paid by the </w:t>
            </w:r>
            <w:r w:rsidR="00BA4E89" w:rsidRPr="001949BD">
              <w:rPr>
                <w:lang w:eastAsia="en-AU"/>
              </w:rPr>
              <w:t>employee</w:t>
            </w:r>
            <w:r w:rsidR="00BF4E33" w:rsidRPr="001949BD">
              <w:rPr>
                <w:lang w:eastAsia="en-AU"/>
              </w:rPr>
              <w:t xml:space="preserve"> to the authority under section 32(2): and</w:t>
            </w:r>
          </w:p>
          <w:p w14:paraId="6EBBE8A3" w14:textId="51C63654" w:rsidR="00BF4E33" w:rsidRPr="001949BD" w:rsidRDefault="008C24BD" w:rsidP="008C24BD">
            <w:pPr>
              <w:pStyle w:val="Tablebullet1"/>
              <w:rPr>
                <w:lang w:eastAsia="en-AU"/>
              </w:rPr>
            </w:pPr>
            <w:r>
              <w:rPr>
                <w:lang w:eastAsia="en-AU"/>
              </w:rPr>
              <w:t>i</w:t>
            </w:r>
            <w:r w:rsidR="00BF4E33" w:rsidRPr="001949BD">
              <w:rPr>
                <w:lang w:eastAsia="en-AU"/>
              </w:rPr>
              <w:t xml:space="preserve">nterest at the determined rate. </w:t>
            </w:r>
          </w:p>
        </w:tc>
      </w:tr>
      <w:tr w:rsidR="00BF4E33" w:rsidRPr="001949BD" w14:paraId="2FFA7492"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4A07F7CB"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Payment by Authority on reciprocal authority's behalf</w:t>
            </w:r>
          </w:p>
        </w:tc>
        <w:tc>
          <w:tcPr>
            <w:tcW w:w="10798" w:type="dxa"/>
            <w:tcBorders>
              <w:top w:val="single" w:sz="4" w:space="0" w:color="auto"/>
              <w:left w:val="nil"/>
              <w:bottom w:val="single" w:sz="4" w:space="0" w:color="auto"/>
            </w:tcBorders>
            <w:shd w:val="clear" w:color="000000" w:fill="DEEAF6"/>
            <w:vAlign w:val="center"/>
          </w:tcPr>
          <w:p w14:paraId="2EB9FBB7" w14:textId="1838B3A3" w:rsidR="00BF4E33" w:rsidRPr="001949BD" w:rsidDel="00CA30D2" w:rsidRDefault="00BA4E89" w:rsidP="008C24BD">
            <w:pPr>
              <w:pStyle w:val="Tabletext"/>
              <w:rPr>
                <w:color w:val="auto"/>
              </w:rPr>
            </w:pPr>
            <w:r w:rsidRPr="001949BD">
              <w:rPr>
                <w:lang w:eastAsia="en-AU"/>
              </w:rPr>
              <w:t>Employee</w:t>
            </w:r>
            <w:r w:rsidR="00BF4E33" w:rsidRPr="001949BD">
              <w:rPr>
                <w:lang w:eastAsia="en-AU"/>
              </w:rPr>
              <w:t>s registered under the Victorian Scheme who have an entitlement to a benefit under the Victorian Scheme, and another portable long service scheme, may apply to the Victorian Authority to have that benefit payed in accordance with the other schemes</w:t>
            </w:r>
            <w:r w:rsidR="000742E1">
              <w:rPr>
                <w:lang w:eastAsia="en-AU"/>
              </w:rPr>
              <w:t>’</w:t>
            </w:r>
            <w:r w:rsidR="00BF4E33" w:rsidRPr="001949BD">
              <w:rPr>
                <w:lang w:eastAsia="en-AU"/>
              </w:rPr>
              <w:t xml:space="preserve"> rules. </w:t>
            </w:r>
          </w:p>
        </w:tc>
      </w:tr>
      <w:tr w:rsidR="00BF4E33" w:rsidRPr="001949BD" w14:paraId="5B54742C"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3656DDC1"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Payment by reciprocal authority on Authority's behalf</w:t>
            </w:r>
          </w:p>
        </w:tc>
        <w:tc>
          <w:tcPr>
            <w:tcW w:w="10798" w:type="dxa"/>
            <w:tcBorders>
              <w:top w:val="single" w:sz="4" w:space="0" w:color="auto"/>
              <w:left w:val="nil"/>
              <w:bottom w:val="single" w:sz="4" w:space="0" w:color="auto"/>
            </w:tcBorders>
            <w:shd w:val="clear" w:color="000000" w:fill="DEEAF6"/>
            <w:vAlign w:val="center"/>
          </w:tcPr>
          <w:p w14:paraId="3D86115A" w14:textId="42FF44FC" w:rsidR="00BF4E33" w:rsidRPr="001949BD" w:rsidDel="00CA30D2" w:rsidRDefault="00BF4E33" w:rsidP="00174F37">
            <w:pPr>
              <w:pStyle w:val="BodyText0"/>
              <w:rPr>
                <w:rFonts w:ascii="Arial" w:hAnsi="Arial" w:cs="Arial"/>
                <w:color w:val="auto"/>
              </w:rPr>
            </w:pPr>
            <w:r w:rsidRPr="001949BD">
              <w:rPr>
                <w:rFonts w:ascii="Arial" w:hAnsi="Arial" w:cs="Arial"/>
                <w:lang w:eastAsia="en-AU"/>
              </w:rPr>
              <w:t xml:space="preserve">If an Authority from another portable long service scheme pays a benefit that otherwise would have been due by the Victorian Authority, the Victorian Authority is to pay the other scheme the amount owed. This will remove the </w:t>
            </w:r>
            <w:r w:rsidR="00BA4E89" w:rsidRPr="001949BD">
              <w:rPr>
                <w:rFonts w:ascii="Arial" w:hAnsi="Arial" w:cs="Arial"/>
                <w:lang w:eastAsia="en-AU"/>
              </w:rPr>
              <w:t>employee</w:t>
            </w:r>
            <w:r w:rsidR="00682E17" w:rsidRPr="001949BD">
              <w:rPr>
                <w:rFonts w:ascii="Arial" w:hAnsi="Arial" w:cs="Arial"/>
                <w:lang w:eastAsia="en-AU"/>
              </w:rPr>
              <w:t>’</w:t>
            </w:r>
            <w:r w:rsidRPr="001949BD">
              <w:rPr>
                <w:rFonts w:ascii="Arial" w:hAnsi="Arial" w:cs="Arial"/>
                <w:lang w:eastAsia="en-AU"/>
              </w:rPr>
              <w:t xml:space="preserve">s entitlement under the Victorian Scheme. </w:t>
            </w:r>
          </w:p>
        </w:tc>
      </w:tr>
      <w:tr w:rsidR="00BF4E33" w:rsidRPr="001949BD" w14:paraId="39ED45D9"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51F9AAF4"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Periods of absence from work taken to be days of service for crediting service</w:t>
            </w:r>
          </w:p>
        </w:tc>
        <w:tc>
          <w:tcPr>
            <w:tcW w:w="10798" w:type="dxa"/>
            <w:tcBorders>
              <w:top w:val="single" w:sz="4" w:space="0" w:color="auto"/>
              <w:left w:val="nil"/>
              <w:bottom w:val="single" w:sz="4" w:space="0" w:color="auto"/>
            </w:tcBorders>
            <w:shd w:val="clear" w:color="000000" w:fill="DEEAF6"/>
            <w:vAlign w:val="center"/>
          </w:tcPr>
          <w:p w14:paraId="72202CDA" w14:textId="77777777" w:rsidR="00BF4E33" w:rsidRPr="001949BD" w:rsidRDefault="00BF4E33" w:rsidP="008C24BD">
            <w:pPr>
              <w:pStyle w:val="Tabletext"/>
              <w:rPr>
                <w:lang w:eastAsia="en-AU"/>
              </w:rPr>
            </w:pPr>
            <w:r w:rsidRPr="001949BD">
              <w:rPr>
                <w:lang w:eastAsia="en-AU"/>
              </w:rPr>
              <w:t>Many periods of leave are recognised as service under the LSBP Act. These are:</w:t>
            </w:r>
          </w:p>
          <w:p w14:paraId="57659BB5" w14:textId="77777777" w:rsidR="00BF4E33" w:rsidRPr="001949BD" w:rsidRDefault="00BF4E33" w:rsidP="008C24BD">
            <w:pPr>
              <w:pStyle w:val="Tablebullet1"/>
              <w:rPr>
                <w:lang w:eastAsia="en-AU"/>
              </w:rPr>
            </w:pPr>
            <w:r w:rsidRPr="001949BD">
              <w:rPr>
                <w:lang w:eastAsia="en-AU"/>
              </w:rPr>
              <w:t>a period of paid leave;</w:t>
            </w:r>
          </w:p>
          <w:p w14:paraId="701359F9" w14:textId="77777777" w:rsidR="00BF4E33" w:rsidRPr="001949BD" w:rsidRDefault="00BF4E33" w:rsidP="008C24BD">
            <w:pPr>
              <w:pStyle w:val="Tablebullet1"/>
              <w:rPr>
                <w:lang w:eastAsia="en-AU"/>
              </w:rPr>
            </w:pPr>
            <w:r w:rsidRPr="001949BD">
              <w:rPr>
                <w:lang w:eastAsia="en-AU"/>
              </w:rPr>
              <w:t>a period of unpaid leave that is less than or equal to 52 weeks;</w:t>
            </w:r>
          </w:p>
          <w:p w14:paraId="316FA2E3" w14:textId="77777777" w:rsidR="00BF4E33" w:rsidRPr="001949BD" w:rsidRDefault="00BF4E33" w:rsidP="008C24BD">
            <w:pPr>
              <w:pStyle w:val="Tablebullet1"/>
              <w:rPr>
                <w:lang w:eastAsia="en-AU"/>
              </w:rPr>
            </w:pPr>
            <w:r w:rsidRPr="001949BD">
              <w:rPr>
                <w:lang w:eastAsia="en-AU"/>
              </w:rPr>
              <w:t>if a period of unpaid leave is more than 52 weeks, the initial 52 weeks;</w:t>
            </w:r>
          </w:p>
          <w:p w14:paraId="22C8BB01" w14:textId="77777777" w:rsidR="00BF4E33" w:rsidRPr="001949BD" w:rsidRDefault="00BF4E33" w:rsidP="008C24BD">
            <w:pPr>
              <w:pStyle w:val="Tablebullet1"/>
              <w:rPr>
                <w:lang w:eastAsia="en-AU"/>
              </w:rPr>
            </w:pPr>
            <w:r w:rsidRPr="001949BD">
              <w:rPr>
                <w:lang w:eastAsia="en-AU"/>
              </w:rPr>
              <w:t>periods of leave greater than 52 weeks if they are in accordance with an employment agreement, or were agreed in writing to be employment periods, or is taken due to illness;</w:t>
            </w:r>
          </w:p>
          <w:p w14:paraId="09BAD55B" w14:textId="77777777" w:rsidR="00BF4E33" w:rsidRPr="001949BD" w:rsidRDefault="00BF4E33" w:rsidP="008C24BD">
            <w:pPr>
              <w:pStyle w:val="Tablebullet1"/>
              <w:rPr>
                <w:lang w:eastAsia="en-AU"/>
              </w:rPr>
            </w:pPr>
            <w:r w:rsidRPr="001949BD">
              <w:rPr>
                <w:lang w:eastAsia="en-AU"/>
              </w:rPr>
              <w:t>interruptions instigated by employers to avoid their duties under the LSBP Act;</w:t>
            </w:r>
          </w:p>
          <w:p w14:paraId="5F97BC2E" w14:textId="35A15245" w:rsidR="00BF4E33" w:rsidRPr="001949BD" w:rsidRDefault="00BF4E33" w:rsidP="008C24BD">
            <w:pPr>
              <w:pStyle w:val="Tablebullet1"/>
              <w:rPr>
                <w:lang w:eastAsia="en-AU"/>
              </w:rPr>
            </w:pPr>
            <w:r w:rsidRPr="001949BD">
              <w:rPr>
                <w:lang w:eastAsia="en-AU"/>
              </w:rPr>
              <w:lastRenderedPageBreak/>
              <w:t>interruptions based on the transfer of assets (</w:t>
            </w:r>
            <w:r w:rsidR="00682E17" w:rsidRPr="001949BD">
              <w:rPr>
                <w:lang w:eastAsia="en-AU"/>
              </w:rPr>
              <w:t>i.e.</w:t>
            </w:r>
            <w:r w:rsidRPr="001949BD">
              <w:rPr>
                <w:lang w:eastAsia="en-AU"/>
              </w:rPr>
              <w:t xml:space="preserve"> a sale of business in which the employee works); and</w:t>
            </w:r>
          </w:p>
          <w:p w14:paraId="5B1B0C6C" w14:textId="77777777" w:rsidR="00BF4E33" w:rsidRPr="001949BD" w:rsidRDefault="00BF4E33" w:rsidP="008C24BD">
            <w:pPr>
              <w:pStyle w:val="Tablebullet1"/>
              <w:rPr>
                <w:lang w:eastAsia="en-AU"/>
              </w:rPr>
            </w:pPr>
            <w:r w:rsidRPr="001949BD">
              <w:rPr>
                <w:lang w:eastAsia="en-AU"/>
              </w:rPr>
              <w:t xml:space="preserve">any other agreed period between the employer and employee. </w:t>
            </w:r>
          </w:p>
          <w:p w14:paraId="37B871AA" w14:textId="77777777" w:rsidR="00BF4E33" w:rsidRPr="001949BD" w:rsidDel="00CA30D2" w:rsidRDefault="00BF4E33" w:rsidP="008C24BD">
            <w:pPr>
              <w:pStyle w:val="Tabletext"/>
              <w:rPr>
                <w:color w:val="auto"/>
              </w:rPr>
            </w:pPr>
            <w:r w:rsidRPr="001949BD">
              <w:rPr>
                <w:lang w:eastAsia="en-AU"/>
              </w:rPr>
              <w:t xml:space="preserve">All other absences are not counted as recognised service. </w:t>
            </w:r>
          </w:p>
        </w:tc>
      </w:tr>
      <w:tr w:rsidR="00BF4E33" w:rsidRPr="001949BD" w14:paraId="2A0AD00C"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5E9D6D6C"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lastRenderedPageBreak/>
              <w:t>Benefits under other laws – election</w:t>
            </w:r>
          </w:p>
        </w:tc>
        <w:tc>
          <w:tcPr>
            <w:tcW w:w="10798" w:type="dxa"/>
            <w:tcBorders>
              <w:top w:val="single" w:sz="4" w:space="0" w:color="auto"/>
              <w:left w:val="nil"/>
              <w:bottom w:val="single" w:sz="4" w:space="0" w:color="auto"/>
            </w:tcBorders>
            <w:shd w:val="clear" w:color="000000" w:fill="DEEAF6"/>
            <w:vAlign w:val="center"/>
          </w:tcPr>
          <w:p w14:paraId="587BAF09" w14:textId="5DB18B90" w:rsidR="00BF4E33" w:rsidRPr="001949BD" w:rsidRDefault="00BF4E33" w:rsidP="008C24BD">
            <w:pPr>
              <w:pStyle w:val="Tabletext"/>
              <w:rPr>
                <w:lang w:eastAsia="en-AU"/>
              </w:rPr>
            </w:pPr>
            <w:r w:rsidRPr="001949BD">
              <w:rPr>
                <w:lang w:eastAsia="en-AU"/>
              </w:rPr>
              <w:t>A</w:t>
            </w:r>
            <w:r w:rsidR="00BA4E89" w:rsidRPr="001949BD">
              <w:rPr>
                <w:lang w:eastAsia="en-AU"/>
              </w:rPr>
              <w:t>n</w:t>
            </w:r>
            <w:r w:rsidRPr="001949BD">
              <w:rPr>
                <w:lang w:eastAsia="en-AU"/>
              </w:rPr>
              <w:t xml:space="preserve"> </w:t>
            </w:r>
            <w:r w:rsidR="00BA4E89" w:rsidRPr="001949BD">
              <w:rPr>
                <w:lang w:eastAsia="en-AU"/>
              </w:rPr>
              <w:t>employee</w:t>
            </w:r>
            <w:r w:rsidRPr="001949BD">
              <w:rPr>
                <w:lang w:eastAsia="en-AU"/>
              </w:rPr>
              <w:t xml:space="preserve"> may elect the law under which the long service benefits are to be taken if they are eligible for long service benefits under the LSBP Act and:</w:t>
            </w:r>
          </w:p>
          <w:p w14:paraId="1BF6CE34" w14:textId="68F9897D" w:rsidR="00BF4E33" w:rsidRPr="001949BD" w:rsidRDefault="008C24BD" w:rsidP="008C24BD">
            <w:pPr>
              <w:pStyle w:val="Tablebullet1"/>
              <w:rPr>
                <w:lang w:eastAsia="en-AU"/>
              </w:rPr>
            </w:pPr>
            <w:r>
              <w:rPr>
                <w:lang w:eastAsia="en-AU"/>
              </w:rPr>
              <w:t>t</w:t>
            </w:r>
            <w:r w:rsidR="00BF4E33" w:rsidRPr="001949BD">
              <w:rPr>
                <w:lang w:eastAsia="en-AU"/>
              </w:rPr>
              <w:t xml:space="preserve">he </w:t>
            </w:r>
            <w:r w:rsidR="00BF4E33" w:rsidRPr="008C24BD">
              <w:rPr>
                <w:i/>
                <w:lang w:eastAsia="en-AU"/>
              </w:rPr>
              <w:t>Long Service Leave Act 2018</w:t>
            </w:r>
            <w:r w:rsidR="00BF4E33" w:rsidRPr="001949BD">
              <w:rPr>
                <w:lang w:eastAsia="en-AU"/>
              </w:rPr>
              <w:t>;</w:t>
            </w:r>
          </w:p>
          <w:p w14:paraId="665163E0" w14:textId="25E12A83" w:rsidR="00BF4E33" w:rsidRPr="001949BD" w:rsidRDefault="008C24BD" w:rsidP="008C24BD">
            <w:pPr>
              <w:pStyle w:val="Tablebullet1"/>
              <w:rPr>
                <w:lang w:eastAsia="en-AU"/>
              </w:rPr>
            </w:pPr>
            <w:r>
              <w:rPr>
                <w:lang w:eastAsia="en-AU"/>
              </w:rPr>
              <w:t>a</w:t>
            </w:r>
            <w:r w:rsidR="00BF4E33" w:rsidRPr="001949BD">
              <w:rPr>
                <w:lang w:eastAsia="en-AU"/>
              </w:rPr>
              <w:t xml:space="preserve"> corresponding law; </w:t>
            </w:r>
          </w:p>
          <w:p w14:paraId="5B71710C" w14:textId="1D8F0108" w:rsidR="00BF4E33" w:rsidRPr="001949BD" w:rsidRDefault="008C24BD" w:rsidP="008C24BD">
            <w:pPr>
              <w:pStyle w:val="Tablebullet1"/>
              <w:rPr>
                <w:lang w:eastAsia="en-AU"/>
              </w:rPr>
            </w:pPr>
            <w:r>
              <w:rPr>
                <w:lang w:eastAsia="en-AU"/>
              </w:rPr>
              <w:t>a</w:t>
            </w:r>
            <w:r w:rsidR="00BF4E33" w:rsidRPr="001949BD">
              <w:rPr>
                <w:lang w:eastAsia="en-AU"/>
              </w:rPr>
              <w:t xml:space="preserve"> fair work instrument. </w:t>
            </w:r>
          </w:p>
        </w:tc>
      </w:tr>
      <w:tr w:rsidR="00BF4E33" w:rsidRPr="001949BD" w14:paraId="113031D0" w14:textId="77777777" w:rsidTr="001949BD">
        <w:tc>
          <w:tcPr>
            <w:tcW w:w="2977" w:type="dxa"/>
            <w:tcBorders>
              <w:top w:val="single" w:sz="4" w:space="0" w:color="auto"/>
              <w:left w:val="nil"/>
              <w:bottom w:val="single" w:sz="4" w:space="0" w:color="auto"/>
              <w:right w:val="single" w:sz="8" w:space="0" w:color="auto"/>
            </w:tcBorders>
            <w:shd w:val="clear" w:color="000000" w:fill="DEEAF6"/>
            <w:vAlign w:val="center"/>
          </w:tcPr>
          <w:p w14:paraId="7BDC2B68" w14:textId="77777777" w:rsidR="00BF4E33" w:rsidRPr="003E5AC1" w:rsidRDefault="00BF4E33" w:rsidP="003E5AC1">
            <w:pPr>
              <w:pStyle w:val="ListParagraph"/>
              <w:numPr>
                <w:ilvl w:val="0"/>
                <w:numId w:val="11"/>
              </w:numPr>
              <w:spacing w:after="0" w:line="240" w:lineRule="auto"/>
              <w:ind w:left="357" w:hanging="357"/>
              <w:rPr>
                <w:rFonts w:ascii="Arial" w:eastAsia="Times New Roman" w:hAnsi="Arial" w:cs="Arial"/>
                <w:i/>
                <w:color w:val="000000"/>
                <w:szCs w:val="20"/>
                <w:lang w:eastAsia="en-AU"/>
              </w:rPr>
            </w:pPr>
            <w:r w:rsidRPr="003E5AC1">
              <w:rPr>
                <w:rFonts w:ascii="Arial" w:eastAsia="Times New Roman" w:hAnsi="Arial" w:cs="Arial"/>
                <w:i/>
                <w:color w:val="000000"/>
                <w:szCs w:val="20"/>
                <w:lang w:eastAsia="en-AU"/>
              </w:rPr>
              <w:t>Benefits under other laws – reimbursement of employer</w:t>
            </w:r>
          </w:p>
        </w:tc>
        <w:tc>
          <w:tcPr>
            <w:tcW w:w="10798" w:type="dxa"/>
            <w:tcBorders>
              <w:top w:val="single" w:sz="4" w:space="0" w:color="auto"/>
              <w:left w:val="nil"/>
              <w:bottom w:val="single" w:sz="4" w:space="0" w:color="auto"/>
            </w:tcBorders>
            <w:shd w:val="clear" w:color="000000" w:fill="DEEAF6"/>
            <w:vAlign w:val="center"/>
          </w:tcPr>
          <w:p w14:paraId="487A26D2" w14:textId="77777777" w:rsidR="00BF4E33" w:rsidRPr="001949BD" w:rsidRDefault="00BF4E33" w:rsidP="008C24BD">
            <w:pPr>
              <w:pStyle w:val="Tabletext"/>
              <w:rPr>
                <w:lang w:eastAsia="en-AU"/>
              </w:rPr>
            </w:pPr>
            <w:r w:rsidRPr="001949BD">
              <w:rPr>
                <w:lang w:eastAsia="en-AU"/>
              </w:rPr>
              <w:t xml:space="preserve">The Authority may reimburse the employer the amount paid under the law or instrument under which the </w:t>
            </w:r>
            <w:r w:rsidR="00BA4E89" w:rsidRPr="001949BD">
              <w:rPr>
                <w:lang w:eastAsia="en-AU"/>
              </w:rPr>
              <w:t>employee</w:t>
            </w:r>
            <w:r w:rsidRPr="001949BD">
              <w:rPr>
                <w:lang w:eastAsia="en-AU"/>
              </w:rPr>
              <w:t xml:space="preserve"> has elected to take long service benefits, less any amount outstanding that is payable by the employer to the Authority. </w:t>
            </w:r>
          </w:p>
        </w:tc>
      </w:tr>
    </w:tbl>
    <w:p w14:paraId="25D47F8E" w14:textId="77777777" w:rsidR="00DE0FD2" w:rsidRDefault="00DE0FD2" w:rsidP="00DE0FD2">
      <w:pPr>
        <w:pStyle w:val="BodyText"/>
      </w:pPr>
    </w:p>
    <w:p w14:paraId="3591F37D" w14:textId="77777777" w:rsidR="00DE0FD2" w:rsidRDefault="00DE0FD2" w:rsidP="00C76517">
      <w:pPr>
        <w:pStyle w:val="Appendixheading"/>
        <w:spacing w:before="0"/>
        <w:rPr>
          <w:rFonts w:ascii="Arial" w:hAnsi="Arial" w:cs="Arial"/>
        </w:rPr>
        <w:sectPr w:rsidR="00DE0FD2" w:rsidSect="00076BC8">
          <w:headerReference w:type="even" r:id="rId37"/>
          <w:headerReference w:type="default" r:id="rId38"/>
          <w:footerReference w:type="even" r:id="rId39"/>
          <w:footerReference w:type="default" r:id="rId40"/>
          <w:headerReference w:type="first" r:id="rId41"/>
          <w:footerReference w:type="first" r:id="rId42"/>
          <w:pgSz w:w="16838" w:h="11906" w:orient="landscape"/>
          <w:pgMar w:top="1440" w:right="1440" w:bottom="1440" w:left="1440" w:header="708" w:footer="708" w:gutter="0"/>
          <w:cols w:space="708"/>
          <w:docGrid w:linePitch="360"/>
        </w:sectPr>
      </w:pPr>
    </w:p>
    <w:p w14:paraId="6158A028" w14:textId="7C787E4B" w:rsidR="00E13F2A" w:rsidRDefault="00E13F2A" w:rsidP="00C76517">
      <w:pPr>
        <w:pStyle w:val="Appendixheading"/>
        <w:spacing w:before="0"/>
        <w:rPr>
          <w:rFonts w:ascii="Arial" w:hAnsi="Arial" w:cs="Arial"/>
        </w:rPr>
      </w:pPr>
      <w:bookmarkStart w:id="213" w:name="_Toc37921509"/>
      <w:r w:rsidRPr="00EC5379">
        <w:rPr>
          <w:rFonts w:ascii="Arial" w:hAnsi="Arial" w:cs="Arial"/>
        </w:rPr>
        <w:lastRenderedPageBreak/>
        <w:t>: CONSULTATION SUMMARY</w:t>
      </w:r>
      <w:bookmarkEnd w:id="209"/>
      <w:bookmarkEnd w:id="213"/>
    </w:p>
    <w:p w14:paraId="0451A3D5" w14:textId="0C6B314D" w:rsidR="00807495" w:rsidRDefault="00AA52A4" w:rsidP="00C76517">
      <w:pPr>
        <w:pStyle w:val="BodyText0"/>
        <w:rPr>
          <w:rFonts w:ascii="Arial" w:hAnsi="Arial" w:cs="Arial"/>
          <w:color w:val="auto"/>
        </w:rPr>
      </w:pPr>
      <w:r w:rsidRPr="00AA52A4">
        <w:rPr>
          <w:rFonts w:ascii="Arial" w:hAnsi="Arial" w:cs="Arial"/>
          <w:color w:val="auto"/>
        </w:rPr>
        <w:t xml:space="preserve">The following stakeholders were consulted </w:t>
      </w:r>
      <w:r>
        <w:rPr>
          <w:rFonts w:ascii="Arial" w:hAnsi="Arial" w:cs="Arial"/>
          <w:color w:val="auto"/>
        </w:rPr>
        <w:t>to inform the preparation</w:t>
      </w:r>
      <w:r w:rsidRPr="00AA52A4">
        <w:rPr>
          <w:rFonts w:ascii="Arial" w:hAnsi="Arial" w:cs="Arial"/>
          <w:color w:val="auto"/>
        </w:rPr>
        <w:t xml:space="preserve"> of the </w:t>
      </w:r>
      <w:r>
        <w:rPr>
          <w:rFonts w:ascii="Arial" w:hAnsi="Arial" w:cs="Arial"/>
          <w:color w:val="auto"/>
        </w:rPr>
        <w:t>RIS:</w:t>
      </w:r>
    </w:p>
    <w:p w14:paraId="418EB597" w14:textId="28967B00" w:rsidR="00AA52A4" w:rsidRPr="00AA52A4" w:rsidRDefault="00AA52A4" w:rsidP="00C76517">
      <w:pPr>
        <w:pStyle w:val="ListBullet"/>
        <w:spacing w:line="240" w:lineRule="auto"/>
        <w:contextualSpacing w:val="0"/>
        <w:rPr>
          <w:rFonts w:cs="Arial"/>
        </w:rPr>
      </w:pPr>
      <w:r w:rsidRPr="00AA52A4">
        <w:rPr>
          <w:rFonts w:cs="Arial"/>
        </w:rPr>
        <w:t>Australian Education Union</w:t>
      </w:r>
    </w:p>
    <w:p w14:paraId="1AD93A93" w14:textId="77777777" w:rsidR="00AA52A4" w:rsidRPr="00AA52A4" w:rsidRDefault="00AA52A4" w:rsidP="00C76517">
      <w:pPr>
        <w:pStyle w:val="ListBullet"/>
        <w:spacing w:line="240" w:lineRule="auto"/>
        <w:contextualSpacing w:val="0"/>
        <w:rPr>
          <w:rFonts w:cs="Arial"/>
        </w:rPr>
      </w:pPr>
      <w:r w:rsidRPr="00AA52A4">
        <w:rPr>
          <w:rFonts w:cs="Arial"/>
        </w:rPr>
        <w:t>Australian Security Industry Association Limited</w:t>
      </w:r>
    </w:p>
    <w:p w14:paraId="1AA8CF47" w14:textId="77777777" w:rsidR="00AA52A4" w:rsidRPr="00AA52A4" w:rsidRDefault="00AA52A4" w:rsidP="00C76517">
      <w:pPr>
        <w:pStyle w:val="ListBullet"/>
        <w:spacing w:line="240" w:lineRule="auto"/>
        <w:contextualSpacing w:val="0"/>
        <w:rPr>
          <w:rFonts w:cs="Arial"/>
        </w:rPr>
      </w:pPr>
      <w:r w:rsidRPr="00AA52A4">
        <w:rPr>
          <w:rFonts w:cs="Arial"/>
        </w:rPr>
        <w:t>Australian Services Union</w:t>
      </w:r>
    </w:p>
    <w:p w14:paraId="5924A145" w14:textId="77777777" w:rsidR="00AA52A4" w:rsidRPr="00AA52A4" w:rsidRDefault="00AA52A4" w:rsidP="00C76517">
      <w:pPr>
        <w:pStyle w:val="ListBullet"/>
        <w:spacing w:line="240" w:lineRule="auto"/>
        <w:contextualSpacing w:val="0"/>
        <w:rPr>
          <w:rFonts w:cs="Arial"/>
        </w:rPr>
      </w:pPr>
      <w:r w:rsidRPr="00AA52A4">
        <w:rPr>
          <w:rFonts w:cs="Arial"/>
        </w:rPr>
        <w:t>CoHealth</w:t>
      </w:r>
    </w:p>
    <w:p w14:paraId="6D4BC308" w14:textId="77777777" w:rsidR="00AA52A4" w:rsidRPr="00AA52A4" w:rsidRDefault="00AA52A4" w:rsidP="00C76517">
      <w:pPr>
        <w:pStyle w:val="ListBullet"/>
        <w:spacing w:line="240" w:lineRule="auto"/>
        <w:contextualSpacing w:val="0"/>
        <w:rPr>
          <w:rFonts w:cs="Arial"/>
        </w:rPr>
      </w:pPr>
      <w:r w:rsidRPr="00AA52A4">
        <w:rPr>
          <w:rFonts w:cs="Arial"/>
        </w:rPr>
        <w:t>Connect Health &amp; Community</w:t>
      </w:r>
    </w:p>
    <w:p w14:paraId="0E860A7D" w14:textId="202510F1" w:rsidR="00AA52A4" w:rsidRPr="00AA52A4" w:rsidRDefault="00AA52A4" w:rsidP="00C76517">
      <w:pPr>
        <w:pStyle w:val="ListBullet"/>
        <w:spacing w:line="240" w:lineRule="auto"/>
        <w:contextualSpacing w:val="0"/>
        <w:rPr>
          <w:rFonts w:cs="Arial"/>
        </w:rPr>
      </w:pPr>
      <w:r w:rsidRPr="00AA52A4">
        <w:rPr>
          <w:rFonts w:cs="Arial"/>
        </w:rPr>
        <w:t>Department of Education and Training</w:t>
      </w:r>
      <w:r>
        <w:rPr>
          <w:rFonts w:cs="Arial"/>
        </w:rPr>
        <w:t xml:space="preserve"> Victoria</w:t>
      </w:r>
    </w:p>
    <w:p w14:paraId="474D0532" w14:textId="2CBFD723" w:rsidR="00AA52A4" w:rsidRPr="00AA52A4" w:rsidRDefault="00AA52A4" w:rsidP="00C76517">
      <w:pPr>
        <w:pStyle w:val="ListBullet"/>
        <w:spacing w:line="240" w:lineRule="auto"/>
        <w:contextualSpacing w:val="0"/>
        <w:rPr>
          <w:rFonts w:cs="Arial"/>
        </w:rPr>
      </w:pPr>
      <w:r w:rsidRPr="00AA52A4">
        <w:rPr>
          <w:rFonts w:cs="Arial"/>
        </w:rPr>
        <w:t>Department of Health and Human Services</w:t>
      </w:r>
      <w:r>
        <w:rPr>
          <w:rFonts w:cs="Arial"/>
        </w:rPr>
        <w:t xml:space="preserve"> Victoria</w:t>
      </w:r>
    </w:p>
    <w:p w14:paraId="70CD3A4F" w14:textId="77777777" w:rsidR="00AA52A4" w:rsidRPr="00AA52A4" w:rsidRDefault="00AA52A4" w:rsidP="00C76517">
      <w:pPr>
        <w:pStyle w:val="ListBullet"/>
        <w:spacing w:line="240" w:lineRule="auto"/>
        <w:contextualSpacing w:val="0"/>
        <w:rPr>
          <w:rFonts w:cs="Arial"/>
        </w:rPr>
      </w:pPr>
      <w:r w:rsidRPr="00AA52A4">
        <w:rPr>
          <w:rFonts w:cs="Arial"/>
        </w:rPr>
        <w:t>Early Leaning Association Australia</w:t>
      </w:r>
    </w:p>
    <w:p w14:paraId="0C42DF2A" w14:textId="77777777" w:rsidR="00AA52A4" w:rsidRPr="00AA52A4" w:rsidRDefault="00AA52A4" w:rsidP="00C76517">
      <w:pPr>
        <w:pStyle w:val="ListBullet"/>
        <w:spacing w:line="240" w:lineRule="auto"/>
        <w:contextualSpacing w:val="0"/>
        <w:rPr>
          <w:rFonts w:cs="Arial"/>
        </w:rPr>
      </w:pPr>
      <w:r w:rsidRPr="00AA52A4">
        <w:rPr>
          <w:rFonts w:cs="Arial"/>
        </w:rPr>
        <w:t>Gender Equity Victoria</w:t>
      </w:r>
    </w:p>
    <w:p w14:paraId="7C780879" w14:textId="57379FA2" w:rsidR="00AA52A4" w:rsidRPr="00AA52A4" w:rsidRDefault="00AA52A4" w:rsidP="00C76517">
      <w:pPr>
        <w:pStyle w:val="ListBullet"/>
        <w:spacing w:line="240" w:lineRule="auto"/>
        <w:contextualSpacing w:val="0"/>
        <w:rPr>
          <w:rFonts w:cs="Arial"/>
        </w:rPr>
      </w:pPr>
      <w:r w:rsidRPr="00AA52A4">
        <w:rPr>
          <w:rFonts w:cs="Arial"/>
        </w:rPr>
        <w:t xml:space="preserve">Grampians </w:t>
      </w:r>
      <w:r w:rsidR="0072722B">
        <w:rPr>
          <w:rFonts w:cs="Arial"/>
        </w:rPr>
        <w:t>Community Health</w:t>
      </w:r>
    </w:p>
    <w:p w14:paraId="23EA0F55" w14:textId="77777777" w:rsidR="00AA52A4" w:rsidRPr="00AA52A4" w:rsidRDefault="00AA52A4" w:rsidP="00C76517">
      <w:pPr>
        <w:pStyle w:val="ListBullet"/>
        <w:spacing w:line="240" w:lineRule="auto"/>
        <w:contextualSpacing w:val="0"/>
        <w:rPr>
          <w:rFonts w:cs="Arial"/>
        </w:rPr>
      </w:pPr>
      <w:r w:rsidRPr="00AA52A4">
        <w:rPr>
          <w:rFonts w:cs="Arial"/>
        </w:rPr>
        <w:t>Jobs Australia</w:t>
      </w:r>
    </w:p>
    <w:p w14:paraId="655AEFA4" w14:textId="0BF3FCA5" w:rsidR="00AA52A4" w:rsidRPr="00AA52A4" w:rsidRDefault="00AA52A4" w:rsidP="00C76517">
      <w:pPr>
        <w:pStyle w:val="ListBullet"/>
        <w:spacing w:line="240" w:lineRule="auto"/>
        <w:contextualSpacing w:val="0"/>
        <w:rPr>
          <w:rFonts w:cs="Arial"/>
        </w:rPr>
      </w:pPr>
      <w:r w:rsidRPr="00AA52A4">
        <w:rPr>
          <w:rFonts w:cs="Arial"/>
        </w:rPr>
        <w:t xml:space="preserve">Latrobe </w:t>
      </w:r>
      <w:r w:rsidR="0072722B">
        <w:rPr>
          <w:rFonts w:cs="Arial"/>
        </w:rPr>
        <w:t>Community Health</w:t>
      </w:r>
      <w:r w:rsidRPr="00AA52A4">
        <w:rPr>
          <w:rFonts w:cs="Arial"/>
        </w:rPr>
        <w:t xml:space="preserve"> Service</w:t>
      </w:r>
    </w:p>
    <w:p w14:paraId="6CA85685" w14:textId="77777777" w:rsidR="00AA52A4" w:rsidRDefault="00AA52A4" w:rsidP="00C76517">
      <w:pPr>
        <w:pStyle w:val="ListBullet"/>
        <w:spacing w:line="240" w:lineRule="auto"/>
        <w:contextualSpacing w:val="0"/>
        <w:rPr>
          <w:rFonts w:cs="Arial"/>
        </w:rPr>
      </w:pPr>
      <w:r w:rsidRPr="00AA52A4">
        <w:rPr>
          <w:rFonts w:cs="Arial"/>
        </w:rPr>
        <w:t>Merri Health</w:t>
      </w:r>
    </w:p>
    <w:p w14:paraId="17BDAB07" w14:textId="7C0FC13F" w:rsidR="005509E0" w:rsidRPr="00BD6667" w:rsidRDefault="005509E0" w:rsidP="00C76517">
      <w:pPr>
        <w:pStyle w:val="ListBullet"/>
        <w:spacing w:line="240" w:lineRule="auto"/>
        <w:contextualSpacing w:val="0"/>
        <w:rPr>
          <w:rFonts w:cs="Arial"/>
        </w:rPr>
      </w:pPr>
      <w:r w:rsidRPr="00BD6667">
        <w:rPr>
          <w:rFonts w:cs="Arial"/>
        </w:rPr>
        <w:t>National Disability Services</w:t>
      </w:r>
    </w:p>
    <w:p w14:paraId="110C1465" w14:textId="77777777" w:rsidR="00AA52A4" w:rsidRPr="00AA52A4" w:rsidRDefault="00AA52A4" w:rsidP="00C76517">
      <w:pPr>
        <w:pStyle w:val="ListBullet"/>
        <w:spacing w:line="240" w:lineRule="auto"/>
        <w:contextualSpacing w:val="0"/>
        <w:rPr>
          <w:rFonts w:cs="Arial"/>
        </w:rPr>
      </w:pPr>
      <w:r w:rsidRPr="00AA52A4">
        <w:rPr>
          <w:rFonts w:cs="Arial"/>
        </w:rPr>
        <w:t>Portable Long Service Authority</w:t>
      </w:r>
    </w:p>
    <w:p w14:paraId="177725B5" w14:textId="77777777" w:rsidR="00AA52A4" w:rsidRPr="00AA52A4" w:rsidRDefault="00AA52A4" w:rsidP="00C76517">
      <w:pPr>
        <w:pStyle w:val="ListBullet"/>
        <w:spacing w:line="240" w:lineRule="auto"/>
        <w:contextualSpacing w:val="0"/>
        <w:rPr>
          <w:rFonts w:cs="Arial"/>
        </w:rPr>
      </w:pPr>
      <w:r w:rsidRPr="00AA52A4">
        <w:rPr>
          <w:rFonts w:cs="Arial"/>
        </w:rPr>
        <w:t>Victorian Chamber of Commerce and Industry</w:t>
      </w:r>
    </w:p>
    <w:p w14:paraId="50EE6160" w14:textId="77777777" w:rsidR="00AA52A4" w:rsidRPr="00AA52A4" w:rsidRDefault="00AA52A4" w:rsidP="00C76517">
      <w:pPr>
        <w:pStyle w:val="ListBullet"/>
        <w:spacing w:line="240" w:lineRule="auto"/>
        <w:contextualSpacing w:val="0"/>
        <w:rPr>
          <w:rFonts w:cs="Arial"/>
        </w:rPr>
      </w:pPr>
      <w:r w:rsidRPr="00AA52A4">
        <w:rPr>
          <w:rFonts w:cs="Arial"/>
        </w:rPr>
        <w:t>Victorian Council of Social Service</w:t>
      </w:r>
    </w:p>
    <w:p w14:paraId="641A8ACC" w14:textId="77777777" w:rsidR="00AA52A4" w:rsidRPr="00AA52A4" w:rsidRDefault="00AA52A4" w:rsidP="00C76517">
      <w:pPr>
        <w:pStyle w:val="ListBullet"/>
        <w:spacing w:line="240" w:lineRule="auto"/>
        <w:contextualSpacing w:val="0"/>
        <w:rPr>
          <w:rFonts w:cs="Arial"/>
        </w:rPr>
      </w:pPr>
      <w:r w:rsidRPr="00AA52A4">
        <w:rPr>
          <w:rFonts w:cs="Arial"/>
        </w:rPr>
        <w:t>Victorian Healthcare Association</w:t>
      </w:r>
    </w:p>
    <w:p w14:paraId="694B95AA" w14:textId="77777777" w:rsidR="00AA52A4" w:rsidRPr="00AA52A4" w:rsidRDefault="00AA52A4" w:rsidP="00C76517">
      <w:pPr>
        <w:pStyle w:val="ListBullet"/>
        <w:spacing w:line="240" w:lineRule="auto"/>
        <w:contextualSpacing w:val="0"/>
        <w:rPr>
          <w:rFonts w:cs="Arial"/>
        </w:rPr>
      </w:pPr>
      <w:r w:rsidRPr="00AA52A4">
        <w:rPr>
          <w:rFonts w:cs="Arial"/>
        </w:rPr>
        <w:t>Victorian Hospitals Industrial Association</w:t>
      </w:r>
    </w:p>
    <w:p w14:paraId="13B987A2" w14:textId="2A3003E9" w:rsidR="00AA52A4" w:rsidRPr="00AA52A4" w:rsidRDefault="0072722B" w:rsidP="00C76517">
      <w:pPr>
        <w:pStyle w:val="ListBullet"/>
        <w:spacing w:line="240" w:lineRule="auto"/>
        <w:contextualSpacing w:val="0"/>
        <w:rPr>
          <w:rFonts w:cs="Arial"/>
        </w:rPr>
      </w:pPr>
      <w:r>
        <w:rPr>
          <w:rFonts w:cs="Arial"/>
        </w:rPr>
        <w:t>Women’s Health</w:t>
      </w:r>
      <w:r w:rsidR="00AA52A4" w:rsidRPr="00AA52A4">
        <w:rPr>
          <w:rFonts w:cs="Arial"/>
        </w:rPr>
        <w:t xml:space="preserve"> in the South East</w:t>
      </w:r>
    </w:p>
    <w:p w14:paraId="329F3421" w14:textId="0F12BD71" w:rsidR="008942FC" w:rsidRDefault="0072722B" w:rsidP="003E1876">
      <w:pPr>
        <w:pStyle w:val="ListBullet"/>
        <w:spacing w:line="240" w:lineRule="auto"/>
        <w:contextualSpacing w:val="0"/>
        <w:rPr>
          <w:rFonts w:cs="Arial"/>
        </w:rPr>
      </w:pPr>
      <w:r>
        <w:rPr>
          <w:rFonts w:cs="Arial"/>
        </w:rPr>
        <w:t>Women’s Health</w:t>
      </w:r>
      <w:r w:rsidR="00AA52A4" w:rsidRPr="00AA52A4">
        <w:rPr>
          <w:rFonts w:cs="Arial"/>
        </w:rPr>
        <w:t xml:space="preserve"> Victoria</w:t>
      </w:r>
    </w:p>
    <w:p w14:paraId="7825805C" w14:textId="77777777" w:rsidR="008942FC" w:rsidRDefault="008942FC" w:rsidP="001949BD">
      <w:pPr>
        <w:pStyle w:val="ListBullet"/>
        <w:numPr>
          <w:ilvl w:val="0"/>
          <w:numId w:val="0"/>
        </w:numPr>
        <w:spacing w:line="240" w:lineRule="auto"/>
        <w:contextualSpacing w:val="0"/>
        <w:rPr>
          <w:rFonts w:cs="Arial"/>
        </w:rPr>
      </w:pPr>
    </w:p>
    <w:p w14:paraId="7367E847" w14:textId="77777777" w:rsidR="008942FC" w:rsidRDefault="008942FC" w:rsidP="001949BD">
      <w:pPr>
        <w:pStyle w:val="ListBullet"/>
        <w:numPr>
          <w:ilvl w:val="0"/>
          <w:numId w:val="0"/>
        </w:numPr>
        <w:spacing w:line="240" w:lineRule="auto"/>
        <w:contextualSpacing w:val="0"/>
        <w:rPr>
          <w:rFonts w:cs="Arial"/>
        </w:rPr>
      </w:pPr>
    </w:p>
    <w:p w14:paraId="7F101353" w14:textId="77777777" w:rsidR="008942FC" w:rsidRDefault="008942FC" w:rsidP="009B3950">
      <w:pPr>
        <w:pStyle w:val="ListBullet"/>
        <w:numPr>
          <w:ilvl w:val="0"/>
          <w:numId w:val="0"/>
        </w:numPr>
        <w:spacing w:line="240" w:lineRule="auto"/>
        <w:contextualSpacing w:val="0"/>
        <w:rPr>
          <w:rFonts w:cs="Arial"/>
        </w:rPr>
      </w:pPr>
    </w:p>
    <w:p w14:paraId="76FBFCA0" w14:textId="5CFA4994" w:rsidR="008942FC" w:rsidRPr="00A339AA" w:rsidRDefault="008942FC" w:rsidP="008942FC">
      <w:pPr>
        <w:pStyle w:val="Appendixheading"/>
        <w:spacing w:before="0"/>
        <w:rPr>
          <w:rFonts w:ascii="Arial" w:hAnsi="Arial" w:cs="Arial"/>
        </w:rPr>
      </w:pPr>
      <w:bookmarkStart w:id="214" w:name="_Toc37921510"/>
      <w:bookmarkStart w:id="215" w:name="_Toc35943046"/>
      <w:r w:rsidRPr="00A339AA">
        <w:rPr>
          <w:rFonts w:ascii="Arial" w:hAnsi="Arial" w:cs="Arial"/>
        </w:rPr>
        <w:lastRenderedPageBreak/>
        <w:t>: OUT-OF-SCOPE FEEDBACK</w:t>
      </w:r>
      <w:bookmarkEnd w:id="214"/>
      <w:r w:rsidRPr="00A339AA">
        <w:rPr>
          <w:rFonts w:ascii="Arial" w:hAnsi="Arial" w:cs="Arial"/>
        </w:rPr>
        <w:t xml:space="preserve"> </w:t>
      </w:r>
      <w:bookmarkEnd w:id="215"/>
    </w:p>
    <w:p w14:paraId="3443426A" w14:textId="3CCFA50A" w:rsidR="00DC280E" w:rsidRDefault="00E65164" w:rsidP="008942FC">
      <w:pPr>
        <w:pStyle w:val="BodyText0"/>
        <w:rPr>
          <w:rFonts w:ascii="Arial" w:hAnsi="Arial" w:cs="Arial"/>
          <w:color w:val="auto"/>
        </w:rPr>
      </w:pPr>
      <w:r>
        <w:rPr>
          <w:rFonts w:ascii="Arial" w:hAnsi="Arial" w:cs="Arial"/>
          <w:color w:val="auto"/>
        </w:rPr>
        <w:t>In addition to the residual issues outlined in this RIS, t</w:t>
      </w:r>
      <w:r w:rsidR="008942FC" w:rsidRPr="00332D0E">
        <w:rPr>
          <w:rFonts w:ascii="Arial" w:hAnsi="Arial" w:cs="Arial"/>
          <w:color w:val="auto"/>
        </w:rPr>
        <w:t xml:space="preserve">he following </w:t>
      </w:r>
      <w:r>
        <w:rPr>
          <w:rFonts w:ascii="Arial" w:hAnsi="Arial" w:cs="Arial"/>
          <w:color w:val="auto"/>
        </w:rPr>
        <w:t xml:space="preserve">key </w:t>
      </w:r>
      <w:r w:rsidR="008942FC" w:rsidRPr="00332D0E">
        <w:rPr>
          <w:rFonts w:ascii="Arial" w:hAnsi="Arial" w:cs="Arial"/>
          <w:color w:val="auto"/>
        </w:rPr>
        <w:t>issues were identified by stakeholders during consultations. These issues are out-of-scope for the purposes of this RIS as they do not relate to the operation of the Interim Regula</w:t>
      </w:r>
      <w:r w:rsidR="00DC280E">
        <w:rPr>
          <w:rFonts w:ascii="Arial" w:hAnsi="Arial" w:cs="Arial"/>
          <w:color w:val="auto"/>
        </w:rPr>
        <w:t xml:space="preserve">tions or Proposed Regulations. </w:t>
      </w:r>
    </w:p>
    <w:p w14:paraId="6D4F98D9" w14:textId="1357A45E" w:rsidR="008942FC" w:rsidRPr="00332D0E" w:rsidRDefault="008942FC" w:rsidP="008942FC">
      <w:pPr>
        <w:pStyle w:val="BodyText0"/>
        <w:rPr>
          <w:rFonts w:ascii="Arial" w:hAnsi="Arial" w:cs="Arial"/>
          <w:color w:val="auto"/>
        </w:rPr>
      </w:pPr>
      <w:r w:rsidRPr="00332D0E">
        <w:rPr>
          <w:rFonts w:ascii="Arial" w:hAnsi="Arial" w:cs="Arial"/>
          <w:color w:val="auto"/>
        </w:rPr>
        <w:t>The Department of Premier and Cabinet and/or the Authority will continue to investigate these issues as appropriate. Some of these issues will be relevant for the three-year review of the Regulations and LS</w:t>
      </w:r>
      <w:r w:rsidR="00332D0E" w:rsidRPr="00332D0E">
        <w:rPr>
          <w:rFonts w:ascii="Arial" w:hAnsi="Arial" w:cs="Arial"/>
          <w:color w:val="auto"/>
        </w:rPr>
        <w:t xml:space="preserve">BP Act (detailed in section </w:t>
      </w:r>
      <w:r w:rsidR="00332D0E" w:rsidRPr="00332D0E">
        <w:rPr>
          <w:rFonts w:ascii="Arial" w:hAnsi="Arial" w:cs="Arial"/>
          <w:color w:val="auto"/>
        </w:rPr>
        <w:fldChar w:fldCharType="begin"/>
      </w:r>
      <w:r w:rsidR="00332D0E" w:rsidRPr="00332D0E">
        <w:rPr>
          <w:rFonts w:ascii="Arial" w:hAnsi="Arial" w:cs="Arial"/>
          <w:color w:val="auto"/>
        </w:rPr>
        <w:instrText xml:space="preserve"> REF _Ref36131224 \r \h </w:instrText>
      </w:r>
      <w:r w:rsidR="00332D0E">
        <w:rPr>
          <w:rFonts w:ascii="Arial" w:hAnsi="Arial" w:cs="Arial"/>
          <w:color w:val="auto"/>
        </w:rPr>
        <w:instrText xml:space="preserve"> \* MERGEFORMAT </w:instrText>
      </w:r>
      <w:r w:rsidR="00332D0E" w:rsidRPr="00332D0E">
        <w:rPr>
          <w:rFonts w:ascii="Arial" w:hAnsi="Arial" w:cs="Arial"/>
          <w:color w:val="auto"/>
        </w:rPr>
      </w:r>
      <w:r w:rsidR="00332D0E" w:rsidRPr="00332D0E">
        <w:rPr>
          <w:rFonts w:ascii="Arial" w:hAnsi="Arial" w:cs="Arial"/>
          <w:color w:val="auto"/>
        </w:rPr>
        <w:fldChar w:fldCharType="separate"/>
      </w:r>
      <w:r w:rsidR="00332D0E" w:rsidRPr="00332D0E">
        <w:rPr>
          <w:rFonts w:ascii="Arial" w:hAnsi="Arial" w:cs="Arial"/>
          <w:color w:val="auto"/>
        </w:rPr>
        <w:t>8.1</w:t>
      </w:r>
      <w:r w:rsidR="00332D0E" w:rsidRPr="00332D0E">
        <w:rPr>
          <w:rFonts w:ascii="Arial" w:hAnsi="Arial" w:cs="Arial"/>
          <w:color w:val="auto"/>
        </w:rPr>
        <w:fldChar w:fldCharType="end"/>
      </w:r>
      <w:r w:rsidR="00332D0E" w:rsidRPr="00332D0E">
        <w:rPr>
          <w:rFonts w:ascii="Arial" w:hAnsi="Arial" w:cs="Arial"/>
          <w:color w:val="auto"/>
        </w:rPr>
        <w:t>).</w:t>
      </w:r>
    </w:p>
    <w:p w14:paraId="5A67C8A3" w14:textId="3303E119" w:rsidR="00DC280E" w:rsidRPr="00A339AA" w:rsidRDefault="00DC280E" w:rsidP="00DC280E">
      <w:pPr>
        <w:pStyle w:val="ListParagraph"/>
        <w:numPr>
          <w:ilvl w:val="0"/>
          <w:numId w:val="61"/>
        </w:numPr>
        <w:rPr>
          <w:rFonts w:ascii="Arial" w:hAnsi="Arial" w:cs="Arial"/>
          <w:b/>
        </w:rPr>
      </w:pPr>
      <w:r w:rsidRPr="00A339AA">
        <w:rPr>
          <w:rFonts w:ascii="Arial" w:hAnsi="Arial" w:cs="Arial"/>
          <w:b/>
        </w:rPr>
        <w:t>The S</w:t>
      </w:r>
      <w:r w:rsidR="00817D66">
        <w:rPr>
          <w:rFonts w:ascii="Arial" w:hAnsi="Arial" w:cs="Arial"/>
          <w:b/>
        </w:rPr>
        <w:t>cheme is</w:t>
      </w:r>
      <w:r w:rsidRPr="00A339AA">
        <w:rPr>
          <w:rFonts w:ascii="Arial" w:hAnsi="Arial" w:cs="Arial"/>
          <w:b/>
        </w:rPr>
        <w:t xml:space="preserve"> an additional cost on </w:t>
      </w:r>
      <w:r w:rsidR="00DB01D9">
        <w:rPr>
          <w:rFonts w:ascii="Arial" w:hAnsi="Arial" w:cs="Arial"/>
          <w:b/>
        </w:rPr>
        <w:t>employers</w:t>
      </w:r>
      <w:r>
        <w:rPr>
          <w:rFonts w:ascii="Arial" w:hAnsi="Arial" w:cs="Arial"/>
          <w:b/>
        </w:rPr>
        <w:t xml:space="preserve"> </w:t>
      </w:r>
    </w:p>
    <w:p w14:paraId="5A890169" w14:textId="36DF582B" w:rsidR="00DC280E" w:rsidRDefault="00DC280E" w:rsidP="001949BD">
      <w:pPr>
        <w:pStyle w:val="BodyTextIndent"/>
      </w:pPr>
      <w:r>
        <w:t xml:space="preserve">Employers would like to recover the additional cost impost of levy payments they are required to pay under the Scheme, but they cannot. Security and contract cleaning </w:t>
      </w:r>
      <w:r w:rsidR="00DB01D9">
        <w:t>employers</w:t>
      </w:r>
      <w:r>
        <w:t xml:space="preserve"> have not been able to pass the cost onto their clients. Stakeholders in the social services sector, including early childhood education providers, have not received additional funding from government. NDIS providers’ costs are fixed nationally.</w:t>
      </w:r>
    </w:p>
    <w:p w14:paraId="02125B1C" w14:textId="34FE507E" w:rsidR="00F55FCB" w:rsidRDefault="00F55FCB" w:rsidP="001949BD">
      <w:pPr>
        <w:pStyle w:val="BodyTextIndent"/>
      </w:pPr>
      <w:r>
        <w:t xml:space="preserve">Employers have also reported that registering employees with the Authority has been administratively burdensome. </w:t>
      </w:r>
    </w:p>
    <w:p w14:paraId="5507FE12" w14:textId="77777777" w:rsidR="00DC280E" w:rsidRPr="00DC280E" w:rsidRDefault="00DC280E" w:rsidP="00DC280E">
      <w:pPr>
        <w:pStyle w:val="ListParagraph"/>
        <w:keepNext/>
        <w:numPr>
          <w:ilvl w:val="0"/>
          <w:numId w:val="62"/>
        </w:numPr>
        <w:rPr>
          <w:rFonts w:ascii="Arial" w:hAnsi="Arial" w:cs="Arial"/>
          <w:b/>
        </w:rPr>
      </w:pPr>
      <w:r>
        <w:rPr>
          <w:rFonts w:ascii="Arial" w:hAnsi="Arial" w:cs="Arial"/>
          <w:b/>
        </w:rPr>
        <w:t>S</w:t>
      </w:r>
      <w:r w:rsidRPr="00DC280E">
        <w:rPr>
          <w:rFonts w:ascii="Arial" w:hAnsi="Arial" w:cs="Arial"/>
          <w:b/>
        </w:rPr>
        <w:t xml:space="preserve">mall providers </w:t>
      </w:r>
      <w:r>
        <w:rPr>
          <w:rFonts w:ascii="Arial" w:hAnsi="Arial" w:cs="Arial"/>
          <w:b/>
        </w:rPr>
        <w:t>may</w:t>
      </w:r>
      <w:r w:rsidRPr="00DC280E">
        <w:rPr>
          <w:rFonts w:ascii="Arial" w:hAnsi="Arial" w:cs="Arial"/>
          <w:b/>
        </w:rPr>
        <w:t xml:space="preserve"> not </w:t>
      </w:r>
      <w:r>
        <w:rPr>
          <w:rFonts w:ascii="Arial" w:hAnsi="Arial" w:cs="Arial"/>
          <w:b/>
        </w:rPr>
        <w:t xml:space="preserve">be </w:t>
      </w:r>
      <w:r w:rsidRPr="00DC280E">
        <w:rPr>
          <w:rFonts w:ascii="Arial" w:hAnsi="Arial" w:cs="Arial"/>
          <w:b/>
        </w:rPr>
        <w:t>aware of their obligations under the Scheme</w:t>
      </w:r>
    </w:p>
    <w:p w14:paraId="01109DFD" w14:textId="68AFFB1B" w:rsidR="00817D66" w:rsidRPr="00F55FCB" w:rsidRDefault="00DC280E" w:rsidP="001949BD">
      <w:pPr>
        <w:pStyle w:val="BodyTextIndent"/>
      </w:pPr>
      <w:r>
        <w:t xml:space="preserve">Feedback from stakeholders reported that some providers have not had any meaningful interactions with the Authority to date. Smaller providers, such as some community-run early childhood centres, may not be aware of their obligations under the Scheme. </w:t>
      </w:r>
    </w:p>
    <w:p w14:paraId="782E967A" w14:textId="1EAF4BB4" w:rsidR="00817D66" w:rsidRDefault="00F55FCB" w:rsidP="008942FC">
      <w:pPr>
        <w:pStyle w:val="ListParagraph"/>
        <w:numPr>
          <w:ilvl w:val="0"/>
          <w:numId w:val="49"/>
        </w:numPr>
        <w:tabs>
          <w:tab w:val="num" w:pos="680"/>
        </w:tabs>
        <w:rPr>
          <w:rFonts w:ascii="Arial" w:hAnsi="Arial" w:cs="Arial"/>
          <w:b/>
          <w:color w:val="auto"/>
        </w:rPr>
      </w:pPr>
      <w:r>
        <w:rPr>
          <w:rFonts w:ascii="Arial" w:hAnsi="Arial" w:cs="Arial"/>
          <w:b/>
          <w:color w:val="auto"/>
        </w:rPr>
        <w:t>The extent of late registration and late filing</w:t>
      </w:r>
    </w:p>
    <w:p w14:paraId="2E4FCB52" w14:textId="7D60B526" w:rsidR="00817D66" w:rsidRPr="00F55FCB" w:rsidRDefault="00F55FCB" w:rsidP="001949BD">
      <w:pPr>
        <w:pStyle w:val="BodyTextIndent"/>
      </w:pPr>
      <w:r>
        <w:t xml:space="preserve">The Authority has faced a problem with employers not registering or filing quarterly reports with the Authority on time. </w:t>
      </w:r>
    </w:p>
    <w:p w14:paraId="79D601D6" w14:textId="138CAB5E" w:rsidR="008942FC" w:rsidRPr="00332D0E" w:rsidRDefault="008942FC" w:rsidP="00817D66">
      <w:pPr>
        <w:pStyle w:val="ListParagraph"/>
        <w:keepNext/>
        <w:numPr>
          <w:ilvl w:val="0"/>
          <w:numId w:val="50"/>
        </w:numPr>
        <w:tabs>
          <w:tab w:val="num" w:pos="680"/>
        </w:tabs>
        <w:rPr>
          <w:rFonts w:ascii="Arial" w:hAnsi="Arial" w:cs="Arial"/>
          <w:color w:val="auto"/>
        </w:rPr>
      </w:pPr>
      <w:r w:rsidRPr="00332D0E">
        <w:rPr>
          <w:rFonts w:ascii="Arial" w:hAnsi="Arial" w:cs="Arial"/>
          <w:b/>
          <w:color w:val="auto"/>
        </w:rPr>
        <w:t xml:space="preserve">Equity within the early childhood education sector concerning the exclusion of </w:t>
      </w:r>
      <w:r w:rsidR="00D36BC6">
        <w:rPr>
          <w:rFonts w:ascii="Arial" w:hAnsi="Arial" w:cs="Arial"/>
          <w:b/>
          <w:color w:val="auto"/>
        </w:rPr>
        <w:t>for</w:t>
      </w:r>
      <w:r w:rsidR="00D36BC6">
        <w:rPr>
          <w:rFonts w:ascii="Arial" w:hAnsi="Arial" w:cs="Arial"/>
          <w:b/>
          <w:color w:val="auto"/>
        </w:rPr>
        <w:noBreakHyphen/>
        <w:t>profit</w:t>
      </w:r>
      <w:r w:rsidRPr="00332D0E">
        <w:rPr>
          <w:rFonts w:ascii="Arial" w:hAnsi="Arial" w:cs="Arial"/>
          <w:b/>
          <w:color w:val="auto"/>
        </w:rPr>
        <w:t xml:space="preserve"> providers</w:t>
      </w:r>
    </w:p>
    <w:p w14:paraId="72DC488B" w14:textId="6DDA1FBF" w:rsidR="008942FC" w:rsidRDefault="008942FC" w:rsidP="001949BD">
      <w:pPr>
        <w:pStyle w:val="BodyTextIndent"/>
      </w:pPr>
      <w:r w:rsidRPr="00332D0E">
        <w:t xml:space="preserve">As detailed in section </w:t>
      </w:r>
      <w:r w:rsidR="00D50857">
        <w:fldChar w:fldCharType="begin"/>
      </w:r>
      <w:r w:rsidR="00D50857">
        <w:instrText xml:space="preserve"> REF _Ref36115693 \r \h </w:instrText>
      </w:r>
      <w:r w:rsidR="00D50857">
        <w:fldChar w:fldCharType="separate"/>
      </w:r>
      <w:r w:rsidR="00D50857">
        <w:t>2.3.2.3</w:t>
      </w:r>
      <w:r w:rsidR="00D50857">
        <w:fldChar w:fldCharType="end"/>
      </w:r>
      <w:r w:rsidRPr="00332D0E">
        <w:t>, employer groups representing not-</w:t>
      </w:r>
      <w:r w:rsidR="00D36BC6">
        <w:t>for</w:t>
      </w:r>
      <w:r w:rsidR="00D36BC6">
        <w:noBreakHyphen/>
        <w:t>profit</w:t>
      </w:r>
      <w:r w:rsidRPr="00332D0E">
        <w:t xml:space="preserve"> early learning providers have raised concerns with the exclusion of </w:t>
      </w:r>
      <w:r w:rsidR="00D36BC6">
        <w:t>for</w:t>
      </w:r>
      <w:r w:rsidR="00D36BC6">
        <w:noBreakHyphen/>
        <w:t>profit</w:t>
      </w:r>
      <w:r w:rsidRPr="00332D0E">
        <w:t xml:space="preserve"> providers from the Scheme. It is argued that the exclusion of </w:t>
      </w:r>
      <w:r w:rsidR="00D36BC6">
        <w:t>for</w:t>
      </w:r>
      <w:r w:rsidR="00D36BC6">
        <w:noBreakHyphen/>
        <w:t>profit</w:t>
      </w:r>
      <w:r w:rsidRPr="00332D0E">
        <w:t xml:space="preserve"> providers undermines the portability of the Scheme. Employees who move from not-</w:t>
      </w:r>
      <w:r w:rsidR="00D36BC6">
        <w:t>for</w:t>
      </w:r>
      <w:r w:rsidR="00D36BC6">
        <w:noBreakHyphen/>
        <w:t>profit</w:t>
      </w:r>
      <w:r w:rsidRPr="00332D0E">
        <w:t xml:space="preserve"> providers to </w:t>
      </w:r>
      <w:r w:rsidR="00D36BC6">
        <w:t>for</w:t>
      </w:r>
      <w:r w:rsidR="00D36BC6">
        <w:noBreakHyphen/>
        <w:t>profit</w:t>
      </w:r>
      <w:r w:rsidRPr="00332D0E">
        <w:t xml:space="preserve"> providers will lose their portable long service entitlement. It also arguably creates an uneven playing field between </w:t>
      </w:r>
      <w:r w:rsidR="00D36BC6">
        <w:t>for</w:t>
      </w:r>
      <w:r w:rsidR="00D36BC6">
        <w:noBreakHyphen/>
        <w:t>profit</w:t>
      </w:r>
      <w:r w:rsidRPr="00332D0E">
        <w:t xml:space="preserve"> and not-</w:t>
      </w:r>
      <w:r w:rsidR="00D36BC6">
        <w:t>for</w:t>
      </w:r>
      <w:r w:rsidR="00D36BC6">
        <w:noBreakHyphen/>
        <w:t>profit</w:t>
      </w:r>
      <w:r w:rsidRPr="00332D0E">
        <w:t xml:space="preserve"> providers, as it places an additional financial burden on not-</w:t>
      </w:r>
      <w:r w:rsidR="00D36BC6">
        <w:t>for</w:t>
      </w:r>
      <w:r w:rsidR="00D36BC6">
        <w:noBreakHyphen/>
        <w:t>profit</w:t>
      </w:r>
      <w:r w:rsidRPr="00332D0E">
        <w:t xml:space="preserve"> providers. It is not within the scope of the RIS to re-prosecute the arguments for and against including </w:t>
      </w:r>
      <w:r w:rsidR="00D36BC6">
        <w:t>for</w:t>
      </w:r>
      <w:r w:rsidR="00D36BC6">
        <w:noBreakHyphen/>
        <w:t>profit</w:t>
      </w:r>
      <w:r w:rsidRPr="00332D0E">
        <w:t xml:space="preserve"> early childhood services providers as </w:t>
      </w:r>
      <w:r w:rsidR="00D36BC6">
        <w:t>for</w:t>
      </w:r>
      <w:r w:rsidR="00D36BC6">
        <w:noBreakHyphen/>
        <w:t>profit</w:t>
      </w:r>
      <w:r w:rsidRPr="00332D0E">
        <w:t xml:space="preserve"> providers were explicitly excluded by Parliament in the LSBP Act. Any future change to include </w:t>
      </w:r>
      <w:r w:rsidR="00D36BC6">
        <w:t>for</w:t>
      </w:r>
      <w:r w:rsidR="00D36BC6">
        <w:noBreakHyphen/>
        <w:t>profit</w:t>
      </w:r>
      <w:r w:rsidRPr="00332D0E">
        <w:t xml:space="preserve"> providers will require legislative amendment.</w:t>
      </w:r>
      <w:r w:rsidRPr="005209E8">
        <w:t xml:space="preserve"> </w:t>
      </w:r>
    </w:p>
    <w:p w14:paraId="06323893" w14:textId="4777CFB2" w:rsidR="00AA52A4" w:rsidRPr="00DC280E" w:rsidRDefault="00AA52A4" w:rsidP="00DC280E">
      <w:pPr>
        <w:rPr>
          <w:rFonts w:ascii="Arial" w:hAnsi="Arial" w:cs="Arial"/>
        </w:rPr>
      </w:pPr>
    </w:p>
    <w:sectPr w:rsidR="00AA52A4" w:rsidRPr="00DC280E" w:rsidSect="00C245D5">
      <w:head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1F5C3" w14:textId="77777777" w:rsidR="00C83B70" w:rsidRDefault="00C83B70" w:rsidP="00945BEB">
      <w:pPr>
        <w:spacing w:after="0" w:line="240" w:lineRule="auto"/>
      </w:pPr>
      <w:r>
        <w:separator/>
      </w:r>
    </w:p>
  </w:endnote>
  <w:endnote w:type="continuationSeparator" w:id="0">
    <w:p w14:paraId="256F855D" w14:textId="77777777" w:rsidR="00C83B70" w:rsidRDefault="00C83B70" w:rsidP="00945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9999999">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20B07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Univers 45 Light">
    <w:altName w:val="Calibri"/>
    <w:charset w:val="00"/>
    <w:family w:val="auto"/>
    <w:pitch w:val="variable"/>
    <w:sig w:usb0="8000002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otham Book">
    <w:altName w:val="Gotham Book"/>
    <w:panose1 w:val="00000000000000000000"/>
    <w:charset w:val="00"/>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7A911" w14:textId="77777777" w:rsidR="00C83B70" w:rsidRDefault="00C83B70" w:rsidP="002B23F3">
    <w:pPr>
      <w:pStyle w:val="Footer"/>
    </w:pPr>
    <w:bookmarkStart w:id="1" w:name="PandNP1FooterEvenPages"/>
  </w:p>
  <w:bookmarkEnd w:id="1"/>
  <w:p w14:paraId="529DDD39" w14:textId="77777777" w:rsidR="00C83B70" w:rsidRDefault="00C83B7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528389" w14:textId="77777777" w:rsidR="00C83B70" w:rsidRDefault="00C83B70" w:rsidP="002B23F3">
    <w:pPr>
      <w:pStyle w:val="Footer"/>
      <w:jc w:val="right"/>
    </w:pPr>
    <w:bookmarkStart w:id="147" w:name="PandNP4FooterEvenPages"/>
  </w:p>
  <w:bookmarkEnd w:id="147" w:displacedByCustomXml="next"/>
  <w:sdt>
    <w:sdtPr>
      <w:id w:val="-1956938149"/>
      <w:docPartObj>
        <w:docPartGallery w:val="Page Numbers (Bottom of Page)"/>
        <w:docPartUnique/>
      </w:docPartObj>
    </w:sdtPr>
    <w:sdtEndPr>
      <w:rPr>
        <w:rStyle w:val="PageNumber"/>
        <w:rFonts w:ascii="Univers 45 Light" w:hAnsi="Univers 45 Light"/>
        <w:color w:val="auto"/>
        <w:sz w:val="18"/>
      </w:rPr>
    </w:sdtEndPr>
    <w:sdtContent>
      <w:p w14:paraId="488CE594" w14:textId="77777777" w:rsidR="00C83B70" w:rsidRPr="003B0D01" w:rsidRDefault="00C83B7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Pr>
            <w:rStyle w:val="PageNumber"/>
            <w:noProof/>
          </w:rPr>
          <w:t>44</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Pr>
            <w:rStyle w:val="PageNumber"/>
            <w:noProof/>
          </w:rPr>
          <w:t>48</w:t>
        </w:r>
        <w:r>
          <w:rPr>
            <w:rStyle w:val="PageNumber"/>
          </w:rPr>
          <w:fldChar w:fldCharType="end"/>
        </w:r>
      </w:p>
    </w:sdtContent>
  </w:sdt>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5DB20" w14:textId="0077AE2A" w:rsidR="00C83B70" w:rsidRPr="00A63CF4" w:rsidRDefault="00DE760C" w:rsidP="00EE05BF">
    <w:pPr>
      <w:pStyle w:val="Footer"/>
      <w:tabs>
        <w:tab w:val="left" w:pos="3984"/>
      </w:tabs>
      <w:rPr>
        <w:rFonts w:ascii="Univers 45 Light" w:hAnsi="Univers 45 Light"/>
      </w:rPr>
    </w:pPr>
    <w:bookmarkStart w:id="148" w:name="PandNP4FooterPrimary"/>
    <w:r>
      <w:rPr>
        <w:rFonts w:ascii="Univers 45 Light" w:hAnsi="Univers 45 Light"/>
        <w:noProof/>
      </w:rPr>
      <mc:AlternateContent>
        <mc:Choice Requires="wps">
          <w:drawing>
            <wp:anchor distT="0" distB="0" distL="114300" distR="114300" simplePos="0" relativeHeight="251726848" behindDoc="0" locked="0" layoutInCell="0" allowOverlap="1" wp14:anchorId="0A6121C8" wp14:editId="07248793">
              <wp:simplePos x="0" y="0"/>
              <wp:positionH relativeFrom="page">
                <wp:align>left</wp:align>
              </wp:positionH>
              <wp:positionV relativeFrom="page">
                <wp:align>bottom</wp:align>
              </wp:positionV>
              <wp:extent cx="7772400" cy="266700"/>
              <wp:effectExtent l="0" t="0" r="0" b="0"/>
              <wp:wrapNone/>
              <wp:docPr id="14" name="MSIPCM0b0d4aada559c43a2fda1455" descr="{&quot;HashCode&quot;:-1267603503,&quot;Height&quot;:9999999.0,&quot;Width&quot;:9999999.0,&quot;Placement&quot;:&quot;Foot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881C16" w14:textId="2025D48F" w:rsidR="00DE760C" w:rsidRPr="000D4B5D" w:rsidRDefault="000D4B5D" w:rsidP="000D4B5D">
                          <w:pPr>
                            <w:spacing w:after="0"/>
                            <w:rPr>
                              <w:rFonts w:ascii="Calibri" w:hAnsi="Calibri" w:cs="Calibri"/>
                              <w:color w:val="000000"/>
                            </w:rPr>
                          </w:pPr>
                          <w:r w:rsidRPr="000D4B5D">
                            <w:rPr>
                              <w:rFonts w:ascii="Calibri" w:hAnsi="Calibri" w:cs="Calibri"/>
                              <w:color w:val="000000"/>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A6121C8" id="_x0000_t202" coordsize="21600,21600" o:spt="202" path="m,l,21600r21600,l21600,xe">
              <v:stroke joinstyle="miter"/>
              <v:path gradientshapeok="t" o:connecttype="rect"/>
            </v:shapetype>
            <v:shape id="MSIPCM0b0d4aada559c43a2fda1455" o:spid="_x0000_s1039" type="#_x0000_t202" alt="{&quot;HashCode&quot;:-1267603503,&quot;Height&quot;:9999999.0,&quot;Width&quot;:9999999.0,&quot;Placement&quot;:&quot;Footer&quot;,&quot;Index&quot;:&quot;Primary&quot;,&quot;Section&quot;:4,&quot;Top&quot;:0.0,&quot;Left&quot;:0.0}" style="position:absolute;margin-left:0;margin-top:0;width:612pt;height:21pt;z-index:251726848;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" o:allowincell="f" filled="f" stroked="f" strokeweight=".5pt">
              <v:textbox inset="20pt,0,,0">
                <w:txbxContent>
                  <w:p w14:paraId="01881C16" w14:textId="2025D48F" w:rsidR="00DE760C" w:rsidRPr="000D4B5D" w:rsidRDefault="000D4B5D" w:rsidP="000D4B5D">
                    <w:pPr>
                      <w:spacing w:after="0"/>
                      <w:rPr>
                        <w:rFonts w:ascii="Calibri" w:hAnsi="Calibri" w:cs="Calibri"/>
                        <w:color w:val="000000"/>
                      </w:rPr>
                    </w:pPr>
                    <w:r w:rsidRPr="000D4B5D">
                      <w:rPr>
                        <w:rFonts w:ascii="Calibri" w:hAnsi="Calibri" w:cs="Calibri"/>
                        <w:color w:val="000000"/>
                      </w:rPr>
                      <w:t>OFFICIAL</w:t>
                    </w:r>
                  </w:p>
                </w:txbxContent>
              </v:textbox>
              <w10:wrap anchorx="page" anchory="page"/>
            </v:shape>
          </w:pict>
        </mc:Fallback>
      </mc:AlternateContent>
    </w:r>
    <w:r w:rsidR="00C83B70">
      <w:rPr>
        <w:rFonts w:ascii="Univers 45 Light" w:hAnsi="Univers 45 Light"/>
      </w:rPr>
      <w:tab/>
    </w:r>
    <w:r w:rsidR="00C83B70">
      <w:rPr>
        <w:rFonts w:ascii="Univers 45 Light" w:hAnsi="Univers 45 Light"/>
      </w:rPr>
      <w:tab/>
    </w:r>
  </w:p>
  <w:bookmarkEnd w:id="148" w:displacedByCustomXml="next"/>
  <w:sdt>
    <w:sdtPr>
      <w:rPr>
        <w:rFonts w:ascii="Univers 45 Light" w:hAnsi="Univers 45 Light"/>
      </w:rPr>
      <w:id w:val="-670181912"/>
      <w:docPartObj>
        <w:docPartGallery w:val="Page Numbers (Bottom of Page)"/>
        <w:docPartUnique/>
      </w:docPartObj>
    </w:sdtPr>
    <w:sdtEndPr>
      <w:rPr>
        <w:rStyle w:val="PageNumber"/>
        <w:rFonts w:ascii="Arial" w:hAnsi="Arial" w:cs="Arial"/>
        <w:color w:val="auto"/>
        <w:sz w:val="16"/>
        <w:szCs w:val="16"/>
      </w:rPr>
    </w:sdtEndPr>
    <w:sdtContent>
      <w:p w14:paraId="56046325" w14:textId="77777777" w:rsidR="00C83B70" w:rsidRPr="001F69E9" w:rsidRDefault="00C83B70" w:rsidP="003B0D01">
        <w:pPr>
          <w:pStyle w:val="Footer"/>
          <w:jc w:val="right"/>
          <w:rPr>
            <w:rFonts w:ascii="Arial" w:hAnsi="Arial" w:cs="Arial"/>
            <w:sz w:val="16"/>
            <w:szCs w:val="16"/>
          </w:rPr>
        </w:pPr>
        <w:r w:rsidRPr="001F69E9">
          <w:rPr>
            <w:rStyle w:val="PageNumber"/>
            <w:rFonts w:ascii="Arial" w:hAnsi="Arial" w:cs="Arial"/>
            <w:sz w:val="16"/>
            <w:szCs w:val="16"/>
          </w:rPr>
          <w:fldChar w:fldCharType="begin"/>
        </w:r>
        <w:r w:rsidRPr="001F69E9">
          <w:rPr>
            <w:rStyle w:val="PageNumber"/>
            <w:rFonts w:ascii="Arial" w:hAnsi="Arial" w:cs="Arial"/>
            <w:sz w:val="16"/>
            <w:szCs w:val="16"/>
          </w:rPr>
          <w:instrText xml:space="preserve"> PAGE   \* MERGEFORMAT </w:instrText>
        </w:r>
        <w:r w:rsidRPr="001F69E9">
          <w:rPr>
            <w:rStyle w:val="PageNumber"/>
            <w:rFonts w:ascii="Arial" w:hAnsi="Arial" w:cs="Arial"/>
            <w:sz w:val="16"/>
            <w:szCs w:val="16"/>
          </w:rPr>
          <w:fldChar w:fldCharType="separate"/>
        </w:r>
        <w:r w:rsidR="00443C77">
          <w:rPr>
            <w:rStyle w:val="PageNumber"/>
            <w:rFonts w:ascii="Arial" w:hAnsi="Arial" w:cs="Arial"/>
            <w:noProof/>
            <w:sz w:val="16"/>
            <w:szCs w:val="16"/>
          </w:rPr>
          <w:t>19</w:t>
        </w:r>
        <w:r w:rsidRPr="001F69E9">
          <w:rPr>
            <w:rStyle w:val="PageNumber"/>
            <w:rFonts w:ascii="Arial" w:hAnsi="Arial" w:cs="Arial"/>
            <w:sz w:val="16"/>
            <w:szCs w:val="16"/>
          </w:rPr>
          <w:fldChar w:fldCharType="end"/>
        </w:r>
        <w:r w:rsidRPr="001F69E9">
          <w:rPr>
            <w:rStyle w:val="PageNumber"/>
            <w:rFonts w:ascii="Arial" w:hAnsi="Arial" w:cs="Arial"/>
            <w:sz w:val="16"/>
            <w:szCs w:val="16"/>
          </w:rPr>
          <w:t xml:space="preserve"> of </w:t>
        </w:r>
        <w:r w:rsidRPr="001F69E9">
          <w:rPr>
            <w:rStyle w:val="PageNumber"/>
            <w:rFonts w:ascii="Arial" w:hAnsi="Arial" w:cs="Arial"/>
            <w:sz w:val="16"/>
            <w:szCs w:val="16"/>
          </w:rPr>
          <w:fldChar w:fldCharType="begin"/>
        </w:r>
        <w:r w:rsidRPr="001F69E9">
          <w:rPr>
            <w:rStyle w:val="PageNumber"/>
            <w:rFonts w:ascii="Arial" w:hAnsi="Arial" w:cs="Arial"/>
            <w:sz w:val="16"/>
            <w:szCs w:val="16"/>
          </w:rPr>
          <w:instrText xml:space="preserve"> NUMPAGES  \* Arabic  \* MERGEFORMAT </w:instrText>
        </w:r>
        <w:r w:rsidRPr="001F69E9">
          <w:rPr>
            <w:rStyle w:val="PageNumber"/>
            <w:rFonts w:ascii="Arial" w:hAnsi="Arial" w:cs="Arial"/>
            <w:sz w:val="16"/>
            <w:szCs w:val="16"/>
          </w:rPr>
          <w:fldChar w:fldCharType="separate"/>
        </w:r>
        <w:r w:rsidR="00443C77">
          <w:rPr>
            <w:rStyle w:val="PageNumber"/>
            <w:rFonts w:ascii="Arial" w:hAnsi="Arial" w:cs="Arial"/>
            <w:noProof/>
            <w:sz w:val="16"/>
            <w:szCs w:val="16"/>
          </w:rPr>
          <w:t>102</w:t>
        </w:r>
        <w:r w:rsidRPr="001F69E9">
          <w:rPr>
            <w:rStyle w:val="PageNumber"/>
            <w:rFonts w:ascii="Arial" w:hAnsi="Arial" w:cs="Arial"/>
            <w:sz w:val="16"/>
            <w:szCs w:val="16"/>
          </w:rPr>
          <w:fldChar w:fldCharType="end"/>
        </w:r>
      </w:p>
    </w:sdtContent>
  </w:sdt>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038D7" w14:textId="52EA8F22" w:rsidR="00C83B70" w:rsidRDefault="00C83B70" w:rsidP="002B23F3">
    <w:pPr>
      <w:pStyle w:val="Footer"/>
      <w:jc w:val="right"/>
    </w:pPr>
    <w:bookmarkStart w:id="149" w:name="PandNP4FooterFirstPage"/>
    <w:r>
      <w:rPr>
        <w:noProof/>
        <w:lang w:eastAsia="en-AU"/>
      </w:rPr>
      <mc:AlternateContent>
        <mc:Choice Requires="wps">
          <w:drawing>
            <wp:anchor distT="0" distB="0" distL="114300" distR="114300" simplePos="0" relativeHeight="251720937" behindDoc="0" locked="0" layoutInCell="0" allowOverlap="1" wp14:anchorId="0B81EF76" wp14:editId="7AEDF266">
              <wp:simplePos x="0" y="9601200"/>
              <wp:positionH relativeFrom="page">
                <wp:align>left</wp:align>
              </wp:positionH>
              <wp:positionV relativeFrom="page">
                <wp:align>bottom</wp:align>
              </wp:positionV>
              <wp:extent cx="7772400" cy="266700"/>
              <wp:effectExtent l="0" t="0" r="0" b="0"/>
              <wp:wrapNone/>
              <wp:docPr id="30" name="MSIPCM75414cc39e581811f14ff223" descr="{&quot;HashCode&quot;:-1267603503,&quot;Height&quot;:9999999.0,&quot;Width&quot;:9999999.0,&quot;Placement&quot;:&quot;Footer&quot;,&quot;Index&quot;:&quot;FirstPage&quot;,&quot;Section&quot;:4,&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1FEE957" w14:textId="0C7DFD4A" w:rsidR="00C83B70" w:rsidRPr="000D4B5D" w:rsidRDefault="000D4B5D" w:rsidP="000D4B5D">
                          <w:pPr>
                            <w:spacing w:after="0"/>
                            <w:rPr>
                              <w:rFonts w:ascii="Calibri" w:hAnsi="Calibri" w:cs="Calibri"/>
                              <w:color w:val="000000"/>
                            </w:rPr>
                          </w:pPr>
                          <w:r w:rsidRPr="000D4B5D">
                            <w:rPr>
                              <w:rFonts w:ascii="Calibri" w:hAnsi="Calibri" w:cs="Calibri"/>
                              <w:color w:val="000000"/>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0B81EF76" id="_x0000_t202" coordsize="21600,21600" o:spt="202" path="m,l,21600r21600,l21600,xe">
              <v:stroke joinstyle="miter"/>
              <v:path gradientshapeok="t" o:connecttype="rect"/>
            </v:shapetype>
            <v:shape id="MSIPCM75414cc39e581811f14ff223" o:spid="_x0000_s1041" type="#_x0000_t202" alt="{&quot;HashCode&quot;:-1267603503,&quot;Height&quot;:9999999.0,&quot;Width&quot;:9999999.0,&quot;Placement&quot;:&quot;Footer&quot;,&quot;Index&quot;:&quot;FirstPage&quot;,&quot;Section&quot;:4,&quot;Top&quot;:0.0,&quot;Left&quot;:0.0}" style="position:absolute;left:0;text-align:left;margin-left:0;margin-top:0;width:612pt;height:21pt;z-index:251720937;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" o:allowincell="f" filled="f" stroked="f" strokeweight=".5pt">
              <v:textbox inset="20pt,0,,0">
                <w:txbxContent>
                  <w:p w14:paraId="01FEE957" w14:textId="0C7DFD4A" w:rsidR="00C83B70" w:rsidRPr="000D4B5D" w:rsidRDefault="000D4B5D" w:rsidP="000D4B5D">
                    <w:pPr>
                      <w:spacing w:after="0"/>
                      <w:rPr>
                        <w:rFonts w:ascii="Calibri" w:hAnsi="Calibri" w:cs="Calibri"/>
                        <w:color w:val="000000"/>
                      </w:rPr>
                    </w:pPr>
                    <w:r w:rsidRPr="000D4B5D">
                      <w:rPr>
                        <w:rFonts w:ascii="Calibri" w:hAnsi="Calibri" w:cs="Calibri"/>
                        <w:color w:val="000000"/>
                      </w:rPr>
                      <w:t>OFFICIAL</w:t>
                    </w:r>
                  </w:p>
                </w:txbxContent>
              </v:textbox>
              <w10:wrap anchorx="page" anchory="page"/>
            </v:shape>
          </w:pict>
        </mc:Fallback>
      </mc:AlternateContent>
    </w:r>
  </w:p>
  <w:bookmarkEnd w:id="149" w:displacedByCustomXml="next"/>
  <w:sdt>
    <w:sdtPr>
      <w:id w:val="-1994871917"/>
      <w:docPartObj>
        <w:docPartGallery w:val="Page Numbers (Bottom of Page)"/>
        <w:docPartUnique/>
      </w:docPartObj>
    </w:sdtPr>
    <w:sdtEndPr>
      <w:rPr>
        <w:rStyle w:val="PageNumber"/>
        <w:rFonts w:ascii="Univers 45 Light" w:hAnsi="Univers 45 Light"/>
        <w:color w:val="auto"/>
        <w:sz w:val="18"/>
      </w:rPr>
    </w:sdtEndPr>
    <w:sdtContent>
      <w:p w14:paraId="13115E2F" w14:textId="77777777" w:rsidR="00C83B70" w:rsidRPr="003B0D01" w:rsidRDefault="00C83B7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Pr>
            <w:rStyle w:val="PageNumber"/>
            <w:noProof/>
          </w:rPr>
          <w:t>80</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Pr>
            <w:rStyle w:val="PageNumber"/>
            <w:noProof/>
          </w:rPr>
          <w:t>102</w:t>
        </w:r>
        <w:r>
          <w:rPr>
            <w:rStyle w:val="PageNumber"/>
          </w:rPr>
          <w:fldChar w:fldCharType="end"/>
        </w:r>
      </w:p>
    </w:sdtContent>
  </w:sdt>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C44CC" w14:textId="77777777" w:rsidR="00C83B70" w:rsidRDefault="00C83B70" w:rsidP="002B23F3">
    <w:pPr>
      <w:pStyle w:val="Footer"/>
      <w:jc w:val="right"/>
    </w:pPr>
    <w:bookmarkStart w:id="210" w:name="PandNP6FooterEvenPages"/>
  </w:p>
  <w:bookmarkEnd w:id="210" w:displacedByCustomXml="next"/>
  <w:sdt>
    <w:sdtPr>
      <w:id w:val="-820960617"/>
      <w:docPartObj>
        <w:docPartGallery w:val="Page Numbers (Bottom of Page)"/>
        <w:docPartUnique/>
      </w:docPartObj>
    </w:sdtPr>
    <w:sdtEndPr>
      <w:rPr>
        <w:rStyle w:val="PageNumber"/>
        <w:rFonts w:ascii="Univers 45 Light" w:hAnsi="Univers 45 Light"/>
        <w:color w:val="auto"/>
        <w:sz w:val="18"/>
      </w:rPr>
    </w:sdtEndPr>
    <w:sdtContent>
      <w:p w14:paraId="78982FE8" w14:textId="77777777" w:rsidR="00C83B70" w:rsidRPr="003B0D01" w:rsidRDefault="00C83B7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Pr>
            <w:rStyle w:val="PageNumber"/>
            <w:noProof/>
          </w:rPr>
          <w:t>92</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Pr>
            <w:rStyle w:val="PageNumber"/>
            <w:noProof/>
          </w:rPr>
          <w:t>105</w:t>
        </w:r>
        <w:r>
          <w:rPr>
            <w:rStyle w:val="PageNumber"/>
          </w:rPr>
          <w:fldChar w:fldCharType="end"/>
        </w:r>
      </w:p>
    </w:sdtContent>
  </w:sdt>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F2474" w14:textId="47F5C1F4" w:rsidR="00C83B70" w:rsidRDefault="00DE760C" w:rsidP="003B0D01">
    <w:pPr>
      <w:pStyle w:val="Footer"/>
      <w:jc w:val="right"/>
    </w:pPr>
    <w:bookmarkStart w:id="211" w:name="PandNP6FooterPrimary"/>
    <w:r>
      <w:rPr>
        <w:noProof/>
      </w:rPr>
      <mc:AlternateContent>
        <mc:Choice Requires="wps">
          <w:drawing>
            <wp:anchor distT="0" distB="0" distL="114300" distR="114300" simplePos="0" relativeHeight="251725824" behindDoc="0" locked="0" layoutInCell="0" allowOverlap="1" wp14:anchorId="3A1E768C" wp14:editId="57E0F24B">
              <wp:simplePos x="0" y="0"/>
              <wp:positionH relativeFrom="page">
                <wp:align>left</wp:align>
              </wp:positionH>
              <wp:positionV relativeFrom="page">
                <wp:align>bottom</wp:align>
              </wp:positionV>
              <wp:extent cx="7772400" cy="266700"/>
              <wp:effectExtent l="0" t="0" r="0" b="0"/>
              <wp:wrapNone/>
              <wp:docPr id="17" name="MSIPCM4c9541199066d2173f14c0c0" descr="{&quot;HashCode&quot;:-1267603503,&quot;Height&quot;:9999999.0,&quot;Width&quot;:9999999.0,&quot;Placement&quot;:&quot;Footer&quot;,&quot;Index&quot;:&quot;Primary&quot;,&quot;Section&quot;:7,&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7A02B2D" w14:textId="2635CDF6" w:rsidR="00DE760C" w:rsidRPr="00E61F44" w:rsidRDefault="00E61F44" w:rsidP="00E61F44">
                          <w:pPr>
                            <w:spacing w:after="0"/>
                            <w:rPr>
                              <w:rFonts w:ascii="Calibri" w:hAnsi="Calibri" w:cs="Calibri"/>
                              <w:color w:val="000000"/>
                            </w:rPr>
                          </w:pPr>
                          <w:r w:rsidRPr="00E61F44">
                            <w:rPr>
                              <w:rFonts w:ascii="Calibri" w:hAnsi="Calibri" w:cs="Calibri"/>
                              <w:color w:val="000000"/>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A1E768C" id="_x0000_t202" coordsize="21600,21600" o:spt="202" path="m,l,21600r21600,l21600,xe">
              <v:stroke joinstyle="miter"/>
              <v:path gradientshapeok="t" o:connecttype="rect"/>
            </v:shapetype>
            <v:shape id="MSIPCM4c9541199066d2173f14c0c0" o:spid="_x0000_s1043" type="#_x0000_t202" alt="{&quot;HashCode&quot;:-1267603503,&quot;Height&quot;:9999999.0,&quot;Width&quot;:9999999.0,&quot;Placement&quot;:&quot;Footer&quot;,&quot;Index&quot;:&quot;Primary&quot;,&quot;Section&quot;:7,&quot;Top&quot;:0.0,&quot;Left&quot;:0.0}" style="position:absolute;left:0;text-align:left;margin-left:0;margin-top:0;width:612pt;height:21pt;z-index:251725824;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" o:allowincell="f" filled="f" stroked="f" strokeweight=".5pt">
              <v:textbox inset="20pt,0,,0">
                <w:txbxContent>
                  <w:p w14:paraId="57A02B2D" w14:textId="2635CDF6" w:rsidR="00DE760C" w:rsidRPr="00E61F44" w:rsidRDefault="00E61F44" w:rsidP="00E61F44">
                    <w:pPr>
                      <w:spacing w:after="0"/>
                      <w:rPr>
                        <w:rFonts w:ascii="Calibri" w:hAnsi="Calibri" w:cs="Calibri"/>
                        <w:color w:val="000000"/>
                      </w:rPr>
                    </w:pPr>
                    <w:r w:rsidRPr="00E61F44">
                      <w:rPr>
                        <w:rFonts w:ascii="Calibri" w:hAnsi="Calibri" w:cs="Calibri"/>
                        <w:color w:val="000000"/>
                      </w:rPr>
                      <w:t>OFFICIAL</w:t>
                    </w:r>
                  </w:p>
                </w:txbxContent>
              </v:textbox>
              <w10:wrap anchorx="page" anchory="page"/>
            </v:shape>
          </w:pict>
        </mc:Fallback>
      </mc:AlternateContent>
    </w:r>
  </w:p>
  <w:p w14:paraId="01E64E69" w14:textId="77777777" w:rsidR="00C83B70" w:rsidRDefault="00C83B70" w:rsidP="003B0D01">
    <w:pPr>
      <w:pStyle w:val="Footer"/>
      <w:jc w:val="right"/>
    </w:pPr>
  </w:p>
  <w:bookmarkEnd w:id="211" w:displacedByCustomXml="next"/>
  <w:sdt>
    <w:sdtPr>
      <w:id w:val="1342278273"/>
      <w:docPartObj>
        <w:docPartGallery w:val="Page Numbers (Bottom of Page)"/>
        <w:docPartUnique/>
      </w:docPartObj>
    </w:sdtPr>
    <w:sdtEndPr>
      <w:rPr>
        <w:rStyle w:val="PageNumber"/>
        <w:rFonts w:ascii="Arial" w:hAnsi="Arial" w:cs="Arial"/>
        <w:color w:val="auto"/>
        <w:sz w:val="16"/>
        <w:szCs w:val="16"/>
      </w:rPr>
    </w:sdtEndPr>
    <w:sdtContent>
      <w:p w14:paraId="7B5AD012" w14:textId="77777777" w:rsidR="00C83B70" w:rsidRPr="001F69E9" w:rsidRDefault="00C83B70" w:rsidP="003B0D01">
        <w:pPr>
          <w:pStyle w:val="Footer"/>
          <w:jc w:val="right"/>
          <w:rPr>
            <w:rFonts w:ascii="Arial" w:hAnsi="Arial" w:cs="Arial"/>
            <w:sz w:val="16"/>
            <w:szCs w:val="16"/>
          </w:rPr>
        </w:pPr>
        <w:r w:rsidRPr="001F69E9">
          <w:rPr>
            <w:rStyle w:val="PageNumber"/>
            <w:rFonts w:ascii="Arial" w:hAnsi="Arial" w:cs="Arial"/>
            <w:sz w:val="16"/>
            <w:szCs w:val="16"/>
          </w:rPr>
          <w:fldChar w:fldCharType="begin"/>
        </w:r>
        <w:r w:rsidRPr="001F69E9">
          <w:rPr>
            <w:rStyle w:val="PageNumber"/>
            <w:rFonts w:ascii="Arial" w:hAnsi="Arial" w:cs="Arial"/>
            <w:sz w:val="16"/>
            <w:szCs w:val="16"/>
          </w:rPr>
          <w:instrText xml:space="preserve"> PAGE   \* MERGEFORMAT </w:instrText>
        </w:r>
        <w:r w:rsidRPr="001F69E9">
          <w:rPr>
            <w:rStyle w:val="PageNumber"/>
            <w:rFonts w:ascii="Arial" w:hAnsi="Arial" w:cs="Arial"/>
            <w:sz w:val="16"/>
            <w:szCs w:val="16"/>
          </w:rPr>
          <w:fldChar w:fldCharType="separate"/>
        </w:r>
        <w:r w:rsidR="00443C77">
          <w:rPr>
            <w:rStyle w:val="PageNumber"/>
            <w:rFonts w:ascii="Arial" w:hAnsi="Arial" w:cs="Arial"/>
            <w:noProof/>
            <w:sz w:val="16"/>
            <w:szCs w:val="16"/>
          </w:rPr>
          <w:t>89</w:t>
        </w:r>
        <w:r w:rsidRPr="001F69E9">
          <w:rPr>
            <w:rStyle w:val="PageNumber"/>
            <w:rFonts w:ascii="Arial" w:hAnsi="Arial" w:cs="Arial"/>
            <w:sz w:val="16"/>
            <w:szCs w:val="16"/>
          </w:rPr>
          <w:fldChar w:fldCharType="end"/>
        </w:r>
        <w:r w:rsidRPr="001F69E9">
          <w:rPr>
            <w:rStyle w:val="PageNumber"/>
            <w:rFonts w:ascii="Arial" w:hAnsi="Arial" w:cs="Arial"/>
            <w:sz w:val="16"/>
            <w:szCs w:val="16"/>
          </w:rPr>
          <w:t xml:space="preserve"> of </w:t>
        </w:r>
        <w:r w:rsidRPr="001F69E9">
          <w:rPr>
            <w:rStyle w:val="PageNumber"/>
            <w:rFonts w:ascii="Arial" w:hAnsi="Arial" w:cs="Arial"/>
            <w:sz w:val="16"/>
            <w:szCs w:val="16"/>
          </w:rPr>
          <w:fldChar w:fldCharType="begin"/>
        </w:r>
        <w:r w:rsidRPr="001F69E9">
          <w:rPr>
            <w:rStyle w:val="PageNumber"/>
            <w:rFonts w:ascii="Arial" w:hAnsi="Arial" w:cs="Arial"/>
            <w:sz w:val="16"/>
            <w:szCs w:val="16"/>
          </w:rPr>
          <w:instrText xml:space="preserve"> NUMPAGES  \* Arabic  \* MERGEFORMAT </w:instrText>
        </w:r>
        <w:r w:rsidRPr="001F69E9">
          <w:rPr>
            <w:rStyle w:val="PageNumber"/>
            <w:rFonts w:ascii="Arial" w:hAnsi="Arial" w:cs="Arial"/>
            <w:sz w:val="16"/>
            <w:szCs w:val="16"/>
          </w:rPr>
          <w:fldChar w:fldCharType="separate"/>
        </w:r>
        <w:r w:rsidR="00443C77">
          <w:rPr>
            <w:rStyle w:val="PageNumber"/>
            <w:rFonts w:ascii="Arial" w:hAnsi="Arial" w:cs="Arial"/>
            <w:noProof/>
            <w:sz w:val="16"/>
            <w:szCs w:val="16"/>
          </w:rPr>
          <w:t>102</w:t>
        </w:r>
        <w:r w:rsidRPr="001F69E9">
          <w:rPr>
            <w:rStyle w:val="PageNumber"/>
            <w:rFonts w:ascii="Arial" w:hAnsi="Arial" w:cs="Arial"/>
            <w:sz w:val="16"/>
            <w:szCs w:val="16"/>
          </w:rPr>
          <w:fldChar w:fldCharType="end"/>
        </w:r>
      </w:p>
    </w:sdtContent>
  </w:sdt>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7C935" w14:textId="6717A8B9" w:rsidR="00C83B70" w:rsidRDefault="00C83B70" w:rsidP="002B23F3">
    <w:pPr>
      <w:pStyle w:val="Footer"/>
      <w:jc w:val="right"/>
    </w:pPr>
    <w:bookmarkStart w:id="212" w:name="PandNP6FooterFirstPage"/>
    <w:r>
      <w:rPr>
        <w:noProof/>
        <w:lang w:eastAsia="en-AU"/>
      </w:rPr>
      <mc:AlternateContent>
        <mc:Choice Requires="wps">
          <w:drawing>
            <wp:anchor distT="0" distB="0" distL="114300" distR="114300" simplePos="0" relativeHeight="251721342" behindDoc="0" locked="0" layoutInCell="0" allowOverlap="1" wp14:anchorId="11B0B593" wp14:editId="29CC6D0E">
              <wp:simplePos x="0" y="9601200"/>
              <wp:positionH relativeFrom="page">
                <wp:align>left</wp:align>
              </wp:positionH>
              <wp:positionV relativeFrom="page">
                <wp:align>bottom</wp:align>
              </wp:positionV>
              <wp:extent cx="7772400" cy="266700"/>
              <wp:effectExtent l="0" t="0" r="0" b="0"/>
              <wp:wrapNone/>
              <wp:docPr id="32" name="MSIPCMcdad474697da231dd1962e46" descr="{&quot;HashCode&quot;:-1267603503,&quot;Height&quot;:9999999.0,&quot;Width&quot;:9999999.0,&quot;Placement&quot;:&quot;Footer&quot;,&quot;Index&quot;:&quot;FirstPage&quot;,&quot;Section&quot;:7,&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2C8A9E" w14:textId="4575A2E9" w:rsidR="00C83B70" w:rsidRPr="00E61F44" w:rsidRDefault="00E61F44" w:rsidP="00E61F44">
                          <w:pPr>
                            <w:spacing w:after="0"/>
                            <w:rPr>
                              <w:rFonts w:ascii="Calibri" w:hAnsi="Calibri" w:cs="Calibri"/>
                              <w:color w:val="000000"/>
                            </w:rPr>
                          </w:pPr>
                          <w:r w:rsidRPr="00E61F44">
                            <w:rPr>
                              <w:rFonts w:ascii="Calibri" w:hAnsi="Calibri" w:cs="Calibri"/>
                              <w:color w:val="000000"/>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1B0B593" id="_x0000_t202" coordsize="21600,21600" o:spt="202" path="m,l,21600r21600,l21600,xe">
              <v:stroke joinstyle="miter"/>
              <v:path gradientshapeok="t" o:connecttype="rect"/>
            </v:shapetype>
            <v:shape id="MSIPCMcdad474697da231dd1962e46" o:spid="_x0000_s1045" type="#_x0000_t202" alt="{&quot;HashCode&quot;:-1267603503,&quot;Height&quot;:9999999.0,&quot;Width&quot;:9999999.0,&quot;Placement&quot;:&quot;Footer&quot;,&quot;Index&quot;:&quot;FirstPage&quot;,&quot;Section&quot;:7,&quot;Top&quot;:0.0,&quot;Left&quot;:0.0}" style="position:absolute;left:0;text-align:left;margin-left:0;margin-top:0;width:612pt;height:21pt;z-index:251721342;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" o:allowincell="f" filled="f" stroked="f" strokeweight=".5pt">
              <v:textbox inset="20pt,0,,0">
                <w:txbxContent>
                  <w:p w14:paraId="122C8A9E" w14:textId="4575A2E9" w:rsidR="00C83B70" w:rsidRPr="00E61F44" w:rsidRDefault="00E61F44" w:rsidP="00E61F44">
                    <w:pPr>
                      <w:spacing w:after="0"/>
                      <w:rPr>
                        <w:rFonts w:ascii="Calibri" w:hAnsi="Calibri" w:cs="Calibri"/>
                        <w:color w:val="000000"/>
                      </w:rPr>
                    </w:pPr>
                    <w:r w:rsidRPr="00E61F44">
                      <w:rPr>
                        <w:rFonts w:ascii="Calibri" w:hAnsi="Calibri" w:cs="Calibri"/>
                        <w:color w:val="000000"/>
                      </w:rPr>
                      <w:t>OFFICIAL</w:t>
                    </w:r>
                  </w:p>
                </w:txbxContent>
              </v:textbox>
              <w10:wrap anchorx="page" anchory="page"/>
            </v:shape>
          </w:pict>
        </mc:Fallback>
      </mc:AlternateContent>
    </w:r>
  </w:p>
  <w:bookmarkEnd w:id="212" w:displacedByCustomXml="next"/>
  <w:sdt>
    <w:sdtPr>
      <w:id w:val="-483544150"/>
      <w:docPartObj>
        <w:docPartGallery w:val="Page Numbers (Bottom of Page)"/>
        <w:docPartUnique/>
      </w:docPartObj>
    </w:sdtPr>
    <w:sdtEndPr>
      <w:rPr>
        <w:rStyle w:val="PageNumber"/>
        <w:rFonts w:ascii="Arial" w:hAnsi="Arial" w:cs="Arial"/>
        <w:color w:val="auto"/>
        <w:sz w:val="16"/>
        <w:szCs w:val="16"/>
      </w:rPr>
    </w:sdtEndPr>
    <w:sdtContent>
      <w:p w14:paraId="667EC3A7" w14:textId="5BEE8B2E" w:rsidR="00C83B70" w:rsidRPr="001F69E9" w:rsidRDefault="00C83B70" w:rsidP="003B0D01">
        <w:pPr>
          <w:pStyle w:val="Footer"/>
          <w:jc w:val="right"/>
          <w:rPr>
            <w:rFonts w:ascii="Arial" w:hAnsi="Arial" w:cs="Arial"/>
            <w:sz w:val="16"/>
            <w:szCs w:val="16"/>
          </w:rPr>
        </w:pPr>
        <w:r w:rsidRPr="001F69E9">
          <w:rPr>
            <w:rStyle w:val="PageNumber"/>
            <w:rFonts w:ascii="Arial" w:hAnsi="Arial" w:cs="Arial"/>
            <w:sz w:val="16"/>
            <w:szCs w:val="16"/>
          </w:rPr>
          <w:fldChar w:fldCharType="begin"/>
        </w:r>
        <w:r w:rsidRPr="001F69E9">
          <w:rPr>
            <w:rStyle w:val="PageNumber"/>
            <w:rFonts w:ascii="Arial" w:hAnsi="Arial" w:cs="Arial"/>
            <w:sz w:val="16"/>
            <w:szCs w:val="16"/>
          </w:rPr>
          <w:instrText xml:space="preserve"> PAGE   \* MERGEFORMAT </w:instrText>
        </w:r>
        <w:r w:rsidRPr="001F69E9">
          <w:rPr>
            <w:rStyle w:val="PageNumber"/>
            <w:rFonts w:ascii="Arial" w:hAnsi="Arial" w:cs="Arial"/>
            <w:sz w:val="16"/>
            <w:szCs w:val="16"/>
          </w:rPr>
          <w:fldChar w:fldCharType="separate"/>
        </w:r>
        <w:r>
          <w:rPr>
            <w:rStyle w:val="PageNumber"/>
            <w:rFonts w:ascii="Arial" w:hAnsi="Arial" w:cs="Arial"/>
            <w:noProof/>
            <w:sz w:val="16"/>
            <w:szCs w:val="16"/>
          </w:rPr>
          <w:t>99</w:t>
        </w:r>
        <w:r w:rsidRPr="001F69E9">
          <w:rPr>
            <w:rStyle w:val="PageNumber"/>
            <w:rFonts w:ascii="Arial" w:hAnsi="Arial" w:cs="Arial"/>
            <w:sz w:val="16"/>
            <w:szCs w:val="16"/>
          </w:rPr>
          <w:fldChar w:fldCharType="end"/>
        </w:r>
        <w:r w:rsidRPr="001F69E9">
          <w:rPr>
            <w:rStyle w:val="PageNumber"/>
            <w:rFonts w:ascii="Arial" w:hAnsi="Arial" w:cs="Arial"/>
            <w:sz w:val="16"/>
            <w:szCs w:val="16"/>
          </w:rPr>
          <w:t xml:space="preserve"> of </w:t>
        </w:r>
        <w:r w:rsidRPr="001F69E9">
          <w:rPr>
            <w:rStyle w:val="PageNumber"/>
            <w:rFonts w:ascii="Arial" w:hAnsi="Arial" w:cs="Arial"/>
            <w:sz w:val="16"/>
            <w:szCs w:val="16"/>
          </w:rPr>
          <w:fldChar w:fldCharType="begin"/>
        </w:r>
        <w:r w:rsidRPr="001F69E9">
          <w:rPr>
            <w:rStyle w:val="PageNumber"/>
            <w:rFonts w:ascii="Arial" w:hAnsi="Arial" w:cs="Arial"/>
            <w:sz w:val="16"/>
            <w:szCs w:val="16"/>
          </w:rPr>
          <w:instrText xml:space="preserve"> NUMPAGES  \* Arabic  \* MERGEFORMAT </w:instrText>
        </w:r>
        <w:r w:rsidRPr="001F69E9">
          <w:rPr>
            <w:rStyle w:val="PageNumber"/>
            <w:rFonts w:ascii="Arial" w:hAnsi="Arial" w:cs="Arial"/>
            <w:sz w:val="16"/>
            <w:szCs w:val="16"/>
          </w:rPr>
          <w:fldChar w:fldCharType="separate"/>
        </w:r>
        <w:r>
          <w:rPr>
            <w:rStyle w:val="PageNumber"/>
            <w:rFonts w:ascii="Arial" w:hAnsi="Arial" w:cs="Arial"/>
            <w:noProof/>
            <w:sz w:val="16"/>
            <w:szCs w:val="16"/>
          </w:rPr>
          <w:t>103</w:t>
        </w:r>
        <w:r w:rsidRPr="001F69E9">
          <w:rPr>
            <w:rStyle w:val="PageNumber"/>
            <w:rFonts w:ascii="Arial" w:hAnsi="Arial" w:cs="Arial"/>
            <w:sz w:val="16"/>
            <w:szCs w:val="16"/>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D6A71" w14:textId="09451B79" w:rsidR="00C83B70" w:rsidRDefault="00C83B70" w:rsidP="002B23F3">
    <w:pPr>
      <w:pStyle w:val="Footer"/>
    </w:pPr>
    <w:bookmarkStart w:id="2" w:name="PandNP1FooterPrimary"/>
    <w:r>
      <w:rPr>
        <w:noProof/>
        <w:lang w:eastAsia="en-AU"/>
      </w:rPr>
      <mc:AlternateContent>
        <mc:Choice Requires="wps">
          <w:drawing>
            <wp:anchor distT="0" distB="0" distL="114300" distR="114300" simplePos="0" relativeHeight="251718237" behindDoc="0" locked="0" layoutInCell="0" allowOverlap="1" wp14:anchorId="3B3BAD20" wp14:editId="7EBD4554">
              <wp:simplePos x="0" y="9601200"/>
              <wp:positionH relativeFrom="page">
                <wp:align>left</wp:align>
              </wp:positionH>
              <wp:positionV relativeFrom="page">
                <wp:align>bottom</wp:align>
              </wp:positionV>
              <wp:extent cx="7772400" cy="266700"/>
              <wp:effectExtent l="0" t="0" r="0" b="0"/>
              <wp:wrapNone/>
              <wp:docPr id="8" name="MSIPCM2a944a06a7a22287ce682a62" descr="{&quot;HashCode&quot;:-1267603503,&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0DF815D" w14:textId="775DE9FB" w:rsidR="00C83B70" w:rsidRPr="000D4B5D" w:rsidRDefault="000D4B5D" w:rsidP="000D4B5D">
                          <w:pPr>
                            <w:spacing w:after="0"/>
                            <w:rPr>
                              <w:rFonts w:ascii="Calibri" w:hAnsi="Calibri" w:cs="Calibri"/>
                              <w:color w:val="000000"/>
                            </w:rPr>
                          </w:pPr>
                          <w:r w:rsidRPr="000D4B5D">
                            <w:rPr>
                              <w:rFonts w:ascii="Calibri" w:hAnsi="Calibri" w:cs="Calibri"/>
                              <w:color w:val="000000"/>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B3BAD20" id="_x0000_t202" coordsize="21600,21600" o:spt="202" path="m,l,21600r21600,l21600,xe">
              <v:stroke joinstyle="miter"/>
              <v:path gradientshapeok="t" o:connecttype="rect"/>
            </v:shapetype>
            <v:shape id="MSIPCM2a944a06a7a22287ce682a62" o:spid="_x0000_s1028" type="#_x0000_t202" alt="{&quot;HashCode&quot;:-1267603503,&quot;Height&quot;:9999999.0,&quot;Width&quot;:9999999.0,&quot;Placement&quot;:&quot;Footer&quot;,&quot;Index&quot;:&quot;Primary&quot;,&quot;Section&quot;:1,&quot;Top&quot;:0.0,&quot;Left&quot;:0.0}" style="position:absolute;margin-left:0;margin-top:0;width:612pt;height:21pt;z-index:251718237;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" o:allowincell="f" filled="f" stroked="f" strokeweight=".5pt">
              <v:textbox inset="20pt,0,,0">
                <w:txbxContent>
                  <w:p w14:paraId="50DF815D" w14:textId="775DE9FB" w:rsidR="00C83B70" w:rsidRPr="000D4B5D" w:rsidRDefault="000D4B5D" w:rsidP="000D4B5D">
                    <w:pPr>
                      <w:spacing w:after="0"/>
                      <w:rPr>
                        <w:rFonts w:ascii="Calibri" w:hAnsi="Calibri" w:cs="Calibri"/>
                        <w:color w:val="000000"/>
                      </w:rPr>
                    </w:pPr>
                    <w:r w:rsidRPr="000D4B5D">
                      <w:rPr>
                        <w:rFonts w:ascii="Calibri" w:hAnsi="Calibri" w:cs="Calibri"/>
                        <w:color w:val="000000"/>
                      </w:rPr>
                      <w:t>OFFICIAL</w:t>
                    </w:r>
                  </w:p>
                </w:txbxContent>
              </v:textbox>
              <w10:wrap anchorx="page" anchory="page"/>
            </v:shape>
          </w:pict>
        </mc:Fallback>
      </mc:AlternateContent>
    </w:r>
  </w:p>
  <w:bookmarkEnd w:id="2"/>
  <w:p w14:paraId="5F9973F3" w14:textId="77777777" w:rsidR="00C83B70" w:rsidRDefault="00C83B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58554" w14:textId="09AE060E" w:rsidR="00C83B70" w:rsidRDefault="00DE760C" w:rsidP="002B23F3">
    <w:pPr>
      <w:pStyle w:val="Footer"/>
    </w:pPr>
    <w:bookmarkStart w:id="3" w:name="PandNP1FooterFirstPage"/>
    <w:r>
      <w:rPr>
        <w:noProof/>
      </w:rPr>
      <mc:AlternateContent>
        <mc:Choice Requires="wps">
          <w:drawing>
            <wp:anchor distT="0" distB="0" distL="114300" distR="114300" simplePos="0" relativeHeight="251721790" behindDoc="0" locked="0" layoutInCell="0" allowOverlap="1" wp14:anchorId="742B068C" wp14:editId="3AFBC7B8">
              <wp:simplePos x="0" y="0"/>
              <wp:positionH relativeFrom="page">
                <wp:align>left</wp:align>
              </wp:positionH>
              <wp:positionV relativeFrom="page">
                <wp:align>bottom</wp:align>
              </wp:positionV>
              <wp:extent cx="7772400" cy="266700"/>
              <wp:effectExtent l="0" t="0" r="0" b="0"/>
              <wp:wrapNone/>
              <wp:docPr id="3" name="MSIPCM92fd4cdfb2a1840a467e3c5e" descr="{&quot;HashCode&quot;:-1267603503,&quot;Height&quot;:9999999.0,&quot;Width&quot;:9999999.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32C809A" w14:textId="00CD16E9" w:rsidR="00DE760C" w:rsidRPr="000D4B5D" w:rsidRDefault="000D4B5D" w:rsidP="000D4B5D">
                          <w:pPr>
                            <w:spacing w:after="0"/>
                            <w:rPr>
                              <w:rFonts w:ascii="Calibri" w:hAnsi="Calibri" w:cs="Calibri"/>
                              <w:color w:val="000000"/>
                            </w:rPr>
                          </w:pPr>
                          <w:r w:rsidRPr="000D4B5D">
                            <w:rPr>
                              <w:rFonts w:ascii="Calibri" w:hAnsi="Calibri" w:cs="Calibri"/>
                              <w:color w:val="000000"/>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42B068C" id="_x0000_t202" coordsize="21600,21600" o:spt="202" path="m,l,21600r21600,l21600,xe">
              <v:stroke joinstyle="miter"/>
              <v:path gradientshapeok="t" o:connecttype="rect"/>
            </v:shapetype>
            <v:shape id="MSIPCM92fd4cdfb2a1840a467e3c5e" o:spid="_x0000_s1029" type="#_x0000_t202" alt="{&quot;HashCode&quot;:-1267603503,&quot;Height&quot;:9999999.0,&quot;Width&quot;:9999999.0,&quot;Placement&quot;:&quot;Footer&quot;,&quot;Index&quot;:&quot;FirstPage&quot;,&quot;Section&quot;:1,&quot;Top&quot;:0.0,&quot;Left&quot;:0.0}" style="position:absolute;margin-left:0;margin-top:0;width:612pt;height:21pt;z-index:251721790;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" o:allowincell="f" filled="f" stroked="f" strokeweight=".5pt">
              <v:textbox inset="20pt,0,,0">
                <w:txbxContent>
                  <w:p w14:paraId="032C809A" w14:textId="00CD16E9" w:rsidR="00DE760C" w:rsidRPr="000D4B5D" w:rsidRDefault="000D4B5D" w:rsidP="000D4B5D">
                    <w:pPr>
                      <w:spacing w:after="0"/>
                      <w:rPr>
                        <w:rFonts w:ascii="Calibri" w:hAnsi="Calibri" w:cs="Calibri"/>
                        <w:color w:val="000000"/>
                      </w:rPr>
                    </w:pPr>
                    <w:r w:rsidRPr="000D4B5D">
                      <w:rPr>
                        <w:rFonts w:ascii="Calibri" w:hAnsi="Calibri" w:cs="Calibri"/>
                        <w:color w:val="000000"/>
                      </w:rPr>
                      <w:t>OFFICIAL</w:t>
                    </w:r>
                  </w:p>
                </w:txbxContent>
              </v:textbox>
              <w10:wrap anchorx="page" anchory="page"/>
            </v:shape>
          </w:pict>
        </mc:Fallback>
      </mc:AlternateContent>
    </w:r>
  </w:p>
  <w:bookmarkEnd w:id="3"/>
  <w:p w14:paraId="3DC8AA0D" w14:textId="77777777" w:rsidR="00C83B70" w:rsidRDefault="00C83B7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98119" w14:textId="77777777" w:rsidR="00C83B70" w:rsidRDefault="00C83B70" w:rsidP="002B23F3">
    <w:pPr>
      <w:pStyle w:val="Footer"/>
      <w:jc w:val="right"/>
    </w:pPr>
    <w:bookmarkStart w:id="4" w:name="PandNP2FooterEvenPages"/>
  </w:p>
  <w:bookmarkEnd w:id="4" w:displacedByCustomXml="next"/>
  <w:sdt>
    <w:sdtPr>
      <w:id w:val="1023666536"/>
      <w:docPartObj>
        <w:docPartGallery w:val="Page Numbers (Bottom of Page)"/>
        <w:docPartUnique/>
      </w:docPartObj>
    </w:sdtPr>
    <w:sdtEndPr>
      <w:rPr>
        <w:rStyle w:val="PageNumber"/>
        <w:rFonts w:ascii="Univers 45 Light" w:hAnsi="Univers 45 Light"/>
        <w:color w:val="auto"/>
        <w:sz w:val="18"/>
      </w:rPr>
    </w:sdtEndPr>
    <w:sdtContent>
      <w:p w14:paraId="72FA8414" w14:textId="77777777" w:rsidR="00C83B70" w:rsidRPr="003B0D01" w:rsidRDefault="00C83B7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Pr>
            <w:rStyle w:val="PageNumber"/>
            <w:noProof/>
          </w:rPr>
          <w:t>ii</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Pr>
            <w:rStyle w:val="PageNumber"/>
            <w:noProof/>
          </w:rPr>
          <w:t>45</w:t>
        </w:r>
        <w:r>
          <w:rPr>
            <w:rStyle w:val="PageNumber"/>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A8C96" w14:textId="7DA80085" w:rsidR="00C83B70" w:rsidRDefault="00DE760C" w:rsidP="002B23F3">
    <w:pPr>
      <w:pStyle w:val="Footer"/>
      <w:jc w:val="right"/>
    </w:pPr>
    <w:bookmarkStart w:id="5" w:name="PandNP2FooterPrimary"/>
    <w:r>
      <w:rPr>
        <w:noProof/>
      </w:rPr>
      <mc:AlternateContent>
        <mc:Choice Requires="wps">
          <w:drawing>
            <wp:anchor distT="0" distB="0" distL="114300" distR="114300" simplePos="0" relativeHeight="251723647" behindDoc="0" locked="0" layoutInCell="0" allowOverlap="1" wp14:anchorId="3128DA24" wp14:editId="2125FF15">
              <wp:simplePos x="0" y="0"/>
              <wp:positionH relativeFrom="page">
                <wp:align>left</wp:align>
              </wp:positionH>
              <wp:positionV relativeFrom="page">
                <wp:align>bottom</wp:align>
              </wp:positionV>
              <wp:extent cx="7772400" cy="266700"/>
              <wp:effectExtent l="0" t="0" r="0" b="0"/>
              <wp:wrapNone/>
              <wp:docPr id="5" name="MSIPCMfab24ef6b4146ade4d925919" descr="{&quot;HashCode&quot;:-1267603503,&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21FEF1" w14:textId="2419DA31" w:rsidR="00DE760C" w:rsidRPr="000D4B5D" w:rsidRDefault="000D4B5D" w:rsidP="000D4B5D">
                          <w:pPr>
                            <w:spacing w:after="0"/>
                            <w:rPr>
                              <w:rFonts w:ascii="Calibri" w:hAnsi="Calibri" w:cs="Calibri"/>
                              <w:color w:val="000000"/>
                            </w:rPr>
                          </w:pPr>
                          <w:r w:rsidRPr="000D4B5D">
                            <w:rPr>
                              <w:rFonts w:ascii="Calibri" w:hAnsi="Calibri" w:cs="Calibri"/>
                              <w:color w:val="000000"/>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128DA24" id="_x0000_t202" coordsize="21600,21600" o:spt="202" path="m,l,21600r21600,l21600,xe">
              <v:stroke joinstyle="miter"/>
              <v:path gradientshapeok="t" o:connecttype="rect"/>
            </v:shapetype>
            <v:shape id="MSIPCMfab24ef6b4146ade4d925919" o:spid="_x0000_s1031" type="#_x0000_t202" alt="{&quot;HashCode&quot;:-1267603503,&quot;Height&quot;:9999999.0,&quot;Width&quot;:9999999.0,&quot;Placement&quot;:&quot;Footer&quot;,&quot;Index&quot;:&quot;Primary&quot;,&quot;Section&quot;:2,&quot;Top&quot;:0.0,&quot;Left&quot;:0.0}" style="position:absolute;left:0;text-align:left;margin-left:0;margin-top:0;width:612pt;height:21pt;z-index:251723647;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" o:allowincell="f" filled="f" stroked="f" strokeweight=".5pt">
              <v:textbox inset="20pt,0,,0">
                <w:txbxContent>
                  <w:p w14:paraId="0721FEF1" w14:textId="2419DA31" w:rsidR="00DE760C" w:rsidRPr="000D4B5D" w:rsidRDefault="000D4B5D" w:rsidP="000D4B5D">
                    <w:pPr>
                      <w:spacing w:after="0"/>
                      <w:rPr>
                        <w:rFonts w:ascii="Calibri" w:hAnsi="Calibri" w:cs="Calibri"/>
                        <w:color w:val="000000"/>
                      </w:rPr>
                    </w:pPr>
                    <w:r w:rsidRPr="000D4B5D">
                      <w:rPr>
                        <w:rFonts w:ascii="Calibri" w:hAnsi="Calibri" w:cs="Calibri"/>
                        <w:color w:val="000000"/>
                      </w:rPr>
                      <w:t>OFFICIAL</w:t>
                    </w:r>
                  </w:p>
                </w:txbxContent>
              </v:textbox>
              <w10:wrap anchorx="page" anchory="page"/>
            </v:shape>
          </w:pict>
        </mc:Fallback>
      </mc:AlternateContent>
    </w:r>
  </w:p>
  <w:bookmarkEnd w:id="5" w:displacedByCustomXml="next"/>
  <w:sdt>
    <w:sdtPr>
      <w:id w:val="-1376075261"/>
      <w:docPartObj>
        <w:docPartGallery w:val="Page Numbers (Bottom of Page)"/>
        <w:docPartUnique/>
      </w:docPartObj>
    </w:sdtPr>
    <w:sdtEndPr>
      <w:rPr>
        <w:rStyle w:val="PageNumber"/>
        <w:rFonts w:ascii="Arial" w:hAnsi="Arial" w:cs="Arial"/>
        <w:color w:val="auto"/>
        <w:sz w:val="16"/>
        <w:szCs w:val="16"/>
      </w:rPr>
    </w:sdtEndPr>
    <w:sdtContent>
      <w:p w14:paraId="720FFF66" w14:textId="38C762C3" w:rsidR="00C83B70" w:rsidRPr="001F69E9" w:rsidRDefault="00C83B70" w:rsidP="003B0D01">
        <w:pPr>
          <w:pStyle w:val="Footer"/>
          <w:jc w:val="right"/>
          <w:rPr>
            <w:rFonts w:ascii="Arial" w:hAnsi="Arial" w:cs="Arial"/>
            <w:sz w:val="16"/>
            <w:szCs w:val="16"/>
          </w:rPr>
        </w:pPr>
        <w:r w:rsidRPr="001F69E9">
          <w:rPr>
            <w:rStyle w:val="PageNumber"/>
            <w:rFonts w:ascii="Arial" w:hAnsi="Arial" w:cs="Arial"/>
            <w:sz w:val="16"/>
            <w:szCs w:val="16"/>
          </w:rPr>
          <w:fldChar w:fldCharType="begin"/>
        </w:r>
        <w:r w:rsidRPr="001F69E9">
          <w:rPr>
            <w:rStyle w:val="PageNumber"/>
            <w:rFonts w:ascii="Arial" w:hAnsi="Arial" w:cs="Arial"/>
            <w:sz w:val="16"/>
            <w:szCs w:val="16"/>
          </w:rPr>
          <w:instrText xml:space="preserve"> PAGE   \* MERGEFORMAT </w:instrText>
        </w:r>
        <w:r w:rsidRPr="001F69E9">
          <w:rPr>
            <w:rStyle w:val="PageNumber"/>
            <w:rFonts w:ascii="Arial" w:hAnsi="Arial" w:cs="Arial"/>
            <w:sz w:val="16"/>
            <w:szCs w:val="16"/>
          </w:rPr>
          <w:fldChar w:fldCharType="separate"/>
        </w:r>
        <w:r w:rsidR="00443C77">
          <w:rPr>
            <w:rStyle w:val="PageNumber"/>
            <w:rFonts w:ascii="Arial" w:hAnsi="Arial" w:cs="Arial"/>
            <w:noProof/>
            <w:sz w:val="16"/>
            <w:szCs w:val="16"/>
          </w:rPr>
          <w:t>ii</w:t>
        </w:r>
        <w:r w:rsidRPr="001F69E9">
          <w:rPr>
            <w:rStyle w:val="PageNumber"/>
            <w:rFonts w:ascii="Arial" w:hAnsi="Arial" w:cs="Arial"/>
            <w:sz w:val="16"/>
            <w:szCs w:val="16"/>
          </w:rPr>
          <w:fldChar w:fldCharType="end"/>
        </w:r>
        <w:r w:rsidRPr="001F69E9">
          <w:rPr>
            <w:rStyle w:val="PageNumber"/>
            <w:rFonts w:ascii="Arial" w:hAnsi="Arial" w:cs="Arial"/>
            <w:sz w:val="16"/>
            <w:szCs w:val="16"/>
          </w:rPr>
          <w:t xml:space="preserve"> of </w:t>
        </w:r>
        <w:r w:rsidRPr="001F69E9">
          <w:rPr>
            <w:rStyle w:val="PageNumber"/>
            <w:rFonts w:ascii="Arial" w:hAnsi="Arial" w:cs="Arial"/>
            <w:sz w:val="16"/>
            <w:szCs w:val="16"/>
          </w:rPr>
          <w:fldChar w:fldCharType="begin"/>
        </w:r>
        <w:r w:rsidRPr="001F69E9">
          <w:rPr>
            <w:rStyle w:val="PageNumber"/>
            <w:rFonts w:ascii="Arial" w:hAnsi="Arial" w:cs="Arial"/>
            <w:sz w:val="16"/>
            <w:szCs w:val="16"/>
          </w:rPr>
          <w:instrText xml:space="preserve"> NUMPAGES  \* Arabic  \* MERGEFORMAT </w:instrText>
        </w:r>
        <w:r w:rsidRPr="001F69E9">
          <w:rPr>
            <w:rStyle w:val="PageNumber"/>
            <w:rFonts w:ascii="Arial" w:hAnsi="Arial" w:cs="Arial"/>
            <w:sz w:val="16"/>
            <w:szCs w:val="16"/>
          </w:rPr>
          <w:fldChar w:fldCharType="separate"/>
        </w:r>
        <w:r w:rsidR="00443C77">
          <w:rPr>
            <w:rStyle w:val="PageNumber"/>
            <w:rFonts w:ascii="Arial" w:hAnsi="Arial" w:cs="Arial"/>
            <w:noProof/>
            <w:sz w:val="16"/>
            <w:szCs w:val="16"/>
          </w:rPr>
          <w:t>102</w:t>
        </w:r>
        <w:r w:rsidRPr="001F69E9">
          <w:rPr>
            <w:rStyle w:val="PageNumber"/>
            <w:rFonts w:ascii="Arial" w:hAnsi="Arial" w:cs="Arial"/>
            <w:sz w:val="16"/>
            <w:szCs w:val="16"/>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21E4E6" w14:textId="73A076DE" w:rsidR="00C83B70" w:rsidRDefault="00C83B70" w:rsidP="002B23F3">
    <w:pPr>
      <w:pStyle w:val="Footer"/>
      <w:jc w:val="right"/>
    </w:pPr>
    <w:bookmarkStart w:id="6" w:name="PandNP2FooterFirstPage"/>
    <w:r>
      <w:rPr>
        <w:noProof/>
        <w:lang w:eastAsia="en-AU"/>
      </w:rPr>
      <mc:AlternateContent>
        <mc:Choice Requires="wps">
          <w:drawing>
            <wp:anchor distT="0" distB="0" distL="114300" distR="114300" simplePos="0" relativeHeight="251718749" behindDoc="0" locked="0" layoutInCell="0" allowOverlap="1" wp14:anchorId="6DFD1ECD" wp14:editId="362E3CB9">
              <wp:simplePos x="0" y="9601200"/>
              <wp:positionH relativeFrom="page">
                <wp:align>left</wp:align>
              </wp:positionH>
              <wp:positionV relativeFrom="page">
                <wp:align>bottom</wp:align>
              </wp:positionV>
              <wp:extent cx="7772400" cy="266700"/>
              <wp:effectExtent l="0" t="0" r="0" b="0"/>
              <wp:wrapNone/>
              <wp:docPr id="22" name="MSIPCM814c4db1a4d5178712de88f6" descr="{&quot;HashCode&quot;:-1267603503,&quot;Height&quot;:9999999.0,&quot;Width&quot;:9999999.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D3798AB" w14:textId="6BFA25BB" w:rsidR="00C83B70" w:rsidRPr="000D4B5D" w:rsidRDefault="000D4B5D" w:rsidP="000D4B5D">
                          <w:pPr>
                            <w:spacing w:after="0"/>
                            <w:rPr>
                              <w:rFonts w:ascii="Calibri" w:hAnsi="Calibri" w:cs="Calibri"/>
                              <w:color w:val="000000"/>
                            </w:rPr>
                          </w:pPr>
                          <w:r w:rsidRPr="000D4B5D">
                            <w:rPr>
                              <w:rFonts w:ascii="Calibri" w:hAnsi="Calibri" w:cs="Calibri"/>
                              <w:color w:val="000000"/>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DFD1ECD" id="_x0000_t202" coordsize="21600,21600" o:spt="202" path="m,l,21600r21600,l21600,xe">
              <v:stroke joinstyle="miter"/>
              <v:path gradientshapeok="t" o:connecttype="rect"/>
            </v:shapetype>
            <v:shape id="MSIPCM814c4db1a4d5178712de88f6" o:spid="_x0000_s1033" type="#_x0000_t202" alt="{&quot;HashCode&quot;:-1267603503,&quot;Height&quot;:9999999.0,&quot;Width&quot;:9999999.0,&quot;Placement&quot;:&quot;Footer&quot;,&quot;Index&quot;:&quot;FirstPage&quot;,&quot;Section&quot;:2,&quot;Top&quot;:0.0,&quot;Left&quot;:0.0}" style="position:absolute;left:0;text-align:left;margin-left:0;margin-top:0;width:612pt;height:21pt;z-index:251718749;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" o:allowincell="f" filled="f" stroked="f" strokeweight=".5pt">
              <v:textbox inset="20pt,0,,0">
                <w:txbxContent>
                  <w:p w14:paraId="6D3798AB" w14:textId="6BFA25BB" w:rsidR="00C83B70" w:rsidRPr="000D4B5D" w:rsidRDefault="000D4B5D" w:rsidP="000D4B5D">
                    <w:pPr>
                      <w:spacing w:after="0"/>
                      <w:rPr>
                        <w:rFonts w:ascii="Calibri" w:hAnsi="Calibri" w:cs="Calibri"/>
                        <w:color w:val="000000"/>
                      </w:rPr>
                    </w:pPr>
                    <w:r w:rsidRPr="000D4B5D">
                      <w:rPr>
                        <w:rFonts w:ascii="Calibri" w:hAnsi="Calibri" w:cs="Calibri"/>
                        <w:color w:val="000000"/>
                      </w:rPr>
                      <w:t>OFFICIAL</w:t>
                    </w:r>
                  </w:p>
                </w:txbxContent>
              </v:textbox>
              <w10:wrap anchorx="page" anchory="page"/>
            </v:shape>
          </w:pict>
        </mc:Fallback>
      </mc:AlternateContent>
    </w:r>
  </w:p>
  <w:bookmarkEnd w:id="6" w:displacedByCustomXml="next"/>
  <w:sdt>
    <w:sdtPr>
      <w:id w:val="1205679619"/>
      <w:docPartObj>
        <w:docPartGallery w:val="Page Numbers (Bottom of Page)"/>
        <w:docPartUnique/>
      </w:docPartObj>
    </w:sdtPr>
    <w:sdtEndPr>
      <w:rPr>
        <w:rStyle w:val="PageNumber"/>
        <w:rFonts w:ascii="Univers 45 Light" w:hAnsi="Univers 45 Light"/>
        <w:color w:val="auto"/>
        <w:sz w:val="18"/>
      </w:rPr>
    </w:sdtEndPr>
    <w:sdtContent>
      <w:p w14:paraId="0D572FE3" w14:textId="77777777" w:rsidR="00C83B70" w:rsidRPr="003B0D01" w:rsidRDefault="00C83B7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Pr>
            <w:rStyle w:val="PageNumber"/>
            <w:noProof/>
          </w:rPr>
          <w:t>i</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Pr>
            <w:rStyle w:val="PageNumber"/>
            <w:noProof/>
          </w:rPr>
          <w:t>9</w:t>
        </w:r>
        <w:r>
          <w:rPr>
            <w:rStyle w:val="PageNumber"/>
          </w:rPr>
          <w:fldChar w:fldCharType="end"/>
        </w:r>
      </w:p>
    </w:sdtContent>
  </w:sdt>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0D990" w14:textId="77777777" w:rsidR="00C83B70" w:rsidRDefault="00C83B70" w:rsidP="002B23F3">
    <w:pPr>
      <w:pStyle w:val="Footer"/>
      <w:jc w:val="right"/>
    </w:pPr>
    <w:bookmarkStart w:id="9" w:name="PandNP3FooterEvenPages"/>
  </w:p>
  <w:bookmarkEnd w:id="9" w:displacedByCustomXml="next"/>
  <w:sdt>
    <w:sdtPr>
      <w:id w:val="2045865670"/>
      <w:docPartObj>
        <w:docPartGallery w:val="Page Numbers (Bottom of Page)"/>
        <w:docPartUnique/>
      </w:docPartObj>
    </w:sdtPr>
    <w:sdtEndPr>
      <w:rPr>
        <w:rStyle w:val="PageNumber"/>
        <w:rFonts w:ascii="Univers 45 Light" w:hAnsi="Univers 45 Light"/>
        <w:color w:val="auto"/>
        <w:sz w:val="18"/>
      </w:rPr>
    </w:sdtEndPr>
    <w:sdtContent>
      <w:p w14:paraId="48874759" w14:textId="34D6A821" w:rsidR="00C83B70" w:rsidRPr="003B0D01" w:rsidRDefault="00C83B7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Pr>
            <w:rStyle w:val="PageNumber"/>
            <w:noProof/>
          </w:rPr>
          <w:t>64</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Pr>
            <w:rStyle w:val="PageNumber"/>
            <w:noProof/>
          </w:rPr>
          <w:t>82</w:t>
        </w:r>
        <w:r>
          <w:rPr>
            <w:rStyle w:val="PageNumber"/>
          </w:rPr>
          <w:fldChar w:fldCharType="end"/>
        </w:r>
      </w:p>
    </w:sdtContent>
  </w:sdt>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C3B60" w14:textId="0D4136D0" w:rsidR="00C83B70" w:rsidRDefault="00DE760C" w:rsidP="002B23F3">
    <w:pPr>
      <w:pStyle w:val="Footer"/>
      <w:jc w:val="right"/>
    </w:pPr>
    <w:bookmarkStart w:id="10" w:name="PandNP3FooterPrimary"/>
    <w:r>
      <w:rPr>
        <w:noProof/>
      </w:rPr>
      <mc:AlternateContent>
        <mc:Choice Requires="wps">
          <w:drawing>
            <wp:anchor distT="0" distB="0" distL="114300" distR="114300" simplePos="0" relativeHeight="251724223" behindDoc="0" locked="0" layoutInCell="0" allowOverlap="1" wp14:anchorId="19E07998" wp14:editId="2668B836">
              <wp:simplePos x="0" y="0"/>
              <wp:positionH relativeFrom="page">
                <wp:align>left</wp:align>
              </wp:positionH>
              <wp:positionV relativeFrom="page">
                <wp:align>bottom</wp:align>
              </wp:positionV>
              <wp:extent cx="7772400" cy="266700"/>
              <wp:effectExtent l="0" t="0" r="0" b="0"/>
              <wp:wrapNone/>
              <wp:docPr id="11" name="MSIPCMe36a434eaa932dc32962abb9" descr="{&quot;HashCode&quot;:-1267603503,&quot;Height&quot;:9999999.0,&quot;Width&quot;:9999999.0,&quot;Placement&quot;:&quot;Foot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C71378" w14:textId="063C7AEF" w:rsidR="00DE760C" w:rsidRPr="000D4B5D" w:rsidRDefault="000D4B5D" w:rsidP="000D4B5D">
                          <w:pPr>
                            <w:spacing w:after="0"/>
                            <w:rPr>
                              <w:rFonts w:ascii="Calibri" w:hAnsi="Calibri" w:cs="Calibri"/>
                              <w:color w:val="000000"/>
                            </w:rPr>
                          </w:pPr>
                          <w:r w:rsidRPr="000D4B5D">
                            <w:rPr>
                              <w:rFonts w:ascii="Calibri" w:hAnsi="Calibri" w:cs="Calibri"/>
                              <w:color w:val="000000"/>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9E07998" id="_x0000_t202" coordsize="21600,21600" o:spt="202" path="m,l,21600r21600,l21600,xe">
              <v:stroke joinstyle="miter"/>
              <v:path gradientshapeok="t" o:connecttype="rect"/>
            </v:shapetype>
            <v:shape id="MSIPCMe36a434eaa932dc32962abb9" o:spid="_x0000_s1035" type="#_x0000_t202" alt="{&quot;HashCode&quot;:-1267603503,&quot;Height&quot;:9999999.0,&quot;Width&quot;:9999999.0,&quot;Placement&quot;:&quot;Footer&quot;,&quot;Index&quot;:&quot;Primary&quot;,&quot;Section&quot;:3,&quot;Top&quot;:0.0,&quot;Left&quot;:0.0}" style="position:absolute;left:0;text-align:left;margin-left:0;margin-top:0;width:612pt;height:21pt;z-index:251724223;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" o:allowincell="f" filled="f" stroked="f" strokeweight=".5pt">
              <v:textbox inset="20pt,0,,0">
                <w:txbxContent>
                  <w:p w14:paraId="28C71378" w14:textId="063C7AEF" w:rsidR="00DE760C" w:rsidRPr="000D4B5D" w:rsidRDefault="000D4B5D" w:rsidP="000D4B5D">
                    <w:pPr>
                      <w:spacing w:after="0"/>
                      <w:rPr>
                        <w:rFonts w:ascii="Calibri" w:hAnsi="Calibri" w:cs="Calibri"/>
                        <w:color w:val="000000"/>
                      </w:rPr>
                    </w:pPr>
                    <w:r w:rsidRPr="000D4B5D">
                      <w:rPr>
                        <w:rFonts w:ascii="Calibri" w:hAnsi="Calibri" w:cs="Calibri"/>
                        <w:color w:val="000000"/>
                      </w:rPr>
                      <w:t>OFFICIAL</w:t>
                    </w:r>
                  </w:p>
                </w:txbxContent>
              </v:textbox>
              <w10:wrap anchorx="page" anchory="page"/>
            </v:shape>
          </w:pict>
        </mc:Fallback>
      </mc:AlternateContent>
    </w:r>
  </w:p>
  <w:bookmarkEnd w:id="10" w:displacedByCustomXml="next"/>
  <w:sdt>
    <w:sdtPr>
      <w:id w:val="1340730898"/>
      <w:docPartObj>
        <w:docPartGallery w:val="Page Numbers (Bottom of Page)"/>
        <w:docPartUnique/>
      </w:docPartObj>
    </w:sdtPr>
    <w:sdtEndPr>
      <w:rPr>
        <w:rStyle w:val="PageNumber"/>
        <w:rFonts w:ascii="Arial" w:hAnsi="Arial" w:cs="Arial"/>
        <w:color w:val="auto"/>
        <w:sz w:val="16"/>
        <w:szCs w:val="16"/>
      </w:rPr>
    </w:sdtEndPr>
    <w:sdtContent>
      <w:p w14:paraId="531E8EB7" w14:textId="3F7CEC0A" w:rsidR="00C83B70" w:rsidRPr="001F69E9" w:rsidRDefault="00C83B70" w:rsidP="003B0D01">
        <w:pPr>
          <w:pStyle w:val="Footer"/>
          <w:jc w:val="right"/>
          <w:rPr>
            <w:rFonts w:ascii="Arial" w:hAnsi="Arial" w:cs="Arial"/>
            <w:sz w:val="16"/>
            <w:szCs w:val="16"/>
          </w:rPr>
        </w:pPr>
        <w:r w:rsidRPr="001F69E9">
          <w:rPr>
            <w:rStyle w:val="PageNumber"/>
            <w:rFonts w:ascii="Arial" w:hAnsi="Arial" w:cs="Arial"/>
            <w:sz w:val="16"/>
            <w:szCs w:val="16"/>
          </w:rPr>
          <w:fldChar w:fldCharType="begin"/>
        </w:r>
        <w:r w:rsidRPr="001F69E9">
          <w:rPr>
            <w:rStyle w:val="PageNumber"/>
            <w:rFonts w:ascii="Arial" w:hAnsi="Arial" w:cs="Arial"/>
            <w:sz w:val="16"/>
            <w:szCs w:val="16"/>
          </w:rPr>
          <w:instrText xml:space="preserve"> PAGE   \* MERGEFORMAT </w:instrText>
        </w:r>
        <w:r w:rsidRPr="001F69E9">
          <w:rPr>
            <w:rStyle w:val="PageNumber"/>
            <w:rFonts w:ascii="Arial" w:hAnsi="Arial" w:cs="Arial"/>
            <w:sz w:val="16"/>
            <w:szCs w:val="16"/>
          </w:rPr>
          <w:fldChar w:fldCharType="separate"/>
        </w:r>
        <w:r w:rsidR="00443C77">
          <w:rPr>
            <w:rStyle w:val="PageNumber"/>
            <w:rFonts w:ascii="Arial" w:hAnsi="Arial" w:cs="Arial"/>
            <w:noProof/>
            <w:sz w:val="16"/>
            <w:szCs w:val="16"/>
          </w:rPr>
          <w:t>1</w:t>
        </w:r>
        <w:r w:rsidRPr="001F69E9">
          <w:rPr>
            <w:rStyle w:val="PageNumber"/>
            <w:rFonts w:ascii="Arial" w:hAnsi="Arial" w:cs="Arial"/>
            <w:sz w:val="16"/>
            <w:szCs w:val="16"/>
          </w:rPr>
          <w:fldChar w:fldCharType="end"/>
        </w:r>
        <w:r w:rsidRPr="001F69E9">
          <w:rPr>
            <w:rStyle w:val="PageNumber"/>
            <w:rFonts w:ascii="Arial" w:hAnsi="Arial" w:cs="Arial"/>
            <w:sz w:val="16"/>
            <w:szCs w:val="16"/>
          </w:rPr>
          <w:t xml:space="preserve"> of </w:t>
        </w:r>
        <w:r w:rsidRPr="001F69E9">
          <w:rPr>
            <w:rStyle w:val="PageNumber"/>
            <w:rFonts w:ascii="Arial" w:hAnsi="Arial" w:cs="Arial"/>
            <w:sz w:val="16"/>
            <w:szCs w:val="16"/>
          </w:rPr>
          <w:fldChar w:fldCharType="begin"/>
        </w:r>
        <w:r w:rsidRPr="001F69E9">
          <w:rPr>
            <w:rStyle w:val="PageNumber"/>
            <w:rFonts w:ascii="Arial" w:hAnsi="Arial" w:cs="Arial"/>
            <w:sz w:val="16"/>
            <w:szCs w:val="16"/>
          </w:rPr>
          <w:instrText xml:space="preserve"> NUMPAGES  \* Arabic  \* MERGEFORMAT </w:instrText>
        </w:r>
        <w:r w:rsidRPr="001F69E9">
          <w:rPr>
            <w:rStyle w:val="PageNumber"/>
            <w:rFonts w:ascii="Arial" w:hAnsi="Arial" w:cs="Arial"/>
            <w:sz w:val="16"/>
            <w:szCs w:val="16"/>
          </w:rPr>
          <w:fldChar w:fldCharType="separate"/>
        </w:r>
        <w:r w:rsidR="00443C77">
          <w:rPr>
            <w:rStyle w:val="PageNumber"/>
            <w:rFonts w:ascii="Arial" w:hAnsi="Arial" w:cs="Arial"/>
            <w:noProof/>
            <w:sz w:val="16"/>
            <w:szCs w:val="16"/>
          </w:rPr>
          <w:t>102</w:t>
        </w:r>
        <w:r w:rsidRPr="001F69E9">
          <w:rPr>
            <w:rStyle w:val="PageNumber"/>
            <w:rFonts w:ascii="Arial" w:hAnsi="Arial" w:cs="Arial"/>
            <w:sz w:val="16"/>
            <w:szCs w:val="16"/>
          </w:rPr>
          <w:fldChar w:fldCharType="end"/>
        </w:r>
      </w:p>
    </w:sdtContent>
  </w:sdt>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62CA2" w14:textId="5FFA1857" w:rsidR="00C83B70" w:rsidRDefault="00C83B70" w:rsidP="002B23F3">
    <w:pPr>
      <w:pStyle w:val="Footer"/>
      <w:jc w:val="right"/>
    </w:pPr>
    <w:bookmarkStart w:id="11" w:name="PandNP3FooterFirstPage"/>
    <w:r>
      <w:rPr>
        <w:noProof/>
        <w:lang w:eastAsia="en-AU"/>
      </w:rPr>
      <mc:AlternateContent>
        <mc:Choice Requires="wps">
          <w:drawing>
            <wp:anchor distT="0" distB="0" distL="114300" distR="114300" simplePos="0" relativeHeight="251720533" behindDoc="0" locked="0" layoutInCell="0" allowOverlap="1" wp14:anchorId="18849F58" wp14:editId="4AB7C2C0">
              <wp:simplePos x="0" y="9601200"/>
              <wp:positionH relativeFrom="page">
                <wp:align>left</wp:align>
              </wp:positionH>
              <wp:positionV relativeFrom="page">
                <wp:align>bottom</wp:align>
              </wp:positionV>
              <wp:extent cx="7772400" cy="266700"/>
              <wp:effectExtent l="0" t="0" r="0" b="0"/>
              <wp:wrapNone/>
              <wp:docPr id="26" name="MSIPCM728e4f84846ce20a2eb5854e" descr="{&quot;HashCode&quot;:-1267603503,&quot;Height&quot;:9999999.0,&quot;Width&quot;:9999999.0,&quot;Placement&quot;:&quot;Footer&quot;,&quot;Index&quot;:&quot;FirstPage&quot;,&quot;Section&quot;:3,&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AB9F60" w14:textId="795CF8E5" w:rsidR="00C83B70" w:rsidRPr="000D4B5D" w:rsidRDefault="000D4B5D" w:rsidP="000D4B5D">
                          <w:pPr>
                            <w:spacing w:after="0"/>
                            <w:rPr>
                              <w:rFonts w:ascii="Calibri" w:hAnsi="Calibri" w:cs="Calibri"/>
                              <w:color w:val="000000"/>
                            </w:rPr>
                          </w:pPr>
                          <w:r w:rsidRPr="000D4B5D">
                            <w:rPr>
                              <w:rFonts w:ascii="Calibri" w:hAnsi="Calibri" w:cs="Calibri"/>
                              <w:color w:val="000000"/>
                            </w:rPr>
                            <w:t>OFFICIAL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8849F58" id="_x0000_t202" coordsize="21600,21600" o:spt="202" path="m,l,21600r21600,l21600,xe">
              <v:stroke joinstyle="miter"/>
              <v:path gradientshapeok="t" o:connecttype="rect"/>
            </v:shapetype>
            <v:shape id="MSIPCM728e4f84846ce20a2eb5854e" o:spid="_x0000_s1037" type="#_x0000_t202" alt="{&quot;HashCode&quot;:-1267603503,&quot;Height&quot;:9999999.0,&quot;Width&quot;:9999999.0,&quot;Placement&quot;:&quot;Footer&quot;,&quot;Index&quot;:&quot;FirstPage&quot;,&quot;Section&quot;:3,&quot;Top&quot;:0.0,&quot;Left&quot;:0.0}" style="position:absolute;left:0;text-align:left;margin-left:0;margin-top:0;width:612pt;height:21pt;z-index:251720533;visibility:visible;mso-wrap-style:square;mso-wrap-distance-left:9pt;mso-wrap-distance-top:0;mso-wrap-distance-right:9pt;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" o:allowincell="f" filled="f" stroked="f" strokeweight=".5pt">
              <v:textbox inset="20pt,0,,0">
                <w:txbxContent>
                  <w:p w14:paraId="0CAB9F60" w14:textId="795CF8E5" w:rsidR="00C83B70" w:rsidRPr="000D4B5D" w:rsidRDefault="000D4B5D" w:rsidP="000D4B5D">
                    <w:pPr>
                      <w:spacing w:after="0"/>
                      <w:rPr>
                        <w:rFonts w:ascii="Calibri" w:hAnsi="Calibri" w:cs="Calibri"/>
                        <w:color w:val="000000"/>
                      </w:rPr>
                    </w:pPr>
                    <w:r w:rsidRPr="000D4B5D">
                      <w:rPr>
                        <w:rFonts w:ascii="Calibri" w:hAnsi="Calibri" w:cs="Calibri"/>
                        <w:color w:val="000000"/>
                      </w:rPr>
                      <w:t>OFFICIAL</w:t>
                    </w:r>
                  </w:p>
                </w:txbxContent>
              </v:textbox>
              <w10:wrap anchorx="page" anchory="page"/>
            </v:shape>
          </w:pict>
        </mc:Fallback>
      </mc:AlternateContent>
    </w:r>
  </w:p>
  <w:bookmarkEnd w:id="11" w:displacedByCustomXml="next"/>
  <w:sdt>
    <w:sdtPr>
      <w:id w:val="1843577156"/>
      <w:docPartObj>
        <w:docPartGallery w:val="Page Numbers (Bottom of Page)"/>
        <w:docPartUnique/>
      </w:docPartObj>
    </w:sdtPr>
    <w:sdtEndPr>
      <w:rPr>
        <w:rStyle w:val="PageNumber"/>
        <w:rFonts w:ascii="Univers 45 Light" w:hAnsi="Univers 45 Light"/>
        <w:color w:val="auto"/>
        <w:sz w:val="18"/>
      </w:rPr>
    </w:sdtEndPr>
    <w:sdtContent>
      <w:p w14:paraId="2F0B0158" w14:textId="77777777" w:rsidR="00C83B70" w:rsidRPr="003B0D01" w:rsidRDefault="00C83B70" w:rsidP="003B0D01">
        <w:pPr>
          <w:pStyle w:val="Footer"/>
          <w:jc w:val="right"/>
          <w:rPr>
            <w:rFonts w:ascii="Univers 45 Light" w:hAnsi="Univers 45 Light"/>
            <w:sz w:val="18"/>
          </w:rPr>
        </w:pPr>
        <w:r w:rsidRPr="00945BEB">
          <w:rPr>
            <w:rStyle w:val="PageNumber"/>
          </w:rPr>
          <w:fldChar w:fldCharType="begin"/>
        </w:r>
        <w:r w:rsidRPr="00945BEB">
          <w:rPr>
            <w:rStyle w:val="PageNumber"/>
          </w:rPr>
          <w:instrText xml:space="preserve"> PAGE   \* MERGEFORMAT </w:instrText>
        </w:r>
        <w:r w:rsidRPr="00945BEB">
          <w:rPr>
            <w:rStyle w:val="PageNumber"/>
          </w:rPr>
          <w:fldChar w:fldCharType="separate"/>
        </w:r>
        <w:r>
          <w:rPr>
            <w:rStyle w:val="PageNumber"/>
            <w:noProof/>
          </w:rPr>
          <w:t>1</w:t>
        </w:r>
        <w:r w:rsidRPr="00945BEB">
          <w:rPr>
            <w:rStyle w:val="PageNumber"/>
          </w:rPr>
          <w:fldChar w:fldCharType="end"/>
        </w:r>
        <w:r>
          <w:rPr>
            <w:rStyle w:val="PageNumber"/>
          </w:rPr>
          <w:t xml:space="preserve"> of </w:t>
        </w:r>
        <w:r>
          <w:rPr>
            <w:rStyle w:val="PageNumber"/>
          </w:rPr>
          <w:fldChar w:fldCharType="begin"/>
        </w:r>
        <w:r>
          <w:rPr>
            <w:rStyle w:val="PageNumber"/>
          </w:rPr>
          <w:instrText xml:space="preserve"> NUMPAGES  \* Arabic  \* MERGEFORMAT </w:instrText>
        </w:r>
        <w:r>
          <w:rPr>
            <w:rStyle w:val="PageNumber"/>
          </w:rPr>
          <w:fldChar w:fldCharType="separate"/>
        </w:r>
        <w:r>
          <w:rPr>
            <w:rStyle w:val="PageNumber"/>
            <w:noProof/>
          </w:rPr>
          <w:t>50</w:t>
        </w:r>
        <w:r>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390539" w14:textId="77777777" w:rsidR="00C83B70" w:rsidRDefault="00C83B70" w:rsidP="00945BEB">
      <w:pPr>
        <w:spacing w:after="0" w:line="240" w:lineRule="auto"/>
      </w:pPr>
      <w:r>
        <w:separator/>
      </w:r>
    </w:p>
  </w:footnote>
  <w:footnote w:type="continuationSeparator" w:id="0">
    <w:p w14:paraId="6F00A1E4" w14:textId="77777777" w:rsidR="00C83B70" w:rsidRDefault="00C83B70" w:rsidP="00945BEB">
      <w:pPr>
        <w:spacing w:after="0" w:line="240" w:lineRule="auto"/>
      </w:pPr>
      <w:r>
        <w:continuationSeparator/>
      </w:r>
    </w:p>
  </w:footnote>
  <w:footnote w:id="1">
    <w:p w14:paraId="29570DAE" w14:textId="660D8339" w:rsidR="00C83B70" w:rsidRDefault="00C83B70" w:rsidP="00C67CC9">
      <w:pPr>
        <w:pStyle w:val="FootnoteText"/>
      </w:pPr>
      <w:r w:rsidRPr="00186BE4">
        <w:rPr>
          <w:rStyle w:val="FootnoteReference"/>
          <w:rFonts w:ascii="Arial" w:hAnsi="Arial" w:cs="Arial"/>
        </w:rPr>
        <w:footnoteRef/>
      </w:r>
      <w:r>
        <w:t xml:space="preserve"> </w:t>
      </w:r>
      <w:r>
        <w:rPr>
          <w:rFonts w:ascii="Arial" w:hAnsi="Arial" w:cs="Arial"/>
        </w:rPr>
        <w:t>Fair Work Act, s 29.</w:t>
      </w:r>
    </w:p>
  </w:footnote>
  <w:footnote w:id="2">
    <w:p w14:paraId="0BB48349" w14:textId="77777777" w:rsidR="00C83B70" w:rsidRDefault="00C83B70" w:rsidP="00C67CC9">
      <w:pPr>
        <w:pStyle w:val="FootnoteText"/>
        <w:rPr>
          <w:rFonts w:ascii="Arial" w:hAnsi="Arial" w:cs="Arial"/>
          <w:szCs w:val="16"/>
        </w:rPr>
      </w:pPr>
      <w:r>
        <w:rPr>
          <w:rStyle w:val="FootnoteReference"/>
          <w:rFonts w:ascii="Arial" w:hAnsi="Arial" w:cs="Arial"/>
          <w:szCs w:val="16"/>
        </w:rPr>
        <w:footnoteRef/>
      </w:r>
      <w:r>
        <w:rPr>
          <w:rFonts w:ascii="Arial" w:hAnsi="Arial" w:cs="Arial"/>
          <w:szCs w:val="16"/>
        </w:rPr>
        <w:t xml:space="preserve"> Due to the dual operation of sections 51(</w:t>
      </w:r>
      <w:r>
        <w:rPr>
          <w:rFonts w:ascii="Arial" w:hAnsi="Arial" w:cs="Arial"/>
          <w:color w:val="333333"/>
          <w:szCs w:val="16"/>
          <w:shd w:val="clear" w:color="auto" w:fill="FFFFFF"/>
        </w:rPr>
        <w:t xml:space="preserve">xx) and 109 of the </w:t>
      </w:r>
      <w:r>
        <w:rPr>
          <w:rFonts w:ascii="Arial" w:hAnsi="Arial" w:cs="Arial"/>
          <w:i/>
          <w:color w:val="333333"/>
          <w:szCs w:val="16"/>
          <w:shd w:val="clear" w:color="auto" w:fill="FFFFFF"/>
        </w:rPr>
        <w:t xml:space="preserve">Constitution. </w:t>
      </w:r>
    </w:p>
  </w:footnote>
  <w:footnote w:id="3">
    <w:p w14:paraId="271D4E67" w14:textId="70123753" w:rsidR="00C83B70" w:rsidRDefault="00C83B70" w:rsidP="00C67CC9">
      <w:pPr>
        <w:pStyle w:val="FootnoteText"/>
        <w:rPr>
          <w:rFonts w:ascii="Arial" w:hAnsi="Arial" w:cs="Arial"/>
        </w:rPr>
      </w:pPr>
      <w:r>
        <w:rPr>
          <w:rStyle w:val="FootnoteReference"/>
          <w:rFonts w:ascii="Arial" w:hAnsi="Arial" w:cs="Arial"/>
        </w:rPr>
        <w:footnoteRef/>
      </w:r>
      <w:r>
        <w:rPr>
          <w:rFonts w:ascii="Arial" w:hAnsi="Arial" w:cs="Arial"/>
        </w:rPr>
        <w:t xml:space="preserve"> Fair Work Act, ss 26 and 27(2)(g). </w:t>
      </w:r>
    </w:p>
  </w:footnote>
  <w:footnote w:id="4">
    <w:p w14:paraId="2A5598D1" w14:textId="77777777" w:rsidR="00C83B70" w:rsidRDefault="00C83B70" w:rsidP="00C67CC9">
      <w:pPr>
        <w:pStyle w:val="FootnoteText"/>
        <w:rPr>
          <w:rFonts w:ascii="Arial" w:hAnsi="Arial" w:cs="Arial"/>
        </w:rPr>
      </w:pPr>
      <w:r>
        <w:rPr>
          <w:rStyle w:val="FootnoteReference"/>
          <w:rFonts w:ascii="Arial" w:hAnsi="Arial" w:cs="Arial"/>
        </w:rPr>
        <w:footnoteRef/>
      </w:r>
      <w:r>
        <w:rPr>
          <w:rFonts w:ascii="Arial" w:hAnsi="Arial" w:cs="Arial"/>
        </w:rPr>
        <w:t xml:space="preserve"> See </w:t>
      </w:r>
      <w:r>
        <w:rPr>
          <w:rFonts w:ascii="Arial" w:hAnsi="Arial" w:cs="Arial"/>
          <w:i/>
        </w:rPr>
        <w:t xml:space="preserve">Long Service Leave Act 2018, </w:t>
      </w:r>
      <w:r>
        <w:rPr>
          <w:rFonts w:ascii="Arial" w:hAnsi="Arial" w:cs="Arial"/>
        </w:rPr>
        <w:t>s 5(e).</w:t>
      </w:r>
    </w:p>
  </w:footnote>
  <w:footnote w:id="5">
    <w:p w14:paraId="00364F9B" w14:textId="77777777" w:rsidR="00C83B70" w:rsidRPr="00B95D05" w:rsidRDefault="00C83B70" w:rsidP="00D430EE">
      <w:pPr>
        <w:pStyle w:val="FootnoteText"/>
        <w:rPr>
          <w:rFonts w:ascii="Arial" w:hAnsi="Arial" w:cs="Arial"/>
        </w:rPr>
      </w:pPr>
      <w:r w:rsidRPr="00B95D05">
        <w:rPr>
          <w:rStyle w:val="FootnoteReference"/>
          <w:rFonts w:ascii="Arial" w:hAnsi="Arial" w:cs="Arial"/>
        </w:rPr>
        <w:footnoteRef/>
      </w:r>
      <w:r w:rsidRPr="00B95D05">
        <w:rPr>
          <w:rFonts w:ascii="Arial" w:hAnsi="Arial" w:cs="Arial"/>
        </w:rPr>
        <w:t xml:space="preserve"> For some employees, long service leave derives from other instruments, including pre-modern awards preserved by the National Employment Standards. </w:t>
      </w:r>
    </w:p>
  </w:footnote>
  <w:footnote w:id="6">
    <w:p w14:paraId="62855142" w14:textId="77777777" w:rsidR="00C83B70" w:rsidRPr="00B95D05" w:rsidRDefault="00C83B70" w:rsidP="00763CD5">
      <w:pPr>
        <w:pStyle w:val="FootnoteText"/>
        <w:rPr>
          <w:rFonts w:ascii="Arial" w:hAnsi="Arial" w:cs="Arial"/>
        </w:rPr>
      </w:pPr>
      <w:r w:rsidRPr="00B95D05">
        <w:rPr>
          <w:rStyle w:val="FootnoteReference"/>
          <w:rFonts w:ascii="Arial" w:hAnsi="Arial" w:cs="Arial"/>
        </w:rPr>
        <w:footnoteRef/>
      </w:r>
      <w:r w:rsidRPr="00B95D05">
        <w:rPr>
          <w:rFonts w:ascii="Arial" w:hAnsi="Arial" w:cs="Arial"/>
        </w:rPr>
        <w:t xml:space="preserve"> CoINVEST covers the Victorian construction sector. The levy rate is 2.7 percent. Available from: www.coinvest.com.au. </w:t>
      </w:r>
    </w:p>
  </w:footnote>
  <w:footnote w:id="7">
    <w:p w14:paraId="2F8B4A49" w14:textId="77777777" w:rsidR="00C83B70" w:rsidRPr="00B95D05" w:rsidRDefault="00C83B70" w:rsidP="00763CD5">
      <w:pPr>
        <w:pStyle w:val="FootnoteText"/>
        <w:rPr>
          <w:rFonts w:ascii="Arial" w:hAnsi="Arial" w:cs="Arial"/>
          <w:color w:val="auto"/>
        </w:rPr>
      </w:pPr>
      <w:r w:rsidRPr="00B95D05">
        <w:rPr>
          <w:rStyle w:val="FootnoteReference"/>
          <w:rFonts w:ascii="Arial" w:hAnsi="Arial" w:cs="Arial"/>
        </w:rPr>
        <w:footnoteRef/>
      </w:r>
      <w:r w:rsidRPr="00B95D05">
        <w:rPr>
          <w:rFonts w:ascii="Arial" w:hAnsi="Arial" w:cs="Arial"/>
        </w:rPr>
        <w:t xml:space="preserve"> </w:t>
      </w:r>
      <w:r w:rsidRPr="00B95D05">
        <w:rPr>
          <w:rFonts w:ascii="Arial" w:hAnsi="Arial" w:cs="Arial"/>
          <w:i/>
        </w:rPr>
        <w:t>ACT</w:t>
      </w:r>
      <w:r w:rsidRPr="00B95D05">
        <w:rPr>
          <w:rFonts w:ascii="Arial" w:hAnsi="Arial" w:cs="Arial"/>
        </w:rPr>
        <w:t xml:space="preserve"> </w:t>
      </w:r>
      <w:r w:rsidRPr="00B95D05">
        <w:rPr>
          <w:rFonts w:ascii="Arial" w:hAnsi="Arial" w:cs="Arial"/>
          <w:i/>
        </w:rPr>
        <w:t>Leave covers the construction</w:t>
      </w:r>
      <w:r w:rsidRPr="00B95D05">
        <w:rPr>
          <w:rFonts w:ascii="Arial" w:hAnsi="Arial" w:cs="Arial"/>
        </w:rPr>
        <w:t xml:space="preserve">, contract cleaning, community services, and security sectors. The levy rate is 1.2 percent. Available from: </w:t>
      </w:r>
      <w:hyperlink r:id="rId1" w:history="1">
        <w:r w:rsidRPr="00B95D05">
          <w:rPr>
            <w:rStyle w:val="Hyperlink"/>
            <w:rFonts w:ascii="Arial" w:hAnsi="Arial" w:cs="Arial"/>
            <w:color w:val="auto"/>
          </w:rPr>
          <w:t>www.actleave.act.gov.au</w:t>
        </w:r>
      </w:hyperlink>
      <w:r w:rsidRPr="00B95D05">
        <w:rPr>
          <w:rFonts w:ascii="Arial" w:hAnsi="Arial" w:cs="Arial"/>
          <w:color w:val="auto"/>
        </w:rPr>
        <w:t xml:space="preserve">. </w:t>
      </w:r>
    </w:p>
  </w:footnote>
  <w:footnote w:id="8">
    <w:p w14:paraId="0DADAF49" w14:textId="77777777" w:rsidR="00C83B70" w:rsidRPr="00B95D05" w:rsidRDefault="00C83B70" w:rsidP="00763CD5">
      <w:pPr>
        <w:pStyle w:val="FootnoteText"/>
        <w:rPr>
          <w:rFonts w:ascii="Arial" w:hAnsi="Arial" w:cs="Arial"/>
        </w:rPr>
      </w:pPr>
      <w:r w:rsidRPr="00B95D05">
        <w:rPr>
          <w:rStyle w:val="FootnoteReference"/>
          <w:rFonts w:ascii="Arial" w:hAnsi="Arial" w:cs="Arial"/>
          <w:color w:val="auto"/>
        </w:rPr>
        <w:footnoteRef/>
      </w:r>
      <w:r w:rsidRPr="00B95D05">
        <w:rPr>
          <w:rFonts w:ascii="Arial" w:hAnsi="Arial" w:cs="Arial"/>
          <w:color w:val="auto"/>
        </w:rPr>
        <w:t xml:space="preserve"> QLeave covers the building and construction and contract cleaning sectors. The levy rate is 1.0 percent. Available from: </w:t>
      </w:r>
      <w:hyperlink r:id="rId2" w:history="1">
        <w:r w:rsidRPr="00B95D05">
          <w:rPr>
            <w:rStyle w:val="Hyperlink"/>
            <w:rFonts w:ascii="Arial" w:hAnsi="Arial" w:cs="Arial"/>
            <w:color w:val="auto"/>
          </w:rPr>
          <w:t>www.qleave.qld.gov.au</w:t>
        </w:r>
      </w:hyperlink>
      <w:r w:rsidRPr="00B95D05">
        <w:rPr>
          <w:rFonts w:ascii="Arial" w:hAnsi="Arial" w:cs="Arial"/>
          <w:color w:val="auto"/>
        </w:rPr>
        <w:t xml:space="preserve">. </w:t>
      </w:r>
    </w:p>
  </w:footnote>
  <w:footnote w:id="9">
    <w:p w14:paraId="140310A5" w14:textId="77777777" w:rsidR="00C83B70" w:rsidRPr="00B95D05" w:rsidRDefault="00C83B70" w:rsidP="00E13F2A">
      <w:pPr>
        <w:pStyle w:val="FootnoteText"/>
        <w:rPr>
          <w:rFonts w:ascii="Arial" w:hAnsi="Arial" w:cs="Arial"/>
        </w:rPr>
      </w:pPr>
      <w:r w:rsidRPr="00B95D05">
        <w:rPr>
          <w:rStyle w:val="FootnoteReference"/>
          <w:rFonts w:ascii="Arial" w:hAnsi="Arial" w:cs="Arial"/>
          <w:color w:val="auto"/>
        </w:rPr>
        <w:footnoteRef/>
      </w:r>
      <w:r w:rsidRPr="00B95D05">
        <w:rPr>
          <w:rFonts w:ascii="Arial" w:hAnsi="Arial" w:cs="Arial"/>
          <w:color w:val="auto"/>
        </w:rPr>
        <w:t xml:space="preserve"> Parliament of Victoria, Economic, Education, Jobs and Skills Committee, ‘Inquiry into portability of long service leave entitlements’, 8 June 2016. Available from: </w:t>
      </w:r>
      <w:hyperlink r:id="rId3" w:history="1">
        <w:r w:rsidRPr="00B95D05">
          <w:rPr>
            <w:rStyle w:val="Hyperlink"/>
            <w:rFonts w:ascii="Arial" w:hAnsi="Arial" w:cs="Arial"/>
            <w:color w:val="auto"/>
          </w:rPr>
          <w:t>www.parliament.vic.gov.au/images/stories/committees/eejsc/EEJSC_58-01_Text_WEB.pdf</w:t>
        </w:r>
      </w:hyperlink>
      <w:r w:rsidRPr="00B95D05">
        <w:rPr>
          <w:rFonts w:ascii="Arial" w:hAnsi="Arial" w:cs="Arial"/>
          <w:color w:val="auto"/>
        </w:rPr>
        <w:t xml:space="preserve">. </w:t>
      </w:r>
    </w:p>
  </w:footnote>
  <w:footnote w:id="10">
    <w:p w14:paraId="54A23B51" w14:textId="77777777" w:rsidR="00C83B70" w:rsidRPr="00B95D05" w:rsidRDefault="00C83B70" w:rsidP="00E13F2A">
      <w:pPr>
        <w:pStyle w:val="FootnoteText"/>
        <w:rPr>
          <w:rFonts w:ascii="Arial" w:hAnsi="Arial" w:cs="Arial"/>
        </w:rPr>
      </w:pPr>
      <w:r w:rsidRPr="00B95D05">
        <w:rPr>
          <w:rStyle w:val="FootnoteReference"/>
          <w:rFonts w:ascii="Arial" w:hAnsi="Arial" w:cs="Arial"/>
        </w:rPr>
        <w:footnoteRef/>
      </w:r>
      <w:r w:rsidRPr="00B95D05">
        <w:rPr>
          <w:rFonts w:ascii="Arial" w:hAnsi="Arial" w:cs="Arial"/>
        </w:rPr>
        <w:t xml:space="preserve"> </w:t>
      </w:r>
      <w:r w:rsidRPr="00B95D05">
        <w:rPr>
          <w:rFonts w:ascii="Arial" w:hAnsi="Arial" w:cs="Arial"/>
          <w:color w:val="auto"/>
        </w:rPr>
        <w:t xml:space="preserve">Victorian Government response to the Victorian Parliamentary Economic, Education, Jobs and Skills Committee inquiry into portability of long service leave entitlements, 23 November 2016. Available from: </w:t>
      </w:r>
      <w:hyperlink r:id="rId4" w:history="1">
        <w:r w:rsidRPr="00B95D05">
          <w:rPr>
            <w:rStyle w:val="Hyperlink"/>
            <w:rFonts w:ascii="Arial" w:hAnsi="Arial" w:cs="Arial"/>
            <w:color w:val="auto"/>
          </w:rPr>
          <w:t>www.parliament.vic.gov.au/images/stories/committees/eejsc/Victorian_Government_response_to_the_Economic__Education__Jobs_and_Skills_Committee_inquiry_into_portability_of_long_service_leave_entitlements_0mPbGwfN.pdf</w:t>
        </w:r>
      </w:hyperlink>
      <w:r w:rsidRPr="00B95D05">
        <w:rPr>
          <w:rFonts w:ascii="Arial" w:hAnsi="Arial" w:cs="Arial"/>
          <w:color w:val="auto"/>
        </w:rPr>
        <w:t>.</w:t>
      </w:r>
    </w:p>
  </w:footnote>
  <w:footnote w:id="11">
    <w:p w14:paraId="06A9E0AD" w14:textId="08D3F037" w:rsidR="00C83B70" w:rsidRPr="00B95D05" w:rsidRDefault="00C83B70" w:rsidP="00D430EE">
      <w:pPr>
        <w:pStyle w:val="FootnoteText"/>
        <w:rPr>
          <w:rFonts w:ascii="Arial" w:hAnsi="Arial" w:cs="Arial"/>
        </w:rPr>
      </w:pPr>
      <w:r w:rsidRPr="00B95D05">
        <w:rPr>
          <w:rStyle w:val="FootnoteReference"/>
          <w:rFonts w:ascii="Arial" w:hAnsi="Arial" w:cs="Arial"/>
        </w:rPr>
        <w:footnoteRef/>
      </w:r>
      <w:r w:rsidRPr="00B95D05">
        <w:rPr>
          <w:rFonts w:ascii="Arial" w:hAnsi="Arial" w:cs="Arial"/>
        </w:rPr>
        <w:t xml:space="preserve"> ‘Recognised service’ refers to all days that occur while the person is employed (i.e. all calendar days) and not days worked. A person cannot receive more than 365 days of recognised service per year. </w:t>
      </w:r>
    </w:p>
  </w:footnote>
  <w:footnote w:id="12">
    <w:p w14:paraId="3E1CFDB4" w14:textId="77777777" w:rsidR="00C83B70" w:rsidRPr="00B95D05" w:rsidRDefault="00C83B70" w:rsidP="00D430EE">
      <w:pPr>
        <w:pStyle w:val="FootnoteText"/>
        <w:rPr>
          <w:rFonts w:ascii="Arial" w:hAnsi="Arial" w:cs="Arial"/>
          <w:i/>
        </w:rPr>
      </w:pPr>
      <w:r w:rsidRPr="00B95D05">
        <w:rPr>
          <w:rStyle w:val="FootnoteReference"/>
          <w:rFonts w:ascii="Arial" w:hAnsi="Arial" w:cs="Arial"/>
        </w:rPr>
        <w:footnoteRef/>
      </w:r>
      <w:r w:rsidRPr="00B95D05">
        <w:rPr>
          <w:rFonts w:ascii="Arial" w:hAnsi="Arial" w:cs="Arial"/>
        </w:rPr>
        <w:t xml:space="preserve"> </w:t>
      </w:r>
      <w:r w:rsidRPr="00B95D05">
        <w:rPr>
          <w:rFonts w:ascii="Arial" w:hAnsi="Arial" w:cs="Arial"/>
          <w:i/>
        </w:rPr>
        <w:t xml:space="preserve">Long Service Benefits Portability Act 2018 </w:t>
      </w:r>
      <w:r w:rsidRPr="00B95D05">
        <w:rPr>
          <w:rFonts w:ascii="Arial" w:hAnsi="Arial" w:cs="Arial"/>
        </w:rPr>
        <w:t>(Vic) sch 1 cl 8(2).</w:t>
      </w:r>
    </w:p>
  </w:footnote>
  <w:footnote w:id="13">
    <w:p w14:paraId="158FCC52" w14:textId="6C271D34" w:rsidR="00C83B70" w:rsidRDefault="00C83B70">
      <w:pPr>
        <w:pStyle w:val="FootnoteText"/>
      </w:pPr>
      <w:r>
        <w:rPr>
          <w:rStyle w:val="FootnoteReference"/>
        </w:rPr>
        <w:footnoteRef/>
      </w:r>
      <w:r>
        <w:t xml:space="preserve"> Data received by the </w:t>
      </w:r>
      <w:r w:rsidRPr="00FE3ECF">
        <w:t>Portable Long Service Benefits Authority</w:t>
      </w:r>
      <w:r>
        <w:t>, April 2020</w:t>
      </w:r>
    </w:p>
  </w:footnote>
  <w:footnote w:id="14">
    <w:p w14:paraId="7A33B5B3" w14:textId="77777777" w:rsidR="00C83B70" w:rsidRPr="00B95D05" w:rsidRDefault="00C83B70" w:rsidP="00A176FA">
      <w:pPr>
        <w:pStyle w:val="FootnoteText"/>
        <w:rPr>
          <w:rFonts w:ascii="Arial" w:hAnsi="Arial" w:cs="Arial"/>
        </w:rPr>
      </w:pPr>
      <w:r w:rsidRPr="00B95D05">
        <w:rPr>
          <w:rStyle w:val="FootnoteReference"/>
          <w:rFonts w:ascii="Arial" w:hAnsi="Arial" w:cs="Arial"/>
        </w:rPr>
        <w:footnoteRef/>
      </w:r>
      <w:r w:rsidRPr="00B95D05">
        <w:rPr>
          <w:rFonts w:ascii="Arial" w:hAnsi="Arial" w:cs="Arial"/>
        </w:rPr>
        <w:t xml:space="preserve"> Victoria, </w:t>
      </w:r>
      <w:r w:rsidRPr="00B95D05">
        <w:rPr>
          <w:rFonts w:ascii="Arial" w:hAnsi="Arial" w:cs="Arial"/>
          <w:i/>
        </w:rPr>
        <w:t xml:space="preserve">Parliamentary Debates, </w:t>
      </w:r>
      <w:r w:rsidRPr="00B95D05">
        <w:rPr>
          <w:rFonts w:ascii="Arial" w:hAnsi="Arial" w:cs="Arial"/>
        </w:rPr>
        <w:t>Legislative Assembly, 6 October 2010, 4004.</w:t>
      </w:r>
    </w:p>
  </w:footnote>
  <w:footnote w:id="15">
    <w:p w14:paraId="48B8E001" w14:textId="2710AB2C" w:rsidR="00C83B70" w:rsidRPr="003B2762" w:rsidRDefault="00C83B70">
      <w:pPr>
        <w:pStyle w:val="FootnoteText"/>
        <w:rPr>
          <w:rFonts w:ascii="Arial" w:hAnsi="Arial" w:cs="Arial"/>
        </w:rPr>
      </w:pPr>
      <w:r w:rsidRPr="003B2762">
        <w:rPr>
          <w:rStyle w:val="FootnoteReference"/>
          <w:rFonts w:ascii="Arial" w:hAnsi="Arial" w:cs="Arial"/>
        </w:rPr>
        <w:footnoteRef/>
      </w:r>
      <w:r w:rsidRPr="003B2762">
        <w:rPr>
          <w:rFonts w:ascii="Arial" w:hAnsi="Arial" w:cs="Arial"/>
        </w:rPr>
        <w:t xml:space="preserve"> The Interim Regulations do not explicitly refer to an employer predominance test. This is the language adopted in guidance issued by the Authority and used within the sector when referring to the relevant provisions in the Interim Regulations.</w:t>
      </w:r>
    </w:p>
  </w:footnote>
  <w:footnote w:id="16">
    <w:p w14:paraId="35487766" w14:textId="7F37A05F" w:rsidR="00C83B70" w:rsidRPr="003A3F67" w:rsidRDefault="00C83B70">
      <w:pPr>
        <w:pStyle w:val="FootnoteText"/>
        <w:rPr>
          <w:rFonts w:ascii="Arial" w:hAnsi="Arial" w:cs="Arial"/>
        </w:rPr>
      </w:pPr>
      <w:r w:rsidRPr="003A3F67">
        <w:rPr>
          <w:rStyle w:val="FootnoteReference"/>
          <w:rFonts w:ascii="Arial" w:hAnsi="Arial" w:cs="Arial"/>
        </w:rPr>
        <w:footnoteRef/>
      </w:r>
      <w:r w:rsidRPr="003A3F67">
        <w:rPr>
          <w:rFonts w:ascii="Arial" w:hAnsi="Arial" w:cs="Arial"/>
        </w:rPr>
        <w:t xml:space="preserve"> </w:t>
      </w:r>
      <w:r>
        <w:rPr>
          <w:rFonts w:ascii="Arial" w:hAnsi="Arial" w:cs="Arial"/>
        </w:rPr>
        <w:t xml:space="preserve">This problem only relates to the registered Community Health centres under the </w:t>
      </w:r>
      <w:r w:rsidRPr="00133EEC">
        <w:rPr>
          <w:rFonts w:ascii="Arial" w:hAnsi="Arial" w:cs="Arial"/>
          <w:i/>
        </w:rPr>
        <w:t>Health Services Act 1988</w:t>
      </w:r>
      <w:r>
        <w:rPr>
          <w:rFonts w:ascii="Arial" w:hAnsi="Arial" w:cs="Arial"/>
        </w:rPr>
        <w:t xml:space="preserve">. </w:t>
      </w:r>
      <w:r>
        <w:rPr>
          <w:rFonts w:ascii="Arial" w:hAnsi="Arial" w:cs="Arial"/>
          <w:color w:val="auto"/>
        </w:rPr>
        <w:t>I</w:t>
      </w:r>
      <w:r w:rsidRPr="003A3F67">
        <w:rPr>
          <w:rFonts w:ascii="Arial" w:hAnsi="Arial" w:cs="Arial"/>
          <w:color w:val="auto"/>
        </w:rPr>
        <w:t xml:space="preserve">ntegrated </w:t>
      </w:r>
      <w:r>
        <w:rPr>
          <w:rFonts w:ascii="Arial" w:hAnsi="Arial" w:cs="Arial"/>
          <w:color w:val="auto"/>
        </w:rPr>
        <w:t>Community Health</w:t>
      </w:r>
      <w:r w:rsidRPr="003A3F67">
        <w:rPr>
          <w:rFonts w:ascii="Arial" w:hAnsi="Arial" w:cs="Arial"/>
          <w:color w:val="auto"/>
        </w:rPr>
        <w:t xml:space="preserve"> services that are part of rural or metropolitan health services, including small rural health services, are not covered by the Scheme because they are integrated into larger hospitals and health centres</w:t>
      </w:r>
      <w:r>
        <w:rPr>
          <w:rFonts w:ascii="Arial" w:hAnsi="Arial" w:cs="Arial"/>
          <w:color w:val="auto"/>
        </w:rPr>
        <w:t xml:space="preserve"> and not separately registered as Community Health Centres</w:t>
      </w:r>
      <w:r w:rsidRPr="003A3F67">
        <w:rPr>
          <w:rFonts w:ascii="Arial" w:hAnsi="Arial" w:cs="Arial"/>
          <w:color w:val="auto"/>
        </w:rPr>
        <w:t>.</w:t>
      </w:r>
    </w:p>
  </w:footnote>
  <w:footnote w:id="17">
    <w:p w14:paraId="3220DC11" w14:textId="4387AB62" w:rsidR="00C83B70" w:rsidRDefault="00C83B70">
      <w:pPr>
        <w:pStyle w:val="FootnoteText"/>
      </w:pPr>
      <w:r w:rsidRPr="003B2762">
        <w:rPr>
          <w:rStyle w:val="FootnoteReference"/>
          <w:rFonts w:ascii="Arial" w:hAnsi="Arial" w:cs="Arial"/>
        </w:rPr>
        <w:footnoteRef/>
      </w:r>
      <w:r w:rsidRPr="003B2762">
        <w:rPr>
          <w:rFonts w:ascii="Arial" w:hAnsi="Arial" w:cs="Arial"/>
        </w:rPr>
        <w:t xml:space="preserve"> The Interim Regulations do not explicitly refer to an </w:t>
      </w:r>
      <w:r>
        <w:rPr>
          <w:rFonts w:ascii="Arial" w:hAnsi="Arial" w:cs="Arial"/>
        </w:rPr>
        <w:t>employee</w:t>
      </w:r>
      <w:r w:rsidRPr="003B2762">
        <w:rPr>
          <w:rFonts w:ascii="Arial" w:hAnsi="Arial" w:cs="Arial"/>
        </w:rPr>
        <w:t xml:space="preserve"> predominance test. This is the language adopted in guidance issued by the Authority and used within the sector when referring </w:t>
      </w:r>
      <w:r>
        <w:rPr>
          <w:rFonts w:ascii="Arial" w:hAnsi="Arial" w:cs="Arial"/>
        </w:rPr>
        <w:t>to the relevant provision</w:t>
      </w:r>
      <w:r w:rsidRPr="003B2762">
        <w:rPr>
          <w:rFonts w:ascii="Arial" w:hAnsi="Arial" w:cs="Arial"/>
        </w:rPr>
        <w:t xml:space="preserve"> in the Interim Regulations.</w:t>
      </w:r>
    </w:p>
  </w:footnote>
  <w:footnote w:id="18">
    <w:p w14:paraId="69CDDF10" w14:textId="326AA49E" w:rsidR="00C83B70" w:rsidRDefault="00C83B70" w:rsidP="00BD42DB">
      <w:pPr>
        <w:pStyle w:val="FootnoteText"/>
      </w:pPr>
      <w:r>
        <w:rPr>
          <w:rStyle w:val="FootnoteReference"/>
        </w:rPr>
        <w:footnoteRef/>
      </w:r>
      <w:r>
        <w:t xml:space="preserve"> </w:t>
      </w:r>
      <w:r>
        <w:rPr>
          <w:rFonts w:ascii="Arial" w:hAnsi="Arial" w:cs="Arial"/>
        </w:rPr>
        <w:t>Fair Work Act, s 29.</w:t>
      </w:r>
    </w:p>
  </w:footnote>
  <w:footnote w:id="19">
    <w:p w14:paraId="19F3638C" w14:textId="77777777" w:rsidR="00C83B70" w:rsidRDefault="00C83B70" w:rsidP="00BD42DB">
      <w:pPr>
        <w:pStyle w:val="FootnoteText"/>
        <w:rPr>
          <w:rFonts w:ascii="Arial" w:hAnsi="Arial" w:cs="Arial"/>
          <w:szCs w:val="16"/>
        </w:rPr>
      </w:pPr>
      <w:r>
        <w:rPr>
          <w:rStyle w:val="FootnoteReference"/>
          <w:rFonts w:ascii="Arial" w:hAnsi="Arial" w:cs="Arial"/>
          <w:szCs w:val="16"/>
        </w:rPr>
        <w:footnoteRef/>
      </w:r>
      <w:r>
        <w:rPr>
          <w:rFonts w:ascii="Arial" w:hAnsi="Arial" w:cs="Arial"/>
          <w:szCs w:val="16"/>
        </w:rPr>
        <w:t xml:space="preserve"> Due to the dual operation of sections 51(</w:t>
      </w:r>
      <w:r>
        <w:rPr>
          <w:rFonts w:ascii="Arial" w:hAnsi="Arial" w:cs="Arial"/>
          <w:color w:val="333333"/>
          <w:szCs w:val="16"/>
          <w:shd w:val="clear" w:color="auto" w:fill="FFFFFF"/>
        </w:rPr>
        <w:t xml:space="preserve">xx) and 109 of the </w:t>
      </w:r>
      <w:r>
        <w:rPr>
          <w:rFonts w:ascii="Arial" w:hAnsi="Arial" w:cs="Arial"/>
          <w:i/>
          <w:color w:val="333333"/>
          <w:szCs w:val="16"/>
          <w:shd w:val="clear" w:color="auto" w:fill="FFFFFF"/>
        </w:rPr>
        <w:t xml:space="preserve">Constitution. </w:t>
      </w:r>
    </w:p>
  </w:footnote>
  <w:footnote w:id="20">
    <w:p w14:paraId="293EB991" w14:textId="10FA1BE9" w:rsidR="00C83B70" w:rsidRDefault="00C83B70" w:rsidP="00BD42DB">
      <w:pPr>
        <w:pStyle w:val="FootnoteText"/>
        <w:rPr>
          <w:rFonts w:ascii="Arial" w:hAnsi="Arial" w:cs="Arial"/>
        </w:rPr>
      </w:pPr>
      <w:r>
        <w:rPr>
          <w:rStyle w:val="FootnoteReference"/>
          <w:rFonts w:ascii="Arial" w:hAnsi="Arial" w:cs="Arial"/>
        </w:rPr>
        <w:footnoteRef/>
      </w:r>
      <w:r>
        <w:rPr>
          <w:rFonts w:ascii="Arial" w:hAnsi="Arial" w:cs="Arial"/>
        </w:rPr>
        <w:t xml:space="preserve"> Fair Work Act, ss 26 and 27(2)(g). </w:t>
      </w:r>
    </w:p>
  </w:footnote>
  <w:footnote w:id="21">
    <w:p w14:paraId="6661C2FE" w14:textId="77777777" w:rsidR="00C83B70" w:rsidRDefault="00C83B70" w:rsidP="00BD42DB">
      <w:pPr>
        <w:pStyle w:val="FootnoteText"/>
        <w:rPr>
          <w:rFonts w:ascii="Arial" w:hAnsi="Arial" w:cs="Arial"/>
        </w:rPr>
      </w:pPr>
      <w:r>
        <w:rPr>
          <w:rStyle w:val="FootnoteReference"/>
          <w:rFonts w:ascii="Arial" w:hAnsi="Arial" w:cs="Arial"/>
        </w:rPr>
        <w:footnoteRef/>
      </w:r>
      <w:r>
        <w:rPr>
          <w:rFonts w:ascii="Arial" w:hAnsi="Arial" w:cs="Arial"/>
        </w:rPr>
        <w:t xml:space="preserve"> See </w:t>
      </w:r>
      <w:r>
        <w:rPr>
          <w:rFonts w:ascii="Arial" w:hAnsi="Arial" w:cs="Arial"/>
          <w:i/>
        </w:rPr>
        <w:t xml:space="preserve">Long Service Leave Act 2018, </w:t>
      </w:r>
      <w:r>
        <w:rPr>
          <w:rFonts w:ascii="Arial" w:hAnsi="Arial" w:cs="Arial"/>
        </w:rPr>
        <w:t>s 5(e).</w:t>
      </w:r>
    </w:p>
  </w:footnote>
  <w:footnote w:id="22">
    <w:p w14:paraId="6C10CF90" w14:textId="0C794100" w:rsidR="00C83B70" w:rsidRPr="00696818" w:rsidRDefault="00C83B70" w:rsidP="00755B20">
      <w:pPr>
        <w:pStyle w:val="FootnoteText"/>
        <w:rPr>
          <w:rFonts w:ascii="Arial" w:hAnsi="Arial" w:cs="Arial"/>
        </w:rPr>
      </w:pPr>
      <w:r w:rsidRPr="00696818">
        <w:rPr>
          <w:rStyle w:val="FootnoteReference"/>
          <w:rFonts w:ascii="Arial" w:hAnsi="Arial" w:cs="Arial"/>
        </w:rPr>
        <w:footnoteRef/>
      </w:r>
      <w:r w:rsidRPr="00696818">
        <w:rPr>
          <w:rFonts w:ascii="Arial" w:hAnsi="Arial" w:cs="Arial"/>
        </w:rPr>
        <w:t xml:space="preserve"> Under section 48 of the </w:t>
      </w:r>
      <w:r w:rsidRPr="00696818">
        <w:rPr>
          <w:rFonts w:ascii="Arial" w:hAnsi="Arial" w:cs="Arial"/>
          <w:i/>
        </w:rPr>
        <w:t>Fair Work Act 2009</w:t>
      </w:r>
      <w:r w:rsidRPr="00696818">
        <w:rPr>
          <w:rFonts w:ascii="Arial" w:hAnsi="Arial" w:cs="Arial"/>
        </w:rPr>
        <w:t>, a modern award will cover an employee (in relation to particular employment) if the award is expressed to cover the employee</w:t>
      </w:r>
      <w:r>
        <w:rPr>
          <w:rFonts w:ascii="Arial" w:hAnsi="Arial" w:cs="Arial"/>
        </w:rPr>
        <w:t xml:space="preserve">. </w:t>
      </w:r>
      <w:r w:rsidRPr="00696818">
        <w:rPr>
          <w:rFonts w:ascii="Arial" w:hAnsi="Arial" w:cs="Arial"/>
        </w:rPr>
        <w:t xml:space="preserve">In order for an award to ‘apply’ to an employee (that is, impose obligations or provide entitlements under the award), it must cover the employee and no other provision should displace the application of the award (such as if an enterprise agreement applies to the employee) – see </w:t>
      </w:r>
      <w:r w:rsidRPr="00AB0AA5">
        <w:rPr>
          <w:rFonts w:ascii="Arial" w:hAnsi="Arial" w:cs="Arial"/>
        </w:rPr>
        <w:t xml:space="preserve">ss.46, </w:t>
      </w:r>
      <w:r w:rsidRPr="00696818">
        <w:rPr>
          <w:rFonts w:ascii="Arial" w:hAnsi="Arial" w:cs="Arial"/>
        </w:rPr>
        <w:t xml:space="preserve">47 and 52 of the </w:t>
      </w:r>
      <w:r w:rsidRPr="00696818">
        <w:rPr>
          <w:rFonts w:ascii="Arial" w:hAnsi="Arial" w:cs="Arial"/>
          <w:i/>
        </w:rPr>
        <w:t>Fair Work Act 2009</w:t>
      </w:r>
      <w:r>
        <w:rPr>
          <w:rFonts w:ascii="Arial" w:hAnsi="Arial" w:cs="Arial"/>
        </w:rPr>
        <w:t xml:space="preserve">. </w:t>
      </w:r>
      <w:r w:rsidRPr="00696818">
        <w:rPr>
          <w:rFonts w:ascii="Arial" w:hAnsi="Arial" w:cs="Arial"/>
        </w:rPr>
        <w:t>The effect of these provisions is that if an enterprise agreement applies to an employee, any relevant modern award is still capable of ‘covering’ the employee.</w:t>
      </w:r>
    </w:p>
  </w:footnote>
  <w:footnote w:id="23">
    <w:p w14:paraId="333900D2" w14:textId="502C87F9" w:rsidR="00C83B70" w:rsidRPr="00337958" w:rsidRDefault="00C83B70">
      <w:pPr>
        <w:pStyle w:val="FootnoteText"/>
        <w:rPr>
          <w:rFonts w:ascii="Arial" w:hAnsi="Arial" w:cs="Arial"/>
        </w:rPr>
      </w:pPr>
      <w:r w:rsidRPr="00337958">
        <w:rPr>
          <w:rStyle w:val="FootnoteReference"/>
          <w:rFonts w:ascii="Arial" w:hAnsi="Arial" w:cs="Arial"/>
        </w:rPr>
        <w:footnoteRef/>
      </w:r>
      <w:r w:rsidRPr="00337958">
        <w:rPr>
          <w:rFonts w:ascii="Arial" w:hAnsi="Arial" w:cs="Arial"/>
        </w:rPr>
        <w:t xml:space="preserve"> </w:t>
      </w:r>
      <w:r>
        <w:rPr>
          <w:rFonts w:ascii="Arial" w:hAnsi="Arial" w:cs="Arial"/>
        </w:rPr>
        <w:t xml:space="preserve">Examples of a ‘class A security activity’ include acting as an investigator; or acting as a bodyguard; or acting as a crowd controller; or acting as a security guard; or acting as a private security trainer. Examples of a ‘class B security activity’ include acting as a security equipment installer; or acting as a security adviser. </w:t>
      </w:r>
    </w:p>
  </w:footnote>
  <w:footnote w:id="24">
    <w:p w14:paraId="2D8B1003" w14:textId="6505C685" w:rsidR="00C83B70" w:rsidRPr="00AD17D1" w:rsidRDefault="00C83B70">
      <w:pPr>
        <w:pStyle w:val="FootnoteText"/>
        <w:rPr>
          <w:rFonts w:ascii="Arial" w:hAnsi="Arial" w:cs="Arial"/>
        </w:rPr>
      </w:pPr>
      <w:r w:rsidRPr="00AD17D1">
        <w:rPr>
          <w:rStyle w:val="FootnoteReference"/>
          <w:rFonts w:ascii="Arial" w:hAnsi="Arial" w:cs="Arial"/>
        </w:rPr>
        <w:footnoteRef/>
      </w:r>
      <w:r w:rsidRPr="00AD17D1">
        <w:rPr>
          <w:rFonts w:ascii="Arial" w:hAnsi="Arial" w:cs="Arial"/>
        </w:rPr>
        <w:t xml:space="preserve"> </w:t>
      </w:r>
      <w:r>
        <w:rPr>
          <w:rFonts w:ascii="Arial" w:hAnsi="Arial" w:cs="Arial"/>
        </w:rPr>
        <w:t xml:space="preserve">VHA, 2019 Submission: Long Service Benefits Portability Regulations, </w:t>
      </w:r>
      <w:r w:rsidRPr="00932A9D">
        <w:rPr>
          <w:rFonts w:ascii="Arial" w:hAnsi="Arial" w:cs="Arial"/>
        </w:rPr>
        <w:t>https://s3.ap-southeast-2.amazonaws</w:t>
      </w:r>
      <w:r>
        <w:rPr>
          <w:rFonts w:ascii="Arial" w:hAnsi="Arial" w:cs="Arial"/>
        </w:rPr>
        <w:t xml:space="preserve"> </w:t>
      </w:r>
      <w:r w:rsidRPr="00932A9D">
        <w:rPr>
          <w:rFonts w:ascii="Arial" w:hAnsi="Arial" w:cs="Arial"/>
        </w:rPr>
        <w:t>.com/hdp.au.prod.app.vic-engage.files/5215/6213/7984/VHA_submission_portable_long_service_draft_regulations_</w:t>
      </w:r>
      <w:r>
        <w:rPr>
          <w:rFonts w:ascii="Arial" w:hAnsi="Arial" w:cs="Arial"/>
        </w:rPr>
        <w:t xml:space="preserve"> </w:t>
      </w:r>
      <w:r w:rsidRPr="00932A9D">
        <w:rPr>
          <w:rFonts w:ascii="Arial" w:hAnsi="Arial" w:cs="Arial"/>
        </w:rPr>
        <w:t>Redacted.pdf</w:t>
      </w:r>
    </w:p>
  </w:footnote>
  <w:footnote w:id="25">
    <w:p w14:paraId="089B38DE" w14:textId="6A3FE6EF" w:rsidR="00C83B70" w:rsidRPr="00A87869" w:rsidRDefault="00C83B70" w:rsidP="00330A91">
      <w:pPr>
        <w:pStyle w:val="FootnoteText"/>
        <w:tabs>
          <w:tab w:val="left" w:pos="3261"/>
        </w:tabs>
        <w:rPr>
          <w:rFonts w:ascii="Arial" w:hAnsi="Arial" w:cs="Arial"/>
        </w:rPr>
      </w:pPr>
      <w:r w:rsidRPr="00A87869">
        <w:rPr>
          <w:rStyle w:val="FootnoteReference"/>
          <w:rFonts w:ascii="Arial" w:hAnsi="Arial" w:cs="Arial"/>
        </w:rPr>
        <w:footnoteRef/>
      </w:r>
      <w:r w:rsidRPr="00A87869">
        <w:rPr>
          <w:rFonts w:ascii="Arial" w:hAnsi="Arial" w:cs="Arial"/>
        </w:rPr>
        <w:t xml:space="preserve"> F</w:t>
      </w:r>
      <w:r>
        <w:rPr>
          <w:rFonts w:ascii="Arial" w:hAnsi="Arial" w:cs="Arial"/>
        </w:rPr>
        <w:t xml:space="preserve">air </w:t>
      </w:r>
      <w:r w:rsidRPr="00A87869">
        <w:rPr>
          <w:rFonts w:ascii="Arial" w:hAnsi="Arial" w:cs="Arial"/>
        </w:rPr>
        <w:t>W</w:t>
      </w:r>
      <w:r>
        <w:rPr>
          <w:rFonts w:ascii="Arial" w:hAnsi="Arial" w:cs="Arial"/>
        </w:rPr>
        <w:t>ork</w:t>
      </w:r>
      <w:r w:rsidRPr="00A87869">
        <w:rPr>
          <w:rFonts w:ascii="Arial" w:hAnsi="Arial" w:cs="Arial"/>
        </w:rPr>
        <w:t xml:space="preserve"> Act, s 12</w:t>
      </w:r>
      <w:r w:rsidRPr="00AB0AA5">
        <w:rPr>
          <w:rFonts w:ascii="Arial" w:hAnsi="Arial" w:cs="Arial"/>
        </w:rPr>
        <w:t xml:space="preserve"> (see definitions of ‘fair work instrument’ and ‘enterprise agreement’)</w:t>
      </w:r>
      <w:r w:rsidRPr="00A87869">
        <w:rPr>
          <w:rFonts w:ascii="Arial" w:hAnsi="Arial" w:cs="Arial"/>
        </w:rPr>
        <w:t>.</w:t>
      </w:r>
    </w:p>
  </w:footnote>
  <w:footnote w:id="26">
    <w:p w14:paraId="64206C3B" w14:textId="77777777" w:rsidR="00C83B70" w:rsidRPr="00337958" w:rsidRDefault="00C83B70" w:rsidP="005C010A">
      <w:pPr>
        <w:pStyle w:val="FootnoteText"/>
        <w:rPr>
          <w:rFonts w:ascii="Arial" w:hAnsi="Arial" w:cs="Arial"/>
        </w:rPr>
      </w:pPr>
      <w:r w:rsidRPr="00337958">
        <w:rPr>
          <w:rStyle w:val="FootnoteReference"/>
          <w:rFonts w:ascii="Arial" w:hAnsi="Arial" w:cs="Arial"/>
        </w:rPr>
        <w:footnoteRef/>
      </w:r>
      <w:r w:rsidRPr="00337958">
        <w:rPr>
          <w:rFonts w:ascii="Arial" w:hAnsi="Arial" w:cs="Arial"/>
        </w:rPr>
        <w:t xml:space="preserve"> For further information on the operation of the Regulations as a whole, the 2019 RIS can be found at https://www.vic.gov.au/regulatory-impact-statements-2019#long-service-benefits-portability-regulations-2019.</w:t>
      </w:r>
    </w:p>
  </w:footnote>
  <w:footnote w:id="27">
    <w:p w14:paraId="17682E67" w14:textId="57693093" w:rsidR="00C83B70" w:rsidRPr="003A3F67" w:rsidRDefault="00C83B70">
      <w:pPr>
        <w:pStyle w:val="FootnoteText"/>
        <w:rPr>
          <w:rFonts w:ascii="Arial" w:hAnsi="Arial" w:cs="Arial"/>
        </w:rPr>
      </w:pPr>
      <w:r w:rsidRPr="003A3F67">
        <w:rPr>
          <w:rStyle w:val="FootnoteReference"/>
          <w:rFonts w:ascii="Arial" w:hAnsi="Arial" w:cs="Arial"/>
        </w:rPr>
        <w:footnoteRef/>
      </w:r>
      <w:r w:rsidRPr="003A3F67">
        <w:rPr>
          <w:rFonts w:ascii="Arial" w:hAnsi="Arial" w:cs="Arial"/>
        </w:rPr>
        <w:t xml:space="preserve"> </w:t>
      </w:r>
      <w:r>
        <w:rPr>
          <w:rFonts w:ascii="Arial" w:hAnsi="Arial" w:cs="Arial"/>
        </w:rPr>
        <w:t xml:space="preserve">Staffing data provided by the Victorian Healthcare Association. The full list of registered Community Health centres in Victoria is available from the Department of Health and Human Services, </w:t>
      </w:r>
      <w:r w:rsidRPr="003A3F67">
        <w:rPr>
          <w:rFonts w:ascii="Arial" w:hAnsi="Arial" w:cs="Arial"/>
        </w:rPr>
        <w:t>https://www2.health.vic.gov.au/primary-and-community-health/community-health</w:t>
      </w:r>
    </w:p>
  </w:footnote>
  <w:footnote w:id="28">
    <w:p w14:paraId="6B407EFB" w14:textId="4028726F" w:rsidR="00C83B70" w:rsidRPr="00D33117" w:rsidRDefault="00C83B70">
      <w:pPr>
        <w:pStyle w:val="FootnoteText"/>
        <w:rPr>
          <w:rFonts w:ascii="Arial" w:hAnsi="Arial" w:cs="Arial"/>
        </w:rPr>
      </w:pPr>
      <w:r w:rsidRPr="00D33117">
        <w:rPr>
          <w:rStyle w:val="FootnoteReference"/>
          <w:rFonts w:ascii="Arial" w:hAnsi="Arial" w:cs="Arial"/>
        </w:rPr>
        <w:footnoteRef/>
      </w:r>
      <w:r w:rsidRPr="00D33117">
        <w:rPr>
          <w:rFonts w:ascii="Arial" w:hAnsi="Arial" w:cs="Arial"/>
        </w:rPr>
        <w:t xml:space="preserve"> </w:t>
      </w:r>
      <w:r>
        <w:rPr>
          <w:rFonts w:ascii="Arial" w:hAnsi="Arial" w:cs="Arial"/>
        </w:rPr>
        <w:t xml:space="preserve">The full list of Women’s Health Centre services is available from Women’s Health Victoria, </w:t>
      </w:r>
      <w:r w:rsidRPr="00D33117">
        <w:rPr>
          <w:rFonts w:ascii="Arial" w:hAnsi="Arial" w:cs="Arial"/>
        </w:rPr>
        <w:t>https://whv.org.au/about/our-sector</w:t>
      </w:r>
    </w:p>
  </w:footnote>
  <w:footnote w:id="29">
    <w:p w14:paraId="4FE8950A" w14:textId="77777777" w:rsidR="00C83B70" w:rsidRPr="00B95D05" w:rsidRDefault="00C83B70" w:rsidP="008A7A0A">
      <w:pPr>
        <w:pStyle w:val="FootnoteText"/>
        <w:rPr>
          <w:rFonts w:ascii="Arial" w:hAnsi="Arial" w:cs="Arial"/>
        </w:rPr>
      </w:pPr>
      <w:r w:rsidRPr="00B95D05">
        <w:rPr>
          <w:rStyle w:val="FootnoteReference"/>
          <w:rFonts w:ascii="Arial" w:hAnsi="Arial" w:cs="Arial"/>
        </w:rPr>
        <w:footnoteRef/>
      </w:r>
      <w:r w:rsidRPr="00B95D05">
        <w:rPr>
          <w:rFonts w:ascii="Arial" w:hAnsi="Arial" w:cs="Arial"/>
        </w:rPr>
        <w:t xml:space="preserve"> </w:t>
      </w:r>
      <w:r w:rsidRPr="00B95D05">
        <w:rPr>
          <w:rFonts w:ascii="Arial" w:hAnsi="Arial" w:cs="Arial"/>
          <w:szCs w:val="16"/>
        </w:rPr>
        <w:t>Based on KPMG analysis of data obtained from Australian Charities and Not-For-Profits Commission, ‘2015 Annual Information Statement Data’ (2015).</w:t>
      </w:r>
    </w:p>
  </w:footnote>
  <w:footnote w:id="30">
    <w:p w14:paraId="28AA7B5F" w14:textId="77777777" w:rsidR="00C83B70" w:rsidRPr="00B95D05" w:rsidRDefault="00C83B70" w:rsidP="008A7A0A">
      <w:pPr>
        <w:pStyle w:val="FootnoteText"/>
        <w:rPr>
          <w:rFonts w:ascii="Arial" w:hAnsi="Arial" w:cs="Arial"/>
        </w:rPr>
      </w:pPr>
      <w:r w:rsidRPr="00B95D05">
        <w:rPr>
          <w:rStyle w:val="FootnoteReference"/>
          <w:rFonts w:ascii="Arial" w:hAnsi="Arial" w:cs="Arial"/>
        </w:rPr>
        <w:footnoteRef/>
      </w:r>
      <w:r w:rsidRPr="00B95D05">
        <w:rPr>
          <w:rFonts w:ascii="Arial" w:hAnsi="Arial" w:cs="Arial"/>
        </w:rPr>
        <w:t xml:space="preserve"> Victorian Council of Social Service, ’10 Year Community Services Industry Plan’ (2018).</w:t>
      </w:r>
    </w:p>
  </w:footnote>
  <w:footnote w:id="31">
    <w:p w14:paraId="6C4A4762" w14:textId="50F27E78" w:rsidR="00C83B70" w:rsidRPr="00B95D05" w:rsidRDefault="00C83B70" w:rsidP="00E13F2A">
      <w:pPr>
        <w:autoSpaceDE w:val="0"/>
        <w:autoSpaceDN w:val="0"/>
        <w:adjustRightInd w:val="0"/>
        <w:spacing w:after="0" w:line="240" w:lineRule="auto"/>
        <w:rPr>
          <w:rFonts w:ascii="Arial" w:hAnsi="Arial" w:cs="Arial"/>
        </w:rPr>
      </w:pPr>
      <w:r w:rsidRPr="00B95D05">
        <w:rPr>
          <w:rStyle w:val="FootnoteReference"/>
          <w:rFonts w:ascii="Arial" w:hAnsi="Arial" w:cs="Arial"/>
          <w:sz w:val="16"/>
          <w:szCs w:val="16"/>
        </w:rPr>
        <w:footnoteRef/>
      </w:r>
      <w:r w:rsidRPr="00B95D05">
        <w:rPr>
          <w:rFonts w:ascii="Arial" w:hAnsi="Arial" w:cs="Arial"/>
          <w:sz w:val="16"/>
          <w:szCs w:val="16"/>
        </w:rPr>
        <w:t xml:space="preserve"> </w:t>
      </w:r>
      <w:r w:rsidRPr="00B95D05">
        <w:rPr>
          <w:rFonts w:ascii="Arial" w:hAnsi="Arial" w:cs="Arial"/>
          <w:sz w:val="16"/>
        </w:rPr>
        <w:t xml:space="preserve">Victorian Government response to the Victorian Parliamentary Economic, Education, Jobs and Skills Committee inquiry into portability of long service leave entitlements, 23 November 2016. Available from: </w:t>
      </w:r>
      <w:r w:rsidRPr="0060163D">
        <w:rPr>
          <w:rStyle w:val="Hyperlink"/>
          <w:rFonts w:ascii="Arial" w:hAnsi="Arial" w:cs="Arial"/>
          <w:color w:val="auto"/>
          <w:sz w:val="16"/>
          <w:u w:val="none"/>
        </w:rPr>
        <w:t>www.parliament.vic.gov.au/images/stories/committees/eejsc/Victorian_Government_response_to_the_Economic__Education__Jobs_and_Skills_Committee_inquiry_into_portability_of_long_service_leave_entitlements_0mPbGwfN.pdf</w:t>
      </w:r>
      <w:r w:rsidRPr="0060163D">
        <w:rPr>
          <w:rFonts w:ascii="Arial" w:hAnsi="Arial" w:cs="Arial"/>
          <w:color w:val="auto"/>
          <w:sz w:val="16"/>
        </w:rPr>
        <w:t>.</w:t>
      </w:r>
    </w:p>
  </w:footnote>
  <w:footnote w:id="32">
    <w:p w14:paraId="566D0BD1" w14:textId="77777777" w:rsidR="00C83B70" w:rsidRPr="00E41485" w:rsidRDefault="00C83B70" w:rsidP="00E41485">
      <w:pPr>
        <w:pStyle w:val="FootnoteText"/>
        <w:rPr>
          <w:rFonts w:ascii="Arial" w:hAnsi="Arial" w:cs="Arial"/>
          <w:lang w:val="en-US"/>
        </w:rPr>
      </w:pPr>
      <w:r w:rsidRPr="00E41485">
        <w:rPr>
          <w:rStyle w:val="FootnoteReference"/>
          <w:rFonts w:ascii="Arial" w:hAnsi="Arial" w:cs="Arial"/>
          <w:szCs w:val="16"/>
        </w:rPr>
        <w:footnoteRef/>
      </w:r>
      <w:r w:rsidRPr="00E41485">
        <w:rPr>
          <w:rFonts w:ascii="Arial" w:hAnsi="Arial" w:cs="Arial"/>
          <w:szCs w:val="22"/>
        </w:rPr>
        <w:t xml:space="preserve"> Australian Bureau of Statistics, ‘Small Business in Australia’ (Catalogue No 1321.0, 23 October 2002).</w:t>
      </w:r>
    </w:p>
  </w:footnote>
  <w:footnote w:id="33">
    <w:p w14:paraId="5655A34E" w14:textId="6226DD4C" w:rsidR="00C83B70" w:rsidRPr="00E41485" w:rsidRDefault="00C83B70">
      <w:pPr>
        <w:pStyle w:val="FootnoteText"/>
        <w:rPr>
          <w:rFonts w:ascii="Arial" w:hAnsi="Arial" w:cs="Arial"/>
        </w:rPr>
      </w:pPr>
      <w:r w:rsidRPr="00E41485">
        <w:rPr>
          <w:rStyle w:val="FootnoteReference"/>
          <w:rFonts w:ascii="Arial" w:hAnsi="Arial" w:cs="Arial"/>
        </w:rPr>
        <w:footnoteRef/>
      </w:r>
      <w:r w:rsidRPr="00E41485">
        <w:rPr>
          <w:rFonts w:ascii="Arial" w:hAnsi="Arial" w:cs="Arial"/>
        </w:rPr>
        <w:t xml:space="preserve"> Australian Charities and Not-</w:t>
      </w:r>
      <w:r>
        <w:rPr>
          <w:rFonts w:ascii="Arial" w:hAnsi="Arial" w:cs="Arial"/>
        </w:rPr>
        <w:t>for</w:t>
      </w:r>
      <w:r>
        <w:rPr>
          <w:rFonts w:ascii="Arial" w:hAnsi="Arial" w:cs="Arial"/>
        </w:rPr>
        <w:noBreakHyphen/>
        <w:t>profit</w:t>
      </w:r>
      <w:r w:rsidRPr="00E41485">
        <w:rPr>
          <w:rFonts w:ascii="Arial" w:hAnsi="Arial" w:cs="Arial"/>
        </w:rPr>
        <w:t>s Commission, ‘2016 Annual information statement data’ (2016).</w:t>
      </w:r>
    </w:p>
  </w:footnote>
  <w:footnote w:id="34">
    <w:p w14:paraId="09E696AB" w14:textId="01EA9764" w:rsidR="00C83B70" w:rsidRPr="00E41485" w:rsidRDefault="00C83B70" w:rsidP="00E41485">
      <w:pPr>
        <w:pStyle w:val="FootnoteText"/>
        <w:rPr>
          <w:rFonts w:ascii="Arial" w:hAnsi="Arial" w:cs="Arial"/>
        </w:rPr>
      </w:pPr>
      <w:r w:rsidRPr="00E41485">
        <w:rPr>
          <w:rStyle w:val="FootnoteReference"/>
          <w:rFonts w:ascii="Arial" w:hAnsi="Arial" w:cs="Arial"/>
        </w:rPr>
        <w:footnoteRef/>
      </w:r>
      <w:r w:rsidRPr="00E41485">
        <w:rPr>
          <w:rFonts w:ascii="Arial" w:hAnsi="Arial" w:cs="Arial"/>
        </w:rPr>
        <w:t xml:space="preserve"> ABS, ‘8165.0 Counts of Australian Businesses, including Entries and Exits, Jun 2014 to Jun 2018’ (2019). Available at: </w:t>
      </w:r>
      <w:r w:rsidRPr="0060163D">
        <w:rPr>
          <w:rStyle w:val="Hyperlink"/>
          <w:rFonts w:ascii="Arial" w:hAnsi="Arial" w:cs="Arial"/>
          <w:color w:val="auto"/>
          <w:u w:val="none"/>
        </w:rPr>
        <w:t>http://www.abs.gov.au/AUSSTATS/abs@.nsf/DetailsPage/8165.0June%202014%20to%20June%202018?OpenDocument</w:t>
      </w:r>
      <w:r w:rsidRPr="0060163D">
        <w:rPr>
          <w:rFonts w:ascii="Arial" w:hAnsi="Arial" w:cs="Arial"/>
          <w:color w:val="auto"/>
        </w:rPr>
        <w:t xml:space="preserve"> </w:t>
      </w:r>
    </w:p>
  </w:footnote>
  <w:footnote w:id="35">
    <w:p w14:paraId="6E2ED39E" w14:textId="3338FDD6" w:rsidR="00C83B70" w:rsidRDefault="00C83B70" w:rsidP="00E41485">
      <w:pPr>
        <w:pStyle w:val="FootnoteText"/>
      </w:pPr>
      <w:r w:rsidRPr="00E41485">
        <w:rPr>
          <w:rStyle w:val="FootnoteReference"/>
          <w:rFonts w:ascii="Arial" w:hAnsi="Arial" w:cs="Arial"/>
        </w:rPr>
        <w:footnoteRef/>
      </w:r>
      <w:r w:rsidRPr="00E41485">
        <w:rPr>
          <w:rFonts w:ascii="Arial" w:hAnsi="Arial" w:cs="Arial"/>
        </w:rPr>
        <w:t xml:space="preserve"> Australian Charities and Not-</w:t>
      </w:r>
      <w:r>
        <w:rPr>
          <w:rFonts w:ascii="Arial" w:hAnsi="Arial" w:cs="Arial"/>
        </w:rPr>
        <w:t>for</w:t>
      </w:r>
      <w:r>
        <w:rPr>
          <w:rFonts w:ascii="Arial" w:hAnsi="Arial" w:cs="Arial"/>
        </w:rPr>
        <w:noBreakHyphen/>
        <w:t>profit</w:t>
      </w:r>
      <w:r w:rsidRPr="00E41485">
        <w:rPr>
          <w:rFonts w:ascii="Arial" w:hAnsi="Arial" w:cs="Arial"/>
        </w:rPr>
        <w:t>s Commission, ‘2016 Annual information statement data’ 2016.</w:t>
      </w:r>
    </w:p>
  </w:footnote>
  <w:footnote w:id="36">
    <w:p w14:paraId="1061C999" w14:textId="77777777" w:rsidR="00C83B70" w:rsidRPr="00B95D05" w:rsidRDefault="00C83B70" w:rsidP="00893D1E">
      <w:pPr>
        <w:pStyle w:val="FootnoteText"/>
        <w:rPr>
          <w:rFonts w:ascii="Arial" w:hAnsi="Arial" w:cs="Arial"/>
        </w:rPr>
      </w:pPr>
      <w:r w:rsidRPr="00B95D05">
        <w:rPr>
          <w:rStyle w:val="FootnoteReference"/>
          <w:rFonts w:ascii="Arial" w:hAnsi="Arial" w:cs="Arial"/>
        </w:rPr>
        <w:footnoteRef/>
      </w:r>
      <w:r w:rsidRPr="00B95D05">
        <w:rPr>
          <w:rFonts w:ascii="Arial" w:hAnsi="Arial" w:cs="Arial"/>
        </w:rPr>
        <w:t xml:space="preserve"> As per </w:t>
      </w:r>
      <w:r w:rsidRPr="00B95D05">
        <w:rPr>
          <w:rFonts w:ascii="Arial" w:hAnsi="Arial" w:cs="Arial"/>
          <w:i/>
        </w:rPr>
        <w:t xml:space="preserve">Long Service Benefits Portability Act 2018 </w:t>
      </w:r>
      <w:r w:rsidRPr="00B95D05">
        <w:rPr>
          <w:rFonts w:ascii="Arial" w:hAnsi="Arial" w:cs="Arial"/>
        </w:rPr>
        <w:t xml:space="preserve">(Vic) s 74(2). </w:t>
      </w:r>
    </w:p>
  </w:footnote>
  <w:footnote w:id="37">
    <w:p w14:paraId="127FBE7D" w14:textId="77777777" w:rsidR="00C83B70" w:rsidRPr="00B95D05" w:rsidRDefault="00C83B70" w:rsidP="00893D1E">
      <w:pPr>
        <w:pStyle w:val="FootnoteText"/>
        <w:rPr>
          <w:rFonts w:ascii="Arial" w:hAnsi="Arial" w:cs="Arial"/>
        </w:rPr>
      </w:pPr>
      <w:r w:rsidRPr="00B95D05">
        <w:rPr>
          <w:rStyle w:val="FootnoteReference"/>
          <w:rFonts w:ascii="Arial" w:hAnsi="Arial" w:cs="Arial"/>
        </w:rPr>
        <w:footnoteRef/>
      </w:r>
      <w:r w:rsidRPr="00B95D05">
        <w:rPr>
          <w:rFonts w:ascii="Arial" w:hAnsi="Arial" w:cs="Arial"/>
        </w:rPr>
        <w:t xml:space="preserve"> As per </w:t>
      </w:r>
      <w:r w:rsidRPr="00B95D05">
        <w:rPr>
          <w:rFonts w:ascii="Arial" w:hAnsi="Arial" w:cs="Arial"/>
          <w:i/>
        </w:rPr>
        <w:t xml:space="preserve">Long Service Benefits Portability Act 2018 </w:t>
      </w:r>
      <w:r w:rsidRPr="00B95D05">
        <w:rPr>
          <w:rFonts w:ascii="Arial" w:hAnsi="Arial" w:cs="Arial"/>
        </w:rPr>
        <w:t xml:space="preserve">(Vic) s 74(2).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122D3" w14:textId="5A18C508" w:rsidR="00C83B70" w:rsidRDefault="00C83B70" w:rsidP="00076BC8">
    <w:pPr>
      <w:pStyle w:val="Header"/>
    </w:pPr>
    <w:r>
      <w:rPr>
        <w:noProof/>
        <w:lang w:eastAsia="en-AU"/>
      </w:rPr>
      <mc:AlternateContent>
        <mc:Choice Requires="wps">
          <w:drawing>
            <wp:anchor distT="0" distB="0" distL="114300" distR="114300" simplePos="0" relativeHeight="251663360" behindDoc="1" locked="0" layoutInCell="1" allowOverlap="1" wp14:anchorId="62294334" wp14:editId="034BA3D2">
              <wp:simplePos x="0" y="0"/>
              <wp:positionH relativeFrom="page">
                <wp:align>center</wp:align>
              </wp:positionH>
              <wp:positionV relativeFrom="page">
                <wp:align>center</wp:align>
              </wp:positionV>
              <wp:extent cx="4964430" cy="1724025"/>
              <wp:effectExtent l="0" t="1517015" r="0" b="1521460"/>
              <wp:wrapNone/>
              <wp:docPr id="4" name="Text Box 4 KISDraf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964430" cy="1724025"/>
                      </a:xfrm>
                      <a:prstGeom prst="rect">
                        <a:avLst/>
                      </a:prstGeom>
                      <a:extLst>
                        <a:ext uri="{AF507438-7753-43E0-B8FC-AC1667EBCBE1}">
                          <a14:hiddenEffects xmlns:a14="http://schemas.microsoft.com/office/drawing/2010/main">
                            <a:effectLst/>
                          </a14:hiddenEffects>
                        </a:ext>
                      </a:extLst>
                    </wps:spPr>
                    <wps:txbx>
                      <w:txbxContent>
                        <w:p w14:paraId="317B60A1" w14:textId="77777777" w:rsidR="00C83B70" w:rsidRDefault="00C83B70" w:rsidP="00E45994">
                          <w:pPr>
                            <w:pStyle w:val="NormalWeb"/>
                            <w:spacing w:before="0" w:beforeAutospacing="0" w:after="0" w:afterAutospacing="0"/>
                            <w:jc w:val="center"/>
                          </w:pPr>
                          <w:r>
                            <w:rPr>
                              <w:rFonts w:ascii="Arial Black" w:hAnsi="Arial Black"/>
                              <w:color w:val="DDDDDD"/>
                              <w:sz w:val="192"/>
                              <w:szCs w:val="192"/>
                              <w14:textOutline w14:w="9525" w14:cap="flat" w14:cmpd="sng" w14:algn="ctr">
                                <w14:solidFill>
                                  <w14:srgbClr w14:val="DDDDDD"/>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2294334" id="_x0000_t202" coordsize="21600,21600" o:spt="202" path="m,l,21600r21600,l21600,xe">
              <v:stroke joinstyle="miter"/>
              <v:path gradientshapeok="t" o:connecttype="rect"/>
            </v:shapetype>
            <v:shape id="Text Box 4 KISDraft" o:spid="_x0000_s1026" type="#_x0000_t202" style="position:absolute;margin-left:0;margin-top:0;width:390.9pt;height:135.75pt;rotation:-45;z-index:-25165312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" filled="f" stroked="f">
              <o:lock v:ext="edit" shapetype="t"/>
              <v:textbox style="mso-fit-shape-to-text:t">
                <w:txbxContent>
                  <w:p w14:paraId="317B60A1" w14:textId="77777777" w:rsidR="00C83B70" w:rsidRDefault="00C83B70" w:rsidP="00E45994">
                    <w:pPr>
                      <w:pStyle w:val="NormalWeb"/>
                      <w:spacing w:before="0" w:beforeAutospacing="0" w:after="0" w:afterAutospacing="0"/>
                      <w:jc w:val="center"/>
                    </w:pPr>
                    <w:r>
                      <w:rPr>
                        <w:rFonts w:ascii="Arial Black" w:hAnsi="Arial Black"/>
                        <w:color w:val="DDDDDD"/>
                        <w:sz w:val="192"/>
                        <w:szCs w:val="192"/>
                        <w14:textOutline w14:w="9525" w14:cap="flat" w14:cmpd="sng" w14:algn="ctr">
                          <w14:solidFill>
                            <w14:srgbClr w14:val="DDDDDD"/>
                          </w14:solidFill>
                          <w14:prstDash w14:val="solid"/>
                          <w14:round/>
                        </w14:textOutline>
                      </w:rPr>
                      <w:t>DRAFT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D2715" w14:textId="77777777" w:rsidR="00C83B70" w:rsidRPr="001F69E9" w:rsidRDefault="00C83B70" w:rsidP="00C245D5">
    <w:pPr>
      <w:pStyle w:val="Header"/>
      <w:tabs>
        <w:tab w:val="clear" w:pos="9026"/>
        <w:tab w:val="right" w:pos="13467"/>
      </w:tabs>
      <w:rPr>
        <w:rFonts w:ascii="Arial" w:hAnsi="Arial" w:cs="Arial"/>
      </w:rPr>
    </w:pPr>
    <w:r w:rsidRPr="001F69E9">
      <w:rPr>
        <w:rFonts w:ascii="Arial" w:hAnsi="Arial" w:cs="Arial"/>
      </w:rPr>
      <w:tab/>
      <w:t>Long Service Benefits Portability Regulations 2020</w:t>
    </w:r>
  </w:p>
  <w:p w14:paraId="1320F9FE" w14:textId="3D23A9F3" w:rsidR="00C83B70" w:rsidRDefault="00C83B70" w:rsidP="00C245D5">
    <w:pPr>
      <w:pStyle w:val="Header"/>
      <w:tabs>
        <w:tab w:val="clear" w:pos="9026"/>
        <w:tab w:val="right" w:pos="13467"/>
      </w:tabs>
      <w:rPr>
        <w:rFonts w:ascii="Arial" w:hAnsi="Arial" w:cs="Arial"/>
      </w:rPr>
    </w:pPr>
    <w:r w:rsidRPr="001F69E9">
      <w:rPr>
        <w:rFonts w:ascii="Arial" w:hAnsi="Arial" w:cs="Arial"/>
      </w:rPr>
      <w:tab/>
    </w:r>
    <w:r>
      <w:rPr>
        <w:rFonts w:ascii="Arial" w:hAnsi="Arial" w:cs="Arial"/>
      </w:rPr>
      <w:t>April 2020</w:t>
    </w:r>
  </w:p>
  <w:p w14:paraId="732342F0" w14:textId="77777777" w:rsidR="00C83B70" w:rsidRPr="001F69E9" w:rsidRDefault="00C83B70" w:rsidP="001E3D7B">
    <w:pPr>
      <w:pStyle w:val="Header"/>
      <w:rPr>
        <w:rFonts w:ascii="Arial" w:hAnsi="Arial" w:cs="Arial"/>
      </w:rPr>
    </w:pPr>
  </w:p>
  <w:p w14:paraId="2ACBDDD6" w14:textId="62813875" w:rsidR="00C83B70" w:rsidRPr="001F69E9" w:rsidRDefault="00C83B70" w:rsidP="001E3D7B">
    <w:pPr>
      <w:pStyle w:val="Header"/>
      <w:rPr>
        <w:rFonts w:ascii="Arial" w:hAnsi="Arial" w:cs="Arial"/>
      </w:rPr>
    </w:pPr>
  </w:p>
  <w:p w14:paraId="6A0A1CE7" w14:textId="214543DD" w:rsidR="00C83B70" w:rsidRPr="001F69E9" w:rsidRDefault="00C83B70" w:rsidP="00076BC8">
    <w:pPr>
      <w:pStyle w:val="Header"/>
      <w:rPr>
        <w:rFonts w:ascii="Arial" w:hAnsi="Arial" w:cs="Arial"/>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8FB72" w14:textId="77777777" w:rsidR="00C83B70" w:rsidRPr="001F69E9" w:rsidRDefault="00C83B70" w:rsidP="001E3D7B">
    <w:pPr>
      <w:pStyle w:val="Header"/>
      <w:rPr>
        <w:rFonts w:ascii="Arial" w:hAnsi="Arial" w:cs="Arial"/>
      </w:rPr>
    </w:pPr>
    <w:r w:rsidRPr="001F69E9">
      <w:rPr>
        <w:rFonts w:ascii="Arial" w:hAnsi="Arial" w:cs="Arial"/>
      </w:rPr>
      <w:tab/>
      <w:t>Long Service Benefits Portability Regulations 2020</w:t>
    </w:r>
  </w:p>
  <w:p w14:paraId="73E3436A" w14:textId="3BD6DE87" w:rsidR="00C83B70" w:rsidRDefault="00C83B70" w:rsidP="001E3D7B">
    <w:pPr>
      <w:pStyle w:val="Header"/>
      <w:rPr>
        <w:rFonts w:ascii="Arial" w:hAnsi="Arial" w:cs="Arial"/>
      </w:rPr>
    </w:pPr>
    <w:r w:rsidRPr="001F69E9">
      <w:rPr>
        <w:rFonts w:ascii="Arial" w:hAnsi="Arial" w:cs="Arial"/>
      </w:rPr>
      <w:tab/>
    </w:r>
    <w:r>
      <w:rPr>
        <w:rFonts w:ascii="Arial" w:hAnsi="Arial" w:cs="Arial"/>
      </w:rPr>
      <w:t>April 2020</w:t>
    </w:r>
  </w:p>
  <w:p w14:paraId="709E3536" w14:textId="77777777" w:rsidR="00C83B70" w:rsidRPr="001F69E9" w:rsidRDefault="00C83B70" w:rsidP="001E3D7B">
    <w:pPr>
      <w:pStyle w:val="Header"/>
      <w:rPr>
        <w:rFonts w:ascii="Arial" w:hAnsi="Arial" w:cs="Arial"/>
      </w:rPr>
    </w:pPr>
  </w:p>
  <w:p w14:paraId="006C54A1" w14:textId="175F4998" w:rsidR="00C83B70" w:rsidRPr="001F69E9" w:rsidRDefault="00C83B70" w:rsidP="001E3D7B">
    <w:pPr>
      <w:pStyle w:val="Header"/>
      <w:rPr>
        <w:rFonts w:ascii="Arial" w:hAnsi="Arial" w:cs="Arial"/>
      </w:rPr>
    </w:pPr>
  </w:p>
  <w:p w14:paraId="56F74947" w14:textId="428168B6" w:rsidR="00C83B70" w:rsidRPr="001F69E9" w:rsidRDefault="00C83B70" w:rsidP="00076BC8">
    <w:pPr>
      <w:pStyle w:val="Header"/>
      <w:rPr>
        <w:rFonts w:ascii="Arial" w:hAnsi="Arial" w:cs="Arial"/>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CC568" w14:textId="77777777" w:rsidR="00C83B70" w:rsidRPr="00B8625E" w:rsidRDefault="00C83B70" w:rsidP="00076BC8">
    <w:pPr>
      <w:pStyle w:val="Header"/>
    </w:pPr>
    <w:r>
      <w:t xml:space="preserve">Long Service Benefits Portability Regulations </w:t>
    </w:r>
    <w:r w:rsidRPr="00B8625E">
      <w:t>2020 RIS</w:t>
    </w:r>
  </w:p>
  <w:p w14:paraId="6438224C" w14:textId="46DA687F" w:rsidR="00C83B70" w:rsidRDefault="00C83B70" w:rsidP="00076BC8">
    <w:pPr>
      <w:pStyle w:val="Header"/>
    </w:pPr>
    <w:r>
      <w:rPr>
        <w:noProof/>
        <w:lang w:eastAsia="en-AU"/>
      </w:rPr>
      <mc:AlternateContent>
        <mc:Choice Requires="wps">
          <w:drawing>
            <wp:anchor distT="0" distB="0" distL="114300" distR="114300" simplePos="0" relativeHeight="251687936" behindDoc="1" locked="0" layoutInCell="1" allowOverlap="1" wp14:anchorId="0DCB2C7F" wp14:editId="43E79C57">
              <wp:simplePos x="0" y="0"/>
              <wp:positionH relativeFrom="page">
                <wp:align>center</wp:align>
              </wp:positionH>
              <wp:positionV relativeFrom="page">
                <wp:align>center</wp:align>
              </wp:positionV>
              <wp:extent cx="4964430" cy="1724025"/>
              <wp:effectExtent l="0" t="0" r="0" b="0"/>
              <wp:wrapNone/>
              <wp:docPr id="16" name="Text Box 16 KISDraf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964430" cy="1724025"/>
                      </a:xfrm>
                      <a:prstGeom prst="rect">
                        <a:avLst/>
                      </a:prstGeom>
                      <a:extLst>
                        <a:ext uri="{AF507438-7753-43E0-B8FC-AC1667EBCBE1}">
                          <a14:hiddenEffects xmlns:a14="http://schemas.microsoft.com/office/drawing/2010/main">
                            <a:effectLst/>
                          </a14:hiddenEffects>
                        </a:ext>
                      </a:extLst>
                    </wps:spPr>
                    <wps:txbx>
                      <w:txbxContent>
                        <w:p w14:paraId="4676CC11" w14:textId="77777777" w:rsidR="00C83B70" w:rsidRDefault="00C83B70" w:rsidP="00F02743">
                          <w:pPr>
                            <w:pStyle w:val="BodyText"/>
                            <w:spacing w:after="0"/>
                            <w:jc w:val="center"/>
                          </w:pPr>
                          <w:r w:rsidRPr="00B30531">
                            <w:rPr>
                              <w:rFonts w:ascii="Arial Black" w:hAnsi="Arial Black"/>
                              <w:color w:val="DDDDDD"/>
                              <w:sz w:val="192"/>
                              <w:szCs w:val="19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DCB2C7F" id="_x0000_t202" coordsize="21600,21600" o:spt="202" path="m,l,21600r21600,l21600,xe">
              <v:stroke joinstyle="miter"/>
              <v:path gradientshapeok="t" o:connecttype="rect"/>
            </v:shapetype>
            <v:shape id="Text Box 16 KISDraft" o:spid="_x0000_s1042" type="#_x0000_t202" style="position:absolute;margin-left:0;margin-top:0;width:390.9pt;height:135.75pt;rotation:-45;z-index:-25162854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" filled="f" stroked="f">
              <o:lock v:ext="edit" shapetype="t"/>
              <v:textbox style="mso-fit-shape-to-text:t">
                <w:txbxContent>
                  <w:p w14:paraId="4676CC11" w14:textId="77777777" w:rsidR="00C83B70" w:rsidRDefault="00C83B70" w:rsidP="00F02743">
                    <w:pPr>
                      <w:pStyle w:val="BodyText"/>
                      <w:spacing w:after="0"/>
                      <w:jc w:val="center"/>
                    </w:pPr>
                    <w:r w:rsidRPr="00B30531">
                      <w:rPr>
                        <w:rFonts w:ascii="Arial Black" w:hAnsi="Arial Black"/>
                        <w:color w:val="DDDDDD"/>
                        <w:sz w:val="192"/>
                        <w:szCs w:val="192"/>
                      </w:rPr>
                      <w:t>DRAFT</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28291" w14:textId="77777777" w:rsidR="00C83B70" w:rsidRPr="001F69E9" w:rsidRDefault="00C83B70" w:rsidP="00C245D5">
    <w:pPr>
      <w:pStyle w:val="Header"/>
      <w:tabs>
        <w:tab w:val="clear" w:pos="9026"/>
        <w:tab w:val="right" w:pos="13467"/>
      </w:tabs>
      <w:rPr>
        <w:rFonts w:ascii="Arial" w:hAnsi="Arial" w:cs="Arial"/>
      </w:rPr>
    </w:pPr>
    <w:r w:rsidRPr="001F69E9">
      <w:rPr>
        <w:rFonts w:ascii="Arial" w:hAnsi="Arial" w:cs="Arial"/>
      </w:rPr>
      <w:tab/>
      <w:t>Long Service Benefits Portability Regulations 2020</w:t>
    </w:r>
  </w:p>
  <w:p w14:paraId="5F87E2AB" w14:textId="63E74F37" w:rsidR="00C83B70" w:rsidRDefault="00C83B70" w:rsidP="00C245D5">
    <w:pPr>
      <w:pStyle w:val="Header"/>
      <w:tabs>
        <w:tab w:val="clear" w:pos="9026"/>
        <w:tab w:val="right" w:pos="13467"/>
      </w:tabs>
      <w:rPr>
        <w:rFonts w:ascii="Arial" w:hAnsi="Arial" w:cs="Arial"/>
      </w:rPr>
    </w:pPr>
    <w:r w:rsidRPr="001F69E9">
      <w:rPr>
        <w:rFonts w:ascii="Arial" w:hAnsi="Arial" w:cs="Arial"/>
      </w:rPr>
      <w:tab/>
    </w:r>
    <w:r>
      <w:rPr>
        <w:rFonts w:ascii="Arial" w:hAnsi="Arial" w:cs="Arial"/>
      </w:rPr>
      <w:t>April 2020</w:t>
    </w:r>
  </w:p>
  <w:p w14:paraId="7B0FACD5" w14:textId="77777777" w:rsidR="00C83B70" w:rsidRPr="001F69E9" w:rsidRDefault="00C83B70" w:rsidP="001E3D7B">
    <w:pPr>
      <w:pStyle w:val="Header"/>
      <w:rPr>
        <w:rFonts w:ascii="Arial" w:hAnsi="Arial" w:cs="Arial"/>
      </w:rPr>
    </w:pPr>
  </w:p>
  <w:p w14:paraId="23666B1B" w14:textId="41820C07" w:rsidR="00C83B70" w:rsidRPr="001F69E9" w:rsidRDefault="00C83B70" w:rsidP="001E3D7B">
    <w:pPr>
      <w:pStyle w:val="Header"/>
      <w:rPr>
        <w:rFonts w:ascii="Arial" w:hAnsi="Arial" w:cs="Arial"/>
      </w:rPr>
    </w:pPr>
  </w:p>
  <w:p w14:paraId="2B27AAE0" w14:textId="47531F51" w:rsidR="00C83B70" w:rsidRPr="001F69E9" w:rsidRDefault="00C83B70" w:rsidP="00076BC8">
    <w:pPr>
      <w:pStyle w:val="Header"/>
      <w:rPr>
        <w:rFonts w:ascii="Arial" w:hAnsi="Arial" w:cs="Arial"/>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C286C" w14:textId="14C65417" w:rsidR="00C83B70" w:rsidRPr="004D1441" w:rsidRDefault="00C83B70" w:rsidP="001F69E9">
    <w:pPr>
      <w:pStyle w:val="Header"/>
      <w:jc w:val="right"/>
    </w:pPr>
    <w:r w:rsidRPr="001F69E9">
      <w:rPr>
        <w:rFonts w:ascii="Arial" w:hAnsi="Arial" w:cs="Arial"/>
      </w:rPr>
      <w:t>Long Service Benefits Portability Regulations 2020</w:t>
    </w:r>
  </w:p>
  <w:p w14:paraId="0EF0CC19" w14:textId="7A09AA6B" w:rsidR="00C83B70" w:rsidRDefault="00C83B70" w:rsidP="00076BC8">
    <w:pPr>
      <w:pStyle w:val="Header"/>
    </w:pPr>
    <w:r>
      <w:rPr>
        <w:noProof/>
        <w:lang w:eastAsia="en-AU"/>
      </w:rPr>
      <mc:AlternateContent>
        <mc:Choice Requires="wps">
          <w:drawing>
            <wp:anchor distT="0" distB="0" distL="114300" distR="114300" simplePos="0" relativeHeight="251685888" behindDoc="1" locked="0" layoutInCell="1" allowOverlap="1" wp14:anchorId="06FF56F7" wp14:editId="5FDBC96C">
              <wp:simplePos x="0" y="0"/>
              <wp:positionH relativeFrom="page">
                <wp:align>center</wp:align>
              </wp:positionH>
              <wp:positionV relativeFrom="page">
                <wp:align>center</wp:align>
              </wp:positionV>
              <wp:extent cx="4964430" cy="1724025"/>
              <wp:effectExtent l="0" t="0" r="0" b="0"/>
              <wp:wrapNone/>
              <wp:docPr id="15" name="Text Box 15 KISDraf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964430" cy="1724025"/>
                      </a:xfrm>
                      <a:prstGeom prst="rect">
                        <a:avLst/>
                      </a:prstGeom>
                      <a:extLst>
                        <a:ext uri="{AF507438-7753-43E0-B8FC-AC1667EBCBE1}">
                          <a14:hiddenEffects xmlns:a14="http://schemas.microsoft.com/office/drawing/2010/main">
                            <a:effectLst/>
                          </a14:hiddenEffects>
                        </a:ext>
                      </a:extLst>
                    </wps:spPr>
                    <wps:txbx>
                      <w:txbxContent>
                        <w:p w14:paraId="0CB80000" w14:textId="77777777" w:rsidR="00C83B70" w:rsidRDefault="00C83B70" w:rsidP="00F02743">
                          <w:pPr>
                            <w:pStyle w:val="BodyText"/>
                            <w:spacing w:after="0"/>
                            <w:jc w:val="center"/>
                          </w:pPr>
                          <w:r w:rsidRPr="00B30531">
                            <w:rPr>
                              <w:rFonts w:ascii="Arial Black" w:hAnsi="Arial Black"/>
                              <w:color w:val="DDDDDD"/>
                              <w:sz w:val="192"/>
                              <w:szCs w:val="19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6FF56F7" id="_x0000_t202" coordsize="21600,21600" o:spt="202" path="m,l,21600r21600,l21600,xe">
              <v:stroke joinstyle="miter"/>
              <v:path gradientshapeok="t" o:connecttype="rect"/>
            </v:shapetype>
            <v:shape id="Text Box 15 KISDraft" o:spid="_x0000_s1044" type="#_x0000_t202" style="position:absolute;margin-left:0;margin-top:0;width:390.9pt;height:135.75pt;rotation:-45;z-index:-25163059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" filled="f" stroked="f">
              <o:lock v:ext="edit" shapetype="t"/>
              <v:textbox style="mso-fit-shape-to-text:t">
                <w:txbxContent>
                  <w:p w14:paraId="0CB80000" w14:textId="77777777" w:rsidR="00C83B70" w:rsidRDefault="00C83B70" w:rsidP="00F02743">
                    <w:pPr>
                      <w:pStyle w:val="BodyText"/>
                      <w:spacing w:after="0"/>
                      <w:jc w:val="center"/>
                    </w:pPr>
                    <w:r w:rsidRPr="00B30531">
                      <w:rPr>
                        <w:rFonts w:ascii="Arial Black" w:hAnsi="Arial Black"/>
                        <w:color w:val="DDDDDD"/>
                        <w:sz w:val="192"/>
                        <w:szCs w:val="192"/>
                      </w:rPr>
                      <w:t>DRAFT</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3493C" w14:textId="77777777" w:rsidR="00C83B70" w:rsidRPr="001F69E9" w:rsidRDefault="00C83B70" w:rsidP="001E3D7B">
    <w:pPr>
      <w:pStyle w:val="Header"/>
      <w:rPr>
        <w:rFonts w:ascii="Arial" w:hAnsi="Arial" w:cs="Arial"/>
      </w:rPr>
    </w:pPr>
    <w:r w:rsidRPr="001F69E9">
      <w:rPr>
        <w:rFonts w:ascii="Arial" w:hAnsi="Arial" w:cs="Arial"/>
      </w:rPr>
      <w:tab/>
      <w:t>Long Service Benefits Portability Regulations 2020</w:t>
    </w:r>
  </w:p>
  <w:p w14:paraId="707D6E9E" w14:textId="3666D794" w:rsidR="00C83B70" w:rsidRDefault="00C83B70" w:rsidP="001E3D7B">
    <w:pPr>
      <w:pStyle w:val="Header"/>
      <w:rPr>
        <w:rFonts w:ascii="Arial" w:hAnsi="Arial" w:cs="Arial"/>
      </w:rPr>
    </w:pPr>
    <w:r w:rsidRPr="001F69E9">
      <w:rPr>
        <w:rFonts w:ascii="Arial" w:hAnsi="Arial" w:cs="Arial"/>
      </w:rPr>
      <w:tab/>
    </w:r>
    <w:r>
      <w:rPr>
        <w:rFonts w:ascii="Arial" w:hAnsi="Arial" w:cs="Arial"/>
      </w:rPr>
      <w:t>April 2020</w:t>
    </w:r>
  </w:p>
  <w:p w14:paraId="17098BED" w14:textId="77777777" w:rsidR="00C83B70" w:rsidRPr="001F69E9" w:rsidRDefault="00C83B70" w:rsidP="001E3D7B">
    <w:pPr>
      <w:pStyle w:val="Header"/>
      <w:rPr>
        <w:rFonts w:ascii="Arial" w:hAnsi="Arial" w:cs="Arial"/>
      </w:rPr>
    </w:pPr>
  </w:p>
  <w:p w14:paraId="6449C58F" w14:textId="5273B33F" w:rsidR="00C83B70" w:rsidRPr="001F69E9" w:rsidRDefault="00C83B70" w:rsidP="001E3D7B">
    <w:pPr>
      <w:pStyle w:val="Header"/>
      <w:rPr>
        <w:rFonts w:ascii="Arial" w:hAnsi="Arial" w:cs="Arial"/>
      </w:rPr>
    </w:pPr>
  </w:p>
  <w:p w14:paraId="7D2CDD35" w14:textId="1842B703" w:rsidR="00C83B70" w:rsidRPr="001F69E9" w:rsidRDefault="00C83B70" w:rsidP="00076BC8">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481962" w14:textId="233E947F" w:rsidR="00C83B70" w:rsidRDefault="00C83B70" w:rsidP="00076BC8">
    <w:pPr>
      <w:pStyle w:val="Header"/>
    </w:pPr>
    <w:r>
      <w:rPr>
        <w:noProof/>
        <w:lang w:eastAsia="en-AU"/>
      </w:rPr>
      <mc:AlternateContent>
        <mc:Choice Requires="wps">
          <w:drawing>
            <wp:anchor distT="0" distB="0" distL="114300" distR="114300" simplePos="0" relativeHeight="251659264" behindDoc="1" locked="0" layoutInCell="1" allowOverlap="1" wp14:anchorId="03055E0D" wp14:editId="32D3823C">
              <wp:simplePos x="0" y="0"/>
              <wp:positionH relativeFrom="page">
                <wp:align>center</wp:align>
              </wp:positionH>
              <wp:positionV relativeFrom="page">
                <wp:align>center</wp:align>
              </wp:positionV>
              <wp:extent cx="4964430" cy="1724025"/>
              <wp:effectExtent l="0" t="1517015" r="0" b="1521460"/>
              <wp:wrapNone/>
              <wp:docPr id="1" name="Text Box 1 KISDraf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964430" cy="1724025"/>
                      </a:xfrm>
                      <a:prstGeom prst="rect">
                        <a:avLst/>
                      </a:prstGeom>
                      <a:extLst>
                        <a:ext uri="{AF507438-7753-43E0-B8FC-AC1667EBCBE1}">
                          <a14:hiddenEffects xmlns:a14="http://schemas.microsoft.com/office/drawing/2010/main">
                            <a:effectLst/>
                          </a14:hiddenEffects>
                        </a:ext>
                      </a:extLst>
                    </wps:spPr>
                    <wps:txbx>
                      <w:txbxContent>
                        <w:p w14:paraId="1461DF37" w14:textId="77777777" w:rsidR="00C83B70" w:rsidRDefault="00C83B70" w:rsidP="00E45994">
                          <w:pPr>
                            <w:pStyle w:val="NormalWeb"/>
                            <w:spacing w:before="0" w:beforeAutospacing="0" w:after="0" w:afterAutospacing="0"/>
                            <w:jc w:val="center"/>
                          </w:pPr>
                          <w:r>
                            <w:rPr>
                              <w:rFonts w:ascii="Arial Black" w:hAnsi="Arial Black"/>
                              <w:color w:val="DDDDDD"/>
                              <w:sz w:val="192"/>
                              <w:szCs w:val="192"/>
                              <w14:textOutline w14:w="9525" w14:cap="flat" w14:cmpd="sng" w14:algn="ctr">
                                <w14:solidFill>
                                  <w14:srgbClr w14:val="DDDDDD"/>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3055E0D" id="_x0000_t202" coordsize="21600,21600" o:spt="202" path="m,l,21600r21600,l21600,xe">
              <v:stroke joinstyle="miter"/>
              <v:path gradientshapeok="t" o:connecttype="rect"/>
            </v:shapetype>
            <v:shape id="Text Box 1 KISDraft" o:spid="_x0000_s1027" type="#_x0000_t202" style="position:absolute;margin-left:0;margin-top:0;width:390.9pt;height:135.75pt;rotation:-45;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" filled="f" stroked="f">
              <o:lock v:ext="edit" shapetype="t"/>
              <v:textbox style="mso-fit-shape-to-text:t">
                <w:txbxContent>
                  <w:p w14:paraId="1461DF37" w14:textId="77777777" w:rsidR="00C83B70" w:rsidRDefault="00C83B70" w:rsidP="00E45994">
                    <w:pPr>
                      <w:pStyle w:val="NormalWeb"/>
                      <w:spacing w:before="0" w:beforeAutospacing="0" w:after="0" w:afterAutospacing="0"/>
                      <w:jc w:val="center"/>
                    </w:pPr>
                    <w:r>
                      <w:rPr>
                        <w:rFonts w:ascii="Arial Black" w:hAnsi="Arial Black"/>
                        <w:color w:val="DDDDDD"/>
                        <w:sz w:val="192"/>
                        <w:szCs w:val="192"/>
                        <w14:textOutline w14:w="9525" w14:cap="flat" w14:cmpd="sng" w14:algn="ctr">
                          <w14:solidFill>
                            <w14:srgbClr w14:val="DDDDDD"/>
                          </w14:solidFill>
                          <w14:prstDash w14:val="solid"/>
                          <w14:round/>
                        </w14:textOutline>
                      </w:rPr>
                      <w:t>DRAFT</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EE854" w14:textId="51C39D58" w:rsidR="00C83B70" w:rsidRDefault="00C83B70" w:rsidP="00076BC8">
    <w:pPr>
      <w:pStyle w:val="Header"/>
    </w:pPr>
    <w:r>
      <w:rPr>
        <w:noProof/>
        <w:lang w:eastAsia="en-AU"/>
      </w:rPr>
      <mc:AlternateContent>
        <mc:Choice Requires="wps">
          <w:drawing>
            <wp:anchor distT="0" distB="0" distL="114300" distR="114300" simplePos="0" relativeHeight="251669504" behindDoc="1" locked="0" layoutInCell="1" allowOverlap="1" wp14:anchorId="0E8E2D91" wp14:editId="5878076B">
              <wp:simplePos x="0" y="0"/>
              <wp:positionH relativeFrom="page">
                <wp:align>center</wp:align>
              </wp:positionH>
              <wp:positionV relativeFrom="page">
                <wp:align>center</wp:align>
              </wp:positionV>
              <wp:extent cx="4964430" cy="1724025"/>
              <wp:effectExtent l="0" t="1517015" r="0" b="1521460"/>
              <wp:wrapNone/>
              <wp:docPr id="7" name="Text Box 7 KISDraf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964430" cy="1724025"/>
                      </a:xfrm>
                      <a:prstGeom prst="rect">
                        <a:avLst/>
                      </a:prstGeom>
                      <a:extLst>
                        <a:ext uri="{AF507438-7753-43E0-B8FC-AC1667EBCBE1}">
                          <a14:hiddenEffects xmlns:a14="http://schemas.microsoft.com/office/drawing/2010/main">
                            <a:effectLst/>
                          </a14:hiddenEffects>
                        </a:ext>
                      </a:extLst>
                    </wps:spPr>
                    <wps:txbx>
                      <w:txbxContent>
                        <w:p w14:paraId="7683DC86" w14:textId="77777777" w:rsidR="00C83B70" w:rsidRDefault="00C83B70" w:rsidP="00E45994">
                          <w:pPr>
                            <w:pStyle w:val="NormalWeb"/>
                            <w:spacing w:before="0" w:beforeAutospacing="0" w:after="0" w:afterAutospacing="0"/>
                            <w:jc w:val="center"/>
                          </w:pPr>
                          <w:r>
                            <w:rPr>
                              <w:rFonts w:ascii="Arial Black" w:hAnsi="Arial Black"/>
                              <w:color w:val="DDDDDD"/>
                              <w:sz w:val="192"/>
                              <w:szCs w:val="192"/>
                              <w14:textOutline w14:w="9525" w14:cap="flat" w14:cmpd="sng" w14:algn="ctr">
                                <w14:solidFill>
                                  <w14:srgbClr w14:val="DDDDDD"/>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E8E2D91" id="_x0000_t202" coordsize="21600,21600" o:spt="202" path="m,l,21600r21600,l21600,xe">
              <v:stroke joinstyle="miter"/>
              <v:path gradientshapeok="t" o:connecttype="rect"/>
            </v:shapetype>
            <v:shape id="Text Box 7 KISDraft" o:spid="_x0000_s1030" type="#_x0000_t202" style="position:absolute;margin-left:0;margin-top:0;width:390.9pt;height:135.75pt;rotation:-45;z-index:-25164697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" filled="f" stroked="f">
              <o:lock v:ext="edit" shapetype="t"/>
              <v:textbox style="mso-fit-shape-to-text:t">
                <w:txbxContent>
                  <w:p w14:paraId="7683DC86" w14:textId="77777777" w:rsidR="00C83B70" w:rsidRDefault="00C83B70" w:rsidP="00E45994">
                    <w:pPr>
                      <w:pStyle w:val="NormalWeb"/>
                      <w:spacing w:before="0" w:beforeAutospacing="0" w:after="0" w:afterAutospacing="0"/>
                      <w:jc w:val="center"/>
                    </w:pPr>
                    <w:r>
                      <w:rPr>
                        <w:rFonts w:ascii="Arial Black" w:hAnsi="Arial Black"/>
                        <w:color w:val="DDDDDD"/>
                        <w:sz w:val="192"/>
                        <w:szCs w:val="192"/>
                        <w14:textOutline w14:w="9525" w14:cap="flat" w14:cmpd="sng" w14:algn="ctr">
                          <w14:solidFill>
                            <w14:srgbClr w14:val="DDDDDD"/>
                          </w14:solidFill>
                          <w14:prstDash w14:val="solid"/>
                          <w14:round/>
                        </w14:textOutline>
                      </w:rPr>
                      <w:t>DRAFT</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5D893A" w14:textId="78BAF093" w:rsidR="00C83B70" w:rsidRPr="001F69E9" w:rsidRDefault="00C83B70" w:rsidP="001E3D7B">
    <w:pPr>
      <w:pStyle w:val="Header"/>
      <w:rPr>
        <w:rFonts w:ascii="Arial" w:hAnsi="Arial" w:cs="Arial"/>
      </w:rPr>
    </w:pPr>
    <w:r w:rsidRPr="001F69E9">
      <w:rPr>
        <w:rFonts w:ascii="Arial" w:hAnsi="Arial" w:cs="Arial"/>
      </w:rPr>
      <w:tab/>
      <w:t>Long Service Benefits Portability Regulations 2020</w:t>
    </w:r>
  </w:p>
  <w:p w14:paraId="3C6647D1" w14:textId="39CBC11A" w:rsidR="00C83B70" w:rsidRDefault="00C83B70" w:rsidP="001E3D7B">
    <w:pPr>
      <w:pStyle w:val="Header"/>
      <w:rPr>
        <w:rFonts w:ascii="Arial" w:hAnsi="Arial" w:cs="Arial"/>
      </w:rPr>
    </w:pPr>
    <w:r w:rsidRPr="001F69E9">
      <w:rPr>
        <w:rFonts w:ascii="Arial" w:hAnsi="Arial" w:cs="Arial"/>
      </w:rPr>
      <w:tab/>
    </w:r>
    <w:r>
      <w:rPr>
        <w:rFonts w:ascii="Arial" w:hAnsi="Arial" w:cs="Arial"/>
      </w:rPr>
      <w:t>April 2020</w:t>
    </w:r>
  </w:p>
  <w:p w14:paraId="6F29A760" w14:textId="77777777" w:rsidR="00C83B70" w:rsidRPr="001F69E9" w:rsidRDefault="00C83B70" w:rsidP="001E3D7B">
    <w:pPr>
      <w:pStyle w:val="Header"/>
      <w:rPr>
        <w:rFonts w:ascii="Arial" w:hAnsi="Arial" w:cs="Arial"/>
      </w:rPr>
    </w:pPr>
  </w:p>
  <w:p w14:paraId="3ADDFD49" w14:textId="3576BDF5" w:rsidR="00C83B70" w:rsidRPr="001F69E9" w:rsidRDefault="00C83B70" w:rsidP="001E3D7B">
    <w:pPr>
      <w:pStyle w:val="Header"/>
      <w:rPr>
        <w:rFonts w:ascii="Arial" w:hAnsi="Arial" w:cs="Arial"/>
      </w:rPr>
    </w:pPr>
  </w:p>
  <w:p w14:paraId="2A80233C" w14:textId="50D942B9" w:rsidR="00C83B70" w:rsidRPr="001F69E9" w:rsidRDefault="00C83B70" w:rsidP="00076BC8">
    <w:pPr>
      <w:pStyle w:val="Header"/>
      <w:rPr>
        <w:rFonts w:ascii="Arial" w:hAnsi="Arial" w:cs="Arial"/>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82615" w14:textId="208557C1" w:rsidR="00C83B70" w:rsidRDefault="00C83B70" w:rsidP="00076BC8">
    <w:pPr>
      <w:pStyle w:val="Header"/>
    </w:pPr>
    <w:r>
      <w:rPr>
        <w:noProof/>
        <w:lang w:eastAsia="en-AU"/>
      </w:rPr>
      <mc:AlternateContent>
        <mc:Choice Requires="wps">
          <w:drawing>
            <wp:anchor distT="0" distB="0" distL="114300" distR="114300" simplePos="0" relativeHeight="251667456" behindDoc="1" locked="0" layoutInCell="1" allowOverlap="1" wp14:anchorId="2394EF0E" wp14:editId="36845A6F">
              <wp:simplePos x="0" y="0"/>
              <wp:positionH relativeFrom="page">
                <wp:align>center</wp:align>
              </wp:positionH>
              <wp:positionV relativeFrom="page">
                <wp:align>center</wp:align>
              </wp:positionV>
              <wp:extent cx="4964430" cy="1724025"/>
              <wp:effectExtent l="0" t="1517015" r="0" b="1521460"/>
              <wp:wrapNone/>
              <wp:docPr id="6" name="Text Box 6 KISDraf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964430" cy="1724025"/>
                      </a:xfrm>
                      <a:prstGeom prst="rect">
                        <a:avLst/>
                      </a:prstGeom>
                      <a:extLst>
                        <a:ext uri="{AF507438-7753-43E0-B8FC-AC1667EBCBE1}">
                          <a14:hiddenEffects xmlns:a14="http://schemas.microsoft.com/office/drawing/2010/main">
                            <a:effectLst/>
                          </a14:hiddenEffects>
                        </a:ext>
                      </a:extLst>
                    </wps:spPr>
                    <wps:txbx>
                      <w:txbxContent>
                        <w:p w14:paraId="534E2E02" w14:textId="77777777" w:rsidR="00C83B70" w:rsidRDefault="00C83B70" w:rsidP="00E45994">
                          <w:pPr>
                            <w:pStyle w:val="NormalWeb"/>
                            <w:spacing w:before="0" w:beforeAutospacing="0" w:after="0" w:afterAutospacing="0"/>
                            <w:jc w:val="center"/>
                          </w:pPr>
                          <w:r>
                            <w:rPr>
                              <w:rFonts w:ascii="Arial Black" w:hAnsi="Arial Black"/>
                              <w:color w:val="DDDDDD"/>
                              <w:sz w:val="192"/>
                              <w:szCs w:val="192"/>
                              <w14:textOutline w14:w="9525" w14:cap="flat" w14:cmpd="sng" w14:algn="ctr">
                                <w14:solidFill>
                                  <w14:srgbClr w14:val="DDDDDD"/>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394EF0E" id="_x0000_t202" coordsize="21600,21600" o:spt="202" path="m,l,21600r21600,l21600,xe">
              <v:stroke joinstyle="miter"/>
              <v:path gradientshapeok="t" o:connecttype="rect"/>
            </v:shapetype>
            <v:shape id="Text Box 6 KISDraft" o:spid="_x0000_s1032" type="#_x0000_t202" style="position:absolute;margin-left:0;margin-top:0;width:390.9pt;height:135.75pt;rotation:-45;z-index:-251649024;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" filled="f" stroked="f">
              <o:lock v:ext="edit" shapetype="t"/>
              <v:textbox style="mso-fit-shape-to-text:t">
                <w:txbxContent>
                  <w:p w14:paraId="534E2E02" w14:textId="77777777" w:rsidR="00C83B70" w:rsidRDefault="00C83B70" w:rsidP="00E45994">
                    <w:pPr>
                      <w:pStyle w:val="NormalWeb"/>
                      <w:spacing w:before="0" w:beforeAutospacing="0" w:after="0" w:afterAutospacing="0"/>
                      <w:jc w:val="center"/>
                    </w:pPr>
                    <w:r>
                      <w:rPr>
                        <w:rFonts w:ascii="Arial Black" w:hAnsi="Arial Black"/>
                        <w:color w:val="DDDDDD"/>
                        <w:sz w:val="192"/>
                        <w:szCs w:val="192"/>
                        <w14:textOutline w14:w="9525" w14:cap="flat" w14:cmpd="sng" w14:algn="ctr">
                          <w14:solidFill>
                            <w14:srgbClr w14:val="DDDDDD"/>
                          </w14:solidFill>
                          <w14:prstDash w14:val="solid"/>
                          <w14:round/>
                        </w14:textOutline>
                      </w:rPr>
                      <w:t>DRAFT</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C42BD" w14:textId="12BDEDBD" w:rsidR="00C83B70" w:rsidRPr="004D1441" w:rsidRDefault="00C83B70" w:rsidP="00076BC8">
    <w:pPr>
      <w:pStyle w:val="Header"/>
    </w:pPr>
    <w:r w:rsidRPr="004D1441">
      <w:t>DHHS Victoria</w:t>
    </w:r>
    <w:r>
      <w:t xml:space="preserve">  </w:t>
    </w:r>
    <w:r w:rsidRPr="004D1441">
      <w:t>Portable Long Service Leave Benefit Scheme 2019 RIS</w:t>
    </w:r>
  </w:p>
  <w:p w14:paraId="785924D9" w14:textId="79271004" w:rsidR="00C83B70" w:rsidRDefault="00C83B70" w:rsidP="00076BC8">
    <w:pPr>
      <w:pStyle w:val="Header"/>
    </w:pPr>
    <w:r>
      <w:rPr>
        <w:noProof/>
        <w:lang w:eastAsia="en-AU"/>
      </w:rPr>
      <mc:AlternateContent>
        <mc:Choice Requires="wps">
          <w:drawing>
            <wp:anchor distT="0" distB="0" distL="114300" distR="114300" simplePos="0" relativeHeight="251675648" behindDoc="1" locked="0" layoutInCell="1" allowOverlap="1" wp14:anchorId="1D8E0B5A" wp14:editId="6A9E6409">
              <wp:simplePos x="0" y="0"/>
              <wp:positionH relativeFrom="page">
                <wp:align>center</wp:align>
              </wp:positionH>
              <wp:positionV relativeFrom="page">
                <wp:align>center</wp:align>
              </wp:positionV>
              <wp:extent cx="4964430" cy="1724025"/>
              <wp:effectExtent l="0" t="1517015" r="0" b="1521460"/>
              <wp:wrapNone/>
              <wp:docPr id="10" name="Text Box 10 KISDraf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964430" cy="1724025"/>
                      </a:xfrm>
                      <a:prstGeom prst="rect">
                        <a:avLst/>
                      </a:prstGeom>
                      <a:extLst>
                        <a:ext uri="{AF507438-7753-43E0-B8FC-AC1667EBCBE1}">
                          <a14:hiddenEffects xmlns:a14="http://schemas.microsoft.com/office/drawing/2010/main">
                            <a:effectLst/>
                          </a14:hiddenEffects>
                        </a:ext>
                      </a:extLst>
                    </wps:spPr>
                    <wps:txbx>
                      <w:txbxContent>
                        <w:p w14:paraId="53B19E99" w14:textId="77777777" w:rsidR="00C83B70" w:rsidRDefault="00C83B70" w:rsidP="00E45994">
                          <w:pPr>
                            <w:pStyle w:val="NormalWeb"/>
                            <w:spacing w:before="0" w:beforeAutospacing="0" w:after="0" w:afterAutospacing="0"/>
                            <w:jc w:val="center"/>
                          </w:pPr>
                          <w:r>
                            <w:rPr>
                              <w:rFonts w:ascii="Arial Black" w:hAnsi="Arial Black"/>
                              <w:color w:val="DDDDDD"/>
                              <w:sz w:val="192"/>
                              <w:szCs w:val="192"/>
                              <w14:textOutline w14:w="9525" w14:cap="flat" w14:cmpd="sng" w14:algn="ctr">
                                <w14:solidFill>
                                  <w14:srgbClr w14:val="DDDDDD"/>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D8E0B5A" id="_x0000_t202" coordsize="21600,21600" o:spt="202" path="m,l,21600r21600,l21600,xe">
              <v:stroke joinstyle="miter"/>
              <v:path gradientshapeok="t" o:connecttype="rect"/>
            </v:shapetype>
            <v:shape id="Text Box 10 KISDraft" o:spid="_x0000_s1034" type="#_x0000_t202" style="position:absolute;margin-left:0;margin-top:0;width:390.9pt;height:135.75pt;rotation:-45;z-index:-251640832;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" filled="f" stroked="f">
              <o:lock v:ext="edit" shapetype="t"/>
              <v:textbox style="mso-fit-shape-to-text:t">
                <w:txbxContent>
                  <w:p w14:paraId="53B19E99" w14:textId="77777777" w:rsidR="00C83B70" w:rsidRDefault="00C83B70" w:rsidP="00E45994">
                    <w:pPr>
                      <w:pStyle w:val="NormalWeb"/>
                      <w:spacing w:before="0" w:beforeAutospacing="0" w:after="0" w:afterAutospacing="0"/>
                      <w:jc w:val="center"/>
                    </w:pPr>
                    <w:r>
                      <w:rPr>
                        <w:rFonts w:ascii="Arial Black" w:hAnsi="Arial Black"/>
                        <w:color w:val="DDDDDD"/>
                        <w:sz w:val="192"/>
                        <w:szCs w:val="192"/>
                        <w14:textOutline w14:w="9525" w14:cap="flat" w14:cmpd="sng" w14:algn="ctr">
                          <w14:solidFill>
                            <w14:srgbClr w14:val="DDDDDD"/>
                          </w14:solidFill>
                          <w14:prstDash w14:val="solid"/>
                          <w14:round/>
                        </w14:textOutline>
                      </w:rPr>
                      <w:t>DRAFT</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C666DF" w14:textId="201CD7F9" w:rsidR="00C83B70" w:rsidRPr="00B8625E" w:rsidRDefault="00C83B70" w:rsidP="00076BC8">
    <w:pPr>
      <w:pStyle w:val="Header"/>
    </w:pPr>
    <w:r>
      <w:t xml:space="preserve">Long Service Benefits Portability Regulations </w:t>
    </w:r>
    <w:r w:rsidRPr="00B8625E">
      <w:t>2020 RIS</w:t>
    </w:r>
  </w:p>
  <w:p w14:paraId="0B654FB5" w14:textId="4FB88E15" w:rsidR="00C83B70" w:rsidRPr="00B8625E" w:rsidRDefault="00C83B70" w:rsidP="00076BC8">
    <w:pPr>
      <w:pStyle w:val="Header"/>
    </w:pPr>
    <w:r w:rsidRPr="00B8625E">
      <w:rPr>
        <w:noProof/>
        <w:lang w:eastAsia="en-AU"/>
      </w:rPr>
      <mc:AlternateContent>
        <mc:Choice Requires="wps">
          <w:drawing>
            <wp:anchor distT="0" distB="0" distL="114300" distR="114300" simplePos="0" relativeHeight="251673600" behindDoc="1" locked="0" layoutInCell="1" allowOverlap="1" wp14:anchorId="6BA7A769" wp14:editId="762FA9B2">
              <wp:simplePos x="0" y="0"/>
              <wp:positionH relativeFrom="page">
                <wp:align>center</wp:align>
              </wp:positionH>
              <wp:positionV relativeFrom="page">
                <wp:align>center</wp:align>
              </wp:positionV>
              <wp:extent cx="4964430" cy="1724025"/>
              <wp:effectExtent l="0" t="1517015" r="0" b="1521460"/>
              <wp:wrapNone/>
              <wp:docPr id="9" name="Text Box 9 KISDraf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964430" cy="1724025"/>
                      </a:xfrm>
                      <a:prstGeom prst="rect">
                        <a:avLst/>
                      </a:prstGeom>
                      <a:extLst>
                        <a:ext uri="{AF507438-7753-43E0-B8FC-AC1667EBCBE1}">
                          <a14:hiddenEffects xmlns:a14="http://schemas.microsoft.com/office/drawing/2010/main">
                            <a:effectLst/>
                          </a14:hiddenEffects>
                        </a:ext>
                      </a:extLst>
                    </wps:spPr>
                    <wps:txbx>
                      <w:txbxContent>
                        <w:p w14:paraId="6C4C3643" w14:textId="77777777" w:rsidR="00C83B70" w:rsidRDefault="00C83B70" w:rsidP="00E45994">
                          <w:pPr>
                            <w:pStyle w:val="NormalWeb"/>
                            <w:spacing w:before="0" w:beforeAutospacing="0" w:after="0" w:afterAutospacing="0"/>
                            <w:jc w:val="center"/>
                          </w:pPr>
                          <w:r>
                            <w:rPr>
                              <w:rFonts w:ascii="Arial Black" w:hAnsi="Arial Black"/>
                              <w:color w:val="DDDDDD"/>
                              <w:sz w:val="192"/>
                              <w:szCs w:val="192"/>
                              <w14:textOutline w14:w="9525" w14:cap="flat" w14:cmpd="sng" w14:algn="ctr">
                                <w14:solidFill>
                                  <w14:srgbClr w14:val="DDDDDD"/>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BA7A769" id="_x0000_t202" coordsize="21600,21600" o:spt="202" path="m,l,21600r21600,l21600,xe">
              <v:stroke joinstyle="miter"/>
              <v:path gradientshapeok="t" o:connecttype="rect"/>
            </v:shapetype>
            <v:shape id="Text Box 9 KISDraft" o:spid="_x0000_s1036" type="#_x0000_t202" style="position:absolute;margin-left:0;margin-top:0;width:390.9pt;height:135.75pt;rotation:-45;z-index:-25164288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" filled="f" stroked="f">
              <o:lock v:ext="edit" shapetype="t"/>
              <v:textbox style="mso-fit-shape-to-text:t">
                <w:txbxContent>
                  <w:p w14:paraId="6C4C3643" w14:textId="77777777" w:rsidR="00C83B70" w:rsidRDefault="00C83B70" w:rsidP="00E45994">
                    <w:pPr>
                      <w:pStyle w:val="NormalWeb"/>
                      <w:spacing w:before="0" w:beforeAutospacing="0" w:after="0" w:afterAutospacing="0"/>
                      <w:jc w:val="center"/>
                    </w:pPr>
                    <w:r>
                      <w:rPr>
                        <w:rFonts w:ascii="Arial Black" w:hAnsi="Arial Black"/>
                        <w:color w:val="DDDDDD"/>
                        <w:sz w:val="192"/>
                        <w:szCs w:val="192"/>
                        <w14:textOutline w14:w="9525" w14:cap="flat" w14:cmpd="sng" w14:algn="ctr">
                          <w14:solidFill>
                            <w14:srgbClr w14:val="DDDDDD"/>
                          </w14:solidFill>
                          <w14:prstDash w14:val="solid"/>
                          <w14:round/>
                        </w14:textOutline>
                      </w:rPr>
                      <w:t>DRAFT</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DBE6C" w14:textId="77777777" w:rsidR="00C83B70" w:rsidRPr="00B8625E" w:rsidRDefault="00C83B70" w:rsidP="00076BC8">
    <w:pPr>
      <w:pStyle w:val="Header"/>
    </w:pPr>
    <w:r>
      <w:t xml:space="preserve">Long Service Benefits Portability Regulations </w:t>
    </w:r>
    <w:r w:rsidRPr="00B8625E">
      <w:t>2020 RIS</w:t>
    </w:r>
  </w:p>
  <w:p w14:paraId="2DE3B90D" w14:textId="0525B6A0" w:rsidR="00C83B70" w:rsidRPr="00B8625E" w:rsidRDefault="00C83B70" w:rsidP="00076BC8">
    <w:pPr>
      <w:pStyle w:val="Header"/>
    </w:pPr>
    <w:r w:rsidRPr="00B8625E">
      <w:rPr>
        <w:noProof/>
        <w:lang w:eastAsia="en-AU"/>
      </w:rPr>
      <mc:AlternateContent>
        <mc:Choice Requires="wps">
          <w:drawing>
            <wp:anchor distT="0" distB="0" distL="114300" distR="114300" simplePos="0" relativeHeight="251681792" behindDoc="1" locked="0" layoutInCell="1" allowOverlap="1" wp14:anchorId="62B45E05" wp14:editId="12DBBD84">
              <wp:simplePos x="0" y="0"/>
              <wp:positionH relativeFrom="page">
                <wp:align>center</wp:align>
              </wp:positionH>
              <wp:positionV relativeFrom="page">
                <wp:align>center</wp:align>
              </wp:positionV>
              <wp:extent cx="4964430" cy="1724025"/>
              <wp:effectExtent l="0" t="1517015" r="0" b="1521460"/>
              <wp:wrapNone/>
              <wp:docPr id="13" name="Text Box 13 KISDraf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964430" cy="1724025"/>
                      </a:xfrm>
                      <a:prstGeom prst="rect">
                        <a:avLst/>
                      </a:prstGeom>
                      <a:extLst>
                        <a:ext uri="{AF507438-7753-43E0-B8FC-AC1667EBCBE1}">
                          <a14:hiddenEffects xmlns:a14="http://schemas.microsoft.com/office/drawing/2010/main">
                            <a:effectLst/>
                          </a14:hiddenEffects>
                        </a:ext>
                      </a:extLst>
                    </wps:spPr>
                    <wps:txbx>
                      <w:txbxContent>
                        <w:p w14:paraId="430C68CE" w14:textId="77777777" w:rsidR="00C83B70" w:rsidRDefault="00C83B70" w:rsidP="00E45994">
                          <w:pPr>
                            <w:pStyle w:val="NormalWeb"/>
                            <w:spacing w:before="0" w:beforeAutospacing="0" w:after="0" w:afterAutospacing="0"/>
                            <w:jc w:val="center"/>
                          </w:pPr>
                          <w:r>
                            <w:rPr>
                              <w:rFonts w:ascii="Arial Black" w:hAnsi="Arial Black"/>
                              <w:color w:val="DDDDDD"/>
                              <w:sz w:val="192"/>
                              <w:szCs w:val="192"/>
                              <w14:textOutline w14:w="9525" w14:cap="flat" w14:cmpd="sng" w14:algn="ctr">
                                <w14:solidFill>
                                  <w14:srgbClr w14:val="DDDDDD"/>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2B45E05" id="_x0000_t202" coordsize="21600,21600" o:spt="202" path="m,l,21600r21600,l21600,xe">
              <v:stroke joinstyle="miter"/>
              <v:path gradientshapeok="t" o:connecttype="rect"/>
            </v:shapetype>
            <v:shape id="Text Box 13 KISDraft" o:spid="_x0000_s1038" type="#_x0000_t202" style="position:absolute;margin-left:0;margin-top:0;width:390.9pt;height:135.75pt;rotation:-45;z-index:-25163468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" filled="f" stroked="f">
              <o:lock v:ext="edit" shapetype="t"/>
              <v:textbox style="mso-fit-shape-to-text:t">
                <w:txbxContent>
                  <w:p w14:paraId="430C68CE" w14:textId="77777777" w:rsidR="00C83B70" w:rsidRDefault="00C83B70" w:rsidP="00E45994">
                    <w:pPr>
                      <w:pStyle w:val="NormalWeb"/>
                      <w:spacing w:before="0" w:beforeAutospacing="0" w:after="0" w:afterAutospacing="0"/>
                      <w:jc w:val="center"/>
                    </w:pPr>
                    <w:r>
                      <w:rPr>
                        <w:rFonts w:ascii="Arial Black" w:hAnsi="Arial Black"/>
                        <w:color w:val="DDDDDD"/>
                        <w:sz w:val="192"/>
                        <w:szCs w:val="192"/>
                        <w14:textOutline w14:w="9525" w14:cap="flat" w14:cmpd="sng" w14:algn="ctr">
                          <w14:solidFill>
                            <w14:srgbClr w14:val="DDDDDD"/>
                          </w14:solidFill>
                          <w14:prstDash w14:val="solid"/>
                          <w14:round/>
                        </w14:textOutline>
                      </w:rPr>
                      <w:t>DRAFT</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DEF83" w14:textId="77777777" w:rsidR="00C83B70" w:rsidRPr="00B8625E" w:rsidRDefault="00C83B70" w:rsidP="00076BC8">
    <w:pPr>
      <w:pStyle w:val="Header"/>
    </w:pPr>
    <w:r>
      <w:t xml:space="preserve">Long Service Benefits Portability Regulations </w:t>
    </w:r>
    <w:r w:rsidRPr="00B8625E">
      <w:t>2020 RIS</w:t>
    </w:r>
  </w:p>
  <w:p w14:paraId="02983C09" w14:textId="14D81E4E" w:rsidR="00C83B70" w:rsidRPr="00B8625E" w:rsidRDefault="00C83B70" w:rsidP="00076BC8">
    <w:pPr>
      <w:pStyle w:val="Header"/>
    </w:pPr>
    <w:r w:rsidRPr="00B8625E">
      <w:rPr>
        <w:noProof/>
        <w:lang w:eastAsia="en-AU"/>
      </w:rPr>
      <mc:AlternateContent>
        <mc:Choice Requires="wps">
          <w:drawing>
            <wp:anchor distT="0" distB="0" distL="114300" distR="114300" simplePos="0" relativeHeight="251679744" behindDoc="1" locked="0" layoutInCell="1" allowOverlap="1" wp14:anchorId="164FD5D1" wp14:editId="420F5ECB">
              <wp:simplePos x="0" y="0"/>
              <wp:positionH relativeFrom="page">
                <wp:align>center</wp:align>
              </wp:positionH>
              <wp:positionV relativeFrom="page">
                <wp:align>center</wp:align>
              </wp:positionV>
              <wp:extent cx="4964430" cy="1724025"/>
              <wp:effectExtent l="0" t="1517015" r="0" b="1521460"/>
              <wp:wrapNone/>
              <wp:docPr id="12" name="Text Box 12 KISDraf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4964430" cy="1724025"/>
                      </a:xfrm>
                      <a:prstGeom prst="rect">
                        <a:avLst/>
                      </a:prstGeom>
                      <a:extLst>
                        <a:ext uri="{AF507438-7753-43E0-B8FC-AC1667EBCBE1}">
                          <a14:hiddenEffects xmlns:a14="http://schemas.microsoft.com/office/drawing/2010/main">
                            <a:effectLst/>
                          </a14:hiddenEffects>
                        </a:ext>
                      </a:extLst>
                    </wps:spPr>
                    <wps:txbx>
                      <w:txbxContent>
                        <w:p w14:paraId="7985E15F" w14:textId="77777777" w:rsidR="00C83B70" w:rsidRDefault="00C83B70" w:rsidP="00E45994">
                          <w:pPr>
                            <w:pStyle w:val="NormalWeb"/>
                            <w:spacing w:before="0" w:beforeAutospacing="0" w:after="0" w:afterAutospacing="0"/>
                            <w:jc w:val="center"/>
                          </w:pPr>
                          <w:r>
                            <w:rPr>
                              <w:rFonts w:ascii="Arial Black" w:hAnsi="Arial Black"/>
                              <w:color w:val="DDDDDD"/>
                              <w:sz w:val="192"/>
                              <w:szCs w:val="192"/>
                              <w14:textOutline w14:w="9525" w14:cap="flat" w14:cmpd="sng" w14:algn="ctr">
                                <w14:solidFill>
                                  <w14:srgbClr w14:val="DDDDDD"/>
                                </w14:solidFill>
                                <w14:prstDash w14:val="solid"/>
                                <w14:round/>
                              </w14:textOutline>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64FD5D1" id="_x0000_t202" coordsize="21600,21600" o:spt="202" path="m,l,21600r21600,l21600,xe">
              <v:stroke joinstyle="miter"/>
              <v:path gradientshapeok="t" o:connecttype="rect"/>
            </v:shapetype>
            <v:shape id="Text Box 12 KISDraft" o:spid="_x0000_s1040" type="#_x0000_t202" style="position:absolute;margin-left:0;margin-top:0;width:390.9pt;height:135.75pt;rotation:-45;z-index:-25163673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" filled="f" stroked="f">
              <o:lock v:ext="edit" shapetype="t"/>
              <v:textbox style="mso-fit-shape-to-text:t">
                <w:txbxContent>
                  <w:p w14:paraId="7985E15F" w14:textId="77777777" w:rsidR="00C83B70" w:rsidRDefault="00C83B70" w:rsidP="00E45994">
                    <w:pPr>
                      <w:pStyle w:val="NormalWeb"/>
                      <w:spacing w:before="0" w:beforeAutospacing="0" w:after="0" w:afterAutospacing="0"/>
                      <w:jc w:val="center"/>
                    </w:pPr>
                    <w:r>
                      <w:rPr>
                        <w:rFonts w:ascii="Arial Black" w:hAnsi="Arial Black"/>
                        <w:color w:val="DDDDDD"/>
                        <w:sz w:val="192"/>
                        <w:szCs w:val="192"/>
                        <w14:textOutline w14:w="9525" w14:cap="flat" w14:cmpd="sng" w14:algn="ctr">
                          <w14:solidFill>
                            <w14:srgbClr w14:val="DDDDDD"/>
                          </w14:solidFill>
                          <w14:prstDash w14:val="solid"/>
                          <w14:round/>
                        </w14:textOutline>
                      </w:rPr>
                      <w:t>DRAFT</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540330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C44C80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CF657B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BC86852"/>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DAE632BE"/>
    <w:lvl w:ilvl="0">
      <w:start w:val="1"/>
      <w:numFmt w:val="decimal"/>
      <w:lvlText w:val="%1."/>
      <w:lvlJc w:val="left"/>
      <w:pPr>
        <w:tabs>
          <w:tab w:val="num" w:pos="360"/>
        </w:tabs>
        <w:ind w:left="360" w:hanging="360"/>
      </w:pPr>
    </w:lvl>
  </w:abstractNum>
  <w:abstractNum w:abstractNumId="5" w15:restartNumberingAfterBreak="0">
    <w:nsid w:val="FFFFFF89"/>
    <w:multiLevelType w:val="singleLevel"/>
    <w:tmpl w:val="51D84852"/>
    <w:lvl w:ilvl="0">
      <w:start w:val="1"/>
      <w:numFmt w:val="bullet"/>
      <w:pStyle w:val="ListBullet"/>
      <w:lvlText w:val=""/>
      <w:lvlJc w:val="left"/>
      <w:pPr>
        <w:tabs>
          <w:tab w:val="num" w:pos="340"/>
        </w:tabs>
        <w:ind w:left="340" w:hanging="340"/>
      </w:pPr>
      <w:rPr>
        <w:rFonts w:ascii="Symbol" w:hAnsi="Symbol" w:hint="default"/>
        <w:color w:val="auto"/>
        <w:sz w:val="22"/>
      </w:rPr>
    </w:lvl>
  </w:abstractNum>
  <w:abstractNum w:abstractNumId="6" w15:restartNumberingAfterBreak="0">
    <w:nsid w:val="01281309"/>
    <w:multiLevelType w:val="singleLevel"/>
    <w:tmpl w:val="E9D8AB60"/>
    <w:lvl w:ilvl="0">
      <w:start w:val="1"/>
      <w:numFmt w:val="bullet"/>
      <w:lvlText w:val=""/>
      <w:lvlJc w:val="left"/>
      <w:pPr>
        <w:tabs>
          <w:tab w:val="num" w:pos="340"/>
        </w:tabs>
        <w:ind w:left="340" w:hanging="340"/>
      </w:pPr>
      <w:rPr>
        <w:rFonts w:ascii="Symbol" w:hAnsi="Symbol" w:hint="default"/>
        <w:color w:val="auto"/>
        <w:sz w:val="22"/>
      </w:rPr>
    </w:lvl>
  </w:abstractNum>
  <w:abstractNum w:abstractNumId="7" w15:restartNumberingAfterBreak="0">
    <w:nsid w:val="01AC642D"/>
    <w:multiLevelType w:val="hybridMultilevel"/>
    <w:tmpl w:val="DD081150"/>
    <w:lvl w:ilvl="0" w:tplc="B0A8CFC2">
      <w:start w:val="1"/>
      <w:numFmt w:val="bullet"/>
      <w:pStyle w:val="Tablebullet1"/>
      <w:lvlText w:val=""/>
      <w:lvlJc w:val="left"/>
      <w:pPr>
        <w:ind w:left="720" w:hanging="360"/>
      </w:pPr>
      <w:rPr>
        <w:rFonts w:ascii="Symbol" w:hAnsi="Symbol" w:hint="default"/>
        <w:color w:val="385623"/>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02E41353"/>
    <w:multiLevelType w:val="multilevel"/>
    <w:tmpl w:val="84426B9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032E3E00"/>
    <w:multiLevelType w:val="singleLevel"/>
    <w:tmpl w:val="DB7EF022"/>
    <w:lvl w:ilvl="0">
      <w:start w:val="1"/>
      <w:numFmt w:val="bullet"/>
      <w:lvlText w:val=""/>
      <w:lvlJc w:val="left"/>
      <w:pPr>
        <w:tabs>
          <w:tab w:val="num" w:pos="340"/>
        </w:tabs>
        <w:ind w:left="340" w:hanging="340"/>
      </w:pPr>
      <w:rPr>
        <w:rFonts w:ascii="Symbol" w:hAnsi="Symbol" w:hint="default"/>
        <w:color w:val="auto"/>
        <w:sz w:val="22"/>
      </w:rPr>
    </w:lvl>
  </w:abstractNum>
  <w:abstractNum w:abstractNumId="10" w15:restartNumberingAfterBreak="0">
    <w:nsid w:val="07E76930"/>
    <w:multiLevelType w:val="hybridMultilevel"/>
    <w:tmpl w:val="D3EA2F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EDB1E89"/>
    <w:multiLevelType w:val="singleLevel"/>
    <w:tmpl w:val="5EC06668"/>
    <w:lvl w:ilvl="0">
      <w:start w:val="1"/>
      <w:numFmt w:val="bullet"/>
      <w:lvlText w:val=""/>
      <w:lvlJc w:val="left"/>
      <w:pPr>
        <w:tabs>
          <w:tab w:val="num" w:pos="340"/>
        </w:tabs>
        <w:ind w:left="340" w:hanging="340"/>
      </w:pPr>
      <w:rPr>
        <w:rFonts w:ascii="Symbol" w:hAnsi="Symbol" w:hint="default"/>
        <w:color w:val="auto"/>
        <w:sz w:val="22"/>
      </w:rPr>
    </w:lvl>
  </w:abstractNum>
  <w:abstractNum w:abstractNumId="12" w15:restartNumberingAfterBreak="0">
    <w:nsid w:val="0F0A13E7"/>
    <w:multiLevelType w:val="singleLevel"/>
    <w:tmpl w:val="BF3E221E"/>
    <w:lvl w:ilvl="0">
      <w:start w:val="1"/>
      <w:numFmt w:val="bullet"/>
      <w:lvlText w:val=""/>
      <w:lvlJc w:val="left"/>
      <w:pPr>
        <w:tabs>
          <w:tab w:val="num" w:pos="340"/>
        </w:tabs>
        <w:ind w:left="340" w:hanging="340"/>
      </w:pPr>
      <w:rPr>
        <w:rFonts w:ascii="Symbol" w:hAnsi="Symbol" w:hint="default"/>
        <w:color w:val="auto"/>
        <w:sz w:val="22"/>
      </w:rPr>
    </w:lvl>
  </w:abstractNum>
  <w:abstractNum w:abstractNumId="13" w15:restartNumberingAfterBreak="0">
    <w:nsid w:val="0F207CB6"/>
    <w:multiLevelType w:val="singleLevel"/>
    <w:tmpl w:val="445AAC72"/>
    <w:lvl w:ilvl="0">
      <w:start w:val="1"/>
      <w:numFmt w:val="bullet"/>
      <w:lvlText w:val=""/>
      <w:lvlJc w:val="left"/>
      <w:pPr>
        <w:tabs>
          <w:tab w:val="num" w:pos="340"/>
        </w:tabs>
        <w:ind w:left="340" w:hanging="340"/>
      </w:pPr>
      <w:rPr>
        <w:rFonts w:ascii="Symbol" w:hAnsi="Symbol" w:hint="default"/>
        <w:color w:val="auto"/>
        <w:sz w:val="22"/>
      </w:rPr>
    </w:lvl>
  </w:abstractNum>
  <w:abstractNum w:abstractNumId="14" w15:restartNumberingAfterBreak="0">
    <w:nsid w:val="108D1C3D"/>
    <w:multiLevelType w:val="singleLevel"/>
    <w:tmpl w:val="C3040294"/>
    <w:lvl w:ilvl="0">
      <w:start w:val="1"/>
      <w:numFmt w:val="bullet"/>
      <w:lvlText w:val=""/>
      <w:lvlJc w:val="left"/>
      <w:pPr>
        <w:tabs>
          <w:tab w:val="num" w:pos="340"/>
        </w:tabs>
        <w:ind w:left="340" w:hanging="340"/>
      </w:pPr>
      <w:rPr>
        <w:rFonts w:ascii="Symbol" w:hAnsi="Symbol" w:hint="default"/>
        <w:color w:val="auto"/>
        <w:sz w:val="22"/>
      </w:rPr>
    </w:lvl>
  </w:abstractNum>
  <w:abstractNum w:abstractNumId="15" w15:restartNumberingAfterBreak="0">
    <w:nsid w:val="1103487A"/>
    <w:multiLevelType w:val="singleLevel"/>
    <w:tmpl w:val="CE762EBA"/>
    <w:lvl w:ilvl="0">
      <w:start w:val="1"/>
      <w:numFmt w:val="bullet"/>
      <w:lvlText w:val=""/>
      <w:lvlJc w:val="left"/>
      <w:pPr>
        <w:tabs>
          <w:tab w:val="num" w:pos="340"/>
        </w:tabs>
        <w:ind w:left="340" w:hanging="340"/>
      </w:pPr>
      <w:rPr>
        <w:rFonts w:ascii="Symbol" w:hAnsi="Symbol" w:hint="default"/>
        <w:color w:val="auto"/>
        <w:sz w:val="22"/>
      </w:rPr>
    </w:lvl>
  </w:abstractNum>
  <w:abstractNum w:abstractNumId="16" w15:restartNumberingAfterBreak="0">
    <w:nsid w:val="11940DC1"/>
    <w:multiLevelType w:val="singleLevel"/>
    <w:tmpl w:val="C3181F04"/>
    <w:lvl w:ilvl="0">
      <w:start w:val="1"/>
      <w:numFmt w:val="bullet"/>
      <w:lvlText w:val=""/>
      <w:lvlJc w:val="left"/>
      <w:pPr>
        <w:tabs>
          <w:tab w:val="num" w:pos="340"/>
        </w:tabs>
        <w:ind w:left="340" w:hanging="340"/>
      </w:pPr>
      <w:rPr>
        <w:rFonts w:ascii="Symbol" w:hAnsi="Symbol" w:hint="default"/>
        <w:color w:val="auto"/>
        <w:sz w:val="22"/>
      </w:rPr>
    </w:lvl>
  </w:abstractNum>
  <w:abstractNum w:abstractNumId="17" w15:restartNumberingAfterBreak="0">
    <w:nsid w:val="158D07A8"/>
    <w:multiLevelType w:val="singleLevel"/>
    <w:tmpl w:val="B58C3C9A"/>
    <w:lvl w:ilvl="0">
      <w:start w:val="1"/>
      <w:numFmt w:val="bullet"/>
      <w:lvlText w:val=""/>
      <w:lvlJc w:val="left"/>
      <w:pPr>
        <w:tabs>
          <w:tab w:val="num" w:pos="340"/>
        </w:tabs>
        <w:ind w:left="340" w:hanging="340"/>
      </w:pPr>
      <w:rPr>
        <w:rFonts w:ascii="Symbol" w:hAnsi="Symbol" w:hint="default"/>
        <w:color w:val="auto"/>
        <w:sz w:val="22"/>
      </w:rPr>
    </w:lvl>
  </w:abstractNum>
  <w:abstractNum w:abstractNumId="18" w15:restartNumberingAfterBreak="0">
    <w:nsid w:val="16915BB7"/>
    <w:multiLevelType w:val="singleLevel"/>
    <w:tmpl w:val="A8BCD00E"/>
    <w:lvl w:ilvl="0">
      <w:start w:val="1"/>
      <w:numFmt w:val="bullet"/>
      <w:lvlText w:val=""/>
      <w:lvlJc w:val="left"/>
      <w:pPr>
        <w:tabs>
          <w:tab w:val="num" w:pos="340"/>
        </w:tabs>
        <w:ind w:left="340" w:hanging="340"/>
      </w:pPr>
      <w:rPr>
        <w:rFonts w:ascii="Symbol" w:hAnsi="Symbol" w:hint="default"/>
        <w:color w:val="auto"/>
        <w:sz w:val="22"/>
      </w:rPr>
    </w:lvl>
  </w:abstractNum>
  <w:abstractNum w:abstractNumId="19" w15:restartNumberingAfterBreak="0">
    <w:nsid w:val="1B4A21FC"/>
    <w:multiLevelType w:val="singleLevel"/>
    <w:tmpl w:val="6BE2245C"/>
    <w:lvl w:ilvl="0">
      <w:start w:val="1"/>
      <w:numFmt w:val="bullet"/>
      <w:lvlText w:val=""/>
      <w:lvlJc w:val="left"/>
      <w:pPr>
        <w:tabs>
          <w:tab w:val="num" w:pos="340"/>
        </w:tabs>
        <w:ind w:left="340" w:hanging="340"/>
      </w:pPr>
      <w:rPr>
        <w:rFonts w:ascii="Symbol" w:hAnsi="Symbol" w:hint="default"/>
        <w:color w:val="auto"/>
        <w:sz w:val="22"/>
      </w:rPr>
    </w:lvl>
  </w:abstractNum>
  <w:abstractNum w:abstractNumId="20" w15:restartNumberingAfterBreak="0">
    <w:nsid w:val="1EB36636"/>
    <w:multiLevelType w:val="singleLevel"/>
    <w:tmpl w:val="6C4E80F8"/>
    <w:lvl w:ilvl="0">
      <w:start w:val="1"/>
      <w:numFmt w:val="bullet"/>
      <w:lvlText w:val=""/>
      <w:lvlJc w:val="left"/>
      <w:pPr>
        <w:tabs>
          <w:tab w:val="num" w:pos="340"/>
        </w:tabs>
        <w:ind w:left="340" w:hanging="340"/>
      </w:pPr>
      <w:rPr>
        <w:rFonts w:ascii="Symbol" w:hAnsi="Symbol" w:hint="default"/>
        <w:color w:val="auto"/>
        <w:sz w:val="22"/>
      </w:rPr>
    </w:lvl>
  </w:abstractNum>
  <w:abstractNum w:abstractNumId="21" w15:restartNumberingAfterBreak="0">
    <w:nsid w:val="203A1257"/>
    <w:multiLevelType w:val="singleLevel"/>
    <w:tmpl w:val="702269D6"/>
    <w:lvl w:ilvl="0">
      <w:start w:val="1"/>
      <w:numFmt w:val="bullet"/>
      <w:lvlText w:val=""/>
      <w:lvlJc w:val="left"/>
      <w:pPr>
        <w:tabs>
          <w:tab w:val="num" w:pos="340"/>
        </w:tabs>
        <w:ind w:left="340" w:hanging="340"/>
      </w:pPr>
      <w:rPr>
        <w:rFonts w:ascii="Symbol" w:hAnsi="Symbol" w:hint="default"/>
        <w:color w:val="auto"/>
        <w:sz w:val="22"/>
      </w:rPr>
    </w:lvl>
  </w:abstractNum>
  <w:abstractNum w:abstractNumId="22" w15:restartNumberingAfterBreak="0">
    <w:nsid w:val="22166480"/>
    <w:multiLevelType w:val="multilevel"/>
    <w:tmpl w:val="57525FCE"/>
    <w:lvl w:ilvl="0">
      <w:start w:val="1"/>
      <w:numFmt w:val="upperLetter"/>
      <w:pStyle w:val="Appendixheading"/>
      <w:suff w:val="nothing"/>
      <w:lvlText w:val="Appendix %1"/>
      <w:lvlJc w:val="left"/>
      <w:pPr>
        <w:ind w:left="4395" w:firstLine="0"/>
      </w:pPr>
      <w:rPr>
        <w:rFonts w:hint="default"/>
        <w:caps/>
      </w:rPr>
    </w:lvl>
    <w:lvl w:ilvl="1">
      <w:start w:val="1"/>
      <w:numFmt w:val="lowerLetter"/>
      <w:lvlText w:val="%2."/>
      <w:lvlJc w:val="left"/>
      <w:pPr>
        <w:ind w:left="3000" w:hanging="360"/>
      </w:pPr>
      <w:rPr>
        <w:rFonts w:hint="default"/>
      </w:rPr>
    </w:lvl>
    <w:lvl w:ilvl="2">
      <w:start w:val="1"/>
      <w:numFmt w:val="lowerRoman"/>
      <w:lvlText w:val="%3."/>
      <w:lvlJc w:val="right"/>
      <w:pPr>
        <w:ind w:left="3720" w:hanging="180"/>
      </w:pPr>
      <w:rPr>
        <w:rFonts w:hint="default"/>
      </w:rPr>
    </w:lvl>
    <w:lvl w:ilvl="3">
      <w:start w:val="1"/>
      <w:numFmt w:val="decimal"/>
      <w:lvlText w:val="%4."/>
      <w:lvlJc w:val="left"/>
      <w:pPr>
        <w:ind w:left="4440" w:hanging="360"/>
      </w:pPr>
      <w:rPr>
        <w:rFonts w:hint="default"/>
      </w:rPr>
    </w:lvl>
    <w:lvl w:ilvl="4">
      <w:start w:val="1"/>
      <w:numFmt w:val="lowerLetter"/>
      <w:lvlText w:val="%5."/>
      <w:lvlJc w:val="left"/>
      <w:pPr>
        <w:ind w:left="5160" w:hanging="360"/>
      </w:pPr>
      <w:rPr>
        <w:rFonts w:hint="default"/>
      </w:rPr>
    </w:lvl>
    <w:lvl w:ilvl="5">
      <w:start w:val="1"/>
      <w:numFmt w:val="lowerRoman"/>
      <w:lvlText w:val="%6."/>
      <w:lvlJc w:val="right"/>
      <w:pPr>
        <w:ind w:left="5880" w:hanging="180"/>
      </w:pPr>
      <w:rPr>
        <w:rFonts w:hint="default"/>
      </w:rPr>
    </w:lvl>
    <w:lvl w:ilvl="6">
      <w:start w:val="1"/>
      <w:numFmt w:val="decimal"/>
      <w:lvlText w:val="%7."/>
      <w:lvlJc w:val="left"/>
      <w:pPr>
        <w:ind w:left="6600" w:hanging="360"/>
      </w:pPr>
      <w:rPr>
        <w:rFonts w:hint="default"/>
      </w:rPr>
    </w:lvl>
    <w:lvl w:ilvl="7">
      <w:start w:val="1"/>
      <w:numFmt w:val="lowerLetter"/>
      <w:lvlText w:val="%8."/>
      <w:lvlJc w:val="left"/>
      <w:pPr>
        <w:ind w:left="7320" w:hanging="360"/>
      </w:pPr>
      <w:rPr>
        <w:rFonts w:hint="default"/>
      </w:rPr>
    </w:lvl>
    <w:lvl w:ilvl="8">
      <w:start w:val="1"/>
      <w:numFmt w:val="lowerRoman"/>
      <w:lvlText w:val="%9."/>
      <w:lvlJc w:val="right"/>
      <w:pPr>
        <w:ind w:left="8040" w:hanging="180"/>
      </w:pPr>
      <w:rPr>
        <w:rFonts w:hint="default"/>
      </w:rPr>
    </w:lvl>
  </w:abstractNum>
  <w:abstractNum w:abstractNumId="23" w15:restartNumberingAfterBreak="0">
    <w:nsid w:val="230942D3"/>
    <w:multiLevelType w:val="hybridMultilevel"/>
    <w:tmpl w:val="84426B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239A73FD"/>
    <w:multiLevelType w:val="singleLevel"/>
    <w:tmpl w:val="61F2DC84"/>
    <w:lvl w:ilvl="0">
      <w:start w:val="1"/>
      <w:numFmt w:val="bullet"/>
      <w:lvlText w:val=""/>
      <w:lvlJc w:val="left"/>
      <w:pPr>
        <w:tabs>
          <w:tab w:val="num" w:pos="340"/>
        </w:tabs>
        <w:ind w:left="340" w:hanging="340"/>
      </w:pPr>
      <w:rPr>
        <w:rFonts w:ascii="Symbol" w:hAnsi="Symbol" w:hint="default"/>
        <w:color w:val="auto"/>
        <w:sz w:val="22"/>
      </w:rPr>
    </w:lvl>
  </w:abstractNum>
  <w:abstractNum w:abstractNumId="25" w15:restartNumberingAfterBreak="0">
    <w:nsid w:val="335A3BED"/>
    <w:multiLevelType w:val="singleLevel"/>
    <w:tmpl w:val="19AE9576"/>
    <w:lvl w:ilvl="0">
      <w:start w:val="1"/>
      <w:numFmt w:val="bullet"/>
      <w:lvlText w:val=""/>
      <w:lvlJc w:val="left"/>
      <w:pPr>
        <w:tabs>
          <w:tab w:val="num" w:pos="340"/>
        </w:tabs>
        <w:ind w:left="340" w:hanging="340"/>
      </w:pPr>
      <w:rPr>
        <w:rFonts w:ascii="Symbol" w:hAnsi="Symbol" w:hint="default"/>
        <w:color w:val="auto"/>
        <w:sz w:val="22"/>
      </w:rPr>
    </w:lvl>
  </w:abstractNum>
  <w:abstractNum w:abstractNumId="26" w15:restartNumberingAfterBreak="0">
    <w:nsid w:val="33F03967"/>
    <w:multiLevelType w:val="singleLevel"/>
    <w:tmpl w:val="4208BEBA"/>
    <w:lvl w:ilvl="0">
      <w:start w:val="1"/>
      <w:numFmt w:val="bullet"/>
      <w:lvlText w:val=""/>
      <w:lvlJc w:val="left"/>
      <w:pPr>
        <w:tabs>
          <w:tab w:val="num" w:pos="340"/>
        </w:tabs>
        <w:ind w:left="340" w:hanging="340"/>
      </w:pPr>
      <w:rPr>
        <w:rFonts w:ascii="Symbol" w:hAnsi="Symbol" w:hint="default"/>
        <w:color w:val="auto"/>
        <w:sz w:val="22"/>
      </w:rPr>
    </w:lvl>
  </w:abstractNum>
  <w:abstractNum w:abstractNumId="27" w15:restartNumberingAfterBreak="0">
    <w:nsid w:val="387654F0"/>
    <w:multiLevelType w:val="singleLevel"/>
    <w:tmpl w:val="2FC88A34"/>
    <w:lvl w:ilvl="0">
      <w:start w:val="1"/>
      <w:numFmt w:val="bullet"/>
      <w:lvlText w:val=""/>
      <w:lvlJc w:val="left"/>
      <w:pPr>
        <w:tabs>
          <w:tab w:val="num" w:pos="340"/>
        </w:tabs>
        <w:ind w:left="340" w:hanging="340"/>
      </w:pPr>
      <w:rPr>
        <w:rFonts w:ascii="Symbol" w:hAnsi="Symbol" w:hint="default"/>
        <w:color w:val="auto"/>
        <w:sz w:val="22"/>
      </w:rPr>
    </w:lvl>
  </w:abstractNum>
  <w:abstractNum w:abstractNumId="28" w15:restartNumberingAfterBreak="0">
    <w:nsid w:val="3B5734D1"/>
    <w:multiLevelType w:val="singleLevel"/>
    <w:tmpl w:val="0FAA551C"/>
    <w:lvl w:ilvl="0">
      <w:start w:val="1"/>
      <w:numFmt w:val="bullet"/>
      <w:lvlText w:val=""/>
      <w:lvlJc w:val="left"/>
      <w:pPr>
        <w:tabs>
          <w:tab w:val="num" w:pos="340"/>
        </w:tabs>
        <w:ind w:left="340" w:hanging="340"/>
      </w:pPr>
      <w:rPr>
        <w:rFonts w:ascii="Symbol" w:hAnsi="Symbol" w:hint="default"/>
        <w:color w:val="auto"/>
        <w:sz w:val="22"/>
      </w:rPr>
    </w:lvl>
  </w:abstractNum>
  <w:abstractNum w:abstractNumId="29" w15:restartNumberingAfterBreak="0">
    <w:nsid w:val="3C3043D0"/>
    <w:multiLevelType w:val="multilevel"/>
    <w:tmpl w:val="B358E460"/>
    <w:lvl w:ilvl="0">
      <w:start w:val="1"/>
      <w:numFmt w:val="decimal"/>
      <w:lvlText w:val="%1."/>
      <w:lvlJc w:val="left"/>
      <w:pPr>
        <w:tabs>
          <w:tab w:val="num" w:pos="340"/>
        </w:tabs>
        <w:ind w:left="340" w:hanging="340"/>
      </w:pPr>
      <w:rPr>
        <w:rFonts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30" w15:restartNumberingAfterBreak="0">
    <w:nsid w:val="41BA4204"/>
    <w:multiLevelType w:val="singleLevel"/>
    <w:tmpl w:val="69928248"/>
    <w:lvl w:ilvl="0">
      <w:start w:val="1"/>
      <w:numFmt w:val="bullet"/>
      <w:lvlText w:val=""/>
      <w:lvlJc w:val="left"/>
      <w:pPr>
        <w:tabs>
          <w:tab w:val="num" w:pos="340"/>
        </w:tabs>
        <w:ind w:left="340" w:hanging="340"/>
      </w:pPr>
      <w:rPr>
        <w:rFonts w:ascii="Symbol" w:hAnsi="Symbol" w:hint="default"/>
        <w:color w:val="auto"/>
        <w:sz w:val="22"/>
      </w:rPr>
    </w:lvl>
  </w:abstractNum>
  <w:abstractNum w:abstractNumId="31" w15:restartNumberingAfterBreak="0">
    <w:nsid w:val="422422A4"/>
    <w:multiLevelType w:val="singleLevel"/>
    <w:tmpl w:val="08E6CB58"/>
    <w:lvl w:ilvl="0">
      <w:start w:val="1"/>
      <w:numFmt w:val="bullet"/>
      <w:lvlText w:val=""/>
      <w:lvlJc w:val="left"/>
      <w:pPr>
        <w:tabs>
          <w:tab w:val="num" w:pos="340"/>
        </w:tabs>
        <w:ind w:left="340" w:hanging="340"/>
      </w:pPr>
      <w:rPr>
        <w:rFonts w:ascii="Symbol" w:hAnsi="Symbol" w:hint="default"/>
        <w:color w:val="auto"/>
        <w:sz w:val="22"/>
      </w:rPr>
    </w:lvl>
  </w:abstractNum>
  <w:abstractNum w:abstractNumId="32" w15:restartNumberingAfterBreak="0">
    <w:nsid w:val="45407420"/>
    <w:multiLevelType w:val="hybridMultilevel"/>
    <w:tmpl w:val="76A63DF2"/>
    <w:lvl w:ilvl="0" w:tplc="0C090003">
      <w:start w:val="1"/>
      <w:numFmt w:val="bullet"/>
      <w:lvlText w:val="o"/>
      <w:lvlJc w:val="left"/>
      <w:pPr>
        <w:ind w:left="700" w:hanging="360"/>
      </w:pPr>
      <w:rPr>
        <w:rFonts w:ascii="Courier New" w:hAnsi="Courier New" w:cs="Courier New" w:hint="default"/>
      </w:rPr>
    </w:lvl>
    <w:lvl w:ilvl="1" w:tplc="0C090003" w:tentative="1">
      <w:start w:val="1"/>
      <w:numFmt w:val="bullet"/>
      <w:lvlText w:val="o"/>
      <w:lvlJc w:val="left"/>
      <w:pPr>
        <w:ind w:left="1420" w:hanging="360"/>
      </w:pPr>
      <w:rPr>
        <w:rFonts w:ascii="Courier New" w:hAnsi="Courier New" w:cs="Courier New" w:hint="default"/>
      </w:rPr>
    </w:lvl>
    <w:lvl w:ilvl="2" w:tplc="0C090005" w:tentative="1">
      <w:start w:val="1"/>
      <w:numFmt w:val="bullet"/>
      <w:lvlText w:val=""/>
      <w:lvlJc w:val="left"/>
      <w:pPr>
        <w:ind w:left="2140" w:hanging="360"/>
      </w:pPr>
      <w:rPr>
        <w:rFonts w:ascii="Wingdings" w:hAnsi="Wingdings" w:hint="default"/>
      </w:rPr>
    </w:lvl>
    <w:lvl w:ilvl="3" w:tplc="0C090001" w:tentative="1">
      <w:start w:val="1"/>
      <w:numFmt w:val="bullet"/>
      <w:lvlText w:val=""/>
      <w:lvlJc w:val="left"/>
      <w:pPr>
        <w:ind w:left="2860" w:hanging="360"/>
      </w:pPr>
      <w:rPr>
        <w:rFonts w:ascii="Symbol" w:hAnsi="Symbol" w:hint="default"/>
      </w:rPr>
    </w:lvl>
    <w:lvl w:ilvl="4" w:tplc="0C090003" w:tentative="1">
      <w:start w:val="1"/>
      <w:numFmt w:val="bullet"/>
      <w:lvlText w:val="o"/>
      <w:lvlJc w:val="left"/>
      <w:pPr>
        <w:ind w:left="3580" w:hanging="360"/>
      </w:pPr>
      <w:rPr>
        <w:rFonts w:ascii="Courier New" w:hAnsi="Courier New" w:cs="Courier New" w:hint="default"/>
      </w:rPr>
    </w:lvl>
    <w:lvl w:ilvl="5" w:tplc="0C090005" w:tentative="1">
      <w:start w:val="1"/>
      <w:numFmt w:val="bullet"/>
      <w:lvlText w:val=""/>
      <w:lvlJc w:val="left"/>
      <w:pPr>
        <w:ind w:left="4300" w:hanging="360"/>
      </w:pPr>
      <w:rPr>
        <w:rFonts w:ascii="Wingdings" w:hAnsi="Wingdings" w:hint="default"/>
      </w:rPr>
    </w:lvl>
    <w:lvl w:ilvl="6" w:tplc="0C090001" w:tentative="1">
      <w:start w:val="1"/>
      <w:numFmt w:val="bullet"/>
      <w:lvlText w:val=""/>
      <w:lvlJc w:val="left"/>
      <w:pPr>
        <w:ind w:left="5020" w:hanging="360"/>
      </w:pPr>
      <w:rPr>
        <w:rFonts w:ascii="Symbol" w:hAnsi="Symbol" w:hint="default"/>
      </w:rPr>
    </w:lvl>
    <w:lvl w:ilvl="7" w:tplc="0C090003" w:tentative="1">
      <w:start w:val="1"/>
      <w:numFmt w:val="bullet"/>
      <w:lvlText w:val="o"/>
      <w:lvlJc w:val="left"/>
      <w:pPr>
        <w:ind w:left="5740" w:hanging="360"/>
      </w:pPr>
      <w:rPr>
        <w:rFonts w:ascii="Courier New" w:hAnsi="Courier New" w:cs="Courier New" w:hint="default"/>
      </w:rPr>
    </w:lvl>
    <w:lvl w:ilvl="8" w:tplc="0C090005" w:tentative="1">
      <w:start w:val="1"/>
      <w:numFmt w:val="bullet"/>
      <w:lvlText w:val=""/>
      <w:lvlJc w:val="left"/>
      <w:pPr>
        <w:ind w:left="6460" w:hanging="360"/>
      </w:pPr>
      <w:rPr>
        <w:rFonts w:ascii="Wingdings" w:hAnsi="Wingdings" w:hint="default"/>
      </w:rPr>
    </w:lvl>
  </w:abstractNum>
  <w:abstractNum w:abstractNumId="33" w15:restartNumberingAfterBreak="0">
    <w:nsid w:val="48B22011"/>
    <w:multiLevelType w:val="hybridMultilevel"/>
    <w:tmpl w:val="EC08A2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49550150"/>
    <w:multiLevelType w:val="singleLevel"/>
    <w:tmpl w:val="597677E8"/>
    <w:lvl w:ilvl="0">
      <w:start w:val="1"/>
      <w:numFmt w:val="bullet"/>
      <w:lvlText w:val=""/>
      <w:lvlJc w:val="left"/>
      <w:pPr>
        <w:tabs>
          <w:tab w:val="num" w:pos="340"/>
        </w:tabs>
        <w:ind w:left="340" w:hanging="340"/>
      </w:pPr>
      <w:rPr>
        <w:rFonts w:ascii="Symbol" w:hAnsi="Symbol" w:hint="default"/>
        <w:color w:val="auto"/>
        <w:sz w:val="22"/>
      </w:rPr>
    </w:lvl>
  </w:abstractNum>
  <w:abstractNum w:abstractNumId="35" w15:restartNumberingAfterBreak="0">
    <w:nsid w:val="4AC06242"/>
    <w:multiLevelType w:val="hybridMultilevel"/>
    <w:tmpl w:val="575E0E36"/>
    <w:lvl w:ilvl="0" w:tplc="EF2E530C">
      <w:start w:val="1"/>
      <w:numFmt w:val="bullet"/>
      <w:pStyle w:val="ListBullet2"/>
      <w:lvlText w:val="-"/>
      <w:lvlJc w:val="left"/>
      <w:pPr>
        <w:tabs>
          <w:tab w:val="num" w:pos="680"/>
        </w:tabs>
        <w:ind w:left="680" w:hanging="340"/>
      </w:pPr>
      <w:rPr>
        <w:rFonts w:ascii="9999999" w:hAnsi="9999999" w:cs="Courier New" w:hint="default"/>
      </w:rPr>
    </w:lvl>
    <w:lvl w:ilvl="1" w:tplc="0C090003" w:tentative="1">
      <w:start w:val="1"/>
      <w:numFmt w:val="bullet"/>
      <w:lvlText w:val="o"/>
      <w:lvlJc w:val="left"/>
      <w:pPr>
        <w:ind w:left="1363" w:hanging="360"/>
      </w:pPr>
      <w:rPr>
        <w:rFonts w:ascii="Courier New" w:hAnsi="Courier New" w:cs="Courier New" w:hint="default"/>
      </w:rPr>
    </w:lvl>
    <w:lvl w:ilvl="2" w:tplc="0C090005" w:tentative="1">
      <w:start w:val="1"/>
      <w:numFmt w:val="bullet"/>
      <w:lvlText w:val=""/>
      <w:lvlJc w:val="left"/>
      <w:pPr>
        <w:ind w:left="2083" w:hanging="360"/>
      </w:pPr>
      <w:rPr>
        <w:rFonts w:ascii="Wingdings" w:hAnsi="Wingdings" w:hint="default"/>
      </w:rPr>
    </w:lvl>
    <w:lvl w:ilvl="3" w:tplc="0C090001" w:tentative="1">
      <w:start w:val="1"/>
      <w:numFmt w:val="bullet"/>
      <w:lvlText w:val=""/>
      <w:lvlJc w:val="left"/>
      <w:pPr>
        <w:ind w:left="2803" w:hanging="360"/>
      </w:pPr>
      <w:rPr>
        <w:rFonts w:ascii="Symbol" w:hAnsi="Symbol" w:hint="default"/>
      </w:rPr>
    </w:lvl>
    <w:lvl w:ilvl="4" w:tplc="0C090003" w:tentative="1">
      <w:start w:val="1"/>
      <w:numFmt w:val="bullet"/>
      <w:lvlText w:val="o"/>
      <w:lvlJc w:val="left"/>
      <w:pPr>
        <w:ind w:left="3523" w:hanging="360"/>
      </w:pPr>
      <w:rPr>
        <w:rFonts w:ascii="Courier New" w:hAnsi="Courier New" w:cs="Courier New" w:hint="default"/>
      </w:rPr>
    </w:lvl>
    <w:lvl w:ilvl="5" w:tplc="0C090005" w:tentative="1">
      <w:start w:val="1"/>
      <w:numFmt w:val="bullet"/>
      <w:lvlText w:val=""/>
      <w:lvlJc w:val="left"/>
      <w:pPr>
        <w:ind w:left="4243" w:hanging="360"/>
      </w:pPr>
      <w:rPr>
        <w:rFonts w:ascii="Wingdings" w:hAnsi="Wingdings" w:hint="default"/>
      </w:rPr>
    </w:lvl>
    <w:lvl w:ilvl="6" w:tplc="0C090001" w:tentative="1">
      <w:start w:val="1"/>
      <w:numFmt w:val="bullet"/>
      <w:lvlText w:val=""/>
      <w:lvlJc w:val="left"/>
      <w:pPr>
        <w:ind w:left="4963" w:hanging="360"/>
      </w:pPr>
      <w:rPr>
        <w:rFonts w:ascii="Symbol" w:hAnsi="Symbol" w:hint="default"/>
      </w:rPr>
    </w:lvl>
    <w:lvl w:ilvl="7" w:tplc="0C090003" w:tentative="1">
      <w:start w:val="1"/>
      <w:numFmt w:val="bullet"/>
      <w:lvlText w:val="o"/>
      <w:lvlJc w:val="left"/>
      <w:pPr>
        <w:ind w:left="5683" w:hanging="360"/>
      </w:pPr>
      <w:rPr>
        <w:rFonts w:ascii="Courier New" w:hAnsi="Courier New" w:cs="Courier New" w:hint="default"/>
      </w:rPr>
    </w:lvl>
    <w:lvl w:ilvl="8" w:tplc="0C090005" w:tentative="1">
      <w:start w:val="1"/>
      <w:numFmt w:val="bullet"/>
      <w:lvlText w:val=""/>
      <w:lvlJc w:val="left"/>
      <w:pPr>
        <w:ind w:left="6403" w:hanging="360"/>
      </w:pPr>
      <w:rPr>
        <w:rFonts w:ascii="Wingdings" w:hAnsi="Wingdings" w:hint="default"/>
      </w:rPr>
    </w:lvl>
  </w:abstractNum>
  <w:abstractNum w:abstractNumId="36" w15:restartNumberingAfterBreak="0">
    <w:nsid w:val="4B123B10"/>
    <w:multiLevelType w:val="singleLevel"/>
    <w:tmpl w:val="9BFEEC02"/>
    <w:lvl w:ilvl="0">
      <w:start w:val="1"/>
      <w:numFmt w:val="bullet"/>
      <w:lvlText w:val=""/>
      <w:lvlJc w:val="left"/>
      <w:pPr>
        <w:tabs>
          <w:tab w:val="num" w:pos="340"/>
        </w:tabs>
        <w:ind w:left="340" w:hanging="340"/>
      </w:pPr>
      <w:rPr>
        <w:rFonts w:ascii="Symbol" w:hAnsi="Symbol" w:hint="default"/>
        <w:color w:val="auto"/>
        <w:sz w:val="22"/>
      </w:rPr>
    </w:lvl>
  </w:abstractNum>
  <w:abstractNum w:abstractNumId="37" w15:restartNumberingAfterBreak="0">
    <w:nsid w:val="4B490719"/>
    <w:multiLevelType w:val="singleLevel"/>
    <w:tmpl w:val="0DC8253A"/>
    <w:lvl w:ilvl="0">
      <w:start w:val="1"/>
      <w:numFmt w:val="bullet"/>
      <w:lvlText w:val=""/>
      <w:lvlJc w:val="left"/>
      <w:pPr>
        <w:tabs>
          <w:tab w:val="num" w:pos="340"/>
        </w:tabs>
        <w:ind w:left="340" w:hanging="340"/>
      </w:pPr>
      <w:rPr>
        <w:rFonts w:ascii="Symbol" w:hAnsi="Symbol" w:hint="default"/>
        <w:color w:val="auto"/>
        <w:sz w:val="22"/>
      </w:rPr>
    </w:lvl>
  </w:abstractNum>
  <w:abstractNum w:abstractNumId="38" w15:restartNumberingAfterBreak="0">
    <w:nsid w:val="4BDC0DF5"/>
    <w:multiLevelType w:val="hybridMultilevel"/>
    <w:tmpl w:val="82207ADA"/>
    <w:lvl w:ilvl="0" w:tplc="0C090001">
      <w:start w:val="1"/>
      <w:numFmt w:val="bullet"/>
      <w:lvlText w:val=""/>
      <w:lvlJc w:val="left"/>
      <w:pPr>
        <w:ind w:left="720" w:hanging="360"/>
      </w:pPr>
      <w:rPr>
        <w:rFonts w:ascii="Symbol" w:hAnsi="Symbol" w:hint="default"/>
      </w:rPr>
    </w:lvl>
    <w:lvl w:ilvl="1" w:tplc="8A0A10D6">
      <w:numFmt w:val="bullet"/>
      <w:lvlText w:val="•"/>
      <w:lvlJc w:val="left"/>
      <w:pPr>
        <w:ind w:left="1800" w:hanging="720"/>
      </w:pPr>
      <w:rPr>
        <w:rFonts w:ascii="Arial" w:eastAsiaTheme="minorHAnsi" w:hAnsi="Arial" w:cs="Arial"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4C1039AA"/>
    <w:multiLevelType w:val="hybridMultilevel"/>
    <w:tmpl w:val="EA3A716A"/>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4D6843B2"/>
    <w:multiLevelType w:val="multilevel"/>
    <w:tmpl w:val="77BC05D4"/>
    <w:lvl w:ilvl="0">
      <w:start w:val="1"/>
      <w:numFmt w:val="decimal"/>
      <w:lvlText w:val="%1."/>
      <w:lvlJc w:val="left"/>
      <w:pPr>
        <w:tabs>
          <w:tab w:val="num" w:pos="340"/>
        </w:tabs>
        <w:ind w:left="340" w:hanging="340"/>
      </w:pPr>
      <w:rPr>
        <w:rFonts w:hint="default"/>
        <w:color w:val="auto"/>
        <w:sz w:val="22"/>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41" w15:restartNumberingAfterBreak="0">
    <w:nsid w:val="4EDC078E"/>
    <w:multiLevelType w:val="singleLevel"/>
    <w:tmpl w:val="F6EE9F88"/>
    <w:lvl w:ilvl="0">
      <w:start w:val="1"/>
      <w:numFmt w:val="bullet"/>
      <w:lvlText w:val=""/>
      <w:lvlJc w:val="left"/>
      <w:pPr>
        <w:tabs>
          <w:tab w:val="num" w:pos="340"/>
        </w:tabs>
        <w:ind w:left="340" w:hanging="340"/>
      </w:pPr>
      <w:rPr>
        <w:rFonts w:ascii="Symbol" w:hAnsi="Symbol" w:hint="default"/>
        <w:color w:val="auto"/>
        <w:sz w:val="22"/>
      </w:rPr>
    </w:lvl>
  </w:abstractNum>
  <w:abstractNum w:abstractNumId="42" w15:restartNumberingAfterBreak="0">
    <w:nsid w:val="51846CD4"/>
    <w:multiLevelType w:val="singleLevel"/>
    <w:tmpl w:val="99365C76"/>
    <w:lvl w:ilvl="0">
      <w:start w:val="1"/>
      <w:numFmt w:val="bullet"/>
      <w:lvlText w:val=""/>
      <w:lvlJc w:val="left"/>
      <w:pPr>
        <w:tabs>
          <w:tab w:val="num" w:pos="340"/>
        </w:tabs>
        <w:ind w:left="340" w:hanging="340"/>
      </w:pPr>
      <w:rPr>
        <w:rFonts w:ascii="Symbol" w:hAnsi="Symbol" w:hint="default"/>
        <w:color w:val="auto"/>
        <w:sz w:val="22"/>
      </w:rPr>
    </w:lvl>
  </w:abstractNum>
  <w:abstractNum w:abstractNumId="43" w15:restartNumberingAfterBreak="0">
    <w:nsid w:val="5200229F"/>
    <w:multiLevelType w:val="singleLevel"/>
    <w:tmpl w:val="33409EB8"/>
    <w:lvl w:ilvl="0">
      <w:start w:val="1"/>
      <w:numFmt w:val="bullet"/>
      <w:lvlText w:val=""/>
      <w:lvlJc w:val="left"/>
      <w:pPr>
        <w:tabs>
          <w:tab w:val="num" w:pos="340"/>
        </w:tabs>
        <w:ind w:left="340" w:hanging="340"/>
      </w:pPr>
      <w:rPr>
        <w:rFonts w:ascii="Symbol" w:hAnsi="Symbol" w:hint="default"/>
        <w:color w:val="auto"/>
        <w:sz w:val="22"/>
      </w:rPr>
    </w:lvl>
  </w:abstractNum>
  <w:abstractNum w:abstractNumId="44" w15:restartNumberingAfterBreak="0">
    <w:nsid w:val="52C81B2F"/>
    <w:multiLevelType w:val="singleLevel"/>
    <w:tmpl w:val="005C4496"/>
    <w:lvl w:ilvl="0">
      <w:start w:val="1"/>
      <w:numFmt w:val="bullet"/>
      <w:lvlText w:val=""/>
      <w:lvlJc w:val="left"/>
      <w:pPr>
        <w:tabs>
          <w:tab w:val="num" w:pos="340"/>
        </w:tabs>
        <w:ind w:left="340" w:hanging="340"/>
      </w:pPr>
      <w:rPr>
        <w:rFonts w:ascii="Symbol" w:hAnsi="Symbol" w:hint="default"/>
        <w:color w:val="auto"/>
        <w:sz w:val="22"/>
      </w:rPr>
    </w:lvl>
  </w:abstractNum>
  <w:abstractNum w:abstractNumId="45" w15:restartNumberingAfterBreak="0">
    <w:nsid w:val="53924DE5"/>
    <w:multiLevelType w:val="hybridMultilevel"/>
    <w:tmpl w:val="2B2EE0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6" w15:restartNumberingAfterBreak="0">
    <w:nsid w:val="53DA2C50"/>
    <w:multiLevelType w:val="singleLevel"/>
    <w:tmpl w:val="6248C852"/>
    <w:lvl w:ilvl="0">
      <w:start w:val="1"/>
      <w:numFmt w:val="bullet"/>
      <w:lvlText w:val=""/>
      <w:lvlJc w:val="left"/>
      <w:pPr>
        <w:tabs>
          <w:tab w:val="num" w:pos="340"/>
        </w:tabs>
        <w:ind w:left="340" w:hanging="340"/>
      </w:pPr>
      <w:rPr>
        <w:rFonts w:ascii="Symbol" w:hAnsi="Symbol" w:hint="default"/>
        <w:color w:val="auto"/>
        <w:sz w:val="22"/>
      </w:rPr>
    </w:lvl>
  </w:abstractNum>
  <w:abstractNum w:abstractNumId="47" w15:restartNumberingAfterBreak="0">
    <w:nsid w:val="54C315C3"/>
    <w:multiLevelType w:val="singleLevel"/>
    <w:tmpl w:val="CE0EAA46"/>
    <w:lvl w:ilvl="0">
      <w:start w:val="1"/>
      <w:numFmt w:val="bullet"/>
      <w:lvlText w:val=""/>
      <w:lvlJc w:val="left"/>
      <w:pPr>
        <w:tabs>
          <w:tab w:val="num" w:pos="340"/>
        </w:tabs>
        <w:ind w:left="340" w:hanging="340"/>
      </w:pPr>
      <w:rPr>
        <w:rFonts w:ascii="Symbol" w:hAnsi="Symbol" w:hint="default"/>
        <w:color w:val="auto"/>
        <w:sz w:val="22"/>
      </w:rPr>
    </w:lvl>
  </w:abstractNum>
  <w:abstractNum w:abstractNumId="48" w15:restartNumberingAfterBreak="0">
    <w:nsid w:val="570A68A9"/>
    <w:multiLevelType w:val="singleLevel"/>
    <w:tmpl w:val="3F24ABBA"/>
    <w:lvl w:ilvl="0">
      <w:start w:val="1"/>
      <w:numFmt w:val="bullet"/>
      <w:lvlText w:val=""/>
      <w:lvlJc w:val="left"/>
      <w:pPr>
        <w:tabs>
          <w:tab w:val="num" w:pos="340"/>
        </w:tabs>
        <w:ind w:left="340" w:hanging="340"/>
      </w:pPr>
      <w:rPr>
        <w:rFonts w:ascii="Symbol" w:hAnsi="Symbol" w:hint="default"/>
        <w:color w:val="auto"/>
        <w:sz w:val="22"/>
      </w:rPr>
    </w:lvl>
  </w:abstractNum>
  <w:abstractNum w:abstractNumId="49" w15:restartNumberingAfterBreak="0">
    <w:nsid w:val="57AD51B3"/>
    <w:multiLevelType w:val="singleLevel"/>
    <w:tmpl w:val="BD481832"/>
    <w:lvl w:ilvl="0">
      <w:start w:val="1"/>
      <w:numFmt w:val="bullet"/>
      <w:lvlText w:val=""/>
      <w:lvlJc w:val="left"/>
      <w:pPr>
        <w:tabs>
          <w:tab w:val="num" w:pos="340"/>
        </w:tabs>
        <w:ind w:left="340" w:hanging="340"/>
      </w:pPr>
      <w:rPr>
        <w:rFonts w:ascii="Symbol" w:hAnsi="Symbol" w:hint="default"/>
        <w:color w:val="auto"/>
        <w:sz w:val="22"/>
      </w:rPr>
    </w:lvl>
  </w:abstractNum>
  <w:abstractNum w:abstractNumId="50" w15:restartNumberingAfterBreak="0">
    <w:nsid w:val="588B1527"/>
    <w:multiLevelType w:val="singleLevel"/>
    <w:tmpl w:val="F426F250"/>
    <w:lvl w:ilvl="0">
      <w:start w:val="1"/>
      <w:numFmt w:val="bullet"/>
      <w:lvlText w:val=""/>
      <w:lvlJc w:val="left"/>
      <w:pPr>
        <w:tabs>
          <w:tab w:val="num" w:pos="340"/>
        </w:tabs>
        <w:ind w:left="340" w:hanging="340"/>
      </w:pPr>
      <w:rPr>
        <w:rFonts w:ascii="Symbol" w:hAnsi="Symbol" w:hint="default"/>
        <w:color w:val="auto"/>
        <w:sz w:val="22"/>
      </w:rPr>
    </w:lvl>
  </w:abstractNum>
  <w:abstractNum w:abstractNumId="51" w15:restartNumberingAfterBreak="0">
    <w:nsid w:val="5A2B70A8"/>
    <w:multiLevelType w:val="singleLevel"/>
    <w:tmpl w:val="1AC8BE3C"/>
    <w:lvl w:ilvl="0">
      <w:start w:val="1"/>
      <w:numFmt w:val="bullet"/>
      <w:lvlText w:val=""/>
      <w:lvlJc w:val="left"/>
      <w:pPr>
        <w:tabs>
          <w:tab w:val="num" w:pos="340"/>
        </w:tabs>
        <w:ind w:left="340" w:hanging="340"/>
      </w:pPr>
      <w:rPr>
        <w:rFonts w:ascii="Symbol" w:hAnsi="Symbol" w:hint="default"/>
        <w:color w:val="auto"/>
        <w:sz w:val="22"/>
      </w:rPr>
    </w:lvl>
  </w:abstractNum>
  <w:abstractNum w:abstractNumId="52" w15:restartNumberingAfterBreak="0">
    <w:nsid w:val="5DC05E69"/>
    <w:multiLevelType w:val="singleLevel"/>
    <w:tmpl w:val="E63E71E4"/>
    <w:lvl w:ilvl="0">
      <w:start w:val="1"/>
      <w:numFmt w:val="bullet"/>
      <w:lvlText w:val=""/>
      <w:lvlJc w:val="left"/>
      <w:pPr>
        <w:tabs>
          <w:tab w:val="num" w:pos="340"/>
        </w:tabs>
        <w:ind w:left="340" w:hanging="340"/>
      </w:pPr>
      <w:rPr>
        <w:rFonts w:ascii="Symbol" w:hAnsi="Symbol" w:hint="default"/>
        <w:color w:val="auto"/>
        <w:sz w:val="22"/>
      </w:rPr>
    </w:lvl>
  </w:abstractNum>
  <w:abstractNum w:abstractNumId="53" w15:restartNumberingAfterBreak="0">
    <w:nsid w:val="5E47261F"/>
    <w:multiLevelType w:val="multilevel"/>
    <w:tmpl w:val="B358E460"/>
    <w:lvl w:ilvl="0">
      <w:start w:val="1"/>
      <w:numFmt w:val="decimal"/>
      <w:lvlText w:val="%1."/>
      <w:lvlJc w:val="left"/>
      <w:pPr>
        <w:tabs>
          <w:tab w:val="num" w:pos="340"/>
        </w:tabs>
        <w:ind w:left="340" w:hanging="340"/>
      </w:pPr>
      <w:rPr>
        <w:rFonts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54" w15:restartNumberingAfterBreak="0">
    <w:nsid w:val="610014F1"/>
    <w:multiLevelType w:val="singleLevel"/>
    <w:tmpl w:val="073863D0"/>
    <w:lvl w:ilvl="0">
      <w:start w:val="1"/>
      <w:numFmt w:val="bullet"/>
      <w:lvlText w:val=""/>
      <w:lvlJc w:val="left"/>
      <w:pPr>
        <w:tabs>
          <w:tab w:val="num" w:pos="340"/>
        </w:tabs>
        <w:ind w:left="340" w:hanging="340"/>
      </w:pPr>
      <w:rPr>
        <w:rFonts w:ascii="Symbol" w:hAnsi="Symbol" w:hint="default"/>
        <w:color w:val="auto"/>
        <w:sz w:val="22"/>
      </w:rPr>
    </w:lvl>
  </w:abstractNum>
  <w:abstractNum w:abstractNumId="55" w15:restartNumberingAfterBreak="0">
    <w:nsid w:val="63917BB9"/>
    <w:multiLevelType w:val="multilevel"/>
    <w:tmpl w:val="C3DE98D4"/>
    <w:name w:val="NumberedLists2"/>
    <w:lvl w:ilvl="0">
      <w:start w:val="1"/>
      <w:numFmt w:val="none"/>
      <w:pStyle w:val="PwCNormal"/>
      <w:suff w:val="nothing"/>
      <w:lvlText w:val=""/>
      <w:lvlJc w:val="left"/>
      <w:pPr>
        <w:ind w:left="0" w:firstLine="0"/>
      </w:pPr>
      <w:rPr>
        <w:color w:val="auto"/>
      </w:rPr>
    </w:lvl>
    <w:lvl w:ilvl="1">
      <w:start w:val="1"/>
      <w:numFmt w:val="none"/>
      <w:pStyle w:val="Indent1"/>
      <w:suff w:val="nothing"/>
      <w:lvlText w:val=""/>
      <w:lvlJc w:val="left"/>
      <w:pPr>
        <w:ind w:left="284" w:firstLine="0"/>
      </w:pPr>
    </w:lvl>
    <w:lvl w:ilvl="2">
      <w:start w:val="1"/>
      <w:numFmt w:val="none"/>
      <w:pStyle w:val="Indent2"/>
      <w:suff w:val="nothing"/>
      <w:lvlText w:val=""/>
      <w:lvlJc w:val="left"/>
      <w:pPr>
        <w:ind w:left="568" w:firstLine="0"/>
      </w:pPr>
    </w:lvl>
    <w:lvl w:ilvl="3">
      <w:start w:val="1"/>
      <w:numFmt w:val="none"/>
      <w:pStyle w:val="Indent3"/>
      <w:suff w:val="nothing"/>
      <w:lvlText w:val=""/>
      <w:lvlJc w:val="left"/>
      <w:pPr>
        <w:ind w:left="852" w:firstLine="0"/>
      </w:pPr>
    </w:lvl>
    <w:lvl w:ilvl="4">
      <w:start w:val="1"/>
      <w:numFmt w:val="none"/>
      <w:pStyle w:val="Indent4"/>
      <w:suff w:val="nothing"/>
      <w:lvlText w:val=""/>
      <w:lvlJc w:val="left"/>
      <w:pPr>
        <w:ind w:left="1136" w:firstLine="0"/>
      </w:pPr>
    </w:lvl>
    <w:lvl w:ilvl="5">
      <w:start w:val="1"/>
      <w:numFmt w:val="none"/>
      <w:pStyle w:val="Indent5"/>
      <w:suff w:val="nothing"/>
      <w:lvlText w:val=""/>
      <w:lvlJc w:val="left"/>
      <w:pPr>
        <w:ind w:left="1420" w:firstLine="0"/>
      </w:pPr>
    </w:lvl>
    <w:lvl w:ilvl="6">
      <w:start w:val="1"/>
      <w:numFmt w:val="none"/>
      <w:pStyle w:val="Indent6"/>
      <w:suff w:val="nothing"/>
      <w:lvlText w:val=""/>
      <w:lvlJc w:val="left"/>
      <w:pPr>
        <w:ind w:left="1704" w:firstLine="0"/>
      </w:pPr>
    </w:lvl>
    <w:lvl w:ilvl="7">
      <w:start w:val="1"/>
      <w:numFmt w:val="none"/>
      <w:pStyle w:val="Indent7"/>
      <w:suff w:val="nothing"/>
      <w:lvlText w:val=""/>
      <w:lvlJc w:val="left"/>
      <w:pPr>
        <w:ind w:left="1988" w:firstLine="0"/>
      </w:pPr>
    </w:lvl>
    <w:lvl w:ilvl="8">
      <w:start w:val="1"/>
      <w:numFmt w:val="none"/>
      <w:pStyle w:val="Indent8"/>
      <w:suff w:val="nothing"/>
      <w:lvlText w:val=""/>
      <w:lvlJc w:val="left"/>
      <w:pPr>
        <w:ind w:left="2272" w:firstLine="0"/>
      </w:pPr>
    </w:lvl>
  </w:abstractNum>
  <w:abstractNum w:abstractNumId="56" w15:restartNumberingAfterBreak="0">
    <w:nsid w:val="642359B8"/>
    <w:multiLevelType w:val="singleLevel"/>
    <w:tmpl w:val="73C02EB8"/>
    <w:lvl w:ilvl="0">
      <w:start w:val="1"/>
      <w:numFmt w:val="bullet"/>
      <w:lvlText w:val=""/>
      <w:lvlJc w:val="left"/>
      <w:pPr>
        <w:tabs>
          <w:tab w:val="num" w:pos="340"/>
        </w:tabs>
        <w:ind w:left="340" w:hanging="340"/>
      </w:pPr>
      <w:rPr>
        <w:rFonts w:ascii="Symbol" w:hAnsi="Symbol" w:hint="default"/>
        <w:color w:val="auto"/>
        <w:sz w:val="22"/>
      </w:rPr>
    </w:lvl>
  </w:abstractNum>
  <w:abstractNum w:abstractNumId="57" w15:restartNumberingAfterBreak="0">
    <w:nsid w:val="677F4236"/>
    <w:multiLevelType w:val="multilevel"/>
    <w:tmpl w:val="96E2F7F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5115"/>
        </w:tabs>
        <w:ind w:left="5115" w:hanging="720"/>
      </w:pPr>
      <w:rPr>
        <w:rFonts w:hint="default"/>
      </w:rPr>
    </w:lvl>
    <w:lvl w:ilvl="3">
      <w:start w:val="1"/>
      <w:numFmt w:val="decimal"/>
      <w:pStyle w:val="Heading4"/>
      <w:lvlText w:val="%1.%2.%3.%4"/>
      <w:lvlJc w:val="left"/>
      <w:pPr>
        <w:tabs>
          <w:tab w:val="num" w:pos="3130"/>
        </w:tabs>
        <w:ind w:left="3130" w:hanging="720"/>
      </w:pPr>
      <w:rPr>
        <w:rFonts w:hint="default"/>
      </w:rPr>
    </w:lvl>
    <w:lvl w:ilvl="4">
      <w:start w:val="1"/>
      <w:numFmt w:val="none"/>
      <w:pStyle w:val="Heading5"/>
      <w:suff w:val="nothing"/>
      <w:lvlText w:val=""/>
      <w:lvlJc w:val="left"/>
      <w:pPr>
        <w:ind w:left="720" w:hanging="720"/>
      </w:pPr>
      <w:rPr>
        <w:rFonts w:hint="default"/>
      </w:rPr>
    </w:lvl>
    <w:lvl w:ilvl="5">
      <w:start w:val="1"/>
      <w:numFmt w:val="none"/>
      <w:suff w:val="nothing"/>
      <w:lvlText w:val=""/>
      <w:lvlJc w:val="left"/>
      <w:pPr>
        <w:ind w:left="720" w:hanging="720"/>
      </w:pPr>
      <w:rPr>
        <w:rFonts w:hint="default"/>
      </w:rPr>
    </w:lvl>
    <w:lvl w:ilvl="6">
      <w:start w:val="1"/>
      <w:numFmt w:val="none"/>
      <w:suff w:val="nothing"/>
      <w:lvlText w:val="%7"/>
      <w:lvlJc w:val="left"/>
      <w:pPr>
        <w:ind w:left="720" w:hanging="720"/>
      </w:pPr>
      <w:rPr>
        <w:rFonts w:hint="default"/>
      </w:rPr>
    </w:lvl>
    <w:lvl w:ilvl="7">
      <w:start w:val="1"/>
      <w:numFmt w:val="none"/>
      <w:suff w:val="nothing"/>
      <w:lvlText w:val="%8"/>
      <w:lvlJc w:val="left"/>
      <w:pPr>
        <w:ind w:left="720" w:hanging="720"/>
      </w:pPr>
      <w:rPr>
        <w:rFonts w:hint="default"/>
      </w:rPr>
    </w:lvl>
    <w:lvl w:ilvl="8">
      <w:start w:val="1"/>
      <w:numFmt w:val="none"/>
      <w:pStyle w:val="Heading9"/>
      <w:suff w:val="nothing"/>
      <w:lvlText w:val="%9"/>
      <w:lvlJc w:val="left"/>
      <w:pPr>
        <w:ind w:left="720" w:hanging="720"/>
      </w:pPr>
      <w:rPr>
        <w:rFonts w:hint="default"/>
      </w:rPr>
    </w:lvl>
  </w:abstractNum>
  <w:abstractNum w:abstractNumId="58" w15:restartNumberingAfterBreak="0">
    <w:nsid w:val="67976232"/>
    <w:multiLevelType w:val="singleLevel"/>
    <w:tmpl w:val="0696FBA0"/>
    <w:lvl w:ilvl="0">
      <w:start w:val="1"/>
      <w:numFmt w:val="bullet"/>
      <w:lvlText w:val=""/>
      <w:lvlJc w:val="left"/>
      <w:pPr>
        <w:tabs>
          <w:tab w:val="num" w:pos="340"/>
        </w:tabs>
        <w:ind w:left="340" w:hanging="340"/>
      </w:pPr>
      <w:rPr>
        <w:rFonts w:ascii="Symbol" w:hAnsi="Symbol" w:hint="default"/>
        <w:color w:val="auto"/>
        <w:sz w:val="22"/>
      </w:rPr>
    </w:lvl>
  </w:abstractNum>
  <w:abstractNum w:abstractNumId="59" w15:restartNumberingAfterBreak="0">
    <w:nsid w:val="68FC594E"/>
    <w:multiLevelType w:val="singleLevel"/>
    <w:tmpl w:val="8BC69716"/>
    <w:lvl w:ilvl="0">
      <w:start w:val="1"/>
      <w:numFmt w:val="bullet"/>
      <w:lvlText w:val=""/>
      <w:lvlJc w:val="left"/>
      <w:pPr>
        <w:tabs>
          <w:tab w:val="num" w:pos="340"/>
        </w:tabs>
        <w:ind w:left="340" w:hanging="340"/>
      </w:pPr>
      <w:rPr>
        <w:rFonts w:ascii="Symbol" w:hAnsi="Symbol" w:hint="default"/>
        <w:color w:val="auto"/>
        <w:sz w:val="22"/>
      </w:rPr>
    </w:lvl>
  </w:abstractNum>
  <w:abstractNum w:abstractNumId="60" w15:restartNumberingAfterBreak="0">
    <w:nsid w:val="6BF02F3B"/>
    <w:multiLevelType w:val="singleLevel"/>
    <w:tmpl w:val="1EE0F97E"/>
    <w:lvl w:ilvl="0">
      <w:start w:val="1"/>
      <w:numFmt w:val="bullet"/>
      <w:lvlText w:val=""/>
      <w:lvlJc w:val="left"/>
      <w:pPr>
        <w:tabs>
          <w:tab w:val="num" w:pos="340"/>
        </w:tabs>
        <w:ind w:left="340" w:hanging="340"/>
      </w:pPr>
      <w:rPr>
        <w:rFonts w:ascii="Symbol" w:hAnsi="Symbol" w:hint="default"/>
        <w:color w:val="auto"/>
        <w:sz w:val="22"/>
      </w:rPr>
    </w:lvl>
  </w:abstractNum>
  <w:abstractNum w:abstractNumId="61" w15:restartNumberingAfterBreak="0">
    <w:nsid w:val="6BFA3312"/>
    <w:multiLevelType w:val="multilevel"/>
    <w:tmpl w:val="B358E460"/>
    <w:lvl w:ilvl="0">
      <w:start w:val="1"/>
      <w:numFmt w:val="decimal"/>
      <w:lvlText w:val="%1."/>
      <w:lvlJc w:val="left"/>
      <w:pPr>
        <w:tabs>
          <w:tab w:val="num" w:pos="340"/>
        </w:tabs>
        <w:ind w:left="340" w:hanging="340"/>
      </w:pPr>
      <w:rPr>
        <w:rFonts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62" w15:restartNumberingAfterBreak="0">
    <w:nsid w:val="715F152A"/>
    <w:multiLevelType w:val="singleLevel"/>
    <w:tmpl w:val="3DB2412E"/>
    <w:lvl w:ilvl="0">
      <w:start w:val="1"/>
      <w:numFmt w:val="bullet"/>
      <w:lvlText w:val=""/>
      <w:lvlJc w:val="left"/>
      <w:pPr>
        <w:tabs>
          <w:tab w:val="num" w:pos="340"/>
        </w:tabs>
        <w:ind w:left="340" w:hanging="340"/>
      </w:pPr>
      <w:rPr>
        <w:rFonts w:ascii="Symbol" w:hAnsi="Symbol" w:hint="default"/>
        <w:color w:val="auto"/>
        <w:sz w:val="22"/>
      </w:rPr>
    </w:lvl>
  </w:abstractNum>
  <w:abstractNum w:abstractNumId="63" w15:restartNumberingAfterBreak="0">
    <w:nsid w:val="71B4580A"/>
    <w:multiLevelType w:val="singleLevel"/>
    <w:tmpl w:val="F432A3D6"/>
    <w:lvl w:ilvl="0">
      <w:start w:val="1"/>
      <w:numFmt w:val="bullet"/>
      <w:lvlText w:val=""/>
      <w:lvlJc w:val="left"/>
      <w:pPr>
        <w:tabs>
          <w:tab w:val="num" w:pos="340"/>
        </w:tabs>
        <w:ind w:left="340" w:hanging="340"/>
      </w:pPr>
      <w:rPr>
        <w:rFonts w:ascii="Symbol" w:hAnsi="Symbol" w:hint="default"/>
        <w:color w:val="auto"/>
        <w:sz w:val="22"/>
      </w:rPr>
    </w:lvl>
  </w:abstractNum>
  <w:abstractNum w:abstractNumId="64" w15:restartNumberingAfterBreak="0">
    <w:nsid w:val="72E20AFB"/>
    <w:multiLevelType w:val="singleLevel"/>
    <w:tmpl w:val="B02C3600"/>
    <w:lvl w:ilvl="0">
      <w:start w:val="1"/>
      <w:numFmt w:val="bullet"/>
      <w:lvlText w:val=""/>
      <w:lvlJc w:val="left"/>
      <w:pPr>
        <w:tabs>
          <w:tab w:val="num" w:pos="340"/>
        </w:tabs>
        <w:ind w:left="340" w:hanging="340"/>
      </w:pPr>
      <w:rPr>
        <w:rFonts w:ascii="Symbol" w:hAnsi="Symbol" w:hint="default"/>
        <w:color w:val="auto"/>
        <w:sz w:val="22"/>
      </w:rPr>
    </w:lvl>
  </w:abstractNum>
  <w:abstractNum w:abstractNumId="65" w15:restartNumberingAfterBreak="0">
    <w:nsid w:val="73D22087"/>
    <w:multiLevelType w:val="singleLevel"/>
    <w:tmpl w:val="EA1E1D14"/>
    <w:lvl w:ilvl="0">
      <w:start w:val="1"/>
      <w:numFmt w:val="bullet"/>
      <w:lvlText w:val=""/>
      <w:lvlJc w:val="left"/>
      <w:pPr>
        <w:tabs>
          <w:tab w:val="num" w:pos="340"/>
        </w:tabs>
        <w:ind w:left="340" w:hanging="340"/>
      </w:pPr>
      <w:rPr>
        <w:rFonts w:ascii="Symbol" w:hAnsi="Symbol" w:hint="default"/>
        <w:color w:val="auto"/>
        <w:sz w:val="22"/>
      </w:rPr>
    </w:lvl>
  </w:abstractNum>
  <w:abstractNum w:abstractNumId="66" w15:restartNumberingAfterBreak="0">
    <w:nsid w:val="741B7F9B"/>
    <w:multiLevelType w:val="singleLevel"/>
    <w:tmpl w:val="0D720930"/>
    <w:lvl w:ilvl="0">
      <w:start w:val="1"/>
      <w:numFmt w:val="bullet"/>
      <w:lvlText w:val=""/>
      <w:lvlJc w:val="left"/>
      <w:pPr>
        <w:tabs>
          <w:tab w:val="num" w:pos="340"/>
        </w:tabs>
        <w:ind w:left="340" w:hanging="340"/>
      </w:pPr>
      <w:rPr>
        <w:rFonts w:ascii="Symbol" w:hAnsi="Symbol" w:hint="default"/>
        <w:color w:val="auto"/>
        <w:sz w:val="22"/>
      </w:rPr>
    </w:lvl>
  </w:abstractNum>
  <w:abstractNum w:abstractNumId="67" w15:restartNumberingAfterBreak="0">
    <w:nsid w:val="74B21443"/>
    <w:multiLevelType w:val="multilevel"/>
    <w:tmpl w:val="DA6C1272"/>
    <w:lvl w:ilvl="0">
      <w:start w:val="1"/>
      <w:numFmt w:val="decimal"/>
      <w:lvlText w:val="%1"/>
      <w:lvlJc w:val="left"/>
      <w:pPr>
        <w:tabs>
          <w:tab w:val="num" w:pos="340"/>
        </w:tabs>
        <w:ind w:left="340" w:hanging="340"/>
      </w:pPr>
      <w:rPr>
        <w:rFonts w:ascii="9999999" w:hAnsi="9999999" w:hint="default"/>
        <w:color w:val="auto"/>
        <w:sz w:val="22"/>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abstractNum w:abstractNumId="68" w15:restartNumberingAfterBreak="0">
    <w:nsid w:val="74E125F1"/>
    <w:multiLevelType w:val="singleLevel"/>
    <w:tmpl w:val="58621206"/>
    <w:lvl w:ilvl="0">
      <w:start w:val="1"/>
      <w:numFmt w:val="bullet"/>
      <w:lvlText w:val=""/>
      <w:lvlJc w:val="left"/>
      <w:pPr>
        <w:tabs>
          <w:tab w:val="num" w:pos="340"/>
        </w:tabs>
        <w:ind w:left="340" w:hanging="340"/>
      </w:pPr>
      <w:rPr>
        <w:rFonts w:ascii="Symbol" w:hAnsi="Symbol" w:hint="default"/>
        <w:color w:val="auto"/>
        <w:sz w:val="22"/>
      </w:rPr>
    </w:lvl>
  </w:abstractNum>
  <w:abstractNum w:abstractNumId="69" w15:restartNumberingAfterBreak="0">
    <w:nsid w:val="772F04FA"/>
    <w:multiLevelType w:val="singleLevel"/>
    <w:tmpl w:val="C88E8BAA"/>
    <w:lvl w:ilvl="0">
      <w:start w:val="1"/>
      <w:numFmt w:val="bullet"/>
      <w:pStyle w:val="Bulletnormal"/>
      <w:lvlText w:val=""/>
      <w:lvlJc w:val="left"/>
      <w:pPr>
        <w:tabs>
          <w:tab w:val="num" w:pos="340"/>
        </w:tabs>
        <w:ind w:left="340" w:hanging="340"/>
      </w:pPr>
      <w:rPr>
        <w:rFonts w:ascii="Symbol" w:hAnsi="Symbol" w:hint="default"/>
        <w:color w:val="auto"/>
        <w:sz w:val="22"/>
      </w:rPr>
    </w:lvl>
  </w:abstractNum>
  <w:abstractNum w:abstractNumId="70" w15:restartNumberingAfterBreak="0">
    <w:nsid w:val="777E5F97"/>
    <w:multiLevelType w:val="multilevel"/>
    <w:tmpl w:val="B196541E"/>
    <w:lvl w:ilvl="0">
      <w:start w:val="1"/>
      <w:numFmt w:val="upperLetter"/>
      <w:lvlText w:val="%1"/>
      <w:lvlJc w:val="left"/>
      <w:pPr>
        <w:tabs>
          <w:tab w:val="num" w:pos="964"/>
        </w:tabs>
        <w:ind w:left="964" w:hanging="964"/>
      </w:pPr>
    </w:lvl>
    <w:lvl w:ilvl="1">
      <w:start w:val="1"/>
      <w:numFmt w:val="decimal"/>
      <w:pStyle w:val="AppendixHeading2"/>
      <w:lvlText w:val="%1.%2"/>
      <w:lvlJc w:val="left"/>
      <w:pPr>
        <w:tabs>
          <w:tab w:val="num" w:pos="0"/>
        </w:tabs>
        <w:ind w:left="0" w:hanging="964"/>
      </w:pPr>
    </w:lvl>
    <w:lvl w:ilvl="2">
      <w:start w:val="1"/>
      <w:numFmt w:val="decimal"/>
      <w:pStyle w:val="AppendixHeading3"/>
      <w:lvlText w:val="%1.%2.%3"/>
      <w:lvlJc w:val="left"/>
      <w:pPr>
        <w:tabs>
          <w:tab w:val="num" w:pos="0"/>
        </w:tabs>
        <w:ind w:left="0" w:hanging="964"/>
      </w:pPr>
    </w:lvl>
    <w:lvl w:ilvl="3">
      <w:start w:val="1"/>
      <w:numFmt w:val="decimal"/>
      <w:pStyle w:val="AppendixHeading4"/>
      <w:lvlText w:val="%1.%2.%3.%4"/>
      <w:lvlJc w:val="left"/>
      <w:pPr>
        <w:tabs>
          <w:tab w:val="num" w:pos="0"/>
        </w:tabs>
        <w:ind w:left="0" w:hanging="964"/>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71" w15:restartNumberingAfterBreak="0">
    <w:nsid w:val="79417F7D"/>
    <w:multiLevelType w:val="singleLevel"/>
    <w:tmpl w:val="30965750"/>
    <w:lvl w:ilvl="0">
      <w:start w:val="1"/>
      <w:numFmt w:val="bullet"/>
      <w:lvlText w:val=""/>
      <w:lvlJc w:val="left"/>
      <w:pPr>
        <w:tabs>
          <w:tab w:val="num" w:pos="340"/>
        </w:tabs>
        <w:ind w:left="340" w:hanging="340"/>
      </w:pPr>
      <w:rPr>
        <w:rFonts w:ascii="Symbol" w:hAnsi="Symbol" w:hint="default"/>
        <w:color w:val="auto"/>
        <w:sz w:val="22"/>
      </w:rPr>
    </w:lvl>
  </w:abstractNum>
  <w:abstractNum w:abstractNumId="72" w15:restartNumberingAfterBreak="0">
    <w:nsid w:val="7C3D0E7D"/>
    <w:multiLevelType w:val="singleLevel"/>
    <w:tmpl w:val="4C920890"/>
    <w:lvl w:ilvl="0">
      <w:start w:val="1"/>
      <w:numFmt w:val="bullet"/>
      <w:lvlText w:val=""/>
      <w:lvlJc w:val="left"/>
      <w:pPr>
        <w:tabs>
          <w:tab w:val="num" w:pos="340"/>
        </w:tabs>
        <w:ind w:left="340" w:hanging="340"/>
      </w:pPr>
      <w:rPr>
        <w:rFonts w:ascii="Symbol" w:hAnsi="Symbol" w:hint="default"/>
        <w:color w:val="auto"/>
        <w:sz w:val="22"/>
      </w:rPr>
    </w:lvl>
  </w:abstractNum>
  <w:abstractNum w:abstractNumId="73" w15:restartNumberingAfterBreak="0">
    <w:nsid w:val="7F25032D"/>
    <w:multiLevelType w:val="singleLevel"/>
    <w:tmpl w:val="FFE0E878"/>
    <w:lvl w:ilvl="0">
      <w:start w:val="1"/>
      <w:numFmt w:val="bullet"/>
      <w:lvlText w:val=""/>
      <w:lvlJc w:val="left"/>
      <w:pPr>
        <w:tabs>
          <w:tab w:val="num" w:pos="340"/>
        </w:tabs>
        <w:ind w:left="340" w:hanging="340"/>
      </w:pPr>
      <w:rPr>
        <w:rFonts w:ascii="Symbol" w:hAnsi="Symbol" w:hint="default"/>
        <w:color w:val="auto"/>
        <w:sz w:val="22"/>
      </w:rPr>
    </w:lvl>
  </w:abstractNum>
  <w:abstractNum w:abstractNumId="74" w15:restartNumberingAfterBreak="0">
    <w:nsid w:val="7FA409E0"/>
    <w:multiLevelType w:val="multilevel"/>
    <w:tmpl w:val="A7FC0420"/>
    <w:lvl w:ilvl="0">
      <w:start w:val="1"/>
      <w:numFmt w:val="decimal"/>
      <w:lvlText w:val="%1"/>
      <w:lvlJc w:val="left"/>
      <w:pPr>
        <w:tabs>
          <w:tab w:val="num" w:pos="340"/>
        </w:tabs>
        <w:ind w:left="340" w:hanging="340"/>
      </w:pPr>
      <w:rPr>
        <w:rFonts w:ascii="Arial" w:hAnsi="Arial" w:cs="Arial" w:hint="default"/>
      </w:rPr>
    </w:lvl>
    <w:lvl w:ilvl="1">
      <w:start w:val="1"/>
      <w:numFmt w:val="bullet"/>
      <w:lvlText w:val=""/>
      <w:lvlJc w:val="left"/>
      <w:pPr>
        <w:tabs>
          <w:tab w:val="num" w:pos="680"/>
        </w:tabs>
        <w:ind w:left="680" w:hanging="340"/>
      </w:pPr>
      <w:rPr>
        <w:rFonts w:ascii="Symbol" w:hAnsi="Symbol" w:hint="default"/>
        <w:sz w:val="22"/>
      </w:rPr>
    </w:lvl>
    <w:lvl w:ilvl="2">
      <w:start w:val="1"/>
      <w:numFmt w:val="bullet"/>
      <w:lvlText w:val="-"/>
      <w:lvlJc w:val="left"/>
      <w:pPr>
        <w:tabs>
          <w:tab w:val="num" w:pos="1020"/>
        </w:tabs>
        <w:ind w:left="1020" w:hanging="340"/>
      </w:pPr>
      <w:rPr>
        <w:rFonts w:ascii="9999999" w:hAnsi="9999999" w:hint="default"/>
      </w:rPr>
    </w:lvl>
    <w:lvl w:ilvl="3">
      <w:start w:val="1"/>
      <w:numFmt w:val="bullet"/>
      <w:lvlText w:val=""/>
      <w:lvlJc w:val="left"/>
      <w:pPr>
        <w:tabs>
          <w:tab w:val="num" w:pos="1361"/>
        </w:tabs>
        <w:ind w:left="1361" w:hanging="341"/>
      </w:pPr>
      <w:rPr>
        <w:rFonts w:ascii="Symbol" w:hAnsi="Symbol" w:hint="default"/>
        <w:sz w:val="22"/>
      </w:rPr>
    </w:lvl>
    <w:lvl w:ilvl="4">
      <w:start w:val="1"/>
      <w:numFmt w:val="bullet"/>
      <w:lvlText w:val=""/>
      <w:lvlJc w:val="left"/>
      <w:pPr>
        <w:tabs>
          <w:tab w:val="num" w:pos="1701"/>
        </w:tabs>
        <w:ind w:left="1701" w:hanging="340"/>
      </w:pPr>
      <w:rPr>
        <w:rFonts w:ascii="Symbol" w:hAnsi="Symbol" w:hint="default"/>
      </w:rPr>
    </w:lvl>
    <w:lvl w:ilvl="5">
      <w:start w:val="1"/>
      <w:numFmt w:val="bullet"/>
      <w:lvlText w:val=""/>
      <w:lvlJc w:val="left"/>
      <w:pPr>
        <w:tabs>
          <w:tab w:val="num" w:pos="2041"/>
        </w:tabs>
        <w:ind w:left="2041" w:hanging="340"/>
      </w:pPr>
      <w:rPr>
        <w:rFonts w:ascii="Wingdings" w:hAnsi="Wingdings" w:hint="default"/>
      </w:rPr>
    </w:lvl>
    <w:lvl w:ilvl="6">
      <w:start w:val="1"/>
      <w:numFmt w:val="bullet"/>
      <w:lvlText w:val=""/>
      <w:lvlJc w:val="left"/>
      <w:pPr>
        <w:tabs>
          <w:tab w:val="num" w:pos="2381"/>
        </w:tabs>
        <w:ind w:left="2381" w:hanging="340"/>
      </w:pPr>
      <w:rPr>
        <w:rFonts w:ascii="Wingdings" w:hAnsi="Wingdings" w:hint="default"/>
      </w:rPr>
    </w:lvl>
    <w:lvl w:ilvl="7">
      <w:start w:val="1"/>
      <w:numFmt w:val="bullet"/>
      <w:lvlText w:val=""/>
      <w:lvlJc w:val="left"/>
      <w:pPr>
        <w:tabs>
          <w:tab w:val="num" w:pos="2721"/>
        </w:tabs>
        <w:ind w:left="2721" w:hanging="340"/>
      </w:pPr>
      <w:rPr>
        <w:rFonts w:ascii="Symbol" w:hAnsi="Symbol" w:hint="default"/>
      </w:rPr>
    </w:lvl>
    <w:lvl w:ilvl="8">
      <w:start w:val="1"/>
      <w:numFmt w:val="bullet"/>
      <w:lvlText w:val=""/>
      <w:lvlJc w:val="left"/>
      <w:pPr>
        <w:tabs>
          <w:tab w:val="num" w:pos="3061"/>
        </w:tabs>
        <w:ind w:left="3061" w:hanging="340"/>
      </w:pPr>
      <w:rPr>
        <w:rFonts w:ascii="Symbol" w:hAnsi="Symbol" w:hint="default"/>
      </w:rPr>
    </w:lvl>
  </w:abstractNum>
  <w:num w:numId="1">
    <w:abstractNumId w:val="5"/>
  </w:num>
  <w:num w:numId="2">
    <w:abstractNumId w:val="57"/>
  </w:num>
  <w:num w:numId="3">
    <w:abstractNumId w:val="7"/>
  </w:num>
  <w:num w:numId="4">
    <w:abstractNumId w:val="35"/>
  </w:num>
  <w:num w:numId="5">
    <w:abstractNumId w:val="22"/>
  </w:num>
  <w:num w:numId="6">
    <w:abstractNumId w:val="70"/>
  </w:num>
  <w:num w:numId="7">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9"/>
  </w:num>
  <w:num w:numId="9">
    <w:abstractNumId w:val="39"/>
  </w:num>
  <w:num w:numId="10">
    <w:abstractNumId w:val="23"/>
  </w:num>
  <w:num w:numId="11">
    <w:abstractNumId w:val="8"/>
  </w:num>
  <w:num w:numId="12">
    <w:abstractNumId w:val="36"/>
  </w:num>
  <w:num w:numId="13">
    <w:abstractNumId w:val="26"/>
  </w:num>
  <w:num w:numId="14">
    <w:abstractNumId w:val="19"/>
  </w:num>
  <w:num w:numId="15">
    <w:abstractNumId w:val="29"/>
  </w:num>
  <w:num w:numId="16">
    <w:abstractNumId w:val="11"/>
  </w:num>
  <w:num w:numId="17">
    <w:abstractNumId w:val="33"/>
  </w:num>
  <w:num w:numId="18">
    <w:abstractNumId w:val="24"/>
  </w:num>
  <w:num w:numId="19">
    <w:abstractNumId w:val="14"/>
  </w:num>
  <w:num w:numId="20">
    <w:abstractNumId w:val="44"/>
  </w:num>
  <w:num w:numId="21">
    <w:abstractNumId w:val="17"/>
  </w:num>
  <w:num w:numId="22">
    <w:abstractNumId w:val="65"/>
  </w:num>
  <w:num w:numId="23">
    <w:abstractNumId w:val="60"/>
  </w:num>
  <w:num w:numId="24">
    <w:abstractNumId w:val="9"/>
  </w:num>
  <w:num w:numId="25">
    <w:abstractNumId w:val="12"/>
  </w:num>
  <w:num w:numId="26">
    <w:abstractNumId w:val="49"/>
  </w:num>
  <w:num w:numId="27">
    <w:abstractNumId w:val="56"/>
  </w:num>
  <w:num w:numId="28">
    <w:abstractNumId w:val="50"/>
  </w:num>
  <w:num w:numId="29">
    <w:abstractNumId w:val="47"/>
  </w:num>
  <w:num w:numId="30">
    <w:abstractNumId w:val="58"/>
  </w:num>
  <w:num w:numId="31">
    <w:abstractNumId w:val="25"/>
  </w:num>
  <w:num w:numId="32">
    <w:abstractNumId w:val="48"/>
  </w:num>
  <w:num w:numId="33">
    <w:abstractNumId w:val="30"/>
  </w:num>
  <w:num w:numId="34">
    <w:abstractNumId w:val="67"/>
  </w:num>
  <w:num w:numId="35">
    <w:abstractNumId w:val="57"/>
  </w:num>
  <w:num w:numId="36">
    <w:abstractNumId w:val="53"/>
  </w:num>
  <w:num w:numId="37">
    <w:abstractNumId w:val="38"/>
  </w:num>
  <w:num w:numId="38">
    <w:abstractNumId w:val="59"/>
  </w:num>
  <w:num w:numId="39">
    <w:abstractNumId w:val="5"/>
  </w:num>
  <w:num w:numId="40">
    <w:abstractNumId w:val="74"/>
  </w:num>
  <w:num w:numId="41">
    <w:abstractNumId w:val="45"/>
  </w:num>
  <w:num w:numId="42">
    <w:abstractNumId w:val="10"/>
  </w:num>
  <w:num w:numId="43">
    <w:abstractNumId w:val="73"/>
  </w:num>
  <w:num w:numId="44">
    <w:abstractNumId w:val="68"/>
  </w:num>
  <w:num w:numId="45">
    <w:abstractNumId w:val="71"/>
  </w:num>
  <w:num w:numId="46">
    <w:abstractNumId w:val="7"/>
  </w:num>
  <w:num w:numId="47">
    <w:abstractNumId w:val="5"/>
  </w:num>
  <w:num w:numId="48">
    <w:abstractNumId w:val="16"/>
  </w:num>
  <w:num w:numId="49">
    <w:abstractNumId w:val="63"/>
  </w:num>
  <w:num w:numId="50">
    <w:abstractNumId w:val="43"/>
  </w:num>
  <w:num w:numId="51">
    <w:abstractNumId w:val="57"/>
  </w:num>
  <w:num w:numId="52">
    <w:abstractNumId w:val="57"/>
  </w:num>
  <w:num w:numId="53">
    <w:abstractNumId w:val="57"/>
  </w:num>
  <w:num w:numId="54">
    <w:abstractNumId w:val="57"/>
  </w:num>
  <w:num w:numId="55">
    <w:abstractNumId w:val="57"/>
  </w:num>
  <w:num w:numId="56">
    <w:abstractNumId w:val="57"/>
  </w:num>
  <w:num w:numId="57">
    <w:abstractNumId w:val="57"/>
  </w:num>
  <w:num w:numId="58">
    <w:abstractNumId w:val="57"/>
  </w:num>
  <w:num w:numId="59">
    <w:abstractNumId w:val="57"/>
  </w:num>
  <w:num w:numId="60">
    <w:abstractNumId w:val="57"/>
  </w:num>
  <w:num w:numId="61">
    <w:abstractNumId w:val="21"/>
  </w:num>
  <w:num w:numId="62">
    <w:abstractNumId w:val="41"/>
  </w:num>
  <w:num w:numId="63">
    <w:abstractNumId w:val="66"/>
  </w:num>
  <w:num w:numId="64">
    <w:abstractNumId w:val="6"/>
  </w:num>
  <w:num w:numId="65">
    <w:abstractNumId w:val="72"/>
  </w:num>
  <w:num w:numId="66">
    <w:abstractNumId w:val="13"/>
  </w:num>
  <w:num w:numId="67">
    <w:abstractNumId w:val="34"/>
  </w:num>
  <w:num w:numId="68">
    <w:abstractNumId w:val="62"/>
  </w:num>
  <w:num w:numId="69">
    <w:abstractNumId w:val="31"/>
  </w:num>
  <w:num w:numId="70">
    <w:abstractNumId w:val="37"/>
  </w:num>
  <w:num w:numId="71">
    <w:abstractNumId w:val="52"/>
  </w:num>
  <w:num w:numId="72">
    <w:abstractNumId w:val="32"/>
  </w:num>
  <w:num w:numId="73">
    <w:abstractNumId w:val="40"/>
  </w:num>
  <w:num w:numId="74">
    <w:abstractNumId w:val="64"/>
  </w:num>
  <w:num w:numId="75">
    <w:abstractNumId w:val="61"/>
  </w:num>
  <w:num w:numId="76">
    <w:abstractNumId w:val="15"/>
  </w:num>
  <w:num w:numId="77">
    <w:abstractNumId w:val="42"/>
  </w:num>
  <w:num w:numId="78">
    <w:abstractNumId w:val="18"/>
  </w:num>
  <w:num w:numId="79">
    <w:abstractNumId w:val="20"/>
  </w:num>
  <w:num w:numId="80">
    <w:abstractNumId w:val="27"/>
  </w:num>
  <w:num w:numId="81">
    <w:abstractNumId w:val="28"/>
  </w:num>
  <w:num w:numId="82">
    <w:abstractNumId w:val="57"/>
  </w:num>
  <w:num w:numId="83">
    <w:abstractNumId w:val="5"/>
  </w:num>
  <w:num w:numId="84">
    <w:abstractNumId w:val="4"/>
  </w:num>
  <w:num w:numId="85">
    <w:abstractNumId w:val="3"/>
  </w:num>
  <w:num w:numId="86">
    <w:abstractNumId w:val="2"/>
  </w:num>
  <w:num w:numId="87">
    <w:abstractNumId w:val="1"/>
  </w:num>
  <w:num w:numId="88">
    <w:abstractNumId w:val="0"/>
  </w:num>
  <w:num w:numId="89">
    <w:abstractNumId w:val="54"/>
  </w:num>
  <w:num w:numId="90">
    <w:abstractNumId w:val="46"/>
  </w:num>
  <w:num w:numId="91">
    <w:abstractNumId w:val="51"/>
  </w:num>
  <w:num w:numId="92">
    <w:abstractNumId w:val="57"/>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raftWatermark" w:val="1"/>
  </w:docVars>
  <w:rsids>
    <w:rsidRoot w:val="00E13F2A"/>
    <w:rsid w:val="00003DFC"/>
    <w:rsid w:val="00004348"/>
    <w:rsid w:val="000055F9"/>
    <w:rsid w:val="0001065F"/>
    <w:rsid w:val="000121F3"/>
    <w:rsid w:val="00012E12"/>
    <w:rsid w:val="00015F56"/>
    <w:rsid w:val="00021B63"/>
    <w:rsid w:val="00030099"/>
    <w:rsid w:val="000326FC"/>
    <w:rsid w:val="00034D1B"/>
    <w:rsid w:val="000378AE"/>
    <w:rsid w:val="00037AD6"/>
    <w:rsid w:val="00041F08"/>
    <w:rsid w:val="00042E99"/>
    <w:rsid w:val="000442F3"/>
    <w:rsid w:val="00044B39"/>
    <w:rsid w:val="00046991"/>
    <w:rsid w:val="00046DC8"/>
    <w:rsid w:val="000500F9"/>
    <w:rsid w:val="00050CCC"/>
    <w:rsid w:val="00051AEE"/>
    <w:rsid w:val="00051E64"/>
    <w:rsid w:val="00052BF5"/>
    <w:rsid w:val="00057592"/>
    <w:rsid w:val="00057FF0"/>
    <w:rsid w:val="000709C1"/>
    <w:rsid w:val="00071A16"/>
    <w:rsid w:val="00073E05"/>
    <w:rsid w:val="000740DB"/>
    <w:rsid w:val="000742E1"/>
    <w:rsid w:val="00076BC8"/>
    <w:rsid w:val="00077991"/>
    <w:rsid w:val="00081665"/>
    <w:rsid w:val="00084822"/>
    <w:rsid w:val="0008557C"/>
    <w:rsid w:val="00085952"/>
    <w:rsid w:val="00085B69"/>
    <w:rsid w:val="0008798D"/>
    <w:rsid w:val="0009001F"/>
    <w:rsid w:val="00092392"/>
    <w:rsid w:val="0009290A"/>
    <w:rsid w:val="000947C6"/>
    <w:rsid w:val="00096F69"/>
    <w:rsid w:val="00097B2D"/>
    <w:rsid w:val="000A0885"/>
    <w:rsid w:val="000A23B1"/>
    <w:rsid w:val="000A3184"/>
    <w:rsid w:val="000A44A4"/>
    <w:rsid w:val="000B22F8"/>
    <w:rsid w:val="000B4581"/>
    <w:rsid w:val="000B48D6"/>
    <w:rsid w:val="000B6C4D"/>
    <w:rsid w:val="000B7CAE"/>
    <w:rsid w:val="000C012C"/>
    <w:rsid w:val="000C5F17"/>
    <w:rsid w:val="000D4B5D"/>
    <w:rsid w:val="000D5F66"/>
    <w:rsid w:val="000D6204"/>
    <w:rsid w:val="000D7993"/>
    <w:rsid w:val="000E0389"/>
    <w:rsid w:val="000E4DBD"/>
    <w:rsid w:val="000E5A92"/>
    <w:rsid w:val="000E7295"/>
    <w:rsid w:val="000E7D48"/>
    <w:rsid w:val="000F0FD9"/>
    <w:rsid w:val="000F2163"/>
    <w:rsid w:val="000F2999"/>
    <w:rsid w:val="000F3D3C"/>
    <w:rsid w:val="000F4BA4"/>
    <w:rsid w:val="000F6925"/>
    <w:rsid w:val="001024EF"/>
    <w:rsid w:val="0010500D"/>
    <w:rsid w:val="001063A1"/>
    <w:rsid w:val="00106B02"/>
    <w:rsid w:val="00110BCE"/>
    <w:rsid w:val="00111A7E"/>
    <w:rsid w:val="0011258C"/>
    <w:rsid w:val="0011292C"/>
    <w:rsid w:val="00113546"/>
    <w:rsid w:val="001146A3"/>
    <w:rsid w:val="00117BFE"/>
    <w:rsid w:val="00117FDA"/>
    <w:rsid w:val="00120599"/>
    <w:rsid w:val="00121A72"/>
    <w:rsid w:val="00131096"/>
    <w:rsid w:val="00131734"/>
    <w:rsid w:val="00133EEC"/>
    <w:rsid w:val="0013418B"/>
    <w:rsid w:val="00136A7A"/>
    <w:rsid w:val="00136B69"/>
    <w:rsid w:val="00136E69"/>
    <w:rsid w:val="0014033A"/>
    <w:rsid w:val="0014237A"/>
    <w:rsid w:val="0014274A"/>
    <w:rsid w:val="001450B0"/>
    <w:rsid w:val="00146CBD"/>
    <w:rsid w:val="00150777"/>
    <w:rsid w:val="00150DBF"/>
    <w:rsid w:val="00151B91"/>
    <w:rsid w:val="001639C7"/>
    <w:rsid w:val="0016484C"/>
    <w:rsid w:val="00164A2E"/>
    <w:rsid w:val="00167267"/>
    <w:rsid w:val="001676A4"/>
    <w:rsid w:val="0017158D"/>
    <w:rsid w:val="00172928"/>
    <w:rsid w:val="001749D5"/>
    <w:rsid w:val="00174E2D"/>
    <w:rsid w:val="00174F37"/>
    <w:rsid w:val="00175F2E"/>
    <w:rsid w:val="001775C2"/>
    <w:rsid w:val="00180E44"/>
    <w:rsid w:val="0018208F"/>
    <w:rsid w:val="00183E89"/>
    <w:rsid w:val="00186BE4"/>
    <w:rsid w:val="0019270F"/>
    <w:rsid w:val="0019459A"/>
    <w:rsid w:val="001949BD"/>
    <w:rsid w:val="00196FDC"/>
    <w:rsid w:val="001A238C"/>
    <w:rsid w:val="001A489C"/>
    <w:rsid w:val="001A5D3F"/>
    <w:rsid w:val="001B07E9"/>
    <w:rsid w:val="001B157B"/>
    <w:rsid w:val="001B1C45"/>
    <w:rsid w:val="001B1CB6"/>
    <w:rsid w:val="001B1DBE"/>
    <w:rsid w:val="001B3B81"/>
    <w:rsid w:val="001B3E78"/>
    <w:rsid w:val="001C0D50"/>
    <w:rsid w:val="001C1583"/>
    <w:rsid w:val="001D0F5C"/>
    <w:rsid w:val="001D3335"/>
    <w:rsid w:val="001D348D"/>
    <w:rsid w:val="001D4846"/>
    <w:rsid w:val="001D6728"/>
    <w:rsid w:val="001D7558"/>
    <w:rsid w:val="001D7C6E"/>
    <w:rsid w:val="001D7D00"/>
    <w:rsid w:val="001E0391"/>
    <w:rsid w:val="001E0D41"/>
    <w:rsid w:val="001E34FA"/>
    <w:rsid w:val="001E3D7B"/>
    <w:rsid w:val="001E48AA"/>
    <w:rsid w:val="001E7FF4"/>
    <w:rsid w:val="001F1979"/>
    <w:rsid w:val="001F28FA"/>
    <w:rsid w:val="001F69E9"/>
    <w:rsid w:val="00200AB8"/>
    <w:rsid w:val="00203494"/>
    <w:rsid w:val="0020482E"/>
    <w:rsid w:val="00204FFD"/>
    <w:rsid w:val="00205270"/>
    <w:rsid w:val="0020555D"/>
    <w:rsid w:val="00206841"/>
    <w:rsid w:val="00206BAB"/>
    <w:rsid w:val="0020705F"/>
    <w:rsid w:val="00207D5B"/>
    <w:rsid w:val="002106A3"/>
    <w:rsid w:val="00210D13"/>
    <w:rsid w:val="00211506"/>
    <w:rsid w:val="002123A2"/>
    <w:rsid w:val="0021475C"/>
    <w:rsid w:val="00221627"/>
    <w:rsid w:val="00222C41"/>
    <w:rsid w:val="00223B89"/>
    <w:rsid w:val="00224EC3"/>
    <w:rsid w:val="00225A9A"/>
    <w:rsid w:val="00233D9A"/>
    <w:rsid w:val="002349A3"/>
    <w:rsid w:val="00234A0B"/>
    <w:rsid w:val="00235819"/>
    <w:rsid w:val="00235D42"/>
    <w:rsid w:val="0023608B"/>
    <w:rsid w:val="0023779E"/>
    <w:rsid w:val="00242914"/>
    <w:rsid w:val="00244F3E"/>
    <w:rsid w:val="002523FE"/>
    <w:rsid w:val="00255071"/>
    <w:rsid w:val="00255857"/>
    <w:rsid w:val="00257FD5"/>
    <w:rsid w:val="00261E24"/>
    <w:rsid w:val="002636EB"/>
    <w:rsid w:val="00266076"/>
    <w:rsid w:val="00270BA2"/>
    <w:rsid w:val="002719A8"/>
    <w:rsid w:val="00271CD0"/>
    <w:rsid w:val="0027356E"/>
    <w:rsid w:val="00273743"/>
    <w:rsid w:val="00274787"/>
    <w:rsid w:val="00276037"/>
    <w:rsid w:val="0027766C"/>
    <w:rsid w:val="00280A37"/>
    <w:rsid w:val="00281DDF"/>
    <w:rsid w:val="0028607F"/>
    <w:rsid w:val="00286407"/>
    <w:rsid w:val="00292C3D"/>
    <w:rsid w:val="00296FBF"/>
    <w:rsid w:val="00297B17"/>
    <w:rsid w:val="002A1244"/>
    <w:rsid w:val="002A1808"/>
    <w:rsid w:val="002A2104"/>
    <w:rsid w:val="002A2B8D"/>
    <w:rsid w:val="002A50A9"/>
    <w:rsid w:val="002A5AEC"/>
    <w:rsid w:val="002A6619"/>
    <w:rsid w:val="002A6B76"/>
    <w:rsid w:val="002B2394"/>
    <w:rsid w:val="002B23F3"/>
    <w:rsid w:val="002B269E"/>
    <w:rsid w:val="002C3249"/>
    <w:rsid w:val="002C6873"/>
    <w:rsid w:val="002C6E96"/>
    <w:rsid w:val="002D2B3B"/>
    <w:rsid w:val="002D716D"/>
    <w:rsid w:val="002E0A17"/>
    <w:rsid w:val="002E3F81"/>
    <w:rsid w:val="002E48E7"/>
    <w:rsid w:val="002E6B54"/>
    <w:rsid w:val="002F29F9"/>
    <w:rsid w:val="00300EDB"/>
    <w:rsid w:val="00301929"/>
    <w:rsid w:val="00305CAF"/>
    <w:rsid w:val="00307492"/>
    <w:rsid w:val="003105E2"/>
    <w:rsid w:val="003152EB"/>
    <w:rsid w:val="00320541"/>
    <w:rsid w:val="00320FAE"/>
    <w:rsid w:val="00323C35"/>
    <w:rsid w:val="00326326"/>
    <w:rsid w:val="00326ADA"/>
    <w:rsid w:val="00326C4D"/>
    <w:rsid w:val="003272A6"/>
    <w:rsid w:val="00330061"/>
    <w:rsid w:val="0033081C"/>
    <w:rsid w:val="00330841"/>
    <w:rsid w:val="00330A91"/>
    <w:rsid w:val="00330ABB"/>
    <w:rsid w:val="00332D0E"/>
    <w:rsid w:val="00332D2F"/>
    <w:rsid w:val="00337958"/>
    <w:rsid w:val="00337B4A"/>
    <w:rsid w:val="00337CF2"/>
    <w:rsid w:val="003409BC"/>
    <w:rsid w:val="003431E8"/>
    <w:rsid w:val="00345D6E"/>
    <w:rsid w:val="00346ABD"/>
    <w:rsid w:val="00347158"/>
    <w:rsid w:val="003546FC"/>
    <w:rsid w:val="00356D3B"/>
    <w:rsid w:val="00356FE2"/>
    <w:rsid w:val="00357EA4"/>
    <w:rsid w:val="00363779"/>
    <w:rsid w:val="00364060"/>
    <w:rsid w:val="00364563"/>
    <w:rsid w:val="00364D28"/>
    <w:rsid w:val="00364F05"/>
    <w:rsid w:val="0036571A"/>
    <w:rsid w:val="00366BCB"/>
    <w:rsid w:val="00366E44"/>
    <w:rsid w:val="003704BB"/>
    <w:rsid w:val="00374CBB"/>
    <w:rsid w:val="00377B45"/>
    <w:rsid w:val="00381BA8"/>
    <w:rsid w:val="0038431F"/>
    <w:rsid w:val="003843AE"/>
    <w:rsid w:val="003846BB"/>
    <w:rsid w:val="0039036B"/>
    <w:rsid w:val="00394DEA"/>
    <w:rsid w:val="003951FF"/>
    <w:rsid w:val="0039682A"/>
    <w:rsid w:val="003A033D"/>
    <w:rsid w:val="003A0F3F"/>
    <w:rsid w:val="003A15C8"/>
    <w:rsid w:val="003A2B09"/>
    <w:rsid w:val="003A3D7A"/>
    <w:rsid w:val="003A3F67"/>
    <w:rsid w:val="003A4004"/>
    <w:rsid w:val="003A4B7B"/>
    <w:rsid w:val="003A51AB"/>
    <w:rsid w:val="003B046D"/>
    <w:rsid w:val="003B0D01"/>
    <w:rsid w:val="003B2762"/>
    <w:rsid w:val="003B2EDF"/>
    <w:rsid w:val="003B3A19"/>
    <w:rsid w:val="003B6B8A"/>
    <w:rsid w:val="003B788A"/>
    <w:rsid w:val="003C2F1E"/>
    <w:rsid w:val="003C36A0"/>
    <w:rsid w:val="003C5812"/>
    <w:rsid w:val="003C6FA0"/>
    <w:rsid w:val="003D14F1"/>
    <w:rsid w:val="003D1737"/>
    <w:rsid w:val="003D1820"/>
    <w:rsid w:val="003D1EF2"/>
    <w:rsid w:val="003D2EAC"/>
    <w:rsid w:val="003D4070"/>
    <w:rsid w:val="003E0C7B"/>
    <w:rsid w:val="003E1876"/>
    <w:rsid w:val="003E590F"/>
    <w:rsid w:val="003E5AC1"/>
    <w:rsid w:val="003F291C"/>
    <w:rsid w:val="003F6725"/>
    <w:rsid w:val="003F7846"/>
    <w:rsid w:val="003F79D4"/>
    <w:rsid w:val="003F7CD2"/>
    <w:rsid w:val="00406179"/>
    <w:rsid w:val="004061A1"/>
    <w:rsid w:val="0041185A"/>
    <w:rsid w:val="00412CB4"/>
    <w:rsid w:val="00413567"/>
    <w:rsid w:val="00415351"/>
    <w:rsid w:val="00415AED"/>
    <w:rsid w:val="0042162D"/>
    <w:rsid w:val="00423F3A"/>
    <w:rsid w:val="00424022"/>
    <w:rsid w:val="00427503"/>
    <w:rsid w:val="00427CA4"/>
    <w:rsid w:val="004330ED"/>
    <w:rsid w:val="0043343D"/>
    <w:rsid w:val="00442907"/>
    <w:rsid w:val="00443C77"/>
    <w:rsid w:val="00451DC4"/>
    <w:rsid w:val="00456394"/>
    <w:rsid w:val="004611F7"/>
    <w:rsid w:val="00461888"/>
    <w:rsid w:val="00462094"/>
    <w:rsid w:val="00462677"/>
    <w:rsid w:val="00464892"/>
    <w:rsid w:val="004649F7"/>
    <w:rsid w:val="00465349"/>
    <w:rsid w:val="00465D04"/>
    <w:rsid w:val="00467A57"/>
    <w:rsid w:val="0047133F"/>
    <w:rsid w:val="00472EEF"/>
    <w:rsid w:val="004736E9"/>
    <w:rsid w:val="004740C1"/>
    <w:rsid w:val="00486A24"/>
    <w:rsid w:val="00492047"/>
    <w:rsid w:val="004957FC"/>
    <w:rsid w:val="00496FCC"/>
    <w:rsid w:val="004A0EBC"/>
    <w:rsid w:val="004A1148"/>
    <w:rsid w:val="004A1BE4"/>
    <w:rsid w:val="004A2F9D"/>
    <w:rsid w:val="004A461A"/>
    <w:rsid w:val="004A514D"/>
    <w:rsid w:val="004B3A33"/>
    <w:rsid w:val="004B3C99"/>
    <w:rsid w:val="004B3FA3"/>
    <w:rsid w:val="004B67DB"/>
    <w:rsid w:val="004B6A2E"/>
    <w:rsid w:val="004C2072"/>
    <w:rsid w:val="004C3990"/>
    <w:rsid w:val="004C406E"/>
    <w:rsid w:val="004C52D2"/>
    <w:rsid w:val="004C5771"/>
    <w:rsid w:val="004C7D37"/>
    <w:rsid w:val="004D21B4"/>
    <w:rsid w:val="004D31BA"/>
    <w:rsid w:val="004D529B"/>
    <w:rsid w:val="004D61A5"/>
    <w:rsid w:val="004D669C"/>
    <w:rsid w:val="004E19CD"/>
    <w:rsid w:val="004E2996"/>
    <w:rsid w:val="004E646F"/>
    <w:rsid w:val="004F1506"/>
    <w:rsid w:val="004F2CB5"/>
    <w:rsid w:val="004F3427"/>
    <w:rsid w:val="004F4AFD"/>
    <w:rsid w:val="004F5217"/>
    <w:rsid w:val="004F739D"/>
    <w:rsid w:val="004F7B93"/>
    <w:rsid w:val="005009F7"/>
    <w:rsid w:val="0050198A"/>
    <w:rsid w:val="0050510D"/>
    <w:rsid w:val="005055F5"/>
    <w:rsid w:val="00511EAB"/>
    <w:rsid w:val="005120FF"/>
    <w:rsid w:val="0051279A"/>
    <w:rsid w:val="00515AD2"/>
    <w:rsid w:val="005209E8"/>
    <w:rsid w:val="0052339C"/>
    <w:rsid w:val="00524140"/>
    <w:rsid w:val="00527564"/>
    <w:rsid w:val="00530936"/>
    <w:rsid w:val="00532F4A"/>
    <w:rsid w:val="00534C8E"/>
    <w:rsid w:val="00541A0D"/>
    <w:rsid w:val="0054536E"/>
    <w:rsid w:val="005458FE"/>
    <w:rsid w:val="00547C42"/>
    <w:rsid w:val="0055008B"/>
    <w:rsid w:val="005509E0"/>
    <w:rsid w:val="00551DAB"/>
    <w:rsid w:val="00551EAD"/>
    <w:rsid w:val="00551FE3"/>
    <w:rsid w:val="00552E8D"/>
    <w:rsid w:val="00556277"/>
    <w:rsid w:val="005562B1"/>
    <w:rsid w:val="00563344"/>
    <w:rsid w:val="005650E8"/>
    <w:rsid w:val="00566151"/>
    <w:rsid w:val="00566EAE"/>
    <w:rsid w:val="00571737"/>
    <w:rsid w:val="00571D85"/>
    <w:rsid w:val="0057203A"/>
    <w:rsid w:val="005742B8"/>
    <w:rsid w:val="00582390"/>
    <w:rsid w:val="00584811"/>
    <w:rsid w:val="005871B1"/>
    <w:rsid w:val="00590485"/>
    <w:rsid w:val="0059061F"/>
    <w:rsid w:val="00592BAB"/>
    <w:rsid w:val="00597FC3"/>
    <w:rsid w:val="005A0E15"/>
    <w:rsid w:val="005A0E90"/>
    <w:rsid w:val="005A35EC"/>
    <w:rsid w:val="005A3A5B"/>
    <w:rsid w:val="005A3ACE"/>
    <w:rsid w:val="005A447D"/>
    <w:rsid w:val="005A49B9"/>
    <w:rsid w:val="005B3147"/>
    <w:rsid w:val="005B3829"/>
    <w:rsid w:val="005B383B"/>
    <w:rsid w:val="005B41C8"/>
    <w:rsid w:val="005B596D"/>
    <w:rsid w:val="005B6A1C"/>
    <w:rsid w:val="005C010A"/>
    <w:rsid w:val="005C1413"/>
    <w:rsid w:val="005C159C"/>
    <w:rsid w:val="005C3A00"/>
    <w:rsid w:val="005C48E4"/>
    <w:rsid w:val="005C4A7E"/>
    <w:rsid w:val="005C5425"/>
    <w:rsid w:val="005C546C"/>
    <w:rsid w:val="005C6BB0"/>
    <w:rsid w:val="005D630B"/>
    <w:rsid w:val="005D6ED3"/>
    <w:rsid w:val="005E00A6"/>
    <w:rsid w:val="005F31B5"/>
    <w:rsid w:val="005F4508"/>
    <w:rsid w:val="00600350"/>
    <w:rsid w:val="00600A2B"/>
    <w:rsid w:val="00600A97"/>
    <w:rsid w:val="0060163D"/>
    <w:rsid w:val="00602003"/>
    <w:rsid w:val="00602F14"/>
    <w:rsid w:val="00603C52"/>
    <w:rsid w:val="0060417C"/>
    <w:rsid w:val="0060532D"/>
    <w:rsid w:val="00610A43"/>
    <w:rsid w:val="00613ECD"/>
    <w:rsid w:val="00614A90"/>
    <w:rsid w:val="00614E82"/>
    <w:rsid w:val="00620084"/>
    <w:rsid w:val="00620C13"/>
    <w:rsid w:val="00621E5A"/>
    <w:rsid w:val="006245A6"/>
    <w:rsid w:val="00624C23"/>
    <w:rsid w:val="00627A94"/>
    <w:rsid w:val="00631D24"/>
    <w:rsid w:val="00632E9D"/>
    <w:rsid w:val="00633793"/>
    <w:rsid w:val="0063565D"/>
    <w:rsid w:val="0063692F"/>
    <w:rsid w:val="006378E1"/>
    <w:rsid w:val="00637FC2"/>
    <w:rsid w:val="006416E5"/>
    <w:rsid w:val="00642C7C"/>
    <w:rsid w:val="00651F61"/>
    <w:rsid w:val="00653611"/>
    <w:rsid w:val="0065640E"/>
    <w:rsid w:val="00657D8A"/>
    <w:rsid w:val="00660F7C"/>
    <w:rsid w:val="00666E94"/>
    <w:rsid w:val="00670696"/>
    <w:rsid w:val="00673355"/>
    <w:rsid w:val="00673562"/>
    <w:rsid w:val="0067459B"/>
    <w:rsid w:val="006771ED"/>
    <w:rsid w:val="00677D5D"/>
    <w:rsid w:val="006810C2"/>
    <w:rsid w:val="00682E17"/>
    <w:rsid w:val="0068499F"/>
    <w:rsid w:val="006921D4"/>
    <w:rsid w:val="00697EE2"/>
    <w:rsid w:val="006A5139"/>
    <w:rsid w:val="006A606C"/>
    <w:rsid w:val="006B2A06"/>
    <w:rsid w:val="006B6C3B"/>
    <w:rsid w:val="006B6F01"/>
    <w:rsid w:val="006B7566"/>
    <w:rsid w:val="006B7F36"/>
    <w:rsid w:val="006C3958"/>
    <w:rsid w:val="006C6DE6"/>
    <w:rsid w:val="006D166D"/>
    <w:rsid w:val="006D51B0"/>
    <w:rsid w:val="006E6E42"/>
    <w:rsid w:val="006F20B1"/>
    <w:rsid w:val="006F3B16"/>
    <w:rsid w:val="006F4B35"/>
    <w:rsid w:val="006F4E25"/>
    <w:rsid w:val="006F6449"/>
    <w:rsid w:val="006F79EF"/>
    <w:rsid w:val="00700E8B"/>
    <w:rsid w:val="007010B9"/>
    <w:rsid w:val="00701469"/>
    <w:rsid w:val="007024F1"/>
    <w:rsid w:val="0070363C"/>
    <w:rsid w:val="00703AF8"/>
    <w:rsid w:val="00705F50"/>
    <w:rsid w:val="00710262"/>
    <w:rsid w:val="00710BE8"/>
    <w:rsid w:val="00714514"/>
    <w:rsid w:val="0071726F"/>
    <w:rsid w:val="0072484A"/>
    <w:rsid w:val="007249DB"/>
    <w:rsid w:val="00726738"/>
    <w:rsid w:val="0072722B"/>
    <w:rsid w:val="0073051F"/>
    <w:rsid w:val="007309AB"/>
    <w:rsid w:val="00734E7E"/>
    <w:rsid w:val="00735824"/>
    <w:rsid w:val="00735FDF"/>
    <w:rsid w:val="007402A6"/>
    <w:rsid w:val="007408E6"/>
    <w:rsid w:val="0074400D"/>
    <w:rsid w:val="00751D76"/>
    <w:rsid w:val="007546E6"/>
    <w:rsid w:val="00755B20"/>
    <w:rsid w:val="00756E49"/>
    <w:rsid w:val="007577C5"/>
    <w:rsid w:val="0075799A"/>
    <w:rsid w:val="00757EA2"/>
    <w:rsid w:val="00760E95"/>
    <w:rsid w:val="00761672"/>
    <w:rsid w:val="0076191D"/>
    <w:rsid w:val="00762723"/>
    <w:rsid w:val="00763CD5"/>
    <w:rsid w:val="0076452B"/>
    <w:rsid w:val="00764C4F"/>
    <w:rsid w:val="007652F3"/>
    <w:rsid w:val="00765DEC"/>
    <w:rsid w:val="00770B27"/>
    <w:rsid w:val="00771107"/>
    <w:rsid w:val="0077277E"/>
    <w:rsid w:val="00773F8C"/>
    <w:rsid w:val="0077709D"/>
    <w:rsid w:val="007779F0"/>
    <w:rsid w:val="007812B2"/>
    <w:rsid w:val="007846B7"/>
    <w:rsid w:val="00786F76"/>
    <w:rsid w:val="00791100"/>
    <w:rsid w:val="007947C2"/>
    <w:rsid w:val="007952B8"/>
    <w:rsid w:val="007957FB"/>
    <w:rsid w:val="0079583B"/>
    <w:rsid w:val="00796342"/>
    <w:rsid w:val="007971E9"/>
    <w:rsid w:val="007A04DC"/>
    <w:rsid w:val="007A0F41"/>
    <w:rsid w:val="007A1449"/>
    <w:rsid w:val="007A2E2F"/>
    <w:rsid w:val="007A3452"/>
    <w:rsid w:val="007A387F"/>
    <w:rsid w:val="007A55BC"/>
    <w:rsid w:val="007B2C23"/>
    <w:rsid w:val="007B349F"/>
    <w:rsid w:val="007B63D7"/>
    <w:rsid w:val="007C3F62"/>
    <w:rsid w:val="007C5465"/>
    <w:rsid w:val="007C5E4B"/>
    <w:rsid w:val="007C6702"/>
    <w:rsid w:val="007D29C8"/>
    <w:rsid w:val="007D2DE2"/>
    <w:rsid w:val="007D3DE1"/>
    <w:rsid w:val="007D466A"/>
    <w:rsid w:val="007E00D4"/>
    <w:rsid w:val="007E5325"/>
    <w:rsid w:val="007F4727"/>
    <w:rsid w:val="007F4BEA"/>
    <w:rsid w:val="007F7978"/>
    <w:rsid w:val="00804512"/>
    <w:rsid w:val="00804960"/>
    <w:rsid w:val="00804BE0"/>
    <w:rsid w:val="008054E8"/>
    <w:rsid w:val="00806FE5"/>
    <w:rsid w:val="00807283"/>
    <w:rsid w:val="00807495"/>
    <w:rsid w:val="00810970"/>
    <w:rsid w:val="008113ED"/>
    <w:rsid w:val="0081142D"/>
    <w:rsid w:val="00811AD9"/>
    <w:rsid w:val="00814070"/>
    <w:rsid w:val="0081781F"/>
    <w:rsid w:val="00817D66"/>
    <w:rsid w:val="00821760"/>
    <w:rsid w:val="008217FE"/>
    <w:rsid w:val="0082194A"/>
    <w:rsid w:val="0082643F"/>
    <w:rsid w:val="008267A9"/>
    <w:rsid w:val="008342E4"/>
    <w:rsid w:val="00836969"/>
    <w:rsid w:val="00840793"/>
    <w:rsid w:val="00840BC2"/>
    <w:rsid w:val="0084487E"/>
    <w:rsid w:val="0084647F"/>
    <w:rsid w:val="00846CF0"/>
    <w:rsid w:val="00847DD1"/>
    <w:rsid w:val="00847F94"/>
    <w:rsid w:val="00851C6C"/>
    <w:rsid w:val="0085405F"/>
    <w:rsid w:val="00855F65"/>
    <w:rsid w:val="008569EE"/>
    <w:rsid w:val="00857605"/>
    <w:rsid w:val="008629D1"/>
    <w:rsid w:val="008639FE"/>
    <w:rsid w:val="00866686"/>
    <w:rsid w:val="00866A63"/>
    <w:rsid w:val="008708C4"/>
    <w:rsid w:val="00871880"/>
    <w:rsid w:val="008737BF"/>
    <w:rsid w:val="008777DC"/>
    <w:rsid w:val="00880810"/>
    <w:rsid w:val="008837AA"/>
    <w:rsid w:val="00883ED8"/>
    <w:rsid w:val="00885201"/>
    <w:rsid w:val="0089060C"/>
    <w:rsid w:val="00890C5B"/>
    <w:rsid w:val="008913B4"/>
    <w:rsid w:val="0089336E"/>
    <w:rsid w:val="00893D1E"/>
    <w:rsid w:val="008942FC"/>
    <w:rsid w:val="00896F31"/>
    <w:rsid w:val="008A0359"/>
    <w:rsid w:val="008A2405"/>
    <w:rsid w:val="008A3887"/>
    <w:rsid w:val="008A653E"/>
    <w:rsid w:val="008A6845"/>
    <w:rsid w:val="008A7A0A"/>
    <w:rsid w:val="008B232B"/>
    <w:rsid w:val="008B3EB8"/>
    <w:rsid w:val="008B594A"/>
    <w:rsid w:val="008B720C"/>
    <w:rsid w:val="008B7F2D"/>
    <w:rsid w:val="008C01F2"/>
    <w:rsid w:val="008C24BD"/>
    <w:rsid w:val="008C56DF"/>
    <w:rsid w:val="008C7356"/>
    <w:rsid w:val="008C7E4B"/>
    <w:rsid w:val="008D5343"/>
    <w:rsid w:val="008D6530"/>
    <w:rsid w:val="008D7140"/>
    <w:rsid w:val="008D74EE"/>
    <w:rsid w:val="008E2C49"/>
    <w:rsid w:val="008E3FED"/>
    <w:rsid w:val="008E4B3D"/>
    <w:rsid w:val="008E655B"/>
    <w:rsid w:val="008E7BCC"/>
    <w:rsid w:val="008F345D"/>
    <w:rsid w:val="008F4957"/>
    <w:rsid w:val="009001F4"/>
    <w:rsid w:val="009004A3"/>
    <w:rsid w:val="00901DED"/>
    <w:rsid w:val="00903EBF"/>
    <w:rsid w:val="00903F53"/>
    <w:rsid w:val="00905A24"/>
    <w:rsid w:val="00906998"/>
    <w:rsid w:val="00913185"/>
    <w:rsid w:val="00920408"/>
    <w:rsid w:val="00923804"/>
    <w:rsid w:val="009242AA"/>
    <w:rsid w:val="00925B3F"/>
    <w:rsid w:val="00927EE1"/>
    <w:rsid w:val="00932888"/>
    <w:rsid w:val="00932A9D"/>
    <w:rsid w:val="00934159"/>
    <w:rsid w:val="009367BA"/>
    <w:rsid w:val="00936C36"/>
    <w:rsid w:val="00945BEB"/>
    <w:rsid w:val="00946F6D"/>
    <w:rsid w:val="00947C07"/>
    <w:rsid w:val="00952980"/>
    <w:rsid w:val="00953327"/>
    <w:rsid w:val="009631D4"/>
    <w:rsid w:val="009713CE"/>
    <w:rsid w:val="00974401"/>
    <w:rsid w:val="00974A84"/>
    <w:rsid w:val="00981FB5"/>
    <w:rsid w:val="009825B3"/>
    <w:rsid w:val="00986C45"/>
    <w:rsid w:val="009874AE"/>
    <w:rsid w:val="0099067D"/>
    <w:rsid w:val="00991D41"/>
    <w:rsid w:val="00994BB8"/>
    <w:rsid w:val="009A14D8"/>
    <w:rsid w:val="009A1FD6"/>
    <w:rsid w:val="009A6C38"/>
    <w:rsid w:val="009B0179"/>
    <w:rsid w:val="009B0CAB"/>
    <w:rsid w:val="009B3950"/>
    <w:rsid w:val="009B408D"/>
    <w:rsid w:val="009B4CAC"/>
    <w:rsid w:val="009B6294"/>
    <w:rsid w:val="009C2DB8"/>
    <w:rsid w:val="009C4140"/>
    <w:rsid w:val="009C7D7E"/>
    <w:rsid w:val="009D3E9D"/>
    <w:rsid w:val="009D7C56"/>
    <w:rsid w:val="009E1A07"/>
    <w:rsid w:val="009E6B13"/>
    <w:rsid w:val="009E6F2D"/>
    <w:rsid w:val="009F0900"/>
    <w:rsid w:val="009F4505"/>
    <w:rsid w:val="009F48BA"/>
    <w:rsid w:val="009F49E7"/>
    <w:rsid w:val="009F6B64"/>
    <w:rsid w:val="00A05BCC"/>
    <w:rsid w:val="00A0675A"/>
    <w:rsid w:val="00A14D94"/>
    <w:rsid w:val="00A176FA"/>
    <w:rsid w:val="00A200EC"/>
    <w:rsid w:val="00A201D2"/>
    <w:rsid w:val="00A21F88"/>
    <w:rsid w:val="00A24F51"/>
    <w:rsid w:val="00A264A4"/>
    <w:rsid w:val="00A26E4D"/>
    <w:rsid w:val="00A27EB0"/>
    <w:rsid w:val="00A339AA"/>
    <w:rsid w:val="00A34DD3"/>
    <w:rsid w:val="00A35C1F"/>
    <w:rsid w:val="00A373C5"/>
    <w:rsid w:val="00A422C8"/>
    <w:rsid w:val="00A4562B"/>
    <w:rsid w:val="00A4585B"/>
    <w:rsid w:val="00A4619B"/>
    <w:rsid w:val="00A5298F"/>
    <w:rsid w:val="00A63CF4"/>
    <w:rsid w:val="00A72B47"/>
    <w:rsid w:val="00A7300A"/>
    <w:rsid w:val="00A751AC"/>
    <w:rsid w:val="00A76043"/>
    <w:rsid w:val="00A77451"/>
    <w:rsid w:val="00A82436"/>
    <w:rsid w:val="00A91B24"/>
    <w:rsid w:val="00A931F0"/>
    <w:rsid w:val="00A9494E"/>
    <w:rsid w:val="00A9659A"/>
    <w:rsid w:val="00A97688"/>
    <w:rsid w:val="00AA2AD2"/>
    <w:rsid w:val="00AA2BBF"/>
    <w:rsid w:val="00AA3452"/>
    <w:rsid w:val="00AA3F57"/>
    <w:rsid w:val="00AA52A4"/>
    <w:rsid w:val="00AA555F"/>
    <w:rsid w:val="00AA56C2"/>
    <w:rsid w:val="00AB1ECE"/>
    <w:rsid w:val="00AB2B58"/>
    <w:rsid w:val="00AB404C"/>
    <w:rsid w:val="00AC1C2E"/>
    <w:rsid w:val="00AC33BC"/>
    <w:rsid w:val="00AC7046"/>
    <w:rsid w:val="00AD0081"/>
    <w:rsid w:val="00AD17D1"/>
    <w:rsid w:val="00AD3670"/>
    <w:rsid w:val="00AD3DC1"/>
    <w:rsid w:val="00AD518C"/>
    <w:rsid w:val="00AD7B94"/>
    <w:rsid w:val="00AE092A"/>
    <w:rsid w:val="00AE17B2"/>
    <w:rsid w:val="00AE2225"/>
    <w:rsid w:val="00AE23BA"/>
    <w:rsid w:val="00AF1044"/>
    <w:rsid w:val="00AF2C39"/>
    <w:rsid w:val="00AF3A1B"/>
    <w:rsid w:val="00B00441"/>
    <w:rsid w:val="00B01955"/>
    <w:rsid w:val="00B01E4B"/>
    <w:rsid w:val="00B05C45"/>
    <w:rsid w:val="00B06AD2"/>
    <w:rsid w:val="00B07425"/>
    <w:rsid w:val="00B11047"/>
    <w:rsid w:val="00B15B83"/>
    <w:rsid w:val="00B21E16"/>
    <w:rsid w:val="00B31505"/>
    <w:rsid w:val="00B31CA6"/>
    <w:rsid w:val="00B32687"/>
    <w:rsid w:val="00B32D99"/>
    <w:rsid w:val="00B341B7"/>
    <w:rsid w:val="00B368EB"/>
    <w:rsid w:val="00B43047"/>
    <w:rsid w:val="00B445B2"/>
    <w:rsid w:val="00B44A89"/>
    <w:rsid w:val="00B44E32"/>
    <w:rsid w:val="00B45010"/>
    <w:rsid w:val="00B45BD9"/>
    <w:rsid w:val="00B46FB5"/>
    <w:rsid w:val="00B53F17"/>
    <w:rsid w:val="00B5498C"/>
    <w:rsid w:val="00B62E55"/>
    <w:rsid w:val="00B634C7"/>
    <w:rsid w:val="00B646C3"/>
    <w:rsid w:val="00B66AEB"/>
    <w:rsid w:val="00B70686"/>
    <w:rsid w:val="00B71793"/>
    <w:rsid w:val="00B73A37"/>
    <w:rsid w:val="00B75252"/>
    <w:rsid w:val="00B75620"/>
    <w:rsid w:val="00B75EDC"/>
    <w:rsid w:val="00B76F42"/>
    <w:rsid w:val="00B8121A"/>
    <w:rsid w:val="00B82CEE"/>
    <w:rsid w:val="00B8625E"/>
    <w:rsid w:val="00B86758"/>
    <w:rsid w:val="00B86CBB"/>
    <w:rsid w:val="00B870C6"/>
    <w:rsid w:val="00B9205C"/>
    <w:rsid w:val="00B942F2"/>
    <w:rsid w:val="00B95D05"/>
    <w:rsid w:val="00B9690B"/>
    <w:rsid w:val="00BA1BEE"/>
    <w:rsid w:val="00BA3EFE"/>
    <w:rsid w:val="00BA4965"/>
    <w:rsid w:val="00BA4E89"/>
    <w:rsid w:val="00BA52E5"/>
    <w:rsid w:val="00BA5BE2"/>
    <w:rsid w:val="00BA6E6E"/>
    <w:rsid w:val="00BB00F5"/>
    <w:rsid w:val="00BB0A9A"/>
    <w:rsid w:val="00BB2DA3"/>
    <w:rsid w:val="00BB41A4"/>
    <w:rsid w:val="00BB68EC"/>
    <w:rsid w:val="00BC035C"/>
    <w:rsid w:val="00BC17CE"/>
    <w:rsid w:val="00BC1C1A"/>
    <w:rsid w:val="00BC68A1"/>
    <w:rsid w:val="00BD0449"/>
    <w:rsid w:val="00BD0CAD"/>
    <w:rsid w:val="00BD42DB"/>
    <w:rsid w:val="00BD4848"/>
    <w:rsid w:val="00BD5970"/>
    <w:rsid w:val="00BD6667"/>
    <w:rsid w:val="00BE1862"/>
    <w:rsid w:val="00BE22AD"/>
    <w:rsid w:val="00BE3544"/>
    <w:rsid w:val="00BE3FAC"/>
    <w:rsid w:val="00BE51FC"/>
    <w:rsid w:val="00BE7D4E"/>
    <w:rsid w:val="00BF1160"/>
    <w:rsid w:val="00BF1C01"/>
    <w:rsid w:val="00BF46C8"/>
    <w:rsid w:val="00BF4E33"/>
    <w:rsid w:val="00BF6059"/>
    <w:rsid w:val="00C04E4A"/>
    <w:rsid w:val="00C109FB"/>
    <w:rsid w:val="00C10ABA"/>
    <w:rsid w:val="00C11C25"/>
    <w:rsid w:val="00C11CBB"/>
    <w:rsid w:val="00C150D2"/>
    <w:rsid w:val="00C17C3F"/>
    <w:rsid w:val="00C20417"/>
    <w:rsid w:val="00C22E90"/>
    <w:rsid w:val="00C23962"/>
    <w:rsid w:val="00C23D08"/>
    <w:rsid w:val="00C245D5"/>
    <w:rsid w:val="00C266DA"/>
    <w:rsid w:val="00C3019B"/>
    <w:rsid w:val="00C32857"/>
    <w:rsid w:val="00C33E5A"/>
    <w:rsid w:val="00C3499C"/>
    <w:rsid w:val="00C34D3F"/>
    <w:rsid w:val="00C443DC"/>
    <w:rsid w:val="00C45C73"/>
    <w:rsid w:val="00C46EDA"/>
    <w:rsid w:val="00C52348"/>
    <w:rsid w:val="00C533C8"/>
    <w:rsid w:val="00C56DDD"/>
    <w:rsid w:val="00C625F6"/>
    <w:rsid w:val="00C67CC9"/>
    <w:rsid w:val="00C7174C"/>
    <w:rsid w:val="00C737B2"/>
    <w:rsid w:val="00C74963"/>
    <w:rsid w:val="00C76112"/>
    <w:rsid w:val="00C76517"/>
    <w:rsid w:val="00C806D5"/>
    <w:rsid w:val="00C83B70"/>
    <w:rsid w:val="00C85C8C"/>
    <w:rsid w:val="00C87EE3"/>
    <w:rsid w:val="00C96C7B"/>
    <w:rsid w:val="00C976DB"/>
    <w:rsid w:val="00CA051E"/>
    <w:rsid w:val="00CA39EB"/>
    <w:rsid w:val="00CB029E"/>
    <w:rsid w:val="00CB1481"/>
    <w:rsid w:val="00CB212F"/>
    <w:rsid w:val="00CB2757"/>
    <w:rsid w:val="00CB2BBD"/>
    <w:rsid w:val="00CB2E0D"/>
    <w:rsid w:val="00CB4236"/>
    <w:rsid w:val="00CB66EC"/>
    <w:rsid w:val="00CB70D8"/>
    <w:rsid w:val="00CC45B5"/>
    <w:rsid w:val="00CC46B6"/>
    <w:rsid w:val="00CD146E"/>
    <w:rsid w:val="00CD2DA2"/>
    <w:rsid w:val="00CD7BED"/>
    <w:rsid w:val="00CE04EE"/>
    <w:rsid w:val="00CE0EED"/>
    <w:rsid w:val="00CE0F9F"/>
    <w:rsid w:val="00CE20FD"/>
    <w:rsid w:val="00CE3B6A"/>
    <w:rsid w:val="00CE3DED"/>
    <w:rsid w:val="00CE41E5"/>
    <w:rsid w:val="00CE54F9"/>
    <w:rsid w:val="00CE5D23"/>
    <w:rsid w:val="00CE65E7"/>
    <w:rsid w:val="00CE7123"/>
    <w:rsid w:val="00CE77A7"/>
    <w:rsid w:val="00CF0C6E"/>
    <w:rsid w:val="00CF1548"/>
    <w:rsid w:val="00CF3A88"/>
    <w:rsid w:val="00CF5417"/>
    <w:rsid w:val="00CF57C5"/>
    <w:rsid w:val="00CF6F77"/>
    <w:rsid w:val="00D02379"/>
    <w:rsid w:val="00D02B7C"/>
    <w:rsid w:val="00D04EE4"/>
    <w:rsid w:val="00D06F40"/>
    <w:rsid w:val="00D1064D"/>
    <w:rsid w:val="00D10FD4"/>
    <w:rsid w:val="00D12D90"/>
    <w:rsid w:val="00D215A9"/>
    <w:rsid w:val="00D24E16"/>
    <w:rsid w:val="00D2625D"/>
    <w:rsid w:val="00D27E84"/>
    <w:rsid w:val="00D33117"/>
    <w:rsid w:val="00D33208"/>
    <w:rsid w:val="00D3473A"/>
    <w:rsid w:val="00D350D4"/>
    <w:rsid w:val="00D365BD"/>
    <w:rsid w:val="00D36BC6"/>
    <w:rsid w:val="00D37F54"/>
    <w:rsid w:val="00D41437"/>
    <w:rsid w:val="00D41B29"/>
    <w:rsid w:val="00D42A53"/>
    <w:rsid w:val="00D430EE"/>
    <w:rsid w:val="00D43749"/>
    <w:rsid w:val="00D44225"/>
    <w:rsid w:val="00D44303"/>
    <w:rsid w:val="00D466D4"/>
    <w:rsid w:val="00D50857"/>
    <w:rsid w:val="00D53116"/>
    <w:rsid w:val="00D57D3D"/>
    <w:rsid w:val="00D616CA"/>
    <w:rsid w:val="00D70046"/>
    <w:rsid w:val="00D71D1F"/>
    <w:rsid w:val="00D738AE"/>
    <w:rsid w:val="00D73984"/>
    <w:rsid w:val="00D74617"/>
    <w:rsid w:val="00D77837"/>
    <w:rsid w:val="00D8248D"/>
    <w:rsid w:val="00D83729"/>
    <w:rsid w:val="00D85311"/>
    <w:rsid w:val="00D8578C"/>
    <w:rsid w:val="00D85A2D"/>
    <w:rsid w:val="00D866F8"/>
    <w:rsid w:val="00D86A39"/>
    <w:rsid w:val="00D87222"/>
    <w:rsid w:val="00D87919"/>
    <w:rsid w:val="00D87CAB"/>
    <w:rsid w:val="00D90694"/>
    <w:rsid w:val="00D94946"/>
    <w:rsid w:val="00D95679"/>
    <w:rsid w:val="00DA0A83"/>
    <w:rsid w:val="00DA32FB"/>
    <w:rsid w:val="00DA4EE9"/>
    <w:rsid w:val="00DA6AD6"/>
    <w:rsid w:val="00DB01D9"/>
    <w:rsid w:val="00DB3ADD"/>
    <w:rsid w:val="00DB4B30"/>
    <w:rsid w:val="00DB4BBA"/>
    <w:rsid w:val="00DB5824"/>
    <w:rsid w:val="00DB7948"/>
    <w:rsid w:val="00DC0E3D"/>
    <w:rsid w:val="00DC280E"/>
    <w:rsid w:val="00DC2CD7"/>
    <w:rsid w:val="00DC5217"/>
    <w:rsid w:val="00DC52C9"/>
    <w:rsid w:val="00DD640E"/>
    <w:rsid w:val="00DD6EF7"/>
    <w:rsid w:val="00DD7130"/>
    <w:rsid w:val="00DE0732"/>
    <w:rsid w:val="00DE0FD2"/>
    <w:rsid w:val="00DE3A8B"/>
    <w:rsid w:val="00DE43A9"/>
    <w:rsid w:val="00DE4973"/>
    <w:rsid w:val="00DE6B00"/>
    <w:rsid w:val="00DE760C"/>
    <w:rsid w:val="00DF0433"/>
    <w:rsid w:val="00DF2E27"/>
    <w:rsid w:val="00DF59EF"/>
    <w:rsid w:val="00E00A27"/>
    <w:rsid w:val="00E01771"/>
    <w:rsid w:val="00E03589"/>
    <w:rsid w:val="00E060D5"/>
    <w:rsid w:val="00E07AF7"/>
    <w:rsid w:val="00E13B92"/>
    <w:rsid w:val="00E13F2A"/>
    <w:rsid w:val="00E149B6"/>
    <w:rsid w:val="00E15C90"/>
    <w:rsid w:val="00E16F60"/>
    <w:rsid w:val="00E20A92"/>
    <w:rsid w:val="00E22A42"/>
    <w:rsid w:val="00E2508E"/>
    <w:rsid w:val="00E302A5"/>
    <w:rsid w:val="00E30BB6"/>
    <w:rsid w:val="00E31BF8"/>
    <w:rsid w:val="00E31E16"/>
    <w:rsid w:val="00E322AB"/>
    <w:rsid w:val="00E33F49"/>
    <w:rsid w:val="00E40AD7"/>
    <w:rsid w:val="00E41485"/>
    <w:rsid w:val="00E431E8"/>
    <w:rsid w:val="00E43522"/>
    <w:rsid w:val="00E439A4"/>
    <w:rsid w:val="00E45994"/>
    <w:rsid w:val="00E45BC8"/>
    <w:rsid w:val="00E509BE"/>
    <w:rsid w:val="00E5304B"/>
    <w:rsid w:val="00E534B8"/>
    <w:rsid w:val="00E54222"/>
    <w:rsid w:val="00E54DBF"/>
    <w:rsid w:val="00E56961"/>
    <w:rsid w:val="00E61DE9"/>
    <w:rsid w:val="00E61F44"/>
    <w:rsid w:val="00E6474D"/>
    <w:rsid w:val="00E64849"/>
    <w:rsid w:val="00E65164"/>
    <w:rsid w:val="00E7375E"/>
    <w:rsid w:val="00E74F31"/>
    <w:rsid w:val="00E75BAB"/>
    <w:rsid w:val="00E76932"/>
    <w:rsid w:val="00E80E98"/>
    <w:rsid w:val="00E81481"/>
    <w:rsid w:val="00E841CC"/>
    <w:rsid w:val="00E84C6D"/>
    <w:rsid w:val="00E85818"/>
    <w:rsid w:val="00E87382"/>
    <w:rsid w:val="00E91F90"/>
    <w:rsid w:val="00E93A69"/>
    <w:rsid w:val="00E947D1"/>
    <w:rsid w:val="00E9487D"/>
    <w:rsid w:val="00E95DC9"/>
    <w:rsid w:val="00E97749"/>
    <w:rsid w:val="00EA146F"/>
    <w:rsid w:val="00EA44E2"/>
    <w:rsid w:val="00EA70B0"/>
    <w:rsid w:val="00EA746E"/>
    <w:rsid w:val="00EB04A5"/>
    <w:rsid w:val="00EB2F4E"/>
    <w:rsid w:val="00EB4037"/>
    <w:rsid w:val="00EB4719"/>
    <w:rsid w:val="00EB48C7"/>
    <w:rsid w:val="00EB72A9"/>
    <w:rsid w:val="00EB735B"/>
    <w:rsid w:val="00EC2870"/>
    <w:rsid w:val="00EC3675"/>
    <w:rsid w:val="00EC5379"/>
    <w:rsid w:val="00EC6DC0"/>
    <w:rsid w:val="00ED0F20"/>
    <w:rsid w:val="00ED17BA"/>
    <w:rsid w:val="00ED3939"/>
    <w:rsid w:val="00ED6A77"/>
    <w:rsid w:val="00EE05BF"/>
    <w:rsid w:val="00EE05DA"/>
    <w:rsid w:val="00EE1D8A"/>
    <w:rsid w:val="00EE62A5"/>
    <w:rsid w:val="00EE680A"/>
    <w:rsid w:val="00EE73E1"/>
    <w:rsid w:val="00EF15FE"/>
    <w:rsid w:val="00EF2229"/>
    <w:rsid w:val="00EF27F2"/>
    <w:rsid w:val="00EF4DC9"/>
    <w:rsid w:val="00F001F7"/>
    <w:rsid w:val="00F00E57"/>
    <w:rsid w:val="00F02743"/>
    <w:rsid w:val="00F062B4"/>
    <w:rsid w:val="00F10548"/>
    <w:rsid w:val="00F11F33"/>
    <w:rsid w:val="00F201C4"/>
    <w:rsid w:val="00F211F6"/>
    <w:rsid w:val="00F23D00"/>
    <w:rsid w:val="00F261A4"/>
    <w:rsid w:val="00F263B1"/>
    <w:rsid w:val="00F31668"/>
    <w:rsid w:val="00F34C4D"/>
    <w:rsid w:val="00F35678"/>
    <w:rsid w:val="00F35DAA"/>
    <w:rsid w:val="00F35F54"/>
    <w:rsid w:val="00F370ED"/>
    <w:rsid w:val="00F37A9E"/>
    <w:rsid w:val="00F37E1F"/>
    <w:rsid w:val="00F42EDE"/>
    <w:rsid w:val="00F44A1E"/>
    <w:rsid w:val="00F468F1"/>
    <w:rsid w:val="00F51BD1"/>
    <w:rsid w:val="00F55FCB"/>
    <w:rsid w:val="00F5772B"/>
    <w:rsid w:val="00F57DEB"/>
    <w:rsid w:val="00F65440"/>
    <w:rsid w:val="00F73678"/>
    <w:rsid w:val="00F738AD"/>
    <w:rsid w:val="00F74E70"/>
    <w:rsid w:val="00F752CB"/>
    <w:rsid w:val="00F754AE"/>
    <w:rsid w:val="00F75685"/>
    <w:rsid w:val="00F76C1C"/>
    <w:rsid w:val="00F80BA6"/>
    <w:rsid w:val="00F81D91"/>
    <w:rsid w:val="00F84A45"/>
    <w:rsid w:val="00F87691"/>
    <w:rsid w:val="00F90D5F"/>
    <w:rsid w:val="00F97FE5"/>
    <w:rsid w:val="00FA1EA9"/>
    <w:rsid w:val="00FA2EEA"/>
    <w:rsid w:val="00FA762C"/>
    <w:rsid w:val="00FB2269"/>
    <w:rsid w:val="00FB5655"/>
    <w:rsid w:val="00FC006E"/>
    <w:rsid w:val="00FC0416"/>
    <w:rsid w:val="00FC10AF"/>
    <w:rsid w:val="00FC40E6"/>
    <w:rsid w:val="00FC45CC"/>
    <w:rsid w:val="00FC4F67"/>
    <w:rsid w:val="00FC6FDE"/>
    <w:rsid w:val="00FD3493"/>
    <w:rsid w:val="00FD70AC"/>
    <w:rsid w:val="00FD7CFA"/>
    <w:rsid w:val="00FE3ECF"/>
    <w:rsid w:val="00FE45BE"/>
    <w:rsid w:val="00FE56AF"/>
    <w:rsid w:val="00FF0260"/>
    <w:rsid w:val="00FF0A98"/>
    <w:rsid w:val="00FF43AA"/>
    <w:rsid w:val="00FF631A"/>
    <w:rsid w:val="00FF7A9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5307B8B5"/>
  <w15:chartTrackingRefBased/>
  <w15:docId w15:val="{AFF2CBB4-2FA4-4682-AE24-23D963D44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iPriority="0"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7495"/>
    <w:rPr>
      <w:color w:val="000000" w:themeColor="text1"/>
    </w:rPr>
  </w:style>
  <w:style w:type="paragraph" w:styleId="Heading1">
    <w:name w:val="heading 1"/>
    <w:basedOn w:val="Normal"/>
    <w:next w:val="BodyText"/>
    <w:link w:val="Heading1Char"/>
    <w:uiPriority w:val="9"/>
    <w:qFormat/>
    <w:rsid w:val="00E13F2A"/>
    <w:pPr>
      <w:keepNext/>
      <w:keepLines/>
      <w:pageBreakBefore/>
      <w:numPr>
        <w:numId w:val="2"/>
      </w:numPr>
      <w:pBdr>
        <w:bottom w:val="single" w:sz="4" w:space="1" w:color="auto"/>
      </w:pBdr>
      <w:spacing w:before="240" w:after="240" w:line="240" w:lineRule="auto"/>
      <w:outlineLvl w:val="0"/>
    </w:pPr>
    <w:rPr>
      <w:rFonts w:ascii="Arial Bold" w:eastAsiaTheme="majorEastAsia" w:hAnsi="Arial Bold" w:cstheme="majorBidi"/>
      <w:b/>
      <w:color w:val="002060"/>
      <w:sz w:val="44"/>
      <w:szCs w:val="32"/>
    </w:rPr>
  </w:style>
  <w:style w:type="paragraph" w:styleId="Heading2">
    <w:name w:val="heading 2"/>
    <w:basedOn w:val="Normal"/>
    <w:next w:val="BodyText"/>
    <w:link w:val="Heading2Char"/>
    <w:uiPriority w:val="9"/>
    <w:unhideWhenUsed/>
    <w:qFormat/>
    <w:rsid w:val="00E13F2A"/>
    <w:pPr>
      <w:keepNext/>
      <w:keepLines/>
      <w:numPr>
        <w:ilvl w:val="1"/>
        <w:numId w:val="2"/>
      </w:numPr>
      <w:spacing w:before="240" w:after="240" w:line="240" w:lineRule="auto"/>
      <w:outlineLvl w:val="1"/>
    </w:pPr>
    <w:rPr>
      <w:rFonts w:ascii="Arial Bold" w:eastAsiaTheme="majorEastAsia" w:hAnsi="Arial Bold" w:cstheme="majorBidi"/>
      <w:b/>
      <w:color w:val="0063A6"/>
      <w:sz w:val="26"/>
      <w:szCs w:val="26"/>
    </w:rPr>
  </w:style>
  <w:style w:type="paragraph" w:styleId="Heading3">
    <w:name w:val="heading 3"/>
    <w:basedOn w:val="Normal"/>
    <w:next w:val="BodyText"/>
    <w:link w:val="Heading3Char"/>
    <w:uiPriority w:val="9"/>
    <w:unhideWhenUsed/>
    <w:qFormat/>
    <w:rsid w:val="007D466A"/>
    <w:pPr>
      <w:keepNext/>
      <w:keepLines/>
      <w:numPr>
        <w:ilvl w:val="2"/>
        <w:numId w:val="2"/>
      </w:numPr>
      <w:spacing w:before="240" w:after="120" w:line="240" w:lineRule="auto"/>
      <w:outlineLvl w:val="2"/>
    </w:pPr>
    <w:rPr>
      <w:rFonts w:eastAsiaTheme="majorEastAsia" w:cstheme="majorBidi"/>
      <w:i/>
      <w:color w:val="0063A6"/>
      <w:sz w:val="24"/>
      <w:szCs w:val="24"/>
    </w:rPr>
  </w:style>
  <w:style w:type="paragraph" w:styleId="Heading4">
    <w:name w:val="heading 4"/>
    <w:basedOn w:val="Normal"/>
    <w:next w:val="BodyText"/>
    <w:link w:val="Heading4Char"/>
    <w:uiPriority w:val="9"/>
    <w:unhideWhenUsed/>
    <w:qFormat/>
    <w:rsid w:val="007D466A"/>
    <w:pPr>
      <w:keepNext/>
      <w:keepLines/>
      <w:numPr>
        <w:ilvl w:val="3"/>
        <w:numId w:val="2"/>
      </w:numPr>
      <w:spacing w:before="240" w:after="120" w:line="240" w:lineRule="auto"/>
      <w:outlineLvl w:val="3"/>
    </w:pPr>
    <w:rPr>
      <w:rFonts w:eastAsiaTheme="majorEastAsia" w:cstheme="majorBidi"/>
      <w:i/>
      <w:iCs/>
      <w:color w:val="0063A6"/>
    </w:rPr>
  </w:style>
  <w:style w:type="paragraph" w:styleId="Heading5">
    <w:name w:val="heading 5"/>
    <w:basedOn w:val="Normal"/>
    <w:next w:val="BodyText"/>
    <w:link w:val="Heading5Char"/>
    <w:uiPriority w:val="9"/>
    <w:unhideWhenUsed/>
    <w:qFormat/>
    <w:rsid w:val="007D466A"/>
    <w:pPr>
      <w:keepNext/>
      <w:keepLines/>
      <w:numPr>
        <w:ilvl w:val="4"/>
        <w:numId w:val="2"/>
      </w:numPr>
      <w:spacing w:before="240" w:after="120" w:line="240" w:lineRule="auto"/>
      <w:outlineLvl w:val="4"/>
    </w:pPr>
    <w:rPr>
      <w:rFonts w:eastAsiaTheme="majorEastAsia" w:cstheme="majorBidi"/>
      <w:i/>
      <w:color w:val="0063A6"/>
    </w:rPr>
  </w:style>
  <w:style w:type="paragraph" w:styleId="Heading6">
    <w:name w:val="heading 6"/>
    <w:basedOn w:val="Normal"/>
    <w:next w:val="BodyText"/>
    <w:link w:val="Heading6Char"/>
    <w:uiPriority w:val="9"/>
    <w:unhideWhenUsed/>
    <w:qFormat/>
    <w:rsid w:val="00B53F17"/>
    <w:pPr>
      <w:keepNext/>
      <w:spacing w:before="240" w:after="120" w:line="240" w:lineRule="auto"/>
      <w:outlineLvl w:val="5"/>
    </w:pPr>
    <w:rPr>
      <w:rFonts w:ascii="Arial" w:hAnsi="Arial"/>
      <w:b/>
      <w:color w:val="auto"/>
    </w:rPr>
  </w:style>
  <w:style w:type="paragraph" w:styleId="Heading7">
    <w:name w:val="heading 7"/>
    <w:basedOn w:val="Normal"/>
    <w:next w:val="Normal"/>
    <w:link w:val="Heading7Char"/>
    <w:uiPriority w:val="9"/>
    <w:unhideWhenUsed/>
    <w:qFormat/>
    <w:rsid w:val="00CA051E"/>
    <w:pPr>
      <w:keepNext/>
      <w:spacing w:before="120" w:after="120" w:line="240" w:lineRule="auto"/>
      <w:outlineLvl w:val="6"/>
    </w:pPr>
    <w:rPr>
      <w:rFonts w:ascii="Arial" w:hAnsi="Arial"/>
      <w:color w:val="auto"/>
      <w:u w:val="single"/>
    </w:rPr>
  </w:style>
  <w:style w:type="paragraph" w:styleId="Heading8">
    <w:name w:val="heading 8"/>
    <w:basedOn w:val="Normal"/>
    <w:next w:val="Normal"/>
    <w:link w:val="Heading8Char"/>
    <w:uiPriority w:val="9"/>
    <w:unhideWhenUsed/>
    <w:qFormat/>
    <w:rsid w:val="00BD5970"/>
    <w:pPr>
      <w:spacing w:after="0" w:line="240" w:lineRule="auto"/>
      <w:outlineLvl w:val="7"/>
    </w:pPr>
    <w:rPr>
      <w:u w:val="single"/>
    </w:rPr>
  </w:style>
  <w:style w:type="paragraph" w:styleId="Heading9">
    <w:name w:val="heading 9"/>
    <w:basedOn w:val="Normal"/>
    <w:next w:val="Normal"/>
    <w:link w:val="Heading9Char"/>
    <w:uiPriority w:val="9"/>
    <w:semiHidden/>
    <w:unhideWhenUsed/>
    <w:qFormat/>
    <w:rsid w:val="00225A9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1,Body Text Char Char,Body Char Char,Body Char1,b,block,bt,Body text,body text,body,Body Text 1,NoticeText-List,t1,taten_body,Cargo,Letter Body,Memo Body,Body,by,b-heading 1/heading 2,bd,heading1body-heading2body,BD,b14,body1,Bod"/>
    <w:basedOn w:val="Normal"/>
    <w:link w:val="BodyTextChar"/>
    <w:uiPriority w:val="99"/>
    <w:unhideWhenUsed/>
    <w:qFormat/>
    <w:rsid w:val="0071726F"/>
    <w:rPr>
      <w:rFonts w:ascii="Arial" w:hAnsi="Arial"/>
    </w:rPr>
  </w:style>
  <w:style w:type="character" w:customStyle="1" w:styleId="BodyTextChar">
    <w:name w:val="Body Text Char"/>
    <w:aliases w:val="Body Text Char1 Char,Body Text Char Char Char,Body Char Char Char,Body Char1 Char,b Char,block Char,bt Char,Body text Char,body text Char,body Char,Body Text 1 Char,NoticeText-List Char,t1 Char,taten_body Char,Cargo Char,Letter Body Char"/>
    <w:basedOn w:val="DefaultParagraphFont"/>
    <w:link w:val="BodyText"/>
    <w:uiPriority w:val="99"/>
    <w:rsid w:val="0071726F"/>
    <w:rPr>
      <w:rFonts w:ascii="Arial" w:hAnsi="Arial"/>
      <w:color w:val="000000" w:themeColor="text1"/>
    </w:rPr>
  </w:style>
  <w:style w:type="character" w:customStyle="1" w:styleId="Heading2Char">
    <w:name w:val="Heading 2 Char"/>
    <w:basedOn w:val="DefaultParagraphFont"/>
    <w:link w:val="Heading2"/>
    <w:uiPriority w:val="9"/>
    <w:rsid w:val="00E13F2A"/>
    <w:rPr>
      <w:rFonts w:ascii="Arial Bold" w:eastAsiaTheme="majorEastAsia" w:hAnsi="Arial Bold" w:cstheme="majorBidi"/>
      <w:b/>
      <w:color w:val="0063A6"/>
      <w:sz w:val="26"/>
      <w:szCs w:val="26"/>
    </w:rPr>
  </w:style>
  <w:style w:type="character" w:customStyle="1" w:styleId="Heading1Char">
    <w:name w:val="Heading 1 Char"/>
    <w:basedOn w:val="DefaultParagraphFont"/>
    <w:link w:val="Heading1"/>
    <w:uiPriority w:val="9"/>
    <w:rsid w:val="00E13F2A"/>
    <w:rPr>
      <w:rFonts w:ascii="Arial Bold" w:eastAsiaTheme="majorEastAsia" w:hAnsi="Arial Bold" w:cstheme="majorBidi"/>
      <w:b/>
      <w:color w:val="002060"/>
      <w:sz w:val="44"/>
      <w:szCs w:val="32"/>
    </w:rPr>
  </w:style>
  <w:style w:type="character" w:customStyle="1" w:styleId="Heading3Char">
    <w:name w:val="Heading 3 Char"/>
    <w:basedOn w:val="DefaultParagraphFont"/>
    <w:link w:val="Heading3"/>
    <w:uiPriority w:val="9"/>
    <w:rsid w:val="007D466A"/>
    <w:rPr>
      <w:rFonts w:eastAsiaTheme="majorEastAsia" w:cstheme="majorBidi"/>
      <w:i/>
      <w:color w:val="0063A6"/>
      <w:sz w:val="24"/>
      <w:szCs w:val="24"/>
    </w:rPr>
  </w:style>
  <w:style w:type="paragraph" w:styleId="ListBullet">
    <w:name w:val="List Bullet"/>
    <w:basedOn w:val="Normal"/>
    <w:unhideWhenUsed/>
    <w:qFormat/>
    <w:rsid w:val="00320541"/>
    <w:pPr>
      <w:numPr>
        <w:numId w:val="1"/>
      </w:numPr>
      <w:spacing w:before="120" w:after="120" w:line="260" w:lineRule="atLeast"/>
      <w:contextualSpacing/>
    </w:pPr>
    <w:rPr>
      <w:rFonts w:ascii="Arial" w:hAnsi="Arial"/>
    </w:rPr>
  </w:style>
  <w:style w:type="paragraph" w:styleId="ListBullet2">
    <w:name w:val="List Bullet 2"/>
    <w:basedOn w:val="Normal"/>
    <w:unhideWhenUsed/>
    <w:qFormat/>
    <w:rsid w:val="006C3958"/>
    <w:pPr>
      <w:numPr>
        <w:numId w:val="4"/>
      </w:numPr>
      <w:tabs>
        <w:tab w:val="left" w:pos="680"/>
      </w:tabs>
      <w:spacing w:before="120" w:after="120" w:line="260" w:lineRule="atLeast"/>
      <w:contextualSpacing/>
    </w:pPr>
    <w:rPr>
      <w:rFonts w:ascii="Arial" w:hAnsi="Arial"/>
    </w:rPr>
  </w:style>
  <w:style w:type="paragraph" w:styleId="Quote">
    <w:name w:val="Quote"/>
    <w:basedOn w:val="Normal"/>
    <w:next w:val="BodyText"/>
    <w:link w:val="QuoteChar"/>
    <w:uiPriority w:val="29"/>
    <w:qFormat/>
    <w:rsid w:val="00BD5970"/>
    <w:pPr>
      <w:spacing w:before="240"/>
      <w:jc w:val="center"/>
    </w:pPr>
    <w:rPr>
      <w:i/>
    </w:rPr>
  </w:style>
  <w:style w:type="character" w:customStyle="1" w:styleId="QuoteChar">
    <w:name w:val="Quote Char"/>
    <w:basedOn w:val="DefaultParagraphFont"/>
    <w:link w:val="Quote"/>
    <w:uiPriority w:val="29"/>
    <w:rsid w:val="00BD5970"/>
    <w:rPr>
      <w:rFonts w:ascii="Arial" w:hAnsi="Arial"/>
      <w:i/>
      <w:sz w:val="20"/>
    </w:rPr>
  </w:style>
  <w:style w:type="paragraph" w:customStyle="1" w:styleId="Source">
    <w:name w:val="Source"/>
    <w:basedOn w:val="BodyText"/>
    <w:next w:val="BodyText"/>
    <w:qFormat/>
    <w:rsid w:val="00225A9A"/>
    <w:rPr>
      <w:i/>
    </w:rPr>
  </w:style>
  <w:style w:type="paragraph" w:styleId="Caption">
    <w:name w:val="caption"/>
    <w:basedOn w:val="Normal"/>
    <w:next w:val="Normal"/>
    <w:uiPriority w:val="35"/>
    <w:unhideWhenUsed/>
    <w:qFormat/>
    <w:rsid w:val="007D466A"/>
    <w:pPr>
      <w:keepNext/>
      <w:spacing w:before="120" w:after="120" w:line="240" w:lineRule="auto"/>
    </w:pPr>
    <w:rPr>
      <w:i/>
      <w:iCs/>
      <w:szCs w:val="18"/>
    </w:rPr>
  </w:style>
  <w:style w:type="character" w:customStyle="1" w:styleId="Heading5Char">
    <w:name w:val="Heading 5 Char"/>
    <w:basedOn w:val="DefaultParagraphFont"/>
    <w:link w:val="Heading5"/>
    <w:uiPriority w:val="9"/>
    <w:rsid w:val="007D466A"/>
    <w:rPr>
      <w:rFonts w:eastAsiaTheme="majorEastAsia" w:cstheme="majorBidi"/>
      <w:i/>
      <w:color w:val="0063A6"/>
    </w:rPr>
  </w:style>
  <w:style w:type="character" w:customStyle="1" w:styleId="Heading4Char">
    <w:name w:val="Heading 4 Char"/>
    <w:basedOn w:val="DefaultParagraphFont"/>
    <w:link w:val="Heading4"/>
    <w:uiPriority w:val="9"/>
    <w:rsid w:val="007D466A"/>
    <w:rPr>
      <w:rFonts w:eastAsiaTheme="majorEastAsia" w:cstheme="majorBidi"/>
      <w:i/>
      <w:iCs/>
      <w:color w:val="0063A6"/>
    </w:rPr>
  </w:style>
  <w:style w:type="character" w:customStyle="1" w:styleId="Heading6Char">
    <w:name w:val="Heading 6 Char"/>
    <w:basedOn w:val="DefaultParagraphFont"/>
    <w:link w:val="Heading6"/>
    <w:uiPriority w:val="9"/>
    <w:rsid w:val="00B53F17"/>
    <w:rPr>
      <w:rFonts w:ascii="Arial" w:hAnsi="Arial"/>
      <w:b/>
    </w:rPr>
  </w:style>
  <w:style w:type="character" w:customStyle="1" w:styleId="Heading7Char">
    <w:name w:val="Heading 7 Char"/>
    <w:basedOn w:val="DefaultParagraphFont"/>
    <w:link w:val="Heading7"/>
    <w:uiPriority w:val="9"/>
    <w:rsid w:val="00CA051E"/>
    <w:rPr>
      <w:rFonts w:ascii="Arial" w:hAnsi="Arial"/>
      <w:u w:val="single"/>
    </w:rPr>
  </w:style>
  <w:style w:type="character" w:customStyle="1" w:styleId="Heading8Char">
    <w:name w:val="Heading 8 Char"/>
    <w:basedOn w:val="DefaultParagraphFont"/>
    <w:link w:val="Heading8"/>
    <w:uiPriority w:val="9"/>
    <w:rsid w:val="00BD5970"/>
    <w:rPr>
      <w:rFonts w:ascii="Arial" w:hAnsi="Arial"/>
      <w:sz w:val="20"/>
      <w:u w:val="single"/>
    </w:rPr>
  </w:style>
  <w:style w:type="character" w:customStyle="1" w:styleId="Heading9Char">
    <w:name w:val="Heading 9 Char"/>
    <w:basedOn w:val="DefaultParagraphFont"/>
    <w:link w:val="Heading9"/>
    <w:uiPriority w:val="9"/>
    <w:semiHidden/>
    <w:rsid w:val="00225A9A"/>
    <w:rPr>
      <w:rFonts w:asciiTheme="majorHAnsi" w:eastAsiaTheme="majorEastAsia" w:hAnsiTheme="majorHAnsi" w:cstheme="majorBidi"/>
      <w:i/>
      <w:iCs/>
      <w:color w:val="272727" w:themeColor="text1" w:themeTint="D8"/>
      <w:sz w:val="21"/>
      <w:szCs w:val="21"/>
    </w:rPr>
  </w:style>
  <w:style w:type="paragraph" w:customStyle="1" w:styleId="HeadingLevel1NoNumber">
    <w:name w:val="HeadingLevel1NoNumber"/>
    <w:basedOn w:val="Heading1"/>
    <w:next w:val="BodyText"/>
    <w:qFormat/>
    <w:rsid w:val="007D466A"/>
    <w:pPr>
      <w:numPr>
        <w:numId w:val="0"/>
      </w:numPr>
    </w:pPr>
  </w:style>
  <w:style w:type="paragraph" w:customStyle="1" w:styleId="HeadingLevel2NoNumber">
    <w:name w:val="HeadingLevel2NoNumber"/>
    <w:basedOn w:val="Heading2"/>
    <w:next w:val="BodyText"/>
    <w:qFormat/>
    <w:rsid w:val="007D466A"/>
    <w:pPr>
      <w:numPr>
        <w:ilvl w:val="0"/>
        <w:numId w:val="0"/>
      </w:numPr>
    </w:pPr>
  </w:style>
  <w:style w:type="paragraph" w:customStyle="1" w:styleId="HeadingLevel3NoNumber">
    <w:name w:val="HeadingLevel3NoNumber"/>
    <w:basedOn w:val="Heading3"/>
    <w:next w:val="BodyText"/>
    <w:qFormat/>
    <w:rsid w:val="00320541"/>
    <w:pPr>
      <w:numPr>
        <w:ilvl w:val="0"/>
        <w:numId w:val="0"/>
      </w:numPr>
    </w:pPr>
    <w:rPr>
      <w:rFonts w:ascii="Arial" w:hAnsi="Arial"/>
    </w:rPr>
  </w:style>
  <w:style w:type="paragraph" w:customStyle="1" w:styleId="HeadingLevel4NoNumber">
    <w:name w:val="HeadingLevel4NoNumber"/>
    <w:basedOn w:val="Normal"/>
    <w:next w:val="BodyText"/>
    <w:qFormat/>
    <w:rsid w:val="00E01771"/>
    <w:pPr>
      <w:keepNext/>
      <w:keepLines/>
      <w:spacing w:before="120"/>
    </w:pPr>
    <w:rPr>
      <w:rFonts w:ascii="Arial" w:eastAsiaTheme="majorEastAsia" w:hAnsi="Arial" w:cs="Arial"/>
      <w:i/>
      <w:iCs/>
      <w:color w:val="2E74B5" w:themeColor="accent1" w:themeShade="BF"/>
    </w:rPr>
  </w:style>
  <w:style w:type="paragraph" w:styleId="Header">
    <w:name w:val="header"/>
    <w:basedOn w:val="Normal"/>
    <w:link w:val="HeaderChar"/>
    <w:uiPriority w:val="99"/>
    <w:unhideWhenUsed/>
    <w:rsid w:val="00076BC8"/>
    <w:pPr>
      <w:tabs>
        <w:tab w:val="right" w:pos="9026"/>
      </w:tabs>
      <w:spacing w:after="0" w:line="240" w:lineRule="auto"/>
    </w:pPr>
    <w:rPr>
      <w:sz w:val="16"/>
    </w:rPr>
  </w:style>
  <w:style w:type="character" w:customStyle="1" w:styleId="HeaderChar">
    <w:name w:val="Header Char"/>
    <w:basedOn w:val="DefaultParagraphFont"/>
    <w:link w:val="Header"/>
    <w:uiPriority w:val="99"/>
    <w:rsid w:val="00076BC8"/>
    <w:rPr>
      <w:color w:val="000000" w:themeColor="text1"/>
      <w:sz w:val="16"/>
    </w:rPr>
  </w:style>
  <w:style w:type="paragraph" w:styleId="Footer">
    <w:name w:val="footer"/>
    <w:basedOn w:val="Normal"/>
    <w:link w:val="FooterChar"/>
    <w:uiPriority w:val="99"/>
    <w:unhideWhenUsed/>
    <w:rsid w:val="00945B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5BEB"/>
    <w:rPr>
      <w:rFonts w:ascii="Univers 45 Light" w:hAnsi="Univers 45 Light"/>
    </w:rPr>
  </w:style>
  <w:style w:type="character" w:styleId="PageNumber">
    <w:name w:val="page number"/>
    <w:basedOn w:val="DefaultParagraphFont"/>
    <w:uiPriority w:val="99"/>
    <w:unhideWhenUsed/>
    <w:rsid w:val="00945BEB"/>
    <w:rPr>
      <w:rFonts w:ascii="Univers 45 Light" w:hAnsi="Univers 45 Light"/>
      <w:b w:val="0"/>
      <w:i w:val="0"/>
      <w:color w:val="auto"/>
      <w:sz w:val="18"/>
    </w:rPr>
  </w:style>
  <w:style w:type="paragraph" w:customStyle="1" w:styleId="Contentspage">
    <w:name w:val="Contentspage"/>
    <w:basedOn w:val="HeadingLevel1NoNumber"/>
    <w:qFormat/>
    <w:rsid w:val="00E13F2A"/>
    <w:pPr>
      <w:pageBreakBefore w:val="0"/>
    </w:pPr>
  </w:style>
  <w:style w:type="paragraph" w:customStyle="1" w:styleId="ReportTitle">
    <w:name w:val="ReportTitle"/>
    <w:basedOn w:val="BodyText"/>
    <w:qFormat/>
    <w:rsid w:val="00E13F2A"/>
    <w:rPr>
      <w:b/>
      <w:color w:val="002060"/>
      <w:sz w:val="52"/>
    </w:rPr>
  </w:style>
  <w:style w:type="paragraph" w:customStyle="1" w:styleId="ReportSubtitle">
    <w:name w:val="ReportSubtitle"/>
    <w:basedOn w:val="ReportTitle"/>
    <w:qFormat/>
    <w:rsid w:val="00E13F2A"/>
    <w:rPr>
      <w:color w:val="3B3838" w:themeColor="background2" w:themeShade="40"/>
      <w:sz w:val="22"/>
    </w:rPr>
  </w:style>
  <w:style w:type="paragraph" w:customStyle="1" w:styleId="ReportSubtitlelevel2">
    <w:name w:val="ReportSubtitlelevel2"/>
    <w:basedOn w:val="ReportSubtitle"/>
    <w:qFormat/>
    <w:rsid w:val="00E13F2A"/>
  </w:style>
  <w:style w:type="table" w:styleId="TableGrid">
    <w:name w:val="Table Grid"/>
    <w:aliases w:val="Basic Table,McLL Table General Text"/>
    <w:basedOn w:val="TableNormal"/>
    <w:uiPriority w:val="39"/>
    <w:rsid w:val="00CD2D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heading"/>
    <w:basedOn w:val="Normal"/>
    <w:qFormat/>
    <w:rsid w:val="003A2B09"/>
    <w:pPr>
      <w:spacing w:before="40" w:after="40" w:line="240" w:lineRule="auto"/>
    </w:pPr>
    <w:rPr>
      <w:rFonts w:ascii="Arial Bold" w:hAnsi="Arial Bold"/>
      <w:b/>
      <w:color w:val="FFFFFF" w:themeColor="background1"/>
      <w:szCs w:val="20"/>
    </w:rPr>
  </w:style>
  <w:style w:type="paragraph" w:customStyle="1" w:styleId="Tabletext">
    <w:name w:val="Tabletext"/>
    <w:basedOn w:val="Normal"/>
    <w:qFormat/>
    <w:rsid w:val="003A2B09"/>
    <w:pPr>
      <w:spacing w:before="40" w:after="40" w:line="240" w:lineRule="auto"/>
    </w:pPr>
    <w:rPr>
      <w:rFonts w:ascii="Arial" w:hAnsi="Arial"/>
      <w:szCs w:val="20"/>
    </w:rPr>
  </w:style>
  <w:style w:type="paragraph" w:customStyle="1" w:styleId="Tablebullet1">
    <w:name w:val="Tablebullet1"/>
    <w:basedOn w:val="ListBullet"/>
    <w:qFormat/>
    <w:rsid w:val="003E5AC1"/>
    <w:pPr>
      <w:numPr>
        <w:numId w:val="3"/>
      </w:numPr>
      <w:tabs>
        <w:tab w:val="left" w:pos="284"/>
      </w:tabs>
      <w:spacing w:before="40" w:after="40" w:line="240" w:lineRule="auto"/>
      <w:ind w:left="284" w:hanging="284"/>
    </w:pPr>
  </w:style>
  <w:style w:type="paragraph" w:customStyle="1" w:styleId="Tablebullet2">
    <w:name w:val="Tablebullet2"/>
    <w:basedOn w:val="ListBullet2"/>
    <w:qFormat/>
    <w:rsid w:val="00CD2DA2"/>
    <w:pPr>
      <w:spacing w:before="40" w:after="40" w:line="240" w:lineRule="auto"/>
      <w:ind w:left="641" w:hanging="357"/>
    </w:pPr>
    <w:rPr>
      <w:szCs w:val="20"/>
    </w:rPr>
  </w:style>
  <w:style w:type="paragraph" w:customStyle="1" w:styleId="Tablenumberdectab">
    <w:name w:val="Tablenumberdectab"/>
    <w:basedOn w:val="Tabletext"/>
    <w:qFormat/>
    <w:rsid w:val="00CD2DA2"/>
    <w:pPr>
      <w:tabs>
        <w:tab w:val="decimal" w:pos="802"/>
      </w:tabs>
    </w:pPr>
  </w:style>
  <w:style w:type="paragraph" w:customStyle="1" w:styleId="Tablenumberrightjustify">
    <w:name w:val="Tablenumberrightjustify"/>
    <w:basedOn w:val="Tabletext"/>
    <w:qFormat/>
    <w:rsid w:val="00CD2DA2"/>
    <w:pPr>
      <w:jc w:val="right"/>
    </w:pPr>
  </w:style>
  <w:style w:type="character" w:styleId="CommentReference">
    <w:name w:val="annotation reference"/>
    <w:basedOn w:val="DefaultParagraphFont"/>
    <w:uiPriority w:val="99"/>
    <w:semiHidden/>
    <w:unhideWhenUsed/>
    <w:rsid w:val="00CD2DA2"/>
    <w:rPr>
      <w:sz w:val="16"/>
      <w:szCs w:val="16"/>
    </w:rPr>
  </w:style>
  <w:style w:type="paragraph" w:styleId="CommentText">
    <w:name w:val="annotation text"/>
    <w:basedOn w:val="BodyText"/>
    <w:link w:val="CommentTextChar"/>
    <w:uiPriority w:val="99"/>
    <w:unhideWhenUsed/>
    <w:rsid w:val="00464892"/>
  </w:style>
  <w:style w:type="character" w:customStyle="1" w:styleId="CommentTextChar">
    <w:name w:val="Comment Text Char"/>
    <w:basedOn w:val="DefaultParagraphFont"/>
    <w:link w:val="CommentText"/>
    <w:uiPriority w:val="99"/>
    <w:rsid w:val="00464892"/>
    <w:rPr>
      <w:rFonts w:ascii="Arial" w:hAnsi="Arial"/>
      <w:color w:val="000000" w:themeColor="text1"/>
    </w:rPr>
  </w:style>
  <w:style w:type="paragraph" w:styleId="CommentSubject">
    <w:name w:val="annotation subject"/>
    <w:basedOn w:val="CommentText"/>
    <w:next w:val="CommentText"/>
    <w:link w:val="CommentSubjectChar"/>
    <w:uiPriority w:val="99"/>
    <w:semiHidden/>
    <w:unhideWhenUsed/>
    <w:rsid w:val="00CD2DA2"/>
    <w:rPr>
      <w:b/>
      <w:bCs/>
    </w:rPr>
  </w:style>
  <w:style w:type="character" w:customStyle="1" w:styleId="CommentSubjectChar">
    <w:name w:val="Comment Subject Char"/>
    <w:basedOn w:val="CommentTextChar"/>
    <w:link w:val="CommentSubject"/>
    <w:uiPriority w:val="99"/>
    <w:semiHidden/>
    <w:rsid w:val="00CD2DA2"/>
    <w:rPr>
      <w:rFonts w:ascii="Univers 45 Light" w:hAnsi="Univers 45 Light"/>
      <w:b/>
      <w:bCs/>
      <w:color w:val="000000" w:themeColor="text1"/>
      <w:sz w:val="20"/>
      <w:szCs w:val="20"/>
    </w:rPr>
  </w:style>
  <w:style w:type="paragraph" w:styleId="BalloonText">
    <w:name w:val="Balloon Text"/>
    <w:basedOn w:val="Normal"/>
    <w:link w:val="BalloonTextChar"/>
    <w:uiPriority w:val="99"/>
    <w:semiHidden/>
    <w:unhideWhenUsed/>
    <w:rsid w:val="00CD2D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DA2"/>
    <w:rPr>
      <w:rFonts w:ascii="Segoe UI" w:hAnsi="Segoe UI" w:cs="Segoe UI"/>
      <w:sz w:val="18"/>
      <w:szCs w:val="18"/>
    </w:rPr>
  </w:style>
  <w:style w:type="paragraph" w:customStyle="1" w:styleId="BodyText0">
    <w:name w:val="BodyText"/>
    <w:basedOn w:val="Normal"/>
    <w:link w:val="BodyTextChar0"/>
    <w:rsid w:val="00EF4DC9"/>
    <w:pPr>
      <w:spacing w:after="130" w:line="240" w:lineRule="auto"/>
    </w:pPr>
    <w:rPr>
      <w:rFonts w:eastAsia="Times New Roman" w:cs="Times New Roman"/>
      <w:szCs w:val="20"/>
    </w:rPr>
  </w:style>
  <w:style w:type="character" w:customStyle="1" w:styleId="BodyTextChar0">
    <w:name w:val="BodyText Char"/>
    <w:basedOn w:val="DefaultParagraphFont"/>
    <w:link w:val="BodyText0"/>
    <w:rsid w:val="00EF4DC9"/>
    <w:rPr>
      <w:rFonts w:ascii="Univers 45 Light" w:eastAsia="Times New Roman" w:hAnsi="Univers 45 Light" w:cs="Times New Roman"/>
      <w:szCs w:val="20"/>
    </w:rPr>
  </w:style>
  <w:style w:type="paragraph" w:customStyle="1" w:styleId="Appendixheading">
    <w:name w:val="Appendix heading"/>
    <w:next w:val="BodyText0"/>
    <w:uiPriority w:val="2"/>
    <w:qFormat/>
    <w:rsid w:val="009B6294"/>
    <w:pPr>
      <w:keepNext/>
      <w:keepLines/>
      <w:pageBreakBefore/>
      <w:numPr>
        <w:numId w:val="5"/>
      </w:numPr>
      <w:spacing w:before="240" w:after="120" w:line="640" w:lineRule="exact"/>
      <w:ind w:left="0"/>
    </w:pPr>
    <w:rPr>
      <w:rFonts w:ascii="Arial Bold" w:eastAsia="Times New Roman" w:hAnsi="Arial Bold" w:cs="Times New Roman"/>
      <w:b/>
      <w:color w:val="002060"/>
      <w:sz w:val="32"/>
      <w:szCs w:val="18"/>
    </w:rPr>
  </w:style>
  <w:style w:type="paragraph" w:customStyle="1" w:styleId="AppendixHeading2">
    <w:name w:val="Appendix Heading 2"/>
    <w:basedOn w:val="Heading2"/>
    <w:next w:val="BodyText"/>
    <w:rsid w:val="007D466A"/>
    <w:pPr>
      <w:keepLines w:val="0"/>
      <w:numPr>
        <w:numId w:val="6"/>
      </w:numPr>
      <w:tabs>
        <w:tab w:val="clear" w:pos="0"/>
        <w:tab w:val="left" w:pos="964"/>
      </w:tabs>
      <w:ind w:left="964"/>
      <w:jc w:val="both"/>
      <w:outlineLvl w:val="9"/>
    </w:pPr>
    <w:rPr>
      <w:rFonts w:eastAsia="Times New Roman" w:cs="Times New Roman"/>
      <w:sz w:val="28"/>
      <w:szCs w:val="20"/>
    </w:rPr>
  </w:style>
  <w:style w:type="paragraph" w:customStyle="1" w:styleId="AppendixHeading3">
    <w:name w:val="Appendix Heading 3"/>
    <w:basedOn w:val="Heading3"/>
    <w:next w:val="BodyText"/>
    <w:rsid w:val="00EF4DC9"/>
    <w:pPr>
      <w:keepLines w:val="0"/>
      <w:numPr>
        <w:numId w:val="6"/>
      </w:numPr>
      <w:tabs>
        <w:tab w:val="left" w:pos="357"/>
      </w:tabs>
      <w:ind w:left="964"/>
      <w:jc w:val="both"/>
      <w:outlineLvl w:val="9"/>
    </w:pPr>
    <w:rPr>
      <w:rFonts w:eastAsia="Times New Roman" w:cs="Times New Roman"/>
      <w:b/>
      <w:i w:val="0"/>
      <w:szCs w:val="20"/>
    </w:rPr>
  </w:style>
  <w:style w:type="paragraph" w:customStyle="1" w:styleId="AppendixHeading4">
    <w:name w:val="Appendix Heading 4"/>
    <w:basedOn w:val="Heading4"/>
    <w:next w:val="BodyText"/>
    <w:rsid w:val="00EF4DC9"/>
    <w:pPr>
      <w:keepLines w:val="0"/>
      <w:numPr>
        <w:numId w:val="6"/>
      </w:numPr>
      <w:tabs>
        <w:tab w:val="clear" w:pos="0"/>
        <w:tab w:val="left" w:pos="964"/>
      </w:tabs>
      <w:ind w:left="964"/>
      <w:jc w:val="both"/>
      <w:outlineLvl w:val="9"/>
    </w:pPr>
    <w:rPr>
      <w:rFonts w:eastAsia="Times New Roman" w:cs="Times New Roman"/>
      <w:b/>
      <w:i w:val="0"/>
      <w:iCs w:val="0"/>
      <w:szCs w:val="20"/>
    </w:rPr>
  </w:style>
  <w:style w:type="paragraph" w:styleId="Title">
    <w:name w:val="Title"/>
    <w:basedOn w:val="Normal"/>
    <w:next w:val="Normal"/>
    <w:link w:val="TitleChar"/>
    <w:uiPriority w:val="10"/>
    <w:qFormat/>
    <w:rsid w:val="00E13F2A"/>
    <w:pPr>
      <w:spacing w:after="0" w:line="240" w:lineRule="auto"/>
      <w:contextualSpacing/>
    </w:pPr>
    <w:rPr>
      <w:rFonts w:eastAsiaTheme="majorEastAsia" w:cstheme="majorBidi"/>
      <w:b/>
      <w:spacing w:val="-10"/>
      <w:kern w:val="28"/>
      <w:sz w:val="64"/>
      <w:szCs w:val="56"/>
    </w:rPr>
  </w:style>
  <w:style w:type="character" w:customStyle="1" w:styleId="TitleChar">
    <w:name w:val="Title Char"/>
    <w:basedOn w:val="DefaultParagraphFont"/>
    <w:link w:val="Title"/>
    <w:uiPriority w:val="10"/>
    <w:rsid w:val="00E13F2A"/>
    <w:rPr>
      <w:rFonts w:ascii="Arial" w:eastAsiaTheme="majorEastAsia" w:hAnsi="Arial" w:cstheme="majorBidi"/>
      <w:b/>
      <w:color w:val="000000" w:themeColor="text1"/>
      <w:spacing w:val="-10"/>
      <w:kern w:val="28"/>
      <w:sz w:val="64"/>
      <w:szCs w:val="56"/>
    </w:rPr>
  </w:style>
  <w:style w:type="paragraph" w:styleId="TOC1">
    <w:name w:val="toc 1"/>
    <w:basedOn w:val="Normal"/>
    <w:next w:val="Normal"/>
    <w:autoRedefine/>
    <w:uiPriority w:val="39"/>
    <w:unhideWhenUsed/>
    <w:rsid w:val="00F73678"/>
    <w:pPr>
      <w:tabs>
        <w:tab w:val="left" w:pos="426"/>
        <w:tab w:val="right" w:leader="dot" w:pos="9016"/>
      </w:tabs>
      <w:spacing w:after="100"/>
      <w:ind w:left="426" w:hanging="426"/>
    </w:pPr>
    <w:rPr>
      <w:b/>
      <w:noProof/>
      <w:color w:val="002060"/>
    </w:rPr>
  </w:style>
  <w:style w:type="paragraph" w:styleId="TOC2">
    <w:name w:val="toc 2"/>
    <w:basedOn w:val="Normal"/>
    <w:next w:val="Normal"/>
    <w:autoRedefine/>
    <w:uiPriority w:val="39"/>
    <w:unhideWhenUsed/>
    <w:rsid w:val="007A3452"/>
    <w:pPr>
      <w:tabs>
        <w:tab w:val="left" w:pos="880"/>
        <w:tab w:val="right" w:leader="dot" w:pos="9016"/>
      </w:tabs>
      <w:spacing w:after="100"/>
      <w:ind w:left="771" w:hanging="346"/>
    </w:pPr>
    <w:rPr>
      <w:noProof/>
      <w:color w:val="002060"/>
    </w:rPr>
  </w:style>
  <w:style w:type="character" w:styleId="Hyperlink">
    <w:name w:val="Hyperlink"/>
    <w:basedOn w:val="DefaultParagraphFont"/>
    <w:uiPriority w:val="99"/>
    <w:unhideWhenUsed/>
    <w:rsid w:val="00E13F2A"/>
    <w:rPr>
      <w:color w:val="0563C1" w:themeColor="hyperlink"/>
      <w:u w:val="single"/>
    </w:rPr>
  </w:style>
  <w:style w:type="paragraph" w:styleId="ListParagraph">
    <w:name w:val="List Paragraph"/>
    <w:basedOn w:val="Normal"/>
    <w:uiPriority w:val="34"/>
    <w:qFormat/>
    <w:rsid w:val="00E13F2A"/>
    <w:pPr>
      <w:ind w:left="720"/>
      <w:contextualSpacing/>
    </w:pPr>
  </w:style>
  <w:style w:type="paragraph" w:styleId="FootnoteText">
    <w:name w:val="footnote text"/>
    <w:aliases w:val="(NECG) Footnote Text,Fußnote,ALTS FOOTNOTE,Footnote Text Char Char"/>
    <w:basedOn w:val="Normal"/>
    <w:link w:val="FootnoteTextChar"/>
    <w:uiPriority w:val="99"/>
    <w:unhideWhenUsed/>
    <w:rsid w:val="00E15C90"/>
    <w:pPr>
      <w:spacing w:after="0" w:line="240" w:lineRule="auto"/>
    </w:pPr>
    <w:rPr>
      <w:sz w:val="16"/>
      <w:szCs w:val="20"/>
    </w:rPr>
  </w:style>
  <w:style w:type="character" w:customStyle="1" w:styleId="FootnoteTextChar">
    <w:name w:val="Footnote Text Char"/>
    <w:aliases w:val="(NECG) Footnote Text Char,Fußnote Char,ALTS FOOTNOTE Char,Footnote Text Char Char Char"/>
    <w:basedOn w:val="DefaultParagraphFont"/>
    <w:link w:val="FootnoteText"/>
    <w:uiPriority w:val="99"/>
    <w:rsid w:val="00E15C90"/>
    <w:rPr>
      <w:rFonts w:ascii="Arial" w:hAnsi="Arial"/>
      <w:color w:val="000000" w:themeColor="text1"/>
      <w:sz w:val="16"/>
      <w:szCs w:val="20"/>
    </w:rPr>
  </w:style>
  <w:style w:type="character" w:styleId="FootnoteReference">
    <w:name w:val="footnote reference"/>
    <w:aliases w:val="(NECG) Footnote Reference"/>
    <w:basedOn w:val="DefaultParagraphFont"/>
    <w:uiPriority w:val="99"/>
    <w:unhideWhenUsed/>
    <w:rsid w:val="00E13F2A"/>
    <w:rPr>
      <w:vertAlign w:val="superscript"/>
    </w:rPr>
  </w:style>
  <w:style w:type="paragraph" w:styleId="NormalWeb">
    <w:name w:val="Normal (Web)"/>
    <w:basedOn w:val="Normal"/>
    <w:uiPriority w:val="99"/>
    <w:unhideWhenUsed/>
    <w:rsid w:val="00E13F2A"/>
    <w:pPr>
      <w:spacing w:before="100" w:beforeAutospacing="1" w:after="100" w:afterAutospacing="1" w:line="240" w:lineRule="auto"/>
    </w:pPr>
    <w:rPr>
      <w:rFonts w:ascii="Times New Roman" w:eastAsiaTheme="minorEastAsia" w:hAnsi="Times New Roman" w:cs="Times New Roman"/>
      <w:sz w:val="24"/>
      <w:szCs w:val="24"/>
      <w:lang w:eastAsia="en-AU"/>
    </w:rPr>
  </w:style>
  <w:style w:type="paragraph" w:styleId="ListBullet3">
    <w:name w:val="List Bullet 3"/>
    <w:basedOn w:val="ListBullet2"/>
    <w:semiHidden/>
    <w:unhideWhenUsed/>
    <w:qFormat/>
    <w:rsid w:val="00E13F2A"/>
    <w:pPr>
      <w:numPr>
        <w:numId w:val="0"/>
      </w:numPr>
      <w:tabs>
        <w:tab w:val="left" w:pos="680"/>
        <w:tab w:val="num" w:pos="851"/>
      </w:tabs>
      <w:kinsoku w:val="0"/>
      <w:overflowPunct w:val="0"/>
      <w:autoSpaceDE w:val="0"/>
      <w:autoSpaceDN w:val="0"/>
      <w:adjustRightInd w:val="0"/>
      <w:snapToGrid w:val="0"/>
      <w:spacing w:before="0" w:after="240" w:line="240" w:lineRule="auto"/>
      <w:ind w:left="852" w:hanging="284"/>
      <w:contextualSpacing w:val="0"/>
    </w:pPr>
    <w:rPr>
      <w:rFonts w:ascii="Georgia" w:eastAsia="Times New Roman" w:hAnsi="Georgia" w:cs="Arial"/>
      <w:szCs w:val="20"/>
    </w:rPr>
  </w:style>
  <w:style w:type="paragraph" w:styleId="ListBullet4">
    <w:name w:val="List Bullet 4"/>
    <w:basedOn w:val="ListBullet3"/>
    <w:semiHidden/>
    <w:unhideWhenUsed/>
    <w:rsid w:val="00E13F2A"/>
    <w:pPr>
      <w:tabs>
        <w:tab w:val="clear" w:pos="851"/>
        <w:tab w:val="num" w:pos="1134"/>
      </w:tabs>
      <w:ind w:left="1136"/>
    </w:pPr>
  </w:style>
  <w:style w:type="paragraph" w:styleId="ListBullet5">
    <w:name w:val="List Bullet 5"/>
    <w:basedOn w:val="ListBullet4"/>
    <w:semiHidden/>
    <w:unhideWhenUsed/>
    <w:rsid w:val="00E13F2A"/>
    <w:pPr>
      <w:tabs>
        <w:tab w:val="clear" w:pos="1134"/>
        <w:tab w:val="num" w:pos="1418"/>
      </w:tabs>
      <w:ind w:left="1420"/>
      <w:contextualSpacing/>
    </w:pPr>
  </w:style>
  <w:style w:type="paragraph" w:customStyle="1" w:styleId="Indent1">
    <w:name w:val="Indent 1"/>
    <w:basedOn w:val="Normal"/>
    <w:rsid w:val="00E13F2A"/>
    <w:pPr>
      <w:numPr>
        <w:ilvl w:val="1"/>
        <w:numId w:val="7"/>
      </w:numPr>
      <w:kinsoku w:val="0"/>
      <w:overflowPunct w:val="0"/>
      <w:autoSpaceDE w:val="0"/>
      <w:autoSpaceDN w:val="0"/>
      <w:adjustRightInd w:val="0"/>
      <w:snapToGrid w:val="0"/>
      <w:spacing w:before="100" w:after="100" w:line="240" w:lineRule="auto"/>
    </w:pPr>
    <w:rPr>
      <w:rFonts w:ascii="Georgia" w:eastAsia="Times New Roman" w:hAnsi="Georgia" w:cs="Times New Roman"/>
      <w:szCs w:val="20"/>
    </w:rPr>
  </w:style>
  <w:style w:type="paragraph" w:customStyle="1" w:styleId="Indent2">
    <w:name w:val="Indent 2"/>
    <w:basedOn w:val="Indent1"/>
    <w:rsid w:val="00E13F2A"/>
    <w:pPr>
      <w:numPr>
        <w:ilvl w:val="2"/>
      </w:numPr>
    </w:pPr>
  </w:style>
  <w:style w:type="paragraph" w:customStyle="1" w:styleId="Indent3">
    <w:name w:val="Indent 3"/>
    <w:basedOn w:val="Indent2"/>
    <w:rsid w:val="00E13F2A"/>
    <w:pPr>
      <w:numPr>
        <w:ilvl w:val="3"/>
      </w:numPr>
    </w:pPr>
  </w:style>
  <w:style w:type="paragraph" w:customStyle="1" w:styleId="Indent4">
    <w:name w:val="Indent 4"/>
    <w:basedOn w:val="Indent3"/>
    <w:rsid w:val="00E13F2A"/>
    <w:pPr>
      <w:numPr>
        <w:ilvl w:val="4"/>
      </w:numPr>
    </w:pPr>
  </w:style>
  <w:style w:type="character" w:customStyle="1" w:styleId="PwCNormalChar">
    <w:name w:val="PwC Normal Char"/>
    <w:aliases w:val="n Char Char"/>
    <w:basedOn w:val="DefaultParagraphFont"/>
    <w:link w:val="PwCNormal"/>
    <w:uiPriority w:val="99"/>
    <w:locked/>
    <w:rsid w:val="00E13F2A"/>
    <w:rPr>
      <w:rFonts w:cs="Arial"/>
      <w:color w:val="000000" w:themeColor="text1"/>
    </w:rPr>
  </w:style>
  <w:style w:type="paragraph" w:customStyle="1" w:styleId="PwCNormal">
    <w:name w:val="PwC Normal"/>
    <w:aliases w:val="n"/>
    <w:basedOn w:val="Normal"/>
    <w:link w:val="PwCNormalChar"/>
    <w:uiPriority w:val="99"/>
    <w:qFormat/>
    <w:rsid w:val="00E13F2A"/>
    <w:pPr>
      <w:numPr>
        <w:numId w:val="7"/>
      </w:numPr>
      <w:kinsoku w:val="0"/>
      <w:overflowPunct w:val="0"/>
      <w:autoSpaceDE w:val="0"/>
      <w:autoSpaceDN w:val="0"/>
      <w:adjustRightInd w:val="0"/>
      <w:snapToGrid w:val="0"/>
      <w:spacing w:after="240" w:line="240" w:lineRule="auto"/>
    </w:pPr>
    <w:rPr>
      <w:rFonts w:cs="Arial"/>
    </w:rPr>
  </w:style>
  <w:style w:type="paragraph" w:customStyle="1" w:styleId="Indent5">
    <w:name w:val="Indent 5"/>
    <w:basedOn w:val="Indent4"/>
    <w:rsid w:val="00E13F2A"/>
    <w:pPr>
      <w:numPr>
        <w:ilvl w:val="5"/>
      </w:numPr>
    </w:pPr>
  </w:style>
  <w:style w:type="paragraph" w:customStyle="1" w:styleId="Indent6">
    <w:name w:val="Indent 6"/>
    <w:basedOn w:val="Indent5"/>
    <w:rsid w:val="00E13F2A"/>
    <w:pPr>
      <w:numPr>
        <w:ilvl w:val="6"/>
      </w:numPr>
    </w:pPr>
  </w:style>
  <w:style w:type="paragraph" w:customStyle="1" w:styleId="Indent7">
    <w:name w:val="Indent 7"/>
    <w:basedOn w:val="Indent6"/>
    <w:rsid w:val="00E13F2A"/>
    <w:pPr>
      <w:numPr>
        <w:ilvl w:val="7"/>
      </w:numPr>
    </w:pPr>
  </w:style>
  <w:style w:type="paragraph" w:customStyle="1" w:styleId="Indent8">
    <w:name w:val="Indent 8"/>
    <w:basedOn w:val="Indent7"/>
    <w:rsid w:val="00E13F2A"/>
    <w:pPr>
      <w:numPr>
        <w:ilvl w:val="8"/>
      </w:numPr>
    </w:pPr>
  </w:style>
  <w:style w:type="paragraph" w:styleId="NoSpacing">
    <w:name w:val="No Spacing"/>
    <w:uiPriority w:val="1"/>
    <w:qFormat/>
    <w:rsid w:val="00E13F2A"/>
    <w:pPr>
      <w:spacing w:after="0" w:line="240" w:lineRule="auto"/>
    </w:pPr>
    <w:rPr>
      <w:rFonts w:ascii="Arial" w:hAnsi="Arial"/>
      <w:color w:val="000000" w:themeColor="text1"/>
    </w:rPr>
  </w:style>
  <w:style w:type="paragraph" w:customStyle="1" w:styleId="Tabletext0">
    <w:name w:val="Table text"/>
    <w:basedOn w:val="Normal"/>
    <w:qFormat/>
    <w:rsid w:val="00E13F2A"/>
    <w:pPr>
      <w:spacing w:before="60" w:after="0" w:line="240" w:lineRule="atLeast"/>
      <w:ind w:right="120"/>
    </w:pPr>
    <w:rPr>
      <w:rFonts w:ascii="Arial Narrow" w:hAnsi="Arial Narrow"/>
      <w:color w:val="000100"/>
    </w:rPr>
  </w:style>
  <w:style w:type="paragraph" w:customStyle="1" w:styleId="Pa31">
    <w:name w:val="Pa31"/>
    <w:basedOn w:val="Normal"/>
    <w:next w:val="Normal"/>
    <w:uiPriority w:val="99"/>
    <w:rsid w:val="00E13F2A"/>
    <w:pPr>
      <w:autoSpaceDE w:val="0"/>
      <w:autoSpaceDN w:val="0"/>
      <w:adjustRightInd w:val="0"/>
      <w:spacing w:after="0" w:line="161" w:lineRule="atLeast"/>
    </w:pPr>
    <w:rPr>
      <w:rFonts w:ascii="Gotham Book" w:hAnsi="Gotham Book"/>
      <w:sz w:val="24"/>
      <w:szCs w:val="24"/>
    </w:rPr>
  </w:style>
  <w:style w:type="paragraph" w:styleId="Revision">
    <w:name w:val="Revision"/>
    <w:hidden/>
    <w:uiPriority w:val="99"/>
    <w:semiHidden/>
    <w:rsid w:val="00E13F2A"/>
    <w:pPr>
      <w:spacing w:after="0" w:line="240" w:lineRule="auto"/>
    </w:pPr>
    <w:rPr>
      <w:rFonts w:ascii="Arial" w:hAnsi="Arial"/>
      <w:color w:val="000000" w:themeColor="text1"/>
    </w:rPr>
  </w:style>
  <w:style w:type="character" w:customStyle="1" w:styleId="apple-converted-space">
    <w:name w:val="apple-converted-space"/>
    <w:basedOn w:val="DefaultParagraphFont"/>
    <w:rsid w:val="00E13F2A"/>
  </w:style>
  <w:style w:type="character" w:styleId="Emphasis">
    <w:name w:val="Emphasis"/>
    <w:basedOn w:val="DefaultParagraphFont"/>
    <w:uiPriority w:val="20"/>
    <w:qFormat/>
    <w:rsid w:val="00E13F2A"/>
    <w:rPr>
      <w:i/>
      <w:iCs/>
    </w:rPr>
  </w:style>
  <w:style w:type="paragraph" w:customStyle="1" w:styleId="Bulletnormal">
    <w:name w:val="Bullet_normal"/>
    <w:basedOn w:val="BodyText"/>
    <w:link w:val="BulletnormalChar"/>
    <w:qFormat/>
    <w:rsid w:val="00E13F2A"/>
    <w:pPr>
      <w:numPr>
        <w:numId w:val="8"/>
      </w:numPr>
    </w:pPr>
    <w:rPr>
      <w:rFonts w:ascii="Univers 45 Light" w:hAnsi="Univers 45 Light"/>
    </w:rPr>
  </w:style>
  <w:style w:type="character" w:customStyle="1" w:styleId="BulletnormalChar">
    <w:name w:val="Bullet_normal Char"/>
    <w:basedOn w:val="DefaultParagraphFont"/>
    <w:link w:val="Bulletnormal"/>
    <w:rsid w:val="00E13F2A"/>
    <w:rPr>
      <w:rFonts w:ascii="Univers 45 Light" w:hAnsi="Univers 45 Light"/>
      <w:color w:val="000000" w:themeColor="text1"/>
    </w:rPr>
  </w:style>
  <w:style w:type="paragraph" w:styleId="List5">
    <w:name w:val="List 5"/>
    <w:basedOn w:val="Normal"/>
    <w:uiPriority w:val="99"/>
    <w:unhideWhenUsed/>
    <w:rsid w:val="009B6294"/>
    <w:pPr>
      <w:ind w:left="1415" w:hanging="283"/>
      <w:contextualSpacing/>
    </w:pPr>
  </w:style>
  <w:style w:type="paragraph" w:customStyle="1" w:styleId="Bodytextkeepwithnext">
    <w:name w:val="Bodytextkeepwithnext"/>
    <w:basedOn w:val="Normal"/>
    <w:qFormat/>
    <w:rsid w:val="0071726F"/>
    <w:pPr>
      <w:keepNext/>
    </w:pPr>
    <w:rPr>
      <w:rFonts w:ascii="Arial" w:hAnsi="Arial"/>
    </w:rPr>
  </w:style>
  <w:style w:type="paragraph" w:customStyle="1" w:styleId="Listbullet1keepwithnext">
    <w:name w:val="Listbullet1keepwithnext"/>
    <w:basedOn w:val="ListBullet"/>
    <w:qFormat/>
    <w:rsid w:val="00BD5970"/>
    <w:pPr>
      <w:keepNext/>
    </w:pPr>
  </w:style>
  <w:style w:type="character" w:styleId="FollowedHyperlink">
    <w:name w:val="FollowedHyperlink"/>
    <w:basedOn w:val="DefaultParagraphFont"/>
    <w:uiPriority w:val="99"/>
    <w:semiHidden/>
    <w:unhideWhenUsed/>
    <w:rsid w:val="00BD0CAD"/>
    <w:rPr>
      <w:color w:val="954F72" w:themeColor="followedHyperlink"/>
      <w:u w:val="single"/>
    </w:rPr>
  </w:style>
  <w:style w:type="paragraph" w:styleId="BodyTextIndent3">
    <w:name w:val="Body Text Indent 3"/>
    <w:basedOn w:val="Normal"/>
    <w:link w:val="BodyTextIndent3Char"/>
    <w:uiPriority w:val="99"/>
    <w:unhideWhenUsed/>
    <w:rsid w:val="001949BD"/>
    <w:pPr>
      <w:spacing w:after="120"/>
      <w:ind w:left="283"/>
    </w:pPr>
    <w:rPr>
      <w:sz w:val="16"/>
      <w:szCs w:val="16"/>
    </w:rPr>
  </w:style>
  <w:style w:type="character" w:customStyle="1" w:styleId="BodyTextIndent3Char">
    <w:name w:val="Body Text Indent 3 Char"/>
    <w:basedOn w:val="DefaultParagraphFont"/>
    <w:link w:val="BodyTextIndent3"/>
    <w:uiPriority w:val="99"/>
    <w:rsid w:val="001949BD"/>
    <w:rPr>
      <w:color w:val="000000" w:themeColor="text1"/>
      <w:sz w:val="16"/>
      <w:szCs w:val="16"/>
    </w:rPr>
  </w:style>
  <w:style w:type="paragraph" w:styleId="BodyTextIndent">
    <w:name w:val="Body Text Indent"/>
    <w:basedOn w:val="Normal"/>
    <w:link w:val="BodyTextIndentChar"/>
    <w:uiPriority w:val="99"/>
    <w:unhideWhenUsed/>
    <w:rsid w:val="001949BD"/>
    <w:pPr>
      <w:spacing w:after="120"/>
      <w:ind w:left="340"/>
    </w:pPr>
    <w:rPr>
      <w:rFonts w:ascii="Arial" w:hAnsi="Arial"/>
    </w:rPr>
  </w:style>
  <w:style w:type="character" w:customStyle="1" w:styleId="BodyTextIndentChar">
    <w:name w:val="Body Text Indent Char"/>
    <w:basedOn w:val="DefaultParagraphFont"/>
    <w:link w:val="BodyTextIndent"/>
    <w:uiPriority w:val="99"/>
    <w:rsid w:val="001949BD"/>
    <w:rPr>
      <w:rFonts w:ascii="Arial" w:hAnsi="Arial"/>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16195">
      <w:bodyDiv w:val="1"/>
      <w:marLeft w:val="0"/>
      <w:marRight w:val="0"/>
      <w:marTop w:val="0"/>
      <w:marBottom w:val="0"/>
      <w:divBdr>
        <w:top w:val="none" w:sz="0" w:space="0" w:color="auto"/>
        <w:left w:val="none" w:sz="0" w:space="0" w:color="auto"/>
        <w:bottom w:val="none" w:sz="0" w:space="0" w:color="auto"/>
        <w:right w:val="none" w:sz="0" w:space="0" w:color="auto"/>
      </w:divBdr>
    </w:div>
    <w:div w:id="164128995">
      <w:bodyDiv w:val="1"/>
      <w:marLeft w:val="0"/>
      <w:marRight w:val="0"/>
      <w:marTop w:val="0"/>
      <w:marBottom w:val="0"/>
      <w:divBdr>
        <w:top w:val="none" w:sz="0" w:space="0" w:color="auto"/>
        <w:left w:val="none" w:sz="0" w:space="0" w:color="auto"/>
        <w:bottom w:val="none" w:sz="0" w:space="0" w:color="auto"/>
        <w:right w:val="none" w:sz="0" w:space="0" w:color="auto"/>
      </w:divBdr>
    </w:div>
    <w:div w:id="173230467">
      <w:bodyDiv w:val="1"/>
      <w:marLeft w:val="0"/>
      <w:marRight w:val="0"/>
      <w:marTop w:val="0"/>
      <w:marBottom w:val="0"/>
      <w:divBdr>
        <w:top w:val="none" w:sz="0" w:space="0" w:color="auto"/>
        <w:left w:val="none" w:sz="0" w:space="0" w:color="auto"/>
        <w:bottom w:val="none" w:sz="0" w:space="0" w:color="auto"/>
        <w:right w:val="none" w:sz="0" w:space="0" w:color="auto"/>
      </w:divBdr>
    </w:div>
    <w:div w:id="211504610">
      <w:bodyDiv w:val="1"/>
      <w:marLeft w:val="0"/>
      <w:marRight w:val="0"/>
      <w:marTop w:val="0"/>
      <w:marBottom w:val="0"/>
      <w:divBdr>
        <w:top w:val="none" w:sz="0" w:space="0" w:color="auto"/>
        <w:left w:val="none" w:sz="0" w:space="0" w:color="auto"/>
        <w:bottom w:val="none" w:sz="0" w:space="0" w:color="auto"/>
        <w:right w:val="none" w:sz="0" w:space="0" w:color="auto"/>
      </w:divBdr>
    </w:div>
    <w:div w:id="235896158">
      <w:bodyDiv w:val="1"/>
      <w:marLeft w:val="0"/>
      <w:marRight w:val="0"/>
      <w:marTop w:val="0"/>
      <w:marBottom w:val="0"/>
      <w:divBdr>
        <w:top w:val="none" w:sz="0" w:space="0" w:color="auto"/>
        <w:left w:val="none" w:sz="0" w:space="0" w:color="auto"/>
        <w:bottom w:val="none" w:sz="0" w:space="0" w:color="auto"/>
        <w:right w:val="none" w:sz="0" w:space="0" w:color="auto"/>
      </w:divBdr>
    </w:div>
    <w:div w:id="472480089">
      <w:bodyDiv w:val="1"/>
      <w:marLeft w:val="0"/>
      <w:marRight w:val="0"/>
      <w:marTop w:val="0"/>
      <w:marBottom w:val="0"/>
      <w:divBdr>
        <w:top w:val="none" w:sz="0" w:space="0" w:color="auto"/>
        <w:left w:val="none" w:sz="0" w:space="0" w:color="auto"/>
        <w:bottom w:val="none" w:sz="0" w:space="0" w:color="auto"/>
        <w:right w:val="none" w:sz="0" w:space="0" w:color="auto"/>
      </w:divBdr>
    </w:div>
    <w:div w:id="494536568">
      <w:bodyDiv w:val="1"/>
      <w:marLeft w:val="0"/>
      <w:marRight w:val="0"/>
      <w:marTop w:val="0"/>
      <w:marBottom w:val="0"/>
      <w:divBdr>
        <w:top w:val="none" w:sz="0" w:space="0" w:color="auto"/>
        <w:left w:val="none" w:sz="0" w:space="0" w:color="auto"/>
        <w:bottom w:val="none" w:sz="0" w:space="0" w:color="auto"/>
        <w:right w:val="none" w:sz="0" w:space="0" w:color="auto"/>
      </w:divBdr>
    </w:div>
    <w:div w:id="534195405">
      <w:bodyDiv w:val="1"/>
      <w:marLeft w:val="0"/>
      <w:marRight w:val="0"/>
      <w:marTop w:val="0"/>
      <w:marBottom w:val="0"/>
      <w:divBdr>
        <w:top w:val="none" w:sz="0" w:space="0" w:color="auto"/>
        <w:left w:val="none" w:sz="0" w:space="0" w:color="auto"/>
        <w:bottom w:val="none" w:sz="0" w:space="0" w:color="auto"/>
        <w:right w:val="none" w:sz="0" w:space="0" w:color="auto"/>
      </w:divBdr>
    </w:div>
    <w:div w:id="591353072">
      <w:bodyDiv w:val="1"/>
      <w:marLeft w:val="0"/>
      <w:marRight w:val="0"/>
      <w:marTop w:val="0"/>
      <w:marBottom w:val="0"/>
      <w:divBdr>
        <w:top w:val="none" w:sz="0" w:space="0" w:color="auto"/>
        <w:left w:val="none" w:sz="0" w:space="0" w:color="auto"/>
        <w:bottom w:val="none" w:sz="0" w:space="0" w:color="auto"/>
        <w:right w:val="none" w:sz="0" w:space="0" w:color="auto"/>
      </w:divBdr>
    </w:div>
    <w:div w:id="605118403">
      <w:bodyDiv w:val="1"/>
      <w:marLeft w:val="0"/>
      <w:marRight w:val="0"/>
      <w:marTop w:val="0"/>
      <w:marBottom w:val="0"/>
      <w:divBdr>
        <w:top w:val="none" w:sz="0" w:space="0" w:color="auto"/>
        <w:left w:val="none" w:sz="0" w:space="0" w:color="auto"/>
        <w:bottom w:val="none" w:sz="0" w:space="0" w:color="auto"/>
        <w:right w:val="none" w:sz="0" w:space="0" w:color="auto"/>
      </w:divBdr>
    </w:div>
    <w:div w:id="711346910">
      <w:bodyDiv w:val="1"/>
      <w:marLeft w:val="0"/>
      <w:marRight w:val="0"/>
      <w:marTop w:val="0"/>
      <w:marBottom w:val="0"/>
      <w:divBdr>
        <w:top w:val="none" w:sz="0" w:space="0" w:color="auto"/>
        <w:left w:val="none" w:sz="0" w:space="0" w:color="auto"/>
        <w:bottom w:val="none" w:sz="0" w:space="0" w:color="auto"/>
        <w:right w:val="none" w:sz="0" w:space="0" w:color="auto"/>
      </w:divBdr>
    </w:div>
    <w:div w:id="752437081">
      <w:bodyDiv w:val="1"/>
      <w:marLeft w:val="0"/>
      <w:marRight w:val="0"/>
      <w:marTop w:val="0"/>
      <w:marBottom w:val="0"/>
      <w:divBdr>
        <w:top w:val="none" w:sz="0" w:space="0" w:color="auto"/>
        <w:left w:val="none" w:sz="0" w:space="0" w:color="auto"/>
        <w:bottom w:val="none" w:sz="0" w:space="0" w:color="auto"/>
        <w:right w:val="none" w:sz="0" w:space="0" w:color="auto"/>
      </w:divBdr>
    </w:div>
    <w:div w:id="839851828">
      <w:bodyDiv w:val="1"/>
      <w:marLeft w:val="0"/>
      <w:marRight w:val="0"/>
      <w:marTop w:val="0"/>
      <w:marBottom w:val="0"/>
      <w:divBdr>
        <w:top w:val="none" w:sz="0" w:space="0" w:color="auto"/>
        <w:left w:val="none" w:sz="0" w:space="0" w:color="auto"/>
        <w:bottom w:val="none" w:sz="0" w:space="0" w:color="auto"/>
        <w:right w:val="none" w:sz="0" w:space="0" w:color="auto"/>
      </w:divBdr>
    </w:div>
    <w:div w:id="865369802">
      <w:bodyDiv w:val="1"/>
      <w:marLeft w:val="0"/>
      <w:marRight w:val="0"/>
      <w:marTop w:val="0"/>
      <w:marBottom w:val="0"/>
      <w:divBdr>
        <w:top w:val="none" w:sz="0" w:space="0" w:color="auto"/>
        <w:left w:val="none" w:sz="0" w:space="0" w:color="auto"/>
        <w:bottom w:val="none" w:sz="0" w:space="0" w:color="auto"/>
        <w:right w:val="none" w:sz="0" w:space="0" w:color="auto"/>
      </w:divBdr>
    </w:div>
    <w:div w:id="877008739">
      <w:bodyDiv w:val="1"/>
      <w:marLeft w:val="0"/>
      <w:marRight w:val="0"/>
      <w:marTop w:val="0"/>
      <w:marBottom w:val="0"/>
      <w:divBdr>
        <w:top w:val="none" w:sz="0" w:space="0" w:color="auto"/>
        <w:left w:val="none" w:sz="0" w:space="0" w:color="auto"/>
        <w:bottom w:val="none" w:sz="0" w:space="0" w:color="auto"/>
        <w:right w:val="none" w:sz="0" w:space="0" w:color="auto"/>
      </w:divBdr>
    </w:div>
    <w:div w:id="892237199">
      <w:bodyDiv w:val="1"/>
      <w:marLeft w:val="0"/>
      <w:marRight w:val="0"/>
      <w:marTop w:val="0"/>
      <w:marBottom w:val="0"/>
      <w:divBdr>
        <w:top w:val="none" w:sz="0" w:space="0" w:color="auto"/>
        <w:left w:val="none" w:sz="0" w:space="0" w:color="auto"/>
        <w:bottom w:val="none" w:sz="0" w:space="0" w:color="auto"/>
        <w:right w:val="none" w:sz="0" w:space="0" w:color="auto"/>
      </w:divBdr>
    </w:div>
    <w:div w:id="934173605">
      <w:bodyDiv w:val="1"/>
      <w:marLeft w:val="0"/>
      <w:marRight w:val="0"/>
      <w:marTop w:val="0"/>
      <w:marBottom w:val="0"/>
      <w:divBdr>
        <w:top w:val="none" w:sz="0" w:space="0" w:color="auto"/>
        <w:left w:val="none" w:sz="0" w:space="0" w:color="auto"/>
        <w:bottom w:val="none" w:sz="0" w:space="0" w:color="auto"/>
        <w:right w:val="none" w:sz="0" w:space="0" w:color="auto"/>
      </w:divBdr>
    </w:div>
    <w:div w:id="949313201">
      <w:bodyDiv w:val="1"/>
      <w:marLeft w:val="0"/>
      <w:marRight w:val="0"/>
      <w:marTop w:val="0"/>
      <w:marBottom w:val="0"/>
      <w:divBdr>
        <w:top w:val="none" w:sz="0" w:space="0" w:color="auto"/>
        <w:left w:val="none" w:sz="0" w:space="0" w:color="auto"/>
        <w:bottom w:val="none" w:sz="0" w:space="0" w:color="auto"/>
        <w:right w:val="none" w:sz="0" w:space="0" w:color="auto"/>
      </w:divBdr>
    </w:div>
    <w:div w:id="957177162">
      <w:bodyDiv w:val="1"/>
      <w:marLeft w:val="0"/>
      <w:marRight w:val="0"/>
      <w:marTop w:val="0"/>
      <w:marBottom w:val="0"/>
      <w:divBdr>
        <w:top w:val="none" w:sz="0" w:space="0" w:color="auto"/>
        <w:left w:val="none" w:sz="0" w:space="0" w:color="auto"/>
        <w:bottom w:val="none" w:sz="0" w:space="0" w:color="auto"/>
        <w:right w:val="none" w:sz="0" w:space="0" w:color="auto"/>
      </w:divBdr>
    </w:div>
    <w:div w:id="977346670">
      <w:bodyDiv w:val="1"/>
      <w:marLeft w:val="0"/>
      <w:marRight w:val="0"/>
      <w:marTop w:val="0"/>
      <w:marBottom w:val="0"/>
      <w:divBdr>
        <w:top w:val="none" w:sz="0" w:space="0" w:color="auto"/>
        <w:left w:val="none" w:sz="0" w:space="0" w:color="auto"/>
        <w:bottom w:val="none" w:sz="0" w:space="0" w:color="auto"/>
        <w:right w:val="none" w:sz="0" w:space="0" w:color="auto"/>
      </w:divBdr>
    </w:div>
    <w:div w:id="1022704691">
      <w:bodyDiv w:val="1"/>
      <w:marLeft w:val="0"/>
      <w:marRight w:val="0"/>
      <w:marTop w:val="0"/>
      <w:marBottom w:val="0"/>
      <w:divBdr>
        <w:top w:val="none" w:sz="0" w:space="0" w:color="auto"/>
        <w:left w:val="none" w:sz="0" w:space="0" w:color="auto"/>
        <w:bottom w:val="none" w:sz="0" w:space="0" w:color="auto"/>
        <w:right w:val="none" w:sz="0" w:space="0" w:color="auto"/>
      </w:divBdr>
    </w:div>
    <w:div w:id="1023092759">
      <w:bodyDiv w:val="1"/>
      <w:marLeft w:val="0"/>
      <w:marRight w:val="0"/>
      <w:marTop w:val="0"/>
      <w:marBottom w:val="0"/>
      <w:divBdr>
        <w:top w:val="none" w:sz="0" w:space="0" w:color="auto"/>
        <w:left w:val="none" w:sz="0" w:space="0" w:color="auto"/>
        <w:bottom w:val="none" w:sz="0" w:space="0" w:color="auto"/>
        <w:right w:val="none" w:sz="0" w:space="0" w:color="auto"/>
      </w:divBdr>
    </w:div>
    <w:div w:id="1042749221">
      <w:bodyDiv w:val="1"/>
      <w:marLeft w:val="0"/>
      <w:marRight w:val="0"/>
      <w:marTop w:val="0"/>
      <w:marBottom w:val="0"/>
      <w:divBdr>
        <w:top w:val="none" w:sz="0" w:space="0" w:color="auto"/>
        <w:left w:val="none" w:sz="0" w:space="0" w:color="auto"/>
        <w:bottom w:val="none" w:sz="0" w:space="0" w:color="auto"/>
        <w:right w:val="none" w:sz="0" w:space="0" w:color="auto"/>
      </w:divBdr>
    </w:div>
    <w:div w:id="1079449921">
      <w:bodyDiv w:val="1"/>
      <w:marLeft w:val="0"/>
      <w:marRight w:val="0"/>
      <w:marTop w:val="0"/>
      <w:marBottom w:val="0"/>
      <w:divBdr>
        <w:top w:val="none" w:sz="0" w:space="0" w:color="auto"/>
        <w:left w:val="none" w:sz="0" w:space="0" w:color="auto"/>
        <w:bottom w:val="none" w:sz="0" w:space="0" w:color="auto"/>
        <w:right w:val="none" w:sz="0" w:space="0" w:color="auto"/>
      </w:divBdr>
    </w:div>
    <w:div w:id="1083844138">
      <w:bodyDiv w:val="1"/>
      <w:marLeft w:val="0"/>
      <w:marRight w:val="0"/>
      <w:marTop w:val="0"/>
      <w:marBottom w:val="0"/>
      <w:divBdr>
        <w:top w:val="none" w:sz="0" w:space="0" w:color="auto"/>
        <w:left w:val="none" w:sz="0" w:space="0" w:color="auto"/>
        <w:bottom w:val="none" w:sz="0" w:space="0" w:color="auto"/>
        <w:right w:val="none" w:sz="0" w:space="0" w:color="auto"/>
      </w:divBdr>
    </w:div>
    <w:div w:id="1106463620">
      <w:bodyDiv w:val="1"/>
      <w:marLeft w:val="0"/>
      <w:marRight w:val="0"/>
      <w:marTop w:val="0"/>
      <w:marBottom w:val="0"/>
      <w:divBdr>
        <w:top w:val="none" w:sz="0" w:space="0" w:color="auto"/>
        <w:left w:val="none" w:sz="0" w:space="0" w:color="auto"/>
        <w:bottom w:val="none" w:sz="0" w:space="0" w:color="auto"/>
        <w:right w:val="none" w:sz="0" w:space="0" w:color="auto"/>
      </w:divBdr>
    </w:div>
    <w:div w:id="1205212617">
      <w:bodyDiv w:val="1"/>
      <w:marLeft w:val="0"/>
      <w:marRight w:val="0"/>
      <w:marTop w:val="0"/>
      <w:marBottom w:val="0"/>
      <w:divBdr>
        <w:top w:val="none" w:sz="0" w:space="0" w:color="auto"/>
        <w:left w:val="none" w:sz="0" w:space="0" w:color="auto"/>
        <w:bottom w:val="none" w:sz="0" w:space="0" w:color="auto"/>
        <w:right w:val="none" w:sz="0" w:space="0" w:color="auto"/>
      </w:divBdr>
    </w:div>
    <w:div w:id="1219631469">
      <w:bodyDiv w:val="1"/>
      <w:marLeft w:val="0"/>
      <w:marRight w:val="0"/>
      <w:marTop w:val="0"/>
      <w:marBottom w:val="0"/>
      <w:divBdr>
        <w:top w:val="none" w:sz="0" w:space="0" w:color="auto"/>
        <w:left w:val="none" w:sz="0" w:space="0" w:color="auto"/>
        <w:bottom w:val="none" w:sz="0" w:space="0" w:color="auto"/>
        <w:right w:val="none" w:sz="0" w:space="0" w:color="auto"/>
      </w:divBdr>
    </w:div>
    <w:div w:id="1224633380">
      <w:bodyDiv w:val="1"/>
      <w:marLeft w:val="0"/>
      <w:marRight w:val="0"/>
      <w:marTop w:val="0"/>
      <w:marBottom w:val="0"/>
      <w:divBdr>
        <w:top w:val="none" w:sz="0" w:space="0" w:color="auto"/>
        <w:left w:val="none" w:sz="0" w:space="0" w:color="auto"/>
        <w:bottom w:val="none" w:sz="0" w:space="0" w:color="auto"/>
        <w:right w:val="none" w:sz="0" w:space="0" w:color="auto"/>
      </w:divBdr>
    </w:div>
    <w:div w:id="1256673290">
      <w:bodyDiv w:val="1"/>
      <w:marLeft w:val="0"/>
      <w:marRight w:val="0"/>
      <w:marTop w:val="0"/>
      <w:marBottom w:val="0"/>
      <w:divBdr>
        <w:top w:val="none" w:sz="0" w:space="0" w:color="auto"/>
        <w:left w:val="none" w:sz="0" w:space="0" w:color="auto"/>
        <w:bottom w:val="none" w:sz="0" w:space="0" w:color="auto"/>
        <w:right w:val="none" w:sz="0" w:space="0" w:color="auto"/>
      </w:divBdr>
    </w:div>
    <w:div w:id="1270695262">
      <w:bodyDiv w:val="1"/>
      <w:marLeft w:val="0"/>
      <w:marRight w:val="0"/>
      <w:marTop w:val="0"/>
      <w:marBottom w:val="0"/>
      <w:divBdr>
        <w:top w:val="none" w:sz="0" w:space="0" w:color="auto"/>
        <w:left w:val="none" w:sz="0" w:space="0" w:color="auto"/>
        <w:bottom w:val="none" w:sz="0" w:space="0" w:color="auto"/>
        <w:right w:val="none" w:sz="0" w:space="0" w:color="auto"/>
      </w:divBdr>
    </w:div>
    <w:div w:id="1296256111">
      <w:bodyDiv w:val="1"/>
      <w:marLeft w:val="0"/>
      <w:marRight w:val="0"/>
      <w:marTop w:val="0"/>
      <w:marBottom w:val="0"/>
      <w:divBdr>
        <w:top w:val="none" w:sz="0" w:space="0" w:color="auto"/>
        <w:left w:val="none" w:sz="0" w:space="0" w:color="auto"/>
        <w:bottom w:val="none" w:sz="0" w:space="0" w:color="auto"/>
        <w:right w:val="none" w:sz="0" w:space="0" w:color="auto"/>
      </w:divBdr>
    </w:div>
    <w:div w:id="1343703301">
      <w:bodyDiv w:val="1"/>
      <w:marLeft w:val="0"/>
      <w:marRight w:val="0"/>
      <w:marTop w:val="0"/>
      <w:marBottom w:val="0"/>
      <w:divBdr>
        <w:top w:val="none" w:sz="0" w:space="0" w:color="auto"/>
        <w:left w:val="none" w:sz="0" w:space="0" w:color="auto"/>
        <w:bottom w:val="none" w:sz="0" w:space="0" w:color="auto"/>
        <w:right w:val="none" w:sz="0" w:space="0" w:color="auto"/>
      </w:divBdr>
    </w:div>
    <w:div w:id="1365859864">
      <w:bodyDiv w:val="1"/>
      <w:marLeft w:val="0"/>
      <w:marRight w:val="0"/>
      <w:marTop w:val="0"/>
      <w:marBottom w:val="0"/>
      <w:divBdr>
        <w:top w:val="none" w:sz="0" w:space="0" w:color="auto"/>
        <w:left w:val="none" w:sz="0" w:space="0" w:color="auto"/>
        <w:bottom w:val="none" w:sz="0" w:space="0" w:color="auto"/>
        <w:right w:val="none" w:sz="0" w:space="0" w:color="auto"/>
      </w:divBdr>
    </w:div>
    <w:div w:id="1394549052">
      <w:bodyDiv w:val="1"/>
      <w:marLeft w:val="0"/>
      <w:marRight w:val="0"/>
      <w:marTop w:val="0"/>
      <w:marBottom w:val="0"/>
      <w:divBdr>
        <w:top w:val="none" w:sz="0" w:space="0" w:color="auto"/>
        <w:left w:val="none" w:sz="0" w:space="0" w:color="auto"/>
        <w:bottom w:val="none" w:sz="0" w:space="0" w:color="auto"/>
        <w:right w:val="none" w:sz="0" w:space="0" w:color="auto"/>
      </w:divBdr>
    </w:div>
    <w:div w:id="1395006438">
      <w:bodyDiv w:val="1"/>
      <w:marLeft w:val="0"/>
      <w:marRight w:val="0"/>
      <w:marTop w:val="0"/>
      <w:marBottom w:val="0"/>
      <w:divBdr>
        <w:top w:val="none" w:sz="0" w:space="0" w:color="auto"/>
        <w:left w:val="none" w:sz="0" w:space="0" w:color="auto"/>
        <w:bottom w:val="none" w:sz="0" w:space="0" w:color="auto"/>
        <w:right w:val="none" w:sz="0" w:space="0" w:color="auto"/>
      </w:divBdr>
    </w:div>
    <w:div w:id="1445229928">
      <w:bodyDiv w:val="1"/>
      <w:marLeft w:val="0"/>
      <w:marRight w:val="0"/>
      <w:marTop w:val="0"/>
      <w:marBottom w:val="0"/>
      <w:divBdr>
        <w:top w:val="none" w:sz="0" w:space="0" w:color="auto"/>
        <w:left w:val="none" w:sz="0" w:space="0" w:color="auto"/>
        <w:bottom w:val="none" w:sz="0" w:space="0" w:color="auto"/>
        <w:right w:val="none" w:sz="0" w:space="0" w:color="auto"/>
      </w:divBdr>
    </w:div>
    <w:div w:id="1543445111">
      <w:bodyDiv w:val="1"/>
      <w:marLeft w:val="0"/>
      <w:marRight w:val="0"/>
      <w:marTop w:val="0"/>
      <w:marBottom w:val="0"/>
      <w:divBdr>
        <w:top w:val="none" w:sz="0" w:space="0" w:color="auto"/>
        <w:left w:val="none" w:sz="0" w:space="0" w:color="auto"/>
        <w:bottom w:val="none" w:sz="0" w:space="0" w:color="auto"/>
        <w:right w:val="none" w:sz="0" w:space="0" w:color="auto"/>
      </w:divBdr>
    </w:div>
    <w:div w:id="1550072970">
      <w:bodyDiv w:val="1"/>
      <w:marLeft w:val="0"/>
      <w:marRight w:val="0"/>
      <w:marTop w:val="0"/>
      <w:marBottom w:val="0"/>
      <w:divBdr>
        <w:top w:val="none" w:sz="0" w:space="0" w:color="auto"/>
        <w:left w:val="none" w:sz="0" w:space="0" w:color="auto"/>
        <w:bottom w:val="none" w:sz="0" w:space="0" w:color="auto"/>
        <w:right w:val="none" w:sz="0" w:space="0" w:color="auto"/>
      </w:divBdr>
    </w:div>
    <w:div w:id="1574659925">
      <w:bodyDiv w:val="1"/>
      <w:marLeft w:val="0"/>
      <w:marRight w:val="0"/>
      <w:marTop w:val="0"/>
      <w:marBottom w:val="0"/>
      <w:divBdr>
        <w:top w:val="none" w:sz="0" w:space="0" w:color="auto"/>
        <w:left w:val="none" w:sz="0" w:space="0" w:color="auto"/>
        <w:bottom w:val="none" w:sz="0" w:space="0" w:color="auto"/>
        <w:right w:val="none" w:sz="0" w:space="0" w:color="auto"/>
      </w:divBdr>
    </w:div>
    <w:div w:id="1618564451">
      <w:bodyDiv w:val="1"/>
      <w:marLeft w:val="0"/>
      <w:marRight w:val="0"/>
      <w:marTop w:val="0"/>
      <w:marBottom w:val="0"/>
      <w:divBdr>
        <w:top w:val="none" w:sz="0" w:space="0" w:color="auto"/>
        <w:left w:val="none" w:sz="0" w:space="0" w:color="auto"/>
        <w:bottom w:val="none" w:sz="0" w:space="0" w:color="auto"/>
        <w:right w:val="none" w:sz="0" w:space="0" w:color="auto"/>
      </w:divBdr>
    </w:div>
    <w:div w:id="1629627505">
      <w:bodyDiv w:val="1"/>
      <w:marLeft w:val="0"/>
      <w:marRight w:val="0"/>
      <w:marTop w:val="0"/>
      <w:marBottom w:val="0"/>
      <w:divBdr>
        <w:top w:val="none" w:sz="0" w:space="0" w:color="auto"/>
        <w:left w:val="none" w:sz="0" w:space="0" w:color="auto"/>
        <w:bottom w:val="none" w:sz="0" w:space="0" w:color="auto"/>
        <w:right w:val="none" w:sz="0" w:space="0" w:color="auto"/>
      </w:divBdr>
    </w:div>
    <w:div w:id="1682319237">
      <w:bodyDiv w:val="1"/>
      <w:marLeft w:val="0"/>
      <w:marRight w:val="0"/>
      <w:marTop w:val="0"/>
      <w:marBottom w:val="0"/>
      <w:divBdr>
        <w:top w:val="none" w:sz="0" w:space="0" w:color="auto"/>
        <w:left w:val="none" w:sz="0" w:space="0" w:color="auto"/>
        <w:bottom w:val="none" w:sz="0" w:space="0" w:color="auto"/>
        <w:right w:val="none" w:sz="0" w:space="0" w:color="auto"/>
      </w:divBdr>
      <w:divsChild>
        <w:div w:id="988630791">
          <w:marLeft w:val="0"/>
          <w:marRight w:val="0"/>
          <w:marTop w:val="0"/>
          <w:marBottom w:val="0"/>
          <w:divBdr>
            <w:top w:val="none" w:sz="0" w:space="0" w:color="auto"/>
            <w:left w:val="none" w:sz="0" w:space="0" w:color="auto"/>
            <w:bottom w:val="none" w:sz="0" w:space="0" w:color="auto"/>
            <w:right w:val="none" w:sz="0" w:space="0" w:color="auto"/>
          </w:divBdr>
          <w:divsChild>
            <w:div w:id="1608538350">
              <w:marLeft w:val="-300"/>
              <w:marRight w:val="-300"/>
              <w:marTop w:val="0"/>
              <w:marBottom w:val="0"/>
              <w:divBdr>
                <w:top w:val="none" w:sz="0" w:space="0" w:color="auto"/>
                <w:left w:val="none" w:sz="0" w:space="0" w:color="auto"/>
                <w:bottom w:val="none" w:sz="0" w:space="0" w:color="auto"/>
                <w:right w:val="none" w:sz="0" w:space="0" w:color="auto"/>
              </w:divBdr>
              <w:divsChild>
                <w:div w:id="760562959">
                  <w:marLeft w:val="0"/>
                  <w:marRight w:val="0"/>
                  <w:marTop w:val="0"/>
                  <w:marBottom w:val="150"/>
                  <w:divBdr>
                    <w:top w:val="none" w:sz="0" w:space="0" w:color="auto"/>
                    <w:left w:val="none" w:sz="0" w:space="0" w:color="auto"/>
                    <w:bottom w:val="single" w:sz="6" w:space="0" w:color="EBEBEB"/>
                    <w:right w:val="none" w:sz="0" w:space="0" w:color="auto"/>
                  </w:divBdr>
                </w:div>
              </w:divsChild>
            </w:div>
          </w:divsChild>
        </w:div>
      </w:divsChild>
    </w:div>
    <w:div w:id="1727996235">
      <w:bodyDiv w:val="1"/>
      <w:marLeft w:val="0"/>
      <w:marRight w:val="0"/>
      <w:marTop w:val="0"/>
      <w:marBottom w:val="0"/>
      <w:divBdr>
        <w:top w:val="none" w:sz="0" w:space="0" w:color="auto"/>
        <w:left w:val="none" w:sz="0" w:space="0" w:color="auto"/>
        <w:bottom w:val="none" w:sz="0" w:space="0" w:color="auto"/>
        <w:right w:val="none" w:sz="0" w:space="0" w:color="auto"/>
      </w:divBdr>
    </w:div>
    <w:div w:id="1882591274">
      <w:bodyDiv w:val="1"/>
      <w:marLeft w:val="0"/>
      <w:marRight w:val="0"/>
      <w:marTop w:val="0"/>
      <w:marBottom w:val="0"/>
      <w:divBdr>
        <w:top w:val="none" w:sz="0" w:space="0" w:color="auto"/>
        <w:left w:val="none" w:sz="0" w:space="0" w:color="auto"/>
        <w:bottom w:val="none" w:sz="0" w:space="0" w:color="auto"/>
        <w:right w:val="none" w:sz="0" w:space="0" w:color="auto"/>
      </w:divBdr>
    </w:div>
    <w:div w:id="1948347554">
      <w:bodyDiv w:val="1"/>
      <w:marLeft w:val="0"/>
      <w:marRight w:val="0"/>
      <w:marTop w:val="0"/>
      <w:marBottom w:val="0"/>
      <w:divBdr>
        <w:top w:val="none" w:sz="0" w:space="0" w:color="auto"/>
        <w:left w:val="none" w:sz="0" w:space="0" w:color="auto"/>
        <w:bottom w:val="none" w:sz="0" w:space="0" w:color="auto"/>
        <w:right w:val="none" w:sz="0" w:space="0" w:color="auto"/>
      </w:divBdr>
    </w:div>
    <w:div w:id="1969970282">
      <w:bodyDiv w:val="1"/>
      <w:marLeft w:val="0"/>
      <w:marRight w:val="0"/>
      <w:marTop w:val="0"/>
      <w:marBottom w:val="0"/>
      <w:divBdr>
        <w:top w:val="none" w:sz="0" w:space="0" w:color="auto"/>
        <w:left w:val="none" w:sz="0" w:space="0" w:color="auto"/>
        <w:bottom w:val="none" w:sz="0" w:space="0" w:color="auto"/>
        <w:right w:val="none" w:sz="0" w:space="0" w:color="auto"/>
      </w:divBdr>
    </w:div>
    <w:div w:id="2043092837">
      <w:bodyDiv w:val="1"/>
      <w:marLeft w:val="0"/>
      <w:marRight w:val="0"/>
      <w:marTop w:val="0"/>
      <w:marBottom w:val="0"/>
      <w:divBdr>
        <w:top w:val="none" w:sz="0" w:space="0" w:color="auto"/>
        <w:left w:val="none" w:sz="0" w:space="0" w:color="auto"/>
        <w:bottom w:val="none" w:sz="0" w:space="0" w:color="auto"/>
        <w:right w:val="none" w:sz="0" w:space="0" w:color="auto"/>
      </w:divBdr>
    </w:div>
    <w:div w:id="2052071178">
      <w:bodyDiv w:val="1"/>
      <w:marLeft w:val="0"/>
      <w:marRight w:val="0"/>
      <w:marTop w:val="0"/>
      <w:marBottom w:val="0"/>
      <w:divBdr>
        <w:top w:val="none" w:sz="0" w:space="0" w:color="auto"/>
        <w:left w:val="none" w:sz="0" w:space="0" w:color="auto"/>
        <w:bottom w:val="none" w:sz="0" w:space="0" w:color="auto"/>
        <w:right w:val="none" w:sz="0" w:space="0" w:color="auto"/>
      </w:divBdr>
    </w:div>
    <w:div w:id="209427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header" Target="header7.xml"/><Relationship Id="rId39" Type="http://schemas.openxmlformats.org/officeDocument/2006/relationships/footer" Target="footer13.xml"/><Relationship Id="rId3" Type="http://schemas.openxmlformats.org/officeDocument/2006/relationships/customXml" Target="../customXml/item3.xml"/><Relationship Id="rId21" Type="http://schemas.openxmlformats.org/officeDocument/2006/relationships/header" Target="header5.xml"/><Relationship Id="rId34" Type="http://schemas.openxmlformats.org/officeDocument/2006/relationships/footer" Target="footer12.xml"/><Relationship Id="rId42" Type="http://schemas.openxmlformats.org/officeDocument/2006/relationships/footer" Target="footer1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oter" Target="footer8.xml"/><Relationship Id="rId33" Type="http://schemas.openxmlformats.org/officeDocument/2006/relationships/header" Target="header9.xml"/><Relationship Id="rId38" Type="http://schemas.openxmlformats.org/officeDocument/2006/relationships/header" Target="header1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1.png"/><Relationship Id="rId41"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7.xml"/><Relationship Id="rId32" Type="http://schemas.openxmlformats.org/officeDocument/2006/relationships/footer" Target="footer11.xml"/><Relationship Id="rId37" Type="http://schemas.openxmlformats.org/officeDocument/2006/relationships/header" Target="header12.xml"/><Relationship Id="rId40" Type="http://schemas.openxmlformats.org/officeDocument/2006/relationships/footer" Target="footer14.xm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eader" Target="header6.xml"/><Relationship Id="rId28" Type="http://schemas.openxmlformats.org/officeDocument/2006/relationships/hyperlink" Target="https://www.vic.gov.au/regulatory-impact-statements-2019" TargetMode="External"/><Relationship Id="rId36" Type="http://schemas.openxmlformats.org/officeDocument/2006/relationships/header" Target="header11.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oter" Target="footer10.xm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oter" Target="footer6.xml"/><Relationship Id="rId27" Type="http://schemas.openxmlformats.org/officeDocument/2006/relationships/footer" Target="footer9.xml"/><Relationship Id="rId30" Type="http://schemas.openxmlformats.org/officeDocument/2006/relationships/header" Target="header8.xml"/><Relationship Id="rId35" Type="http://schemas.openxmlformats.org/officeDocument/2006/relationships/header" Target="header10.xml"/><Relationship Id="rId43" Type="http://schemas.openxmlformats.org/officeDocument/2006/relationships/header" Target="header15.xml"/></Relationships>
</file>

<file path=word/_rels/footnotes.xml.rels><?xml version="1.0" encoding="UTF-8" standalone="yes"?>
<Relationships xmlns="http://schemas.openxmlformats.org/package/2006/relationships"><Relationship Id="rId3" Type="http://schemas.openxmlformats.org/officeDocument/2006/relationships/hyperlink" Target="http://www.parliament.vic.gov.au/images/stories/committees/eejsc/EEJSC_58-01_Text_WEB.pdf" TargetMode="External"/><Relationship Id="rId2" Type="http://schemas.openxmlformats.org/officeDocument/2006/relationships/hyperlink" Target="http://www.qleave.qld.gov.au" TargetMode="External"/><Relationship Id="rId1" Type="http://schemas.openxmlformats.org/officeDocument/2006/relationships/hyperlink" Target="http://www.actleave.act.gov.au" TargetMode="External"/><Relationship Id="rId4" Type="http://schemas.openxmlformats.org/officeDocument/2006/relationships/hyperlink" Target="http://www.parliament.vic.gov.au/images/stories/committees/eejsc/Victorian_Government_response_to_the_Economic__Education__Jobs_and_Skills_Committee_inquiry_into_portability_of_long_service_leave_entitlements_0mPbGwfN.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scollins\OneDrive%20-%20KPMG\Documents\Kathy%20Collins\Templates2019\Word%20and%20PowerpointTemplates\UnbrandedTemplate20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73D78D1A6A9B4438B22A29CF00E81B0" ma:contentTypeVersion="11" ma:contentTypeDescription="Create a new document." ma:contentTypeScope="" ma:versionID="868164948d5718bdd2a05fea9d955377">
  <xsd:schema xmlns:xsd="http://www.w3.org/2001/XMLSchema" xmlns:xs="http://www.w3.org/2001/XMLSchema" xmlns:p="http://schemas.microsoft.com/office/2006/metadata/properties" xmlns:ns3="0c194132-dfc1-448e-9006-cb96bb799b16" xmlns:ns4="3413db6d-bbfc-43cf-bb36-3c07e35cc9f1" targetNamespace="http://schemas.microsoft.com/office/2006/metadata/properties" ma:root="true" ma:fieldsID="2bf802c571c57013084581a8e1467cbe" ns3:_="" ns4:_="">
    <xsd:import namespace="0c194132-dfc1-448e-9006-cb96bb799b16"/>
    <xsd:import namespace="3413db6d-bbfc-43cf-bb36-3c07e35cc9f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194132-dfc1-448e-9006-cb96bb799b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413db6d-bbfc-43cf-bb36-3c07e35cc9f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1 6 " ? > < K a p i s h F i l e n a m e T o U r i M a p p i n g s   x m l n s : x s i = " h t t p : / / w w w . w 3 . o r g / 2 0 0 1 / X M L S c h e m a - i n s t a n c e "   x m l n s : x s d = " h t t p : / / w w w . w 3 . o r g / 2 0 0 1 / X M L 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51B64E-B198-4DC1-9946-07D93F637D82}">
  <ds:schemaRefs>
    <ds:schemaRef ds:uri="http://purl.org/dc/elements/1.1/"/>
    <ds:schemaRef ds:uri="http://schemas.openxmlformats.org/package/2006/metadata/core-properties"/>
    <ds:schemaRef ds:uri="http://purl.org/dc/terms/"/>
    <ds:schemaRef ds:uri="http://schemas.microsoft.com/office/2006/documentManagement/types"/>
    <ds:schemaRef ds:uri="http://schemas.microsoft.com/office/2006/metadata/properties"/>
    <ds:schemaRef ds:uri="http://schemas.microsoft.com/office/infopath/2007/PartnerControls"/>
    <ds:schemaRef ds:uri="3413db6d-bbfc-43cf-bb36-3c07e35cc9f1"/>
    <ds:schemaRef ds:uri="0c194132-dfc1-448e-9006-cb96bb799b16"/>
    <ds:schemaRef ds:uri="http://www.w3.org/XML/1998/namespace"/>
    <ds:schemaRef ds:uri="http://purl.org/dc/dcmitype/"/>
  </ds:schemaRefs>
</ds:datastoreItem>
</file>

<file path=customXml/itemProps2.xml><?xml version="1.0" encoding="utf-8"?>
<ds:datastoreItem xmlns:ds="http://schemas.openxmlformats.org/officeDocument/2006/customXml" ds:itemID="{529F51D0-D01A-4C1D-94B0-5D8E8E817886}">
  <ds:schemaRefs>
    <ds:schemaRef ds:uri="http://schemas.microsoft.com/sharepoint/v3/contenttype/forms"/>
  </ds:schemaRefs>
</ds:datastoreItem>
</file>

<file path=customXml/itemProps3.xml><?xml version="1.0" encoding="utf-8"?>
<ds:datastoreItem xmlns:ds="http://schemas.openxmlformats.org/officeDocument/2006/customXml" ds:itemID="{2DC12C18-28D5-4ED8-BFD5-F63C16FD10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194132-dfc1-448e-9006-cb96bb799b16"/>
    <ds:schemaRef ds:uri="3413db6d-bbfc-43cf-bb36-3c07e35cc9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ADAC04B-4244-4C97-A69E-05584F9684FA}">
  <ds:schemaRefs>
    <ds:schemaRef ds:uri="http://www.w3.org/2001/XMLSchema"/>
  </ds:schemaRefs>
</ds:datastoreItem>
</file>

<file path=customXml/itemProps5.xml><?xml version="1.0" encoding="utf-8"?>
<ds:datastoreItem xmlns:ds="http://schemas.openxmlformats.org/officeDocument/2006/customXml" ds:itemID="{7ABC9E04-3916-4828-8BA9-4B0BB6E557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UnbrandedTemplate2018.dotx</Template>
  <TotalTime>1</TotalTime>
  <Pages>102</Pages>
  <Words>38832</Words>
  <Characters>221346</Characters>
  <Application>Microsoft Office Word</Application>
  <DocSecurity>4</DocSecurity>
  <Lines>1844</Lines>
  <Paragraphs>519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259659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Kathy Collins</dc:creator>
  <cp:keywords/>
  <dc:description/>
  <cp:lastModifiedBy>Kathy Alys (DPC)</cp:lastModifiedBy>
  <cp:revision>2</cp:revision>
  <cp:lastPrinted>2020-03-19T21:30:00Z</cp:lastPrinted>
  <dcterms:created xsi:type="dcterms:W3CDTF">2020-05-18T23:45:00Z</dcterms:created>
  <dcterms:modified xsi:type="dcterms:W3CDTF">2020-05-18T23:45:00Z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2c4f152d-27d1-4ee3-93b2-c97c8a228413</vt:lpwstr>
  </property>
  <property fmtid="{D5CDD505-2E9C-101B-9397-08002B2CF9AE}" pid="3" name="Classification">
    <vt:lpwstr>Do Not Mark</vt:lpwstr>
  </property>
  <property fmtid="{D5CDD505-2E9C-101B-9397-08002B2CF9AE}" pid="4" name="MSIP_Label_7158ebbd-6c5e-441f-bfc9-4eb8c11e3978_Enabled">
    <vt:lpwstr>True</vt:lpwstr>
  </property>
  <property fmtid="{D5CDD505-2E9C-101B-9397-08002B2CF9AE}" pid="5" name="MSIP_Label_7158ebbd-6c5e-441f-bfc9-4eb8c11e3978_SiteId">
    <vt:lpwstr>722ea0be-3e1c-4b11-ad6f-9401d6856e24</vt:lpwstr>
  </property>
  <property fmtid="{D5CDD505-2E9C-101B-9397-08002B2CF9AE}" pid="6" name="MSIP_Label_7158ebbd-6c5e-441f-bfc9-4eb8c11e3978_Owner">
    <vt:lpwstr>russell.bancroft@dpc.vic.gov.au</vt:lpwstr>
  </property>
  <property fmtid="{D5CDD505-2E9C-101B-9397-08002B2CF9AE}" pid="7" name="MSIP_Label_7158ebbd-6c5e-441f-bfc9-4eb8c11e3978_SetDate">
    <vt:lpwstr>2020-04-16T04:31:14.0974892Z</vt:lpwstr>
  </property>
  <property fmtid="{D5CDD505-2E9C-101B-9397-08002B2CF9AE}" pid="8" name="MSIP_Label_7158ebbd-6c5e-441f-bfc9-4eb8c11e3978_Name">
    <vt:lpwstr>OFFICIAL</vt:lpwstr>
  </property>
  <property fmtid="{D5CDD505-2E9C-101B-9397-08002B2CF9AE}" pid="9" name="MSIP_Label_7158ebbd-6c5e-441f-bfc9-4eb8c11e3978_Application">
    <vt:lpwstr>Microsoft Azure Information Protection</vt:lpwstr>
  </property>
  <property fmtid="{D5CDD505-2E9C-101B-9397-08002B2CF9AE}" pid="10" name="MSIP_Label_7158ebbd-6c5e-441f-bfc9-4eb8c11e3978_Extended_MSFT_Method">
    <vt:lpwstr>Manual</vt:lpwstr>
  </property>
  <property fmtid="{D5CDD505-2E9C-101B-9397-08002B2CF9AE}" pid="11" name="Sensitivity">
    <vt:lpwstr>OFFICIAL</vt:lpwstr>
  </property>
  <property fmtid="{D5CDD505-2E9C-101B-9397-08002B2CF9AE}" pid="12" name="ContentTypeId">
    <vt:lpwstr>0x010100173D78D1A6A9B4438B22A29CF00E81B0</vt:lpwstr>
  </property>
</Properties>
</file>