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2049B" w14:textId="77777777" w:rsidR="001E349B" w:rsidRPr="00A42498" w:rsidRDefault="008B20E8" w:rsidP="001E349B">
      <w:r w:rsidRPr="00A42498">
        <w:rPr>
          <w:noProof/>
          <w:lang w:eastAsia="en-AU"/>
        </w:rPr>
        <w:drawing>
          <wp:anchor distT="0" distB="0" distL="114300" distR="114300" simplePos="0" relativeHeight="251658243" behindDoc="0" locked="0" layoutInCell="1" allowOverlap="1" wp14:anchorId="04B3D147" wp14:editId="34A1BDA7">
            <wp:simplePos x="0" y="0"/>
            <wp:positionH relativeFrom="page">
              <wp:posOffset>431800</wp:posOffset>
            </wp:positionH>
            <wp:positionV relativeFrom="page">
              <wp:posOffset>431800</wp:posOffset>
            </wp:positionV>
            <wp:extent cx="3185786" cy="914400"/>
            <wp:effectExtent l="0" t="0" r="0" b="0"/>
            <wp:wrapNone/>
            <wp:docPr id="1" name="Frontpage_Logo_Negativ" hidden="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page_Logo_Negativ" hidden="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5786"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80F03" w14:textId="6977E8CF" w:rsidR="00D96296" w:rsidRPr="00A42498" w:rsidRDefault="001E349B" w:rsidP="00590970">
      <w:pPr>
        <w:sectPr w:rsidR="00D96296" w:rsidRPr="00A42498" w:rsidSect="002D7281">
          <w:headerReference w:type="even" r:id="rId9"/>
          <w:headerReference w:type="default" r:id="rId10"/>
          <w:footerReference w:type="even" r:id="rId11"/>
          <w:footerReference w:type="default" r:id="rId12"/>
          <w:headerReference w:type="first" r:id="rId13"/>
          <w:footerReference w:type="first" r:id="rId14"/>
          <w:pgSz w:w="11906" w:h="16838" w:code="9"/>
          <w:pgMar w:top="1985" w:right="4281" w:bottom="1134" w:left="680" w:header="680" w:footer="425" w:gutter="0"/>
          <w:cols w:space="284"/>
          <w:docGrid w:linePitch="360"/>
        </w:sectPr>
      </w:pPr>
      <w:r w:rsidRPr="00A42498">
        <w:rPr>
          <w:noProof/>
          <w:lang w:eastAsia="en-AU"/>
        </w:rPr>
        <mc:AlternateContent>
          <mc:Choice Requires="wps">
            <w:drawing>
              <wp:anchor distT="0" distB="0" distL="114300" distR="114300" simplePos="0" relativeHeight="251658241" behindDoc="1" locked="1" layoutInCell="1" allowOverlap="1" wp14:anchorId="4A1A86B2" wp14:editId="3BF58709">
                <wp:simplePos x="0" y="0"/>
                <wp:positionH relativeFrom="page">
                  <wp:align>left</wp:align>
                </wp:positionH>
                <wp:positionV relativeFrom="page">
                  <wp:align>top</wp:align>
                </wp:positionV>
                <wp:extent cx="7596000" cy="10728000"/>
                <wp:effectExtent l="0" t="0" r="5080" b="0"/>
                <wp:wrapNone/>
                <wp:docPr id="35" name="FrontpageBackground">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107280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351C6A" w14:textId="77777777" w:rsidR="00655C2B" w:rsidRDefault="00655C2B" w:rsidP="005909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A86B2" id="FrontpageBackground" o:spid="_x0000_s1026" alt="&quot;&quot;"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" stroked="f" strokeweight="2pt">
                <v:textbox>
                  <w:txbxContent>
                    <w:p w14:paraId="0B351C6A" w14:textId="77777777" w:rsidR="00655C2B" w:rsidRDefault="00655C2B" w:rsidP="00590970"/>
                  </w:txbxContent>
                </v:textbox>
                <w10:wrap anchorx="page" anchory="page"/>
                <w10:anchorlock/>
              </v:rect>
            </w:pict>
          </mc:Fallback>
        </mc:AlternateContent>
      </w:r>
      <w:r w:rsidRPr="00A42498">
        <w:rPr>
          <w:noProof/>
          <w:lang w:eastAsia="en-AU"/>
        </w:rPr>
        <mc:AlternateContent>
          <mc:Choice Requires="wps">
            <w:drawing>
              <wp:anchor distT="0" distB="0" distL="114300" distR="114300" simplePos="0" relativeHeight="251658242" behindDoc="0" locked="1" layoutInCell="1" allowOverlap="1" wp14:anchorId="159F64CD" wp14:editId="2E101E8E">
                <wp:simplePos x="0" y="0"/>
                <wp:positionH relativeFrom="page">
                  <wp:posOffset>428625</wp:posOffset>
                </wp:positionH>
                <wp:positionV relativeFrom="page">
                  <wp:posOffset>428625</wp:posOffset>
                </wp:positionV>
                <wp:extent cx="6746875" cy="9677400"/>
                <wp:effectExtent l="0" t="0" r="0" b="0"/>
                <wp:wrapNone/>
                <wp:docPr id="36" name="Logo and frontpagepicture"/>
                <wp:cNvGraphicFramePr/>
                <a:graphic xmlns:a="http://schemas.openxmlformats.org/drawingml/2006/main">
                  <a:graphicData uri="http://schemas.microsoft.com/office/word/2010/wordprocessingShape">
                    <wps:wsp>
                      <wps:cNvSpPr txBox="1"/>
                      <wps:spPr>
                        <a:xfrm>
                          <a:off x="0" y="0"/>
                          <a:ext cx="6746875" cy="96774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0603"/>
                            </w:tblGrid>
                            <w:tr w:rsidR="00655C2B" w:rsidRPr="00AA1B91" w14:paraId="0DA536CF" w14:textId="77777777" w:rsidTr="000F5503">
                              <w:trPr>
                                <w:cnfStyle w:val="100000000000" w:firstRow="1" w:lastRow="0" w:firstColumn="0" w:lastColumn="0" w:oddVBand="0" w:evenVBand="0" w:oddHBand="0" w:evenHBand="0" w:firstRowFirstColumn="0" w:firstRowLastColumn="0" w:lastRowFirstColumn="0" w:lastRowLastColumn="0"/>
                                <w:trHeight w:val="1604"/>
                              </w:trPr>
                              <w:tc>
                                <w:tcPr>
                                  <w:tcW w:w="10603" w:type="dxa"/>
                                </w:tcPr>
                                <w:p w14:paraId="1BA114BC" w14:textId="77777777" w:rsidR="00655C2B" w:rsidRPr="00AA1B91" w:rsidRDefault="00655C2B" w:rsidP="000F5503">
                                  <w:bookmarkStart w:id="0" w:name="Frontpage_Logo_Positiv"/>
                                  <w:bookmarkEnd w:id="0"/>
                                </w:p>
                              </w:tc>
                            </w:tr>
                            <w:tr w:rsidR="00655C2B" w:rsidRPr="00AA1B91" w14:paraId="707DE190" w14:textId="77777777" w:rsidTr="00981018">
                              <w:trPr>
                                <w:trHeight w:hRule="exact" w:val="10603"/>
                              </w:trPr>
                              <w:tc>
                                <w:tcPr>
                                  <w:tcW w:w="10603" w:type="dxa"/>
                                </w:tcPr>
                                <w:p w14:paraId="163453C1" w14:textId="2FB2B1F7" w:rsidR="00655C2B" w:rsidRPr="00AA1B91" w:rsidRDefault="00655C2B" w:rsidP="000F5503">
                                  <w:pPr>
                                    <w:pStyle w:val="FPPicture"/>
                                  </w:pPr>
                                  <w:r>
                                    <w:rPr>
                                      <w:noProof/>
                                    </w:rPr>
                                    <w:drawing>
                                      <wp:inline distT="0" distB="0" distL="0" distR="0" wp14:anchorId="63F27049" wp14:editId="1E6C1D03">
                                        <wp:extent cx="5236975" cy="5124450"/>
                                        <wp:effectExtent l="0" t="0" r="1905" b="0"/>
                                        <wp:docPr id="52" name="Picture 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a:extLst>
                                                    <a:ext uri="{C183D7F6-B498-43B3-948B-1728B52AA6E4}">
                                                      <adec:decorative xmlns:adec="http://schemas.microsoft.com/office/drawing/2017/decorative" val="1"/>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43" t="15987" r="15581" b="16323"/>
                                                <a:stretch/>
                                              </pic:blipFill>
                                              <pic:spPr bwMode="auto">
                                                <a:xfrm>
                                                  <a:off x="0" y="0"/>
                                                  <a:ext cx="5272017" cy="5158739"/>
                                                </a:xfrm>
                                                <a:prstGeom prst="flowChartConnector">
                                                  <a:avLst/>
                                                </a:prstGeom>
                                                <a:noFill/>
                                                <a:ln>
                                                  <a:noFill/>
                                                </a:ln>
                                                <a:extLst>
                                                  <a:ext uri="{53640926-AAD7-44D8-BBD7-CCE9431645EC}">
                                                    <a14:shadowObscured xmlns:a14="http://schemas.microsoft.com/office/drawing/2010/main"/>
                                                  </a:ext>
                                                </a:extLst>
                                              </pic:spPr>
                                            </pic:pic>
                                          </a:graphicData>
                                        </a:graphic>
                                      </wp:inline>
                                    </w:drawing>
                                  </w:r>
                                </w:p>
                              </w:tc>
                            </w:tr>
                          </w:tbl>
                          <w:p w14:paraId="284331F9" w14:textId="77777777" w:rsidR="00655C2B" w:rsidRDefault="00655C2B" w:rsidP="00981018">
                            <w:pPr>
                              <w:pStyle w:val="NoSpacing"/>
                            </w:pPr>
                          </w:p>
                          <w:tbl>
                            <w:tblPr>
                              <w:tblStyle w:val="Tabel-Gitter1"/>
                              <w:tblOverlap w:val="never"/>
                              <w:tblW w:w="0" w:type="auto"/>
                              <w:tblLayout w:type="fixed"/>
                              <w:tblLook w:val="04A0" w:firstRow="1" w:lastRow="0" w:firstColumn="1" w:lastColumn="0" w:noHBand="0" w:noVBand="1"/>
                            </w:tblPr>
                            <w:tblGrid>
                              <w:gridCol w:w="8505"/>
                            </w:tblGrid>
                            <w:tr w:rsidR="00655C2B" w14:paraId="7C590355" w14:textId="77777777" w:rsidTr="00EB5D14">
                              <w:trPr>
                                <w:cnfStyle w:val="100000000000" w:firstRow="1" w:lastRow="0" w:firstColumn="0" w:lastColumn="0" w:oddVBand="0" w:evenVBand="0" w:oddHBand="0" w:evenHBand="0" w:firstRowFirstColumn="0" w:firstRowLastColumn="0" w:lastRowFirstColumn="0" w:lastRowLastColumn="0"/>
                                <w:trHeight w:val="2438"/>
                              </w:trPr>
                              <w:tc>
                                <w:tcPr>
                                  <w:tcW w:w="8505" w:type="dxa"/>
                                  <w:vAlign w:val="bottom"/>
                                  <w:hideMark/>
                                </w:tcPr>
                                <w:p w14:paraId="31939D4A" w14:textId="0F499105" w:rsidR="00655C2B" w:rsidRPr="00A96769" w:rsidRDefault="0083638F" w:rsidP="000F5503">
                                  <w:pPr>
                                    <w:pStyle w:val="Documenttitle"/>
                                  </w:pPr>
                                  <w:bookmarkStart w:id="1" w:name="start"/>
                                  <w:r>
                                    <w:t>Regulatory Impact Statement - Control of Weapons Regulations 2021</w:t>
                                  </w:r>
                                  <w:bookmarkEnd w:id="1"/>
                                </w:p>
                                <w:p w14:paraId="0705E199" w14:textId="503C7C90" w:rsidR="00655C2B" w:rsidRDefault="00655C2B" w:rsidP="005D3CA2">
                                  <w:pPr>
                                    <w:pStyle w:val="Documentsubtitle"/>
                                  </w:pPr>
                                  <w:r>
                                    <w:t>Department of Justice and Community Safety</w:t>
                                  </w:r>
                                </w:p>
                                <w:p w14:paraId="07AC6987" w14:textId="443590D5" w:rsidR="00655C2B" w:rsidRDefault="00981886" w:rsidP="00981886">
                                  <w:pPr>
                                    <w:pStyle w:val="Documentsubtitle"/>
                                  </w:pPr>
                                  <w:r>
                                    <w:t>22</w:t>
                                  </w:r>
                                  <w:r w:rsidR="00655C2B">
                                    <w:t xml:space="preserve"> June 2021</w:t>
                                  </w:r>
                                </w:p>
                              </w:tc>
                            </w:tr>
                          </w:tbl>
                          <w:p w14:paraId="7DE1C2EB" w14:textId="77777777" w:rsidR="00655C2B" w:rsidRPr="00AA1B91" w:rsidRDefault="00655C2B" w:rsidP="00A424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F64CD" id="_x0000_t202" coordsize="21600,21600" o:spt="202" path="m,l,21600r21600,l21600,xe">
                <v:stroke joinstyle="miter"/>
                <v:path gradientshapeok="t" o:connecttype="rect"/>
              </v:shapetype>
              <v:shape id="Logo and frontpagepicture" o:spid="_x0000_s1027" type="#_x0000_t202" style="position:absolute;margin-left:33.75pt;margin-top:33.75pt;width:531.25pt;height:762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" filled="f" fillcolor="white [3201]" stroked="f" strokeweight=".5pt">
                <v:textbox inset="0,0,0,0">
                  <w:txbxContent>
                    <w:tbl>
                      <w:tblPr>
                        <w:tblStyle w:val="TableGrid"/>
                        <w:tblW w:w="0" w:type="auto"/>
                        <w:tblLayout w:type="fixed"/>
                        <w:tblLook w:val="04A0" w:firstRow="1" w:lastRow="0" w:firstColumn="1" w:lastColumn="0" w:noHBand="0" w:noVBand="1"/>
                      </w:tblPr>
                      <w:tblGrid>
                        <w:gridCol w:w="10603"/>
                      </w:tblGrid>
                      <w:tr w:rsidR="00655C2B" w:rsidRPr="00AA1B91" w14:paraId="0DA536CF" w14:textId="77777777" w:rsidTr="000F5503">
                        <w:trPr>
                          <w:cnfStyle w:val="100000000000" w:firstRow="1" w:lastRow="0" w:firstColumn="0" w:lastColumn="0" w:oddVBand="0" w:evenVBand="0" w:oddHBand="0" w:evenHBand="0" w:firstRowFirstColumn="0" w:firstRowLastColumn="0" w:lastRowFirstColumn="0" w:lastRowLastColumn="0"/>
                          <w:trHeight w:val="1604"/>
                        </w:trPr>
                        <w:tc>
                          <w:tcPr>
                            <w:tcW w:w="10603" w:type="dxa"/>
                          </w:tcPr>
                          <w:p w14:paraId="1BA114BC" w14:textId="77777777" w:rsidR="00655C2B" w:rsidRPr="00AA1B91" w:rsidRDefault="00655C2B" w:rsidP="000F5503">
                            <w:bookmarkStart w:id="2" w:name="Frontpage_Logo_Positiv"/>
                            <w:bookmarkEnd w:id="2"/>
                          </w:p>
                        </w:tc>
                      </w:tr>
                      <w:tr w:rsidR="00655C2B" w:rsidRPr="00AA1B91" w14:paraId="707DE190" w14:textId="77777777" w:rsidTr="00981018">
                        <w:trPr>
                          <w:trHeight w:hRule="exact" w:val="10603"/>
                        </w:trPr>
                        <w:tc>
                          <w:tcPr>
                            <w:tcW w:w="10603" w:type="dxa"/>
                          </w:tcPr>
                          <w:p w14:paraId="163453C1" w14:textId="2FB2B1F7" w:rsidR="00655C2B" w:rsidRPr="00AA1B91" w:rsidRDefault="00655C2B" w:rsidP="000F5503">
                            <w:pPr>
                              <w:pStyle w:val="FPPicture"/>
                            </w:pPr>
                            <w:r>
                              <w:rPr>
                                <w:noProof/>
                              </w:rPr>
                              <w:drawing>
                                <wp:inline distT="0" distB="0" distL="0" distR="0" wp14:anchorId="63F27049" wp14:editId="1E6C1D03">
                                  <wp:extent cx="5236975" cy="5124450"/>
                                  <wp:effectExtent l="0" t="0" r="1905" b="0"/>
                                  <wp:docPr id="52" name="Picture 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a:extLst>
                                              <a:ext uri="{C183D7F6-B498-43B3-948B-1728B52AA6E4}">
                                                <adec:decorative xmlns:adec="http://schemas.microsoft.com/office/drawing/2017/decorative" val="1"/>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43" t="15987" r="15581" b="16323"/>
                                          <a:stretch/>
                                        </pic:blipFill>
                                        <pic:spPr bwMode="auto">
                                          <a:xfrm>
                                            <a:off x="0" y="0"/>
                                            <a:ext cx="5272017" cy="5158739"/>
                                          </a:xfrm>
                                          <a:prstGeom prst="flowChartConnector">
                                            <a:avLst/>
                                          </a:prstGeom>
                                          <a:noFill/>
                                          <a:ln>
                                            <a:noFill/>
                                          </a:ln>
                                          <a:extLst>
                                            <a:ext uri="{53640926-AAD7-44D8-BBD7-CCE9431645EC}">
                                              <a14:shadowObscured xmlns:a14="http://schemas.microsoft.com/office/drawing/2010/main"/>
                                            </a:ext>
                                          </a:extLst>
                                        </pic:spPr>
                                      </pic:pic>
                                    </a:graphicData>
                                  </a:graphic>
                                </wp:inline>
                              </w:drawing>
                            </w:r>
                          </w:p>
                        </w:tc>
                      </w:tr>
                    </w:tbl>
                    <w:p w14:paraId="284331F9" w14:textId="77777777" w:rsidR="00655C2B" w:rsidRDefault="00655C2B" w:rsidP="00981018">
                      <w:pPr>
                        <w:pStyle w:val="NoSpacing"/>
                      </w:pPr>
                    </w:p>
                    <w:tbl>
                      <w:tblPr>
                        <w:tblStyle w:val="Tabel-Gitter1"/>
                        <w:tblOverlap w:val="never"/>
                        <w:tblW w:w="0" w:type="auto"/>
                        <w:tblLayout w:type="fixed"/>
                        <w:tblLook w:val="04A0" w:firstRow="1" w:lastRow="0" w:firstColumn="1" w:lastColumn="0" w:noHBand="0" w:noVBand="1"/>
                      </w:tblPr>
                      <w:tblGrid>
                        <w:gridCol w:w="8505"/>
                      </w:tblGrid>
                      <w:tr w:rsidR="00655C2B" w14:paraId="7C590355" w14:textId="77777777" w:rsidTr="00EB5D14">
                        <w:trPr>
                          <w:cnfStyle w:val="100000000000" w:firstRow="1" w:lastRow="0" w:firstColumn="0" w:lastColumn="0" w:oddVBand="0" w:evenVBand="0" w:oddHBand="0" w:evenHBand="0" w:firstRowFirstColumn="0" w:firstRowLastColumn="0" w:lastRowFirstColumn="0" w:lastRowLastColumn="0"/>
                          <w:trHeight w:val="2438"/>
                        </w:trPr>
                        <w:tc>
                          <w:tcPr>
                            <w:tcW w:w="8505" w:type="dxa"/>
                            <w:vAlign w:val="bottom"/>
                            <w:hideMark/>
                          </w:tcPr>
                          <w:p w14:paraId="31939D4A" w14:textId="0F499105" w:rsidR="00655C2B" w:rsidRPr="00A96769" w:rsidRDefault="0083638F" w:rsidP="000F5503">
                            <w:pPr>
                              <w:pStyle w:val="Documenttitle"/>
                            </w:pPr>
                            <w:bookmarkStart w:id="3" w:name="start"/>
                            <w:r>
                              <w:t>Regulatory Impact Statement - Control of Weapons Regulations 2021</w:t>
                            </w:r>
                            <w:bookmarkEnd w:id="3"/>
                          </w:p>
                          <w:p w14:paraId="0705E199" w14:textId="503C7C90" w:rsidR="00655C2B" w:rsidRDefault="00655C2B" w:rsidP="005D3CA2">
                            <w:pPr>
                              <w:pStyle w:val="Documentsubtitle"/>
                            </w:pPr>
                            <w:r>
                              <w:t>Department of Justice and Community Safety</w:t>
                            </w:r>
                          </w:p>
                          <w:p w14:paraId="07AC6987" w14:textId="443590D5" w:rsidR="00655C2B" w:rsidRDefault="00981886" w:rsidP="00981886">
                            <w:pPr>
                              <w:pStyle w:val="Documentsubtitle"/>
                            </w:pPr>
                            <w:r>
                              <w:t>22</w:t>
                            </w:r>
                            <w:r w:rsidR="00655C2B">
                              <w:t xml:space="preserve"> June 2021</w:t>
                            </w:r>
                          </w:p>
                        </w:tc>
                      </w:tr>
                    </w:tbl>
                    <w:p w14:paraId="7DE1C2EB" w14:textId="77777777" w:rsidR="00655C2B" w:rsidRPr="00AA1B91" w:rsidRDefault="00655C2B" w:rsidP="00A42498"/>
                  </w:txbxContent>
                </v:textbox>
                <w10:wrap anchorx="page" anchory="page"/>
                <w10:anchorlock/>
              </v:shape>
            </w:pict>
          </mc:Fallback>
        </mc:AlternateContent>
      </w:r>
    </w:p>
    <w:p w14:paraId="05342A55" w14:textId="77777777" w:rsidR="002268CC" w:rsidRPr="00A42498" w:rsidRDefault="002268CC" w:rsidP="00526C81">
      <w:pPr>
        <w:pStyle w:val="TOCHeading"/>
        <w:spacing w:after="120"/>
      </w:pPr>
      <w:bookmarkStart w:id="4" w:name="LAN_ContentsRP"/>
      <w:r w:rsidRPr="00A42498">
        <w:lastRenderedPageBreak/>
        <w:t>Contents</w:t>
      </w:r>
      <w:bookmarkEnd w:id="4"/>
    </w:p>
    <w:p w14:paraId="4CD870FB" w14:textId="524D77FE" w:rsidR="0065431D" w:rsidRDefault="00B13DBB" w:rsidP="00D15590">
      <w:pPr>
        <w:pStyle w:val="TOC1"/>
        <w:tabs>
          <w:tab w:val="clear" w:pos="6917"/>
          <w:tab w:val="right" w:pos="7230"/>
        </w:tabs>
        <w:rPr>
          <w:rFonts w:asciiTheme="minorHAnsi" w:eastAsiaTheme="minorEastAsia" w:hAnsiTheme="minorHAnsi"/>
          <w:noProof/>
          <w:sz w:val="22"/>
          <w:szCs w:val="22"/>
          <w:lang w:eastAsia="en-AU"/>
        </w:rPr>
      </w:pPr>
      <w:r>
        <w:rPr>
          <w:sz w:val="16"/>
          <w:szCs w:val="16"/>
        </w:rPr>
        <w:fldChar w:fldCharType="begin"/>
      </w:r>
      <w:r>
        <w:rPr>
          <w:sz w:val="16"/>
          <w:szCs w:val="16"/>
        </w:rPr>
        <w:instrText xml:space="preserve"> TOC \o "1-2" \h \z \u </w:instrText>
      </w:r>
      <w:r>
        <w:rPr>
          <w:sz w:val="16"/>
          <w:szCs w:val="16"/>
        </w:rPr>
        <w:fldChar w:fldCharType="separate"/>
      </w:r>
      <w:hyperlink w:anchor="_Toc79397194" w:history="1">
        <w:r w:rsidR="0065431D" w:rsidRPr="00E55A73">
          <w:rPr>
            <w:rStyle w:val="Hyperlink"/>
            <w:noProof/>
          </w:rPr>
          <w:t>Glossary</w:t>
        </w:r>
        <w:r w:rsidR="0065431D">
          <w:rPr>
            <w:noProof/>
            <w:webHidden/>
          </w:rPr>
          <w:tab/>
        </w:r>
        <w:r w:rsidR="0065431D">
          <w:rPr>
            <w:noProof/>
            <w:webHidden/>
          </w:rPr>
          <w:fldChar w:fldCharType="begin"/>
        </w:r>
        <w:r w:rsidR="0065431D">
          <w:rPr>
            <w:noProof/>
            <w:webHidden/>
          </w:rPr>
          <w:instrText xml:space="preserve"> PAGEREF _Toc79397194 \h </w:instrText>
        </w:r>
        <w:r w:rsidR="0065431D">
          <w:rPr>
            <w:noProof/>
            <w:webHidden/>
          </w:rPr>
        </w:r>
        <w:r w:rsidR="0065431D">
          <w:rPr>
            <w:noProof/>
            <w:webHidden/>
          </w:rPr>
          <w:fldChar w:fldCharType="separate"/>
        </w:r>
        <w:r w:rsidR="0065431D">
          <w:rPr>
            <w:noProof/>
            <w:webHidden/>
          </w:rPr>
          <w:t>4</w:t>
        </w:r>
        <w:r w:rsidR="0065431D">
          <w:rPr>
            <w:noProof/>
            <w:webHidden/>
          </w:rPr>
          <w:fldChar w:fldCharType="end"/>
        </w:r>
      </w:hyperlink>
    </w:p>
    <w:p w14:paraId="2673284C" w14:textId="0FB314D9"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195" w:history="1">
        <w:r w:rsidR="0065431D" w:rsidRPr="00E55A73">
          <w:rPr>
            <w:rStyle w:val="Hyperlink"/>
            <w:noProof/>
          </w:rPr>
          <w:t>Executive Summary</w:t>
        </w:r>
        <w:r w:rsidR="0065431D">
          <w:rPr>
            <w:noProof/>
            <w:webHidden/>
          </w:rPr>
          <w:tab/>
        </w:r>
        <w:r w:rsidR="0065431D">
          <w:rPr>
            <w:noProof/>
            <w:webHidden/>
          </w:rPr>
          <w:fldChar w:fldCharType="begin"/>
        </w:r>
        <w:r w:rsidR="0065431D">
          <w:rPr>
            <w:noProof/>
            <w:webHidden/>
          </w:rPr>
          <w:instrText xml:space="preserve"> PAGEREF _Toc79397195 \h </w:instrText>
        </w:r>
        <w:r w:rsidR="0065431D">
          <w:rPr>
            <w:noProof/>
            <w:webHidden/>
          </w:rPr>
        </w:r>
        <w:r w:rsidR="0065431D">
          <w:rPr>
            <w:noProof/>
            <w:webHidden/>
          </w:rPr>
          <w:fldChar w:fldCharType="separate"/>
        </w:r>
        <w:r w:rsidR="0065431D">
          <w:rPr>
            <w:noProof/>
            <w:webHidden/>
          </w:rPr>
          <w:t>5</w:t>
        </w:r>
        <w:r w:rsidR="0065431D">
          <w:rPr>
            <w:noProof/>
            <w:webHidden/>
          </w:rPr>
          <w:fldChar w:fldCharType="end"/>
        </w:r>
      </w:hyperlink>
    </w:p>
    <w:p w14:paraId="2ADDC0A8" w14:textId="4910A824"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196" w:history="1">
        <w:r w:rsidR="0065431D" w:rsidRPr="00E55A73">
          <w:rPr>
            <w:rStyle w:val="Hyperlink"/>
            <w:noProof/>
          </w:rPr>
          <w:t>1</w:t>
        </w:r>
        <w:r w:rsidR="0065431D">
          <w:rPr>
            <w:rFonts w:asciiTheme="minorHAnsi" w:eastAsiaTheme="minorEastAsia" w:hAnsiTheme="minorHAnsi"/>
            <w:noProof/>
            <w:sz w:val="22"/>
            <w:szCs w:val="22"/>
            <w:lang w:eastAsia="en-AU"/>
          </w:rPr>
          <w:tab/>
        </w:r>
        <w:r w:rsidR="0065431D" w:rsidRPr="00E55A73">
          <w:rPr>
            <w:rStyle w:val="Hyperlink"/>
            <w:noProof/>
          </w:rPr>
          <w:t>Background</w:t>
        </w:r>
        <w:r w:rsidR="0065431D">
          <w:rPr>
            <w:noProof/>
            <w:webHidden/>
          </w:rPr>
          <w:tab/>
        </w:r>
        <w:r w:rsidR="0065431D">
          <w:rPr>
            <w:noProof/>
            <w:webHidden/>
          </w:rPr>
          <w:fldChar w:fldCharType="begin"/>
        </w:r>
        <w:r w:rsidR="0065431D">
          <w:rPr>
            <w:noProof/>
            <w:webHidden/>
          </w:rPr>
          <w:instrText xml:space="preserve"> PAGEREF _Toc79397196 \h </w:instrText>
        </w:r>
        <w:r w:rsidR="0065431D">
          <w:rPr>
            <w:noProof/>
            <w:webHidden/>
          </w:rPr>
        </w:r>
        <w:r w:rsidR="0065431D">
          <w:rPr>
            <w:noProof/>
            <w:webHidden/>
          </w:rPr>
          <w:fldChar w:fldCharType="separate"/>
        </w:r>
        <w:r w:rsidR="0065431D">
          <w:rPr>
            <w:noProof/>
            <w:webHidden/>
          </w:rPr>
          <w:t>8</w:t>
        </w:r>
        <w:r w:rsidR="0065431D">
          <w:rPr>
            <w:noProof/>
            <w:webHidden/>
          </w:rPr>
          <w:fldChar w:fldCharType="end"/>
        </w:r>
      </w:hyperlink>
    </w:p>
    <w:p w14:paraId="1834A6BB" w14:textId="08250E17"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197" w:history="1">
        <w:r w:rsidR="0065431D" w:rsidRPr="00E55A73">
          <w:rPr>
            <w:rStyle w:val="Hyperlink"/>
            <w:noProof/>
          </w:rPr>
          <w:t>1.1</w:t>
        </w:r>
        <w:r w:rsidR="0065431D">
          <w:rPr>
            <w:rFonts w:asciiTheme="minorHAnsi" w:eastAsiaTheme="minorEastAsia" w:hAnsiTheme="minorHAnsi"/>
            <w:noProof/>
            <w:sz w:val="22"/>
            <w:szCs w:val="22"/>
            <w:lang w:eastAsia="en-AU"/>
          </w:rPr>
          <w:tab/>
        </w:r>
        <w:r w:rsidR="0065431D" w:rsidRPr="00E55A73">
          <w:rPr>
            <w:rStyle w:val="Hyperlink"/>
            <w:noProof/>
          </w:rPr>
          <w:t>Purpose of this Regulatory Impact Statement (RIS)</w:t>
        </w:r>
        <w:r w:rsidR="0065431D">
          <w:rPr>
            <w:noProof/>
            <w:webHidden/>
          </w:rPr>
          <w:tab/>
        </w:r>
        <w:r w:rsidR="0065431D">
          <w:rPr>
            <w:noProof/>
            <w:webHidden/>
          </w:rPr>
          <w:fldChar w:fldCharType="begin"/>
        </w:r>
        <w:r w:rsidR="0065431D">
          <w:rPr>
            <w:noProof/>
            <w:webHidden/>
          </w:rPr>
          <w:instrText xml:space="preserve"> PAGEREF _Toc79397197 \h </w:instrText>
        </w:r>
        <w:r w:rsidR="0065431D">
          <w:rPr>
            <w:noProof/>
            <w:webHidden/>
          </w:rPr>
        </w:r>
        <w:r w:rsidR="0065431D">
          <w:rPr>
            <w:noProof/>
            <w:webHidden/>
          </w:rPr>
          <w:fldChar w:fldCharType="separate"/>
        </w:r>
        <w:r w:rsidR="0065431D">
          <w:rPr>
            <w:noProof/>
            <w:webHidden/>
          </w:rPr>
          <w:t>8</w:t>
        </w:r>
        <w:r w:rsidR="0065431D">
          <w:rPr>
            <w:noProof/>
            <w:webHidden/>
          </w:rPr>
          <w:fldChar w:fldCharType="end"/>
        </w:r>
      </w:hyperlink>
    </w:p>
    <w:p w14:paraId="36ED022A" w14:textId="625B1BA6"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198" w:history="1">
        <w:r w:rsidR="0065431D" w:rsidRPr="00E55A73">
          <w:rPr>
            <w:rStyle w:val="Hyperlink"/>
            <w:noProof/>
          </w:rPr>
          <w:t>1.2</w:t>
        </w:r>
        <w:r w:rsidR="0065431D">
          <w:rPr>
            <w:rFonts w:asciiTheme="minorHAnsi" w:eastAsiaTheme="minorEastAsia" w:hAnsiTheme="minorHAnsi"/>
            <w:noProof/>
            <w:sz w:val="22"/>
            <w:szCs w:val="22"/>
            <w:lang w:eastAsia="en-AU"/>
          </w:rPr>
          <w:tab/>
        </w:r>
        <w:r w:rsidR="0065431D" w:rsidRPr="00E55A73">
          <w:rPr>
            <w:rStyle w:val="Hyperlink"/>
            <w:noProof/>
          </w:rPr>
          <w:t>The control of weapons</w:t>
        </w:r>
        <w:r w:rsidR="0065431D">
          <w:rPr>
            <w:noProof/>
            <w:webHidden/>
          </w:rPr>
          <w:tab/>
        </w:r>
        <w:r w:rsidR="0065431D">
          <w:rPr>
            <w:noProof/>
            <w:webHidden/>
          </w:rPr>
          <w:fldChar w:fldCharType="begin"/>
        </w:r>
        <w:r w:rsidR="0065431D">
          <w:rPr>
            <w:noProof/>
            <w:webHidden/>
          </w:rPr>
          <w:instrText xml:space="preserve"> PAGEREF _Toc79397198 \h </w:instrText>
        </w:r>
        <w:r w:rsidR="0065431D">
          <w:rPr>
            <w:noProof/>
            <w:webHidden/>
          </w:rPr>
        </w:r>
        <w:r w:rsidR="0065431D">
          <w:rPr>
            <w:noProof/>
            <w:webHidden/>
          </w:rPr>
          <w:fldChar w:fldCharType="separate"/>
        </w:r>
        <w:r w:rsidR="0065431D">
          <w:rPr>
            <w:noProof/>
            <w:webHidden/>
          </w:rPr>
          <w:t>8</w:t>
        </w:r>
        <w:r w:rsidR="0065431D">
          <w:rPr>
            <w:noProof/>
            <w:webHidden/>
          </w:rPr>
          <w:fldChar w:fldCharType="end"/>
        </w:r>
      </w:hyperlink>
    </w:p>
    <w:p w14:paraId="3D78E1DF" w14:textId="464CCCE9"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199" w:history="1">
        <w:r w:rsidR="0065431D" w:rsidRPr="00E55A73">
          <w:rPr>
            <w:rStyle w:val="Hyperlink"/>
            <w:noProof/>
            <w:lang w:val="da-DK"/>
          </w:rPr>
          <w:t>1.3</w:t>
        </w:r>
        <w:r w:rsidR="0065431D">
          <w:rPr>
            <w:rFonts w:asciiTheme="minorHAnsi" w:eastAsiaTheme="minorEastAsia" w:hAnsiTheme="minorHAnsi"/>
            <w:noProof/>
            <w:sz w:val="22"/>
            <w:szCs w:val="22"/>
            <w:lang w:eastAsia="en-AU"/>
          </w:rPr>
          <w:tab/>
        </w:r>
        <w:r w:rsidR="0065431D" w:rsidRPr="00E55A73">
          <w:rPr>
            <w:rStyle w:val="Hyperlink"/>
            <w:noProof/>
            <w:lang w:val="da-DK"/>
          </w:rPr>
          <w:t>Legislative framework</w:t>
        </w:r>
        <w:r w:rsidR="0065431D">
          <w:rPr>
            <w:noProof/>
            <w:webHidden/>
          </w:rPr>
          <w:tab/>
        </w:r>
        <w:r w:rsidR="0065431D">
          <w:rPr>
            <w:noProof/>
            <w:webHidden/>
          </w:rPr>
          <w:fldChar w:fldCharType="begin"/>
        </w:r>
        <w:r w:rsidR="0065431D">
          <w:rPr>
            <w:noProof/>
            <w:webHidden/>
          </w:rPr>
          <w:instrText xml:space="preserve"> PAGEREF _Toc79397199 \h </w:instrText>
        </w:r>
        <w:r w:rsidR="0065431D">
          <w:rPr>
            <w:noProof/>
            <w:webHidden/>
          </w:rPr>
        </w:r>
        <w:r w:rsidR="0065431D">
          <w:rPr>
            <w:noProof/>
            <w:webHidden/>
          </w:rPr>
          <w:fldChar w:fldCharType="separate"/>
        </w:r>
        <w:r w:rsidR="0065431D">
          <w:rPr>
            <w:noProof/>
            <w:webHidden/>
          </w:rPr>
          <w:t>9</w:t>
        </w:r>
        <w:r w:rsidR="0065431D">
          <w:rPr>
            <w:noProof/>
            <w:webHidden/>
          </w:rPr>
          <w:fldChar w:fldCharType="end"/>
        </w:r>
      </w:hyperlink>
    </w:p>
    <w:p w14:paraId="617DEEF8" w14:textId="6B82FD9E"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0" w:history="1">
        <w:r w:rsidR="0065431D" w:rsidRPr="00E55A73">
          <w:rPr>
            <w:rStyle w:val="Hyperlink"/>
            <w:noProof/>
            <w:lang w:val="da-DK"/>
          </w:rPr>
          <w:t>1.4</w:t>
        </w:r>
        <w:r w:rsidR="0065431D">
          <w:rPr>
            <w:rFonts w:asciiTheme="minorHAnsi" w:eastAsiaTheme="minorEastAsia" w:hAnsiTheme="minorHAnsi"/>
            <w:noProof/>
            <w:sz w:val="22"/>
            <w:szCs w:val="22"/>
            <w:lang w:eastAsia="en-AU"/>
          </w:rPr>
          <w:tab/>
        </w:r>
        <w:r w:rsidR="0065431D" w:rsidRPr="00E55A73">
          <w:rPr>
            <w:rStyle w:val="Hyperlink"/>
            <w:noProof/>
            <w:lang w:val="da-DK"/>
          </w:rPr>
          <w:t>Preparation of the RIS</w:t>
        </w:r>
        <w:r w:rsidR="0065431D">
          <w:rPr>
            <w:noProof/>
            <w:webHidden/>
          </w:rPr>
          <w:tab/>
        </w:r>
        <w:r w:rsidR="0065431D">
          <w:rPr>
            <w:noProof/>
            <w:webHidden/>
          </w:rPr>
          <w:fldChar w:fldCharType="begin"/>
        </w:r>
        <w:r w:rsidR="0065431D">
          <w:rPr>
            <w:noProof/>
            <w:webHidden/>
          </w:rPr>
          <w:instrText xml:space="preserve"> PAGEREF _Toc79397200 \h </w:instrText>
        </w:r>
        <w:r w:rsidR="0065431D">
          <w:rPr>
            <w:noProof/>
            <w:webHidden/>
          </w:rPr>
        </w:r>
        <w:r w:rsidR="0065431D">
          <w:rPr>
            <w:noProof/>
            <w:webHidden/>
          </w:rPr>
          <w:fldChar w:fldCharType="separate"/>
        </w:r>
        <w:r w:rsidR="0065431D">
          <w:rPr>
            <w:noProof/>
            <w:webHidden/>
          </w:rPr>
          <w:t>10</w:t>
        </w:r>
        <w:r w:rsidR="0065431D">
          <w:rPr>
            <w:noProof/>
            <w:webHidden/>
          </w:rPr>
          <w:fldChar w:fldCharType="end"/>
        </w:r>
      </w:hyperlink>
    </w:p>
    <w:p w14:paraId="37457A75" w14:textId="245D95A8"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201" w:history="1">
        <w:r w:rsidR="0065431D" w:rsidRPr="00E55A73">
          <w:rPr>
            <w:rStyle w:val="Hyperlink"/>
            <w:noProof/>
          </w:rPr>
          <w:t>2</w:t>
        </w:r>
        <w:r w:rsidR="0065431D">
          <w:rPr>
            <w:rFonts w:asciiTheme="minorHAnsi" w:eastAsiaTheme="minorEastAsia" w:hAnsiTheme="minorHAnsi"/>
            <w:noProof/>
            <w:sz w:val="22"/>
            <w:szCs w:val="22"/>
            <w:lang w:eastAsia="en-AU"/>
          </w:rPr>
          <w:tab/>
        </w:r>
        <w:r w:rsidR="0065431D" w:rsidRPr="00E55A73">
          <w:rPr>
            <w:rStyle w:val="Hyperlink"/>
            <w:noProof/>
          </w:rPr>
          <w:t>Problem statement</w:t>
        </w:r>
        <w:r w:rsidR="0065431D">
          <w:rPr>
            <w:noProof/>
            <w:webHidden/>
          </w:rPr>
          <w:tab/>
        </w:r>
        <w:r w:rsidR="0065431D">
          <w:rPr>
            <w:noProof/>
            <w:webHidden/>
          </w:rPr>
          <w:fldChar w:fldCharType="begin"/>
        </w:r>
        <w:r w:rsidR="0065431D">
          <w:rPr>
            <w:noProof/>
            <w:webHidden/>
          </w:rPr>
          <w:instrText xml:space="preserve"> PAGEREF _Toc79397201 \h </w:instrText>
        </w:r>
        <w:r w:rsidR="0065431D">
          <w:rPr>
            <w:noProof/>
            <w:webHidden/>
          </w:rPr>
        </w:r>
        <w:r w:rsidR="0065431D">
          <w:rPr>
            <w:noProof/>
            <w:webHidden/>
          </w:rPr>
          <w:fldChar w:fldCharType="separate"/>
        </w:r>
        <w:r w:rsidR="0065431D">
          <w:rPr>
            <w:noProof/>
            <w:webHidden/>
          </w:rPr>
          <w:t>12</w:t>
        </w:r>
        <w:r w:rsidR="0065431D">
          <w:rPr>
            <w:noProof/>
            <w:webHidden/>
          </w:rPr>
          <w:fldChar w:fldCharType="end"/>
        </w:r>
      </w:hyperlink>
    </w:p>
    <w:p w14:paraId="7F77B696" w14:textId="0C712DD3"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2" w:history="1">
        <w:r w:rsidR="0065431D" w:rsidRPr="00E55A73">
          <w:rPr>
            <w:rStyle w:val="Hyperlink"/>
            <w:noProof/>
          </w:rPr>
          <w:t>2.1</w:t>
        </w:r>
        <w:r w:rsidR="0065431D">
          <w:rPr>
            <w:rFonts w:asciiTheme="minorHAnsi" w:eastAsiaTheme="minorEastAsia" w:hAnsiTheme="minorHAnsi"/>
            <w:noProof/>
            <w:sz w:val="22"/>
            <w:szCs w:val="22"/>
            <w:lang w:eastAsia="en-AU"/>
          </w:rPr>
          <w:tab/>
        </w:r>
        <w:r w:rsidR="0065431D" w:rsidRPr="00E55A73">
          <w:rPr>
            <w:rStyle w:val="Hyperlink"/>
            <w:noProof/>
          </w:rPr>
          <w:t>Potential misuse of weapons poses risks to community safety</w:t>
        </w:r>
        <w:r w:rsidR="0065431D">
          <w:rPr>
            <w:noProof/>
            <w:webHidden/>
          </w:rPr>
          <w:tab/>
        </w:r>
        <w:r w:rsidR="0065431D">
          <w:rPr>
            <w:noProof/>
            <w:webHidden/>
          </w:rPr>
          <w:fldChar w:fldCharType="begin"/>
        </w:r>
        <w:r w:rsidR="0065431D">
          <w:rPr>
            <w:noProof/>
            <w:webHidden/>
          </w:rPr>
          <w:instrText xml:space="preserve"> PAGEREF _Toc79397202 \h </w:instrText>
        </w:r>
        <w:r w:rsidR="0065431D">
          <w:rPr>
            <w:noProof/>
            <w:webHidden/>
          </w:rPr>
        </w:r>
        <w:r w:rsidR="0065431D">
          <w:rPr>
            <w:noProof/>
            <w:webHidden/>
          </w:rPr>
          <w:fldChar w:fldCharType="separate"/>
        </w:r>
        <w:r w:rsidR="0065431D">
          <w:rPr>
            <w:noProof/>
            <w:webHidden/>
          </w:rPr>
          <w:t>12</w:t>
        </w:r>
        <w:r w:rsidR="0065431D">
          <w:rPr>
            <w:noProof/>
            <w:webHidden/>
          </w:rPr>
          <w:fldChar w:fldCharType="end"/>
        </w:r>
      </w:hyperlink>
    </w:p>
    <w:p w14:paraId="2EA4A1C3" w14:textId="1358BAC9"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3" w:history="1">
        <w:r w:rsidR="0065431D" w:rsidRPr="00E55A73">
          <w:rPr>
            <w:rStyle w:val="Hyperlink"/>
            <w:noProof/>
          </w:rPr>
          <w:t>2.2</w:t>
        </w:r>
        <w:r w:rsidR="0065431D">
          <w:rPr>
            <w:rFonts w:asciiTheme="minorHAnsi" w:eastAsiaTheme="minorEastAsia" w:hAnsiTheme="minorHAnsi"/>
            <w:noProof/>
            <w:sz w:val="22"/>
            <w:szCs w:val="22"/>
            <w:lang w:eastAsia="en-AU"/>
          </w:rPr>
          <w:tab/>
        </w:r>
        <w:r w:rsidR="0065431D" w:rsidRPr="00E55A73">
          <w:rPr>
            <w:rStyle w:val="Hyperlink"/>
            <w:noProof/>
          </w:rPr>
          <w:t>The misuse of weapons carries social and economic costs</w:t>
        </w:r>
        <w:r w:rsidR="0065431D">
          <w:rPr>
            <w:noProof/>
            <w:webHidden/>
          </w:rPr>
          <w:tab/>
        </w:r>
        <w:r w:rsidR="0065431D">
          <w:rPr>
            <w:noProof/>
            <w:webHidden/>
          </w:rPr>
          <w:fldChar w:fldCharType="begin"/>
        </w:r>
        <w:r w:rsidR="0065431D">
          <w:rPr>
            <w:noProof/>
            <w:webHidden/>
          </w:rPr>
          <w:instrText xml:space="preserve"> PAGEREF _Toc79397203 \h </w:instrText>
        </w:r>
        <w:r w:rsidR="0065431D">
          <w:rPr>
            <w:noProof/>
            <w:webHidden/>
          </w:rPr>
        </w:r>
        <w:r w:rsidR="0065431D">
          <w:rPr>
            <w:noProof/>
            <w:webHidden/>
          </w:rPr>
          <w:fldChar w:fldCharType="separate"/>
        </w:r>
        <w:r w:rsidR="0065431D">
          <w:rPr>
            <w:noProof/>
            <w:webHidden/>
          </w:rPr>
          <w:t>15</w:t>
        </w:r>
        <w:r w:rsidR="0065431D">
          <w:rPr>
            <w:noProof/>
            <w:webHidden/>
          </w:rPr>
          <w:fldChar w:fldCharType="end"/>
        </w:r>
      </w:hyperlink>
    </w:p>
    <w:p w14:paraId="7CDE86AF" w14:textId="41B23F47"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4" w:history="1">
        <w:r w:rsidR="0065431D" w:rsidRPr="00E55A73">
          <w:rPr>
            <w:rStyle w:val="Hyperlink"/>
            <w:noProof/>
          </w:rPr>
          <w:t>2.3</w:t>
        </w:r>
        <w:r w:rsidR="0065431D">
          <w:rPr>
            <w:rFonts w:asciiTheme="minorHAnsi" w:eastAsiaTheme="minorEastAsia" w:hAnsiTheme="minorHAnsi"/>
            <w:noProof/>
            <w:sz w:val="22"/>
            <w:szCs w:val="22"/>
            <w:lang w:eastAsia="en-AU"/>
          </w:rPr>
          <w:tab/>
        </w:r>
        <w:r w:rsidR="0065431D" w:rsidRPr="00E55A73">
          <w:rPr>
            <w:rStyle w:val="Hyperlink"/>
            <w:noProof/>
          </w:rPr>
          <w:t>Objectives</w:t>
        </w:r>
        <w:r w:rsidR="0065431D">
          <w:rPr>
            <w:noProof/>
            <w:webHidden/>
          </w:rPr>
          <w:tab/>
        </w:r>
        <w:r w:rsidR="0065431D">
          <w:rPr>
            <w:noProof/>
            <w:webHidden/>
          </w:rPr>
          <w:fldChar w:fldCharType="begin"/>
        </w:r>
        <w:r w:rsidR="0065431D">
          <w:rPr>
            <w:noProof/>
            <w:webHidden/>
          </w:rPr>
          <w:instrText xml:space="preserve"> PAGEREF _Toc79397204 \h </w:instrText>
        </w:r>
        <w:r w:rsidR="0065431D">
          <w:rPr>
            <w:noProof/>
            <w:webHidden/>
          </w:rPr>
        </w:r>
        <w:r w:rsidR="0065431D">
          <w:rPr>
            <w:noProof/>
            <w:webHidden/>
          </w:rPr>
          <w:fldChar w:fldCharType="separate"/>
        </w:r>
        <w:r w:rsidR="0065431D">
          <w:rPr>
            <w:noProof/>
            <w:webHidden/>
          </w:rPr>
          <w:t>16</w:t>
        </w:r>
        <w:r w:rsidR="0065431D">
          <w:rPr>
            <w:noProof/>
            <w:webHidden/>
          </w:rPr>
          <w:fldChar w:fldCharType="end"/>
        </w:r>
      </w:hyperlink>
    </w:p>
    <w:p w14:paraId="7FE1E766" w14:textId="5CEB300D"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5" w:history="1">
        <w:r w:rsidR="0065431D" w:rsidRPr="00E55A73">
          <w:rPr>
            <w:rStyle w:val="Hyperlink"/>
            <w:noProof/>
          </w:rPr>
          <w:t>2.4</w:t>
        </w:r>
        <w:r w:rsidR="0065431D">
          <w:rPr>
            <w:rFonts w:asciiTheme="minorHAnsi" w:eastAsiaTheme="minorEastAsia" w:hAnsiTheme="minorHAnsi"/>
            <w:noProof/>
            <w:sz w:val="22"/>
            <w:szCs w:val="22"/>
            <w:lang w:eastAsia="en-AU"/>
          </w:rPr>
          <w:tab/>
        </w:r>
        <w:r w:rsidR="0065431D" w:rsidRPr="00E55A73">
          <w:rPr>
            <w:rStyle w:val="Hyperlink"/>
            <w:noProof/>
          </w:rPr>
          <w:t>Approach to options development</w:t>
        </w:r>
        <w:r w:rsidR="0065431D">
          <w:rPr>
            <w:noProof/>
            <w:webHidden/>
          </w:rPr>
          <w:tab/>
        </w:r>
        <w:r w:rsidR="0065431D">
          <w:rPr>
            <w:noProof/>
            <w:webHidden/>
          </w:rPr>
          <w:fldChar w:fldCharType="begin"/>
        </w:r>
        <w:r w:rsidR="0065431D">
          <w:rPr>
            <w:noProof/>
            <w:webHidden/>
          </w:rPr>
          <w:instrText xml:space="preserve"> PAGEREF _Toc79397205 \h </w:instrText>
        </w:r>
        <w:r w:rsidR="0065431D">
          <w:rPr>
            <w:noProof/>
            <w:webHidden/>
          </w:rPr>
        </w:r>
        <w:r w:rsidR="0065431D">
          <w:rPr>
            <w:noProof/>
            <w:webHidden/>
          </w:rPr>
          <w:fldChar w:fldCharType="separate"/>
        </w:r>
        <w:r w:rsidR="0065431D">
          <w:rPr>
            <w:noProof/>
            <w:webHidden/>
          </w:rPr>
          <w:t>16</w:t>
        </w:r>
        <w:r w:rsidR="0065431D">
          <w:rPr>
            <w:noProof/>
            <w:webHidden/>
          </w:rPr>
          <w:fldChar w:fldCharType="end"/>
        </w:r>
      </w:hyperlink>
    </w:p>
    <w:p w14:paraId="18772FC4" w14:textId="4D54E696"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6" w:history="1">
        <w:r w:rsidR="0065431D" w:rsidRPr="00E55A73">
          <w:rPr>
            <w:rStyle w:val="Hyperlink"/>
            <w:noProof/>
          </w:rPr>
          <w:t>2.5</w:t>
        </w:r>
        <w:r w:rsidR="0065431D">
          <w:rPr>
            <w:rFonts w:asciiTheme="minorHAnsi" w:eastAsiaTheme="minorEastAsia" w:hAnsiTheme="minorHAnsi"/>
            <w:noProof/>
            <w:sz w:val="22"/>
            <w:szCs w:val="22"/>
            <w:lang w:eastAsia="en-AU"/>
          </w:rPr>
          <w:tab/>
        </w:r>
        <w:r w:rsidR="0065431D" w:rsidRPr="00E55A73">
          <w:rPr>
            <w:rStyle w:val="Hyperlink"/>
            <w:noProof/>
          </w:rPr>
          <w:t>Options</w:t>
        </w:r>
        <w:r w:rsidR="0065431D">
          <w:rPr>
            <w:noProof/>
            <w:webHidden/>
          </w:rPr>
          <w:tab/>
        </w:r>
        <w:r w:rsidR="0065431D">
          <w:rPr>
            <w:noProof/>
            <w:webHidden/>
          </w:rPr>
          <w:fldChar w:fldCharType="begin"/>
        </w:r>
        <w:r w:rsidR="0065431D">
          <w:rPr>
            <w:noProof/>
            <w:webHidden/>
          </w:rPr>
          <w:instrText xml:space="preserve"> PAGEREF _Toc79397206 \h </w:instrText>
        </w:r>
        <w:r w:rsidR="0065431D">
          <w:rPr>
            <w:noProof/>
            <w:webHidden/>
          </w:rPr>
        </w:r>
        <w:r w:rsidR="0065431D">
          <w:rPr>
            <w:noProof/>
            <w:webHidden/>
          </w:rPr>
          <w:fldChar w:fldCharType="separate"/>
        </w:r>
        <w:r w:rsidR="0065431D">
          <w:rPr>
            <w:noProof/>
            <w:webHidden/>
          </w:rPr>
          <w:t>18</w:t>
        </w:r>
        <w:r w:rsidR="0065431D">
          <w:rPr>
            <w:noProof/>
            <w:webHidden/>
          </w:rPr>
          <w:fldChar w:fldCharType="end"/>
        </w:r>
      </w:hyperlink>
    </w:p>
    <w:p w14:paraId="2F70217C" w14:textId="74DB5111"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207" w:history="1">
        <w:r w:rsidR="0065431D" w:rsidRPr="00E55A73">
          <w:rPr>
            <w:rStyle w:val="Hyperlink"/>
            <w:noProof/>
          </w:rPr>
          <w:t>3</w:t>
        </w:r>
        <w:r w:rsidR="0065431D">
          <w:rPr>
            <w:rFonts w:asciiTheme="minorHAnsi" w:eastAsiaTheme="minorEastAsia" w:hAnsiTheme="minorHAnsi"/>
            <w:noProof/>
            <w:sz w:val="22"/>
            <w:szCs w:val="22"/>
            <w:lang w:eastAsia="en-AU"/>
          </w:rPr>
          <w:tab/>
        </w:r>
        <w:r w:rsidR="0065431D" w:rsidRPr="00E55A73">
          <w:rPr>
            <w:rStyle w:val="Hyperlink"/>
            <w:noProof/>
          </w:rPr>
          <w:t>Options analysis</w:t>
        </w:r>
        <w:r w:rsidR="0065431D">
          <w:rPr>
            <w:noProof/>
            <w:webHidden/>
          </w:rPr>
          <w:tab/>
        </w:r>
        <w:r w:rsidR="0065431D">
          <w:rPr>
            <w:noProof/>
            <w:webHidden/>
          </w:rPr>
          <w:fldChar w:fldCharType="begin"/>
        </w:r>
        <w:r w:rsidR="0065431D">
          <w:rPr>
            <w:noProof/>
            <w:webHidden/>
          </w:rPr>
          <w:instrText xml:space="preserve"> PAGEREF _Toc79397207 \h </w:instrText>
        </w:r>
        <w:r w:rsidR="0065431D">
          <w:rPr>
            <w:noProof/>
            <w:webHidden/>
          </w:rPr>
        </w:r>
        <w:r w:rsidR="0065431D">
          <w:rPr>
            <w:noProof/>
            <w:webHidden/>
          </w:rPr>
          <w:fldChar w:fldCharType="separate"/>
        </w:r>
        <w:r w:rsidR="0065431D">
          <w:rPr>
            <w:noProof/>
            <w:webHidden/>
          </w:rPr>
          <w:t>21</w:t>
        </w:r>
        <w:r w:rsidR="0065431D">
          <w:rPr>
            <w:noProof/>
            <w:webHidden/>
          </w:rPr>
          <w:fldChar w:fldCharType="end"/>
        </w:r>
      </w:hyperlink>
    </w:p>
    <w:p w14:paraId="7BC15D1F" w14:textId="382C7491"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8" w:history="1">
        <w:r w:rsidR="0065431D" w:rsidRPr="00E55A73">
          <w:rPr>
            <w:rStyle w:val="Hyperlink"/>
            <w:noProof/>
          </w:rPr>
          <w:t>3.1</w:t>
        </w:r>
        <w:r w:rsidR="0065431D">
          <w:rPr>
            <w:rFonts w:asciiTheme="minorHAnsi" w:eastAsiaTheme="minorEastAsia" w:hAnsiTheme="minorHAnsi"/>
            <w:noProof/>
            <w:sz w:val="22"/>
            <w:szCs w:val="22"/>
            <w:lang w:eastAsia="en-AU"/>
          </w:rPr>
          <w:tab/>
        </w:r>
        <w:r w:rsidR="0065431D" w:rsidRPr="00E55A73">
          <w:rPr>
            <w:rStyle w:val="Hyperlink"/>
            <w:noProof/>
          </w:rPr>
          <w:t>Method of assessment - Multi-Criteria Analysis</w:t>
        </w:r>
        <w:r w:rsidR="0065431D">
          <w:rPr>
            <w:noProof/>
            <w:webHidden/>
          </w:rPr>
          <w:tab/>
        </w:r>
        <w:r w:rsidR="0065431D">
          <w:rPr>
            <w:noProof/>
            <w:webHidden/>
          </w:rPr>
          <w:fldChar w:fldCharType="begin"/>
        </w:r>
        <w:r w:rsidR="0065431D">
          <w:rPr>
            <w:noProof/>
            <w:webHidden/>
          </w:rPr>
          <w:instrText xml:space="preserve"> PAGEREF _Toc79397208 \h </w:instrText>
        </w:r>
        <w:r w:rsidR="0065431D">
          <w:rPr>
            <w:noProof/>
            <w:webHidden/>
          </w:rPr>
        </w:r>
        <w:r w:rsidR="0065431D">
          <w:rPr>
            <w:noProof/>
            <w:webHidden/>
          </w:rPr>
          <w:fldChar w:fldCharType="separate"/>
        </w:r>
        <w:r w:rsidR="0065431D">
          <w:rPr>
            <w:noProof/>
            <w:webHidden/>
          </w:rPr>
          <w:t>21</w:t>
        </w:r>
        <w:r w:rsidR="0065431D">
          <w:rPr>
            <w:noProof/>
            <w:webHidden/>
          </w:rPr>
          <w:fldChar w:fldCharType="end"/>
        </w:r>
      </w:hyperlink>
    </w:p>
    <w:p w14:paraId="441E6E9D" w14:textId="0E0D22A9"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09" w:history="1">
        <w:r w:rsidR="0065431D" w:rsidRPr="00E55A73">
          <w:rPr>
            <w:rStyle w:val="Hyperlink"/>
            <w:noProof/>
          </w:rPr>
          <w:t>3.2</w:t>
        </w:r>
        <w:r w:rsidR="0065431D">
          <w:rPr>
            <w:rFonts w:asciiTheme="minorHAnsi" w:eastAsiaTheme="minorEastAsia" w:hAnsiTheme="minorHAnsi"/>
            <w:noProof/>
            <w:sz w:val="22"/>
            <w:szCs w:val="22"/>
            <w:lang w:eastAsia="en-AU"/>
          </w:rPr>
          <w:tab/>
        </w:r>
        <w:r w:rsidR="0065431D" w:rsidRPr="00E55A73">
          <w:rPr>
            <w:rStyle w:val="Hyperlink"/>
            <w:noProof/>
          </w:rPr>
          <w:t>Criteria</w:t>
        </w:r>
        <w:r w:rsidR="0065431D">
          <w:rPr>
            <w:noProof/>
            <w:webHidden/>
          </w:rPr>
          <w:tab/>
        </w:r>
        <w:r w:rsidR="0065431D">
          <w:rPr>
            <w:noProof/>
            <w:webHidden/>
          </w:rPr>
          <w:fldChar w:fldCharType="begin"/>
        </w:r>
        <w:r w:rsidR="0065431D">
          <w:rPr>
            <w:noProof/>
            <w:webHidden/>
          </w:rPr>
          <w:instrText xml:space="preserve"> PAGEREF _Toc79397209 \h </w:instrText>
        </w:r>
        <w:r w:rsidR="0065431D">
          <w:rPr>
            <w:noProof/>
            <w:webHidden/>
          </w:rPr>
        </w:r>
        <w:r w:rsidR="0065431D">
          <w:rPr>
            <w:noProof/>
            <w:webHidden/>
          </w:rPr>
          <w:fldChar w:fldCharType="separate"/>
        </w:r>
        <w:r w:rsidR="0065431D">
          <w:rPr>
            <w:noProof/>
            <w:webHidden/>
          </w:rPr>
          <w:t>21</w:t>
        </w:r>
        <w:r w:rsidR="0065431D">
          <w:rPr>
            <w:noProof/>
            <w:webHidden/>
          </w:rPr>
          <w:fldChar w:fldCharType="end"/>
        </w:r>
      </w:hyperlink>
    </w:p>
    <w:p w14:paraId="5E865CB8" w14:textId="3FB93DFE"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10" w:history="1">
        <w:r w:rsidR="0065431D" w:rsidRPr="00E55A73">
          <w:rPr>
            <w:rStyle w:val="Hyperlink"/>
            <w:noProof/>
          </w:rPr>
          <w:t>3.3</w:t>
        </w:r>
        <w:r w:rsidR="0065431D">
          <w:rPr>
            <w:rFonts w:asciiTheme="minorHAnsi" w:eastAsiaTheme="minorEastAsia" w:hAnsiTheme="minorHAnsi"/>
            <w:noProof/>
            <w:sz w:val="22"/>
            <w:szCs w:val="22"/>
            <w:lang w:eastAsia="en-AU"/>
          </w:rPr>
          <w:tab/>
        </w:r>
        <w:r w:rsidR="0065431D" w:rsidRPr="00E55A73">
          <w:rPr>
            <w:rStyle w:val="Hyperlink"/>
            <w:noProof/>
          </w:rPr>
          <w:t>MCA Scoring</w:t>
        </w:r>
        <w:r w:rsidR="0065431D">
          <w:rPr>
            <w:noProof/>
            <w:webHidden/>
          </w:rPr>
          <w:tab/>
        </w:r>
        <w:r w:rsidR="0065431D">
          <w:rPr>
            <w:noProof/>
            <w:webHidden/>
          </w:rPr>
          <w:fldChar w:fldCharType="begin"/>
        </w:r>
        <w:r w:rsidR="0065431D">
          <w:rPr>
            <w:noProof/>
            <w:webHidden/>
          </w:rPr>
          <w:instrText xml:space="preserve"> PAGEREF _Toc79397210 \h </w:instrText>
        </w:r>
        <w:r w:rsidR="0065431D">
          <w:rPr>
            <w:noProof/>
            <w:webHidden/>
          </w:rPr>
        </w:r>
        <w:r w:rsidR="0065431D">
          <w:rPr>
            <w:noProof/>
            <w:webHidden/>
          </w:rPr>
          <w:fldChar w:fldCharType="separate"/>
        </w:r>
        <w:r w:rsidR="0065431D">
          <w:rPr>
            <w:noProof/>
            <w:webHidden/>
          </w:rPr>
          <w:t>22</w:t>
        </w:r>
        <w:r w:rsidR="0065431D">
          <w:rPr>
            <w:noProof/>
            <w:webHidden/>
          </w:rPr>
          <w:fldChar w:fldCharType="end"/>
        </w:r>
      </w:hyperlink>
    </w:p>
    <w:p w14:paraId="639FD6F5" w14:textId="593E3628"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11" w:history="1">
        <w:r w:rsidR="0065431D" w:rsidRPr="00E55A73">
          <w:rPr>
            <w:rStyle w:val="Hyperlink"/>
            <w:noProof/>
          </w:rPr>
          <w:t>3.4</w:t>
        </w:r>
        <w:r w:rsidR="0065431D">
          <w:rPr>
            <w:rFonts w:asciiTheme="minorHAnsi" w:eastAsiaTheme="minorEastAsia" w:hAnsiTheme="minorHAnsi"/>
            <w:noProof/>
            <w:sz w:val="22"/>
            <w:szCs w:val="22"/>
            <w:lang w:eastAsia="en-AU"/>
          </w:rPr>
          <w:tab/>
        </w:r>
        <w:r w:rsidR="0065431D" w:rsidRPr="00E55A73">
          <w:rPr>
            <w:rStyle w:val="Hyperlink"/>
            <w:noProof/>
          </w:rPr>
          <w:t>Analysis of options</w:t>
        </w:r>
        <w:r w:rsidR="0065431D">
          <w:rPr>
            <w:noProof/>
            <w:webHidden/>
          </w:rPr>
          <w:tab/>
        </w:r>
        <w:r w:rsidR="0065431D">
          <w:rPr>
            <w:noProof/>
            <w:webHidden/>
          </w:rPr>
          <w:fldChar w:fldCharType="begin"/>
        </w:r>
        <w:r w:rsidR="0065431D">
          <w:rPr>
            <w:noProof/>
            <w:webHidden/>
          </w:rPr>
          <w:instrText xml:space="preserve"> PAGEREF _Toc79397211 \h </w:instrText>
        </w:r>
        <w:r w:rsidR="0065431D">
          <w:rPr>
            <w:noProof/>
            <w:webHidden/>
          </w:rPr>
        </w:r>
        <w:r w:rsidR="0065431D">
          <w:rPr>
            <w:noProof/>
            <w:webHidden/>
          </w:rPr>
          <w:fldChar w:fldCharType="separate"/>
        </w:r>
        <w:r w:rsidR="0065431D">
          <w:rPr>
            <w:noProof/>
            <w:webHidden/>
          </w:rPr>
          <w:t>22</w:t>
        </w:r>
        <w:r w:rsidR="0065431D">
          <w:rPr>
            <w:noProof/>
            <w:webHidden/>
          </w:rPr>
          <w:fldChar w:fldCharType="end"/>
        </w:r>
      </w:hyperlink>
    </w:p>
    <w:p w14:paraId="06066639" w14:textId="1F2458EE"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12" w:history="1">
        <w:r w:rsidR="0065431D" w:rsidRPr="00E55A73">
          <w:rPr>
            <w:rStyle w:val="Hyperlink"/>
            <w:noProof/>
          </w:rPr>
          <w:t>3.5</w:t>
        </w:r>
        <w:r w:rsidR="0065431D">
          <w:rPr>
            <w:rFonts w:asciiTheme="minorHAnsi" w:eastAsiaTheme="minorEastAsia" w:hAnsiTheme="minorHAnsi"/>
            <w:noProof/>
            <w:sz w:val="22"/>
            <w:szCs w:val="22"/>
            <w:lang w:eastAsia="en-AU"/>
          </w:rPr>
          <w:tab/>
        </w:r>
        <w:r w:rsidR="0065431D" w:rsidRPr="00E55A73">
          <w:rPr>
            <w:rStyle w:val="Hyperlink"/>
            <w:noProof/>
          </w:rPr>
          <w:t xml:space="preserve">Impact Analysis of preferred option </w:t>
        </w:r>
        <w:r w:rsidR="00EE70EA">
          <w:rPr>
            <w:rStyle w:val="Hyperlink"/>
            <w:noProof/>
          </w:rPr>
          <w:br/>
        </w:r>
        <w:r w:rsidR="0065431D" w:rsidRPr="00E55A73">
          <w:rPr>
            <w:rStyle w:val="Hyperlink"/>
            <w:noProof/>
          </w:rPr>
          <w:t>(re-making the Regulations with minimal changes)</w:t>
        </w:r>
        <w:r w:rsidR="0065431D">
          <w:rPr>
            <w:noProof/>
            <w:webHidden/>
          </w:rPr>
          <w:tab/>
        </w:r>
        <w:r w:rsidR="0065431D">
          <w:rPr>
            <w:noProof/>
            <w:webHidden/>
          </w:rPr>
          <w:fldChar w:fldCharType="begin"/>
        </w:r>
        <w:r w:rsidR="0065431D">
          <w:rPr>
            <w:noProof/>
            <w:webHidden/>
          </w:rPr>
          <w:instrText xml:space="preserve"> PAGEREF _Toc79397212 \h </w:instrText>
        </w:r>
        <w:r w:rsidR="0065431D">
          <w:rPr>
            <w:noProof/>
            <w:webHidden/>
          </w:rPr>
        </w:r>
        <w:r w:rsidR="0065431D">
          <w:rPr>
            <w:noProof/>
            <w:webHidden/>
          </w:rPr>
          <w:fldChar w:fldCharType="separate"/>
        </w:r>
        <w:r w:rsidR="0065431D">
          <w:rPr>
            <w:noProof/>
            <w:webHidden/>
          </w:rPr>
          <w:t>24</w:t>
        </w:r>
        <w:r w:rsidR="0065431D">
          <w:rPr>
            <w:noProof/>
            <w:webHidden/>
          </w:rPr>
          <w:fldChar w:fldCharType="end"/>
        </w:r>
      </w:hyperlink>
    </w:p>
    <w:p w14:paraId="3E8C5DCB" w14:textId="25273706"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213" w:history="1">
        <w:r w:rsidR="0065431D" w:rsidRPr="00E55A73">
          <w:rPr>
            <w:rStyle w:val="Hyperlink"/>
            <w:noProof/>
          </w:rPr>
          <w:t>4</w:t>
        </w:r>
        <w:r w:rsidR="0065431D">
          <w:rPr>
            <w:rFonts w:asciiTheme="minorHAnsi" w:eastAsiaTheme="minorEastAsia" w:hAnsiTheme="minorHAnsi"/>
            <w:noProof/>
            <w:sz w:val="22"/>
            <w:szCs w:val="22"/>
            <w:lang w:eastAsia="en-AU"/>
          </w:rPr>
          <w:tab/>
        </w:r>
        <w:r w:rsidR="0065431D" w:rsidRPr="00E55A73">
          <w:rPr>
            <w:rStyle w:val="Hyperlink"/>
            <w:noProof/>
          </w:rPr>
          <w:t>Fees</w:t>
        </w:r>
        <w:r w:rsidR="0065431D">
          <w:rPr>
            <w:noProof/>
            <w:webHidden/>
          </w:rPr>
          <w:tab/>
        </w:r>
        <w:r w:rsidR="0065431D">
          <w:rPr>
            <w:noProof/>
            <w:webHidden/>
          </w:rPr>
          <w:fldChar w:fldCharType="begin"/>
        </w:r>
        <w:r w:rsidR="0065431D">
          <w:rPr>
            <w:noProof/>
            <w:webHidden/>
          </w:rPr>
          <w:instrText xml:space="preserve"> PAGEREF _Toc79397213 \h </w:instrText>
        </w:r>
        <w:r w:rsidR="0065431D">
          <w:rPr>
            <w:noProof/>
            <w:webHidden/>
          </w:rPr>
        </w:r>
        <w:r w:rsidR="0065431D">
          <w:rPr>
            <w:noProof/>
            <w:webHidden/>
          </w:rPr>
          <w:fldChar w:fldCharType="separate"/>
        </w:r>
        <w:r w:rsidR="0065431D">
          <w:rPr>
            <w:noProof/>
            <w:webHidden/>
          </w:rPr>
          <w:t>28</w:t>
        </w:r>
        <w:r w:rsidR="0065431D">
          <w:rPr>
            <w:noProof/>
            <w:webHidden/>
          </w:rPr>
          <w:fldChar w:fldCharType="end"/>
        </w:r>
      </w:hyperlink>
    </w:p>
    <w:p w14:paraId="29F6FA5B" w14:textId="52CC80EC"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14" w:history="1">
        <w:r w:rsidR="0065431D" w:rsidRPr="00E55A73">
          <w:rPr>
            <w:rStyle w:val="Hyperlink"/>
            <w:noProof/>
          </w:rPr>
          <w:t>4.1</w:t>
        </w:r>
        <w:r w:rsidR="0065431D">
          <w:rPr>
            <w:rFonts w:asciiTheme="minorHAnsi" w:eastAsiaTheme="minorEastAsia" w:hAnsiTheme="minorHAnsi"/>
            <w:noProof/>
            <w:sz w:val="22"/>
            <w:szCs w:val="22"/>
            <w:lang w:eastAsia="en-AU"/>
          </w:rPr>
          <w:tab/>
        </w:r>
        <w:r w:rsidR="0065431D" w:rsidRPr="00E55A73">
          <w:rPr>
            <w:rStyle w:val="Hyperlink"/>
            <w:noProof/>
          </w:rPr>
          <w:t>The need to consider a full cost recovery option</w:t>
        </w:r>
        <w:r w:rsidR="0065431D">
          <w:rPr>
            <w:noProof/>
            <w:webHidden/>
          </w:rPr>
          <w:tab/>
        </w:r>
        <w:r w:rsidR="0065431D">
          <w:rPr>
            <w:noProof/>
            <w:webHidden/>
          </w:rPr>
          <w:fldChar w:fldCharType="begin"/>
        </w:r>
        <w:r w:rsidR="0065431D">
          <w:rPr>
            <w:noProof/>
            <w:webHidden/>
          </w:rPr>
          <w:instrText xml:space="preserve"> PAGEREF _Toc79397214 \h </w:instrText>
        </w:r>
        <w:r w:rsidR="0065431D">
          <w:rPr>
            <w:noProof/>
            <w:webHidden/>
          </w:rPr>
        </w:r>
        <w:r w:rsidR="0065431D">
          <w:rPr>
            <w:noProof/>
            <w:webHidden/>
          </w:rPr>
          <w:fldChar w:fldCharType="separate"/>
        </w:r>
        <w:r w:rsidR="0065431D">
          <w:rPr>
            <w:noProof/>
            <w:webHidden/>
          </w:rPr>
          <w:t>28</w:t>
        </w:r>
        <w:r w:rsidR="0065431D">
          <w:rPr>
            <w:noProof/>
            <w:webHidden/>
          </w:rPr>
          <w:fldChar w:fldCharType="end"/>
        </w:r>
      </w:hyperlink>
    </w:p>
    <w:p w14:paraId="02EF4516" w14:textId="0942A0F9"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15" w:history="1">
        <w:r w:rsidR="0065431D" w:rsidRPr="00E55A73">
          <w:rPr>
            <w:rStyle w:val="Hyperlink"/>
            <w:noProof/>
          </w:rPr>
          <w:t>4.2</w:t>
        </w:r>
        <w:r w:rsidR="0065431D">
          <w:rPr>
            <w:rFonts w:asciiTheme="minorHAnsi" w:eastAsiaTheme="minorEastAsia" w:hAnsiTheme="minorHAnsi"/>
            <w:noProof/>
            <w:sz w:val="22"/>
            <w:szCs w:val="22"/>
            <w:lang w:eastAsia="en-AU"/>
          </w:rPr>
          <w:tab/>
        </w:r>
        <w:r w:rsidR="0065431D" w:rsidRPr="00E55A73">
          <w:rPr>
            <w:rStyle w:val="Hyperlink"/>
            <w:noProof/>
          </w:rPr>
          <w:t>Current volume of approvals activity and the associated costs</w:t>
        </w:r>
        <w:r w:rsidR="0065431D">
          <w:rPr>
            <w:noProof/>
            <w:webHidden/>
          </w:rPr>
          <w:tab/>
        </w:r>
        <w:r w:rsidR="0065431D">
          <w:rPr>
            <w:noProof/>
            <w:webHidden/>
          </w:rPr>
          <w:fldChar w:fldCharType="begin"/>
        </w:r>
        <w:r w:rsidR="0065431D">
          <w:rPr>
            <w:noProof/>
            <w:webHidden/>
          </w:rPr>
          <w:instrText xml:space="preserve"> PAGEREF _Toc79397215 \h </w:instrText>
        </w:r>
        <w:r w:rsidR="0065431D">
          <w:rPr>
            <w:noProof/>
            <w:webHidden/>
          </w:rPr>
        </w:r>
        <w:r w:rsidR="0065431D">
          <w:rPr>
            <w:noProof/>
            <w:webHidden/>
          </w:rPr>
          <w:fldChar w:fldCharType="separate"/>
        </w:r>
        <w:r w:rsidR="0065431D">
          <w:rPr>
            <w:noProof/>
            <w:webHidden/>
          </w:rPr>
          <w:t>28</w:t>
        </w:r>
        <w:r w:rsidR="0065431D">
          <w:rPr>
            <w:noProof/>
            <w:webHidden/>
          </w:rPr>
          <w:fldChar w:fldCharType="end"/>
        </w:r>
      </w:hyperlink>
    </w:p>
    <w:p w14:paraId="303A102B" w14:textId="23901B57"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16" w:history="1">
        <w:r w:rsidR="0065431D" w:rsidRPr="00E55A73">
          <w:rPr>
            <w:rStyle w:val="Hyperlink"/>
            <w:noProof/>
          </w:rPr>
          <w:t>4.3</w:t>
        </w:r>
        <w:r w:rsidR="0065431D">
          <w:rPr>
            <w:rFonts w:asciiTheme="minorHAnsi" w:eastAsiaTheme="minorEastAsia" w:hAnsiTheme="minorHAnsi"/>
            <w:noProof/>
            <w:sz w:val="22"/>
            <w:szCs w:val="22"/>
            <w:lang w:eastAsia="en-AU"/>
          </w:rPr>
          <w:tab/>
        </w:r>
        <w:r w:rsidR="0065431D" w:rsidRPr="00E55A73">
          <w:rPr>
            <w:rStyle w:val="Hyperlink"/>
            <w:noProof/>
          </w:rPr>
          <w:t>Current fees and fee revenue</w:t>
        </w:r>
        <w:r w:rsidR="0065431D">
          <w:rPr>
            <w:noProof/>
            <w:webHidden/>
          </w:rPr>
          <w:tab/>
        </w:r>
        <w:r w:rsidR="0065431D">
          <w:rPr>
            <w:noProof/>
            <w:webHidden/>
          </w:rPr>
          <w:fldChar w:fldCharType="begin"/>
        </w:r>
        <w:r w:rsidR="0065431D">
          <w:rPr>
            <w:noProof/>
            <w:webHidden/>
          </w:rPr>
          <w:instrText xml:space="preserve"> PAGEREF _Toc79397216 \h </w:instrText>
        </w:r>
        <w:r w:rsidR="0065431D">
          <w:rPr>
            <w:noProof/>
            <w:webHidden/>
          </w:rPr>
        </w:r>
        <w:r w:rsidR="0065431D">
          <w:rPr>
            <w:noProof/>
            <w:webHidden/>
          </w:rPr>
          <w:fldChar w:fldCharType="separate"/>
        </w:r>
        <w:r w:rsidR="0065431D">
          <w:rPr>
            <w:noProof/>
            <w:webHidden/>
          </w:rPr>
          <w:t>28</w:t>
        </w:r>
        <w:r w:rsidR="0065431D">
          <w:rPr>
            <w:noProof/>
            <w:webHidden/>
          </w:rPr>
          <w:fldChar w:fldCharType="end"/>
        </w:r>
      </w:hyperlink>
    </w:p>
    <w:p w14:paraId="3E8B1DC9" w14:textId="3C48AE69"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17" w:history="1">
        <w:r w:rsidR="0065431D" w:rsidRPr="00E55A73">
          <w:rPr>
            <w:rStyle w:val="Hyperlink"/>
            <w:noProof/>
          </w:rPr>
          <w:t>4.4</w:t>
        </w:r>
        <w:r w:rsidR="0065431D">
          <w:rPr>
            <w:rFonts w:asciiTheme="minorHAnsi" w:eastAsiaTheme="minorEastAsia" w:hAnsiTheme="minorHAnsi"/>
            <w:noProof/>
            <w:sz w:val="22"/>
            <w:szCs w:val="22"/>
            <w:lang w:eastAsia="en-AU"/>
          </w:rPr>
          <w:tab/>
        </w:r>
        <w:r w:rsidR="0065431D" w:rsidRPr="00E55A73">
          <w:rPr>
            <w:rStyle w:val="Hyperlink"/>
            <w:noProof/>
          </w:rPr>
          <w:t>Preferred option: remake the regulations with the current fees</w:t>
        </w:r>
        <w:r w:rsidR="0065431D">
          <w:rPr>
            <w:noProof/>
            <w:webHidden/>
          </w:rPr>
          <w:tab/>
        </w:r>
        <w:r w:rsidR="0065431D">
          <w:rPr>
            <w:noProof/>
            <w:webHidden/>
          </w:rPr>
          <w:fldChar w:fldCharType="begin"/>
        </w:r>
        <w:r w:rsidR="0065431D">
          <w:rPr>
            <w:noProof/>
            <w:webHidden/>
          </w:rPr>
          <w:instrText xml:space="preserve"> PAGEREF _Toc79397217 \h </w:instrText>
        </w:r>
        <w:r w:rsidR="0065431D">
          <w:rPr>
            <w:noProof/>
            <w:webHidden/>
          </w:rPr>
        </w:r>
        <w:r w:rsidR="0065431D">
          <w:rPr>
            <w:noProof/>
            <w:webHidden/>
          </w:rPr>
          <w:fldChar w:fldCharType="separate"/>
        </w:r>
        <w:r w:rsidR="0065431D">
          <w:rPr>
            <w:noProof/>
            <w:webHidden/>
          </w:rPr>
          <w:t>28</w:t>
        </w:r>
        <w:r w:rsidR="0065431D">
          <w:rPr>
            <w:noProof/>
            <w:webHidden/>
          </w:rPr>
          <w:fldChar w:fldCharType="end"/>
        </w:r>
      </w:hyperlink>
    </w:p>
    <w:p w14:paraId="7A028288" w14:textId="41D909DE"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218" w:history="1">
        <w:r w:rsidR="0065431D" w:rsidRPr="00E55A73">
          <w:rPr>
            <w:rStyle w:val="Hyperlink"/>
            <w:noProof/>
          </w:rPr>
          <w:t>5</w:t>
        </w:r>
        <w:r w:rsidR="0065431D">
          <w:rPr>
            <w:rFonts w:asciiTheme="minorHAnsi" w:eastAsiaTheme="minorEastAsia" w:hAnsiTheme="minorHAnsi"/>
            <w:noProof/>
            <w:sz w:val="22"/>
            <w:szCs w:val="22"/>
            <w:lang w:eastAsia="en-AU"/>
          </w:rPr>
          <w:tab/>
        </w:r>
        <w:r w:rsidR="0065431D" w:rsidRPr="00E55A73">
          <w:rPr>
            <w:rStyle w:val="Hyperlink"/>
            <w:noProof/>
          </w:rPr>
          <w:t>Impact on competition and small business</w:t>
        </w:r>
        <w:r w:rsidR="0065431D">
          <w:rPr>
            <w:noProof/>
            <w:webHidden/>
          </w:rPr>
          <w:tab/>
        </w:r>
        <w:r w:rsidR="0065431D">
          <w:rPr>
            <w:noProof/>
            <w:webHidden/>
          </w:rPr>
          <w:fldChar w:fldCharType="begin"/>
        </w:r>
        <w:r w:rsidR="0065431D">
          <w:rPr>
            <w:noProof/>
            <w:webHidden/>
          </w:rPr>
          <w:instrText xml:space="preserve"> PAGEREF _Toc79397218 \h </w:instrText>
        </w:r>
        <w:r w:rsidR="0065431D">
          <w:rPr>
            <w:noProof/>
            <w:webHidden/>
          </w:rPr>
        </w:r>
        <w:r w:rsidR="0065431D">
          <w:rPr>
            <w:noProof/>
            <w:webHidden/>
          </w:rPr>
          <w:fldChar w:fldCharType="separate"/>
        </w:r>
        <w:r w:rsidR="0065431D">
          <w:rPr>
            <w:noProof/>
            <w:webHidden/>
          </w:rPr>
          <w:t>30</w:t>
        </w:r>
        <w:r w:rsidR="0065431D">
          <w:rPr>
            <w:noProof/>
            <w:webHidden/>
          </w:rPr>
          <w:fldChar w:fldCharType="end"/>
        </w:r>
      </w:hyperlink>
    </w:p>
    <w:p w14:paraId="4D56856E" w14:textId="30FCA5EA"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219" w:history="1">
        <w:r w:rsidR="0065431D" w:rsidRPr="00E55A73">
          <w:rPr>
            <w:rStyle w:val="Hyperlink"/>
            <w:noProof/>
          </w:rPr>
          <w:t>6</w:t>
        </w:r>
        <w:r w:rsidR="0065431D">
          <w:rPr>
            <w:rFonts w:asciiTheme="minorHAnsi" w:eastAsiaTheme="minorEastAsia" w:hAnsiTheme="minorHAnsi"/>
            <w:noProof/>
            <w:sz w:val="22"/>
            <w:szCs w:val="22"/>
            <w:lang w:eastAsia="en-AU"/>
          </w:rPr>
          <w:tab/>
        </w:r>
        <w:r w:rsidR="0065431D" w:rsidRPr="00E55A73">
          <w:rPr>
            <w:rStyle w:val="Hyperlink"/>
            <w:noProof/>
          </w:rPr>
          <w:t>Implementation, enforcement and evaluation</w:t>
        </w:r>
        <w:r w:rsidR="0065431D">
          <w:rPr>
            <w:noProof/>
            <w:webHidden/>
          </w:rPr>
          <w:tab/>
        </w:r>
        <w:r w:rsidR="0065431D">
          <w:rPr>
            <w:noProof/>
            <w:webHidden/>
          </w:rPr>
          <w:fldChar w:fldCharType="begin"/>
        </w:r>
        <w:r w:rsidR="0065431D">
          <w:rPr>
            <w:noProof/>
            <w:webHidden/>
          </w:rPr>
          <w:instrText xml:space="preserve"> PAGEREF _Toc79397219 \h </w:instrText>
        </w:r>
        <w:r w:rsidR="0065431D">
          <w:rPr>
            <w:noProof/>
            <w:webHidden/>
          </w:rPr>
        </w:r>
        <w:r w:rsidR="0065431D">
          <w:rPr>
            <w:noProof/>
            <w:webHidden/>
          </w:rPr>
          <w:fldChar w:fldCharType="separate"/>
        </w:r>
        <w:r w:rsidR="0065431D">
          <w:rPr>
            <w:noProof/>
            <w:webHidden/>
          </w:rPr>
          <w:t>32</w:t>
        </w:r>
        <w:r w:rsidR="0065431D">
          <w:rPr>
            <w:noProof/>
            <w:webHidden/>
          </w:rPr>
          <w:fldChar w:fldCharType="end"/>
        </w:r>
      </w:hyperlink>
    </w:p>
    <w:p w14:paraId="0B49A7B4" w14:textId="332B721D"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20" w:history="1">
        <w:r w:rsidR="0065431D" w:rsidRPr="00E55A73">
          <w:rPr>
            <w:rStyle w:val="Hyperlink"/>
            <w:noProof/>
          </w:rPr>
          <w:t>6.1</w:t>
        </w:r>
        <w:r w:rsidR="0065431D">
          <w:rPr>
            <w:rFonts w:asciiTheme="minorHAnsi" w:eastAsiaTheme="minorEastAsia" w:hAnsiTheme="minorHAnsi"/>
            <w:noProof/>
            <w:sz w:val="22"/>
            <w:szCs w:val="22"/>
            <w:lang w:eastAsia="en-AU"/>
          </w:rPr>
          <w:tab/>
        </w:r>
        <w:r w:rsidR="0065431D" w:rsidRPr="00E55A73">
          <w:rPr>
            <w:rStyle w:val="Hyperlink"/>
            <w:noProof/>
          </w:rPr>
          <w:t>Implementation</w:t>
        </w:r>
        <w:r w:rsidR="0065431D">
          <w:rPr>
            <w:noProof/>
            <w:webHidden/>
          </w:rPr>
          <w:tab/>
        </w:r>
        <w:r w:rsidR="0065431D">
          <w:rPr>
            <w:noProof/>
            <w:webHidden/>
          </w:rPr>
          <w:fldChar w:fldCharType="begin"/>
        </w:r>
        <w:r w:rsidR="0065431D">
          <w:rPr>
            <w:noProof/>
            <w:webHidden/>
          </w:rPr>
          <w:instrText xml:space="preserve"> PAGEREF _Toc79397220 \h </w:instrText>
        </w:r>
        <w:r w:rsidR="0065431D">
          <w:rPr>
            <w:noProof/>
            <w:webHidden/>
          </w:rPr>
        </w:r>
        <w:r w:rsidR="0065431D">
          <w:rPr>
            <w:noProof/>
            <w:webHidden/>
          </w:rPr>
          <w:fldChar w:fldCharType="separate"/>
        </w:r>
        <w:r w:rsidR="0065431D">
          <w:rPr>
            <w:noProof/>
            <w:webHidden/>
          </w:rPr>
          <w:t>32</w:t>
        </w:r>
        <w:r w:rsidR="0065431D">
          <w:rPr>
            <w:noProof/>
            <w:webHidden/>
          </w:rPr>
          <w:fldChar w:fldCharType="end"/>
        </w:r>
      </w:hyperlink>
    </w:p>
    <w:p w14:paraId="23B35698" w14:textId="6C914AD0" w:rsidR="0065431D" w:rsidRDefault="003176B1" w:rsidP="00D15590">
      <w:pPr>
        <w:pStyle w:val="TOC2"/>
        <w:tabs>
          <w:tab w:val="clear" w:pos="6917"/>
          <w:tab w:val="left" w:pos="1134"/>
          <w:tab w:val="right" w:pos="7230"/>
        </w:tabs>
        <w:rPr>
          <w:rFonts w:asciiTheme="minorHAnsi" w:eastAsiaTheme="minorEastAsia" w:hAnsiTheme="minorHAnsi"/>
          <w:noProof/>
          <w:sz w:val="22"/>
          <w:szCs w:val="22"/>
          <w:lang w:eastAsia="en-AU"/>
        </w:rPr>
      </w:pPr>
      <w:hyperlink w:anchor="_Toc79397221" w:history="1">
        <w:r w:rsidR="0065431D" w:rsidRPr="00E55A73">
          <w:rPr>
            <w:rStyle w:val="Hyperlink"/>
            <w:noProof/>
          </w:rPr>
          <w:t>6.2</w:t>
        </w:r>
        <w:r w:rsidR="0065431D">
          <w:rPr>
            <w:rFonts w:asciiTheme="minorHAnsi" w:eastAsiaTheme="minorEastAsia" w:hAnsiTheme="minorHAnsi"/>
            <w:noProof/>
            <w:sz w:val="22"/>
            <w:szCs w:val="22"/>
            <w:lang w:eastAsia="en-AU"/>
          </w:rPr>
          <w:tab/>
        </w:r>
        <w:r w:rsidR="0065431D" w:rsidRPr="00E55A73">
          <w:rPr>
            <w:rStyle w:val="Hyperlink"/>
            <w:noProof/>
          </w:rPr>
          <w:t>Evaluation</w:t>
        </w:r>
        <w:r w:rsidR="0065431D">
          <w:rPr>
            <w:noProof/>
            <w:webHidden/>
          </w:rPr>
          <w:tab/>
        </w:r>
        <w:r w:rsidR="0065431D">
          <w:rPr>
            <w:noProof/>
            <w:webHidden/>
          </w:rPr>
          <w:fldChar w:fldCharType="begin"/>
        </w:r>
        <w:r w:rsidR="0065431D">
          <w:rPr>
            <w:noProof/>
            <w:webHidden/>
          </w:rPr>
          <w:instrText xml:space="preserve"> PAGEREF _Toc79397221 \h </w:instrText>
        </w:r>
        <w:r w:rsidR="0065431D">
          <w:rPr>
            <w:noProof/>
            <w:webHidden/>
          </w:rPr>
        </w:r>
        <w:r w:rsidR="0065431D">
          <w:rPr>
            <w:noProof/>
            <w:webHidden/>
          </w:rPr>
          <w:fldChar w:fldCharType="separate"/>
        </w:r>
        <w:r w:rsidR="0065431D">
          <w:rPr>
            <w:noProof/>
            <w:webHidden/>
          </w:rPr>
          <w:t>32</w:t>
        </w:r>
        <w:r w:rsidR="0065431D">
          <w:rPr>
            <w:noProof/>
            <w:webHidden/>
          </w:rPr>
          <w:fldChar w:fldCharType="end"/>
        </w:r>
      </w:hyperlink>
    </w:p>
    <w:p w14:paraId="320DD385" w14:textId="2CEB23DF"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222" w:history="1">
        <w:r w:rsidR="0065431D" w:rsidRPr="00E55A73">
          <w:rPr>
            <w:rStyle w:val="Hyperlink"/>
            <w:noProof/>
          </w:rPr>
          <w:t>7</w:t>
        </w:r>
        <w:r w:rsidR="0065431D">
          <w:rPr>
            <w:rFonts w:asciiTheme="minorHAnsi" w:eastAsiaTheme="minorEastAsia" w:hAnsiTheme="minorHAnsi"/>
            <w:noProof/>
            <w:sz w:val="22"/>
            <w:szCs w:val="22"/>
            <w:lang w:eastAsia="en-AU"/>
          </w:rPr>
          <w:tab/>
        </w:r>
        <w:r w:rsidR="0065431D" w:rsidRPr="00E55A73">
          <w:rPr>
            <w:rStyle w:val="Hyperlink"/>
            <w:noProof/>
          </w:rPr>
          <w:t>Stakeholder engagement</w:t>
        </w:r>
        <w:r w:rsidR="0065431D">
          <w:rPr>
            <w:noProof/>
            <w:webHidden/>
          </w:rPr>
          <w:tab/>
        </w:r>
        <w:r w:rsidR="0065431D">
          <w:rPr>
            <w:noProof/>
            <w:webHidden/>
          </w:rPr>
          <w:fldChar w:fldCharType="begin"/>
        </w:r>
        <w:r w:rsidR="0065431D">
          <w:rPr>
            <w:noProof/>
            <w:webHidden/>
          </w:rPr>
          <w:instrText xml:space="preserve"> PAGEREF _Toc79397222 \h </w:instrText>
        </w:r>
        <w:r w:rsidR="0065431D">
          <w:rPr>
            <w:noProof/>
            <w:webHidden/>
          </w:rPr>
        </w:r>
        <w:r w:rsidR="0065431D">
          <w:rPr>
            <w:noProof/>
            <w:webHidden/>
          </w:rPr>
          <w:fldChar w:fldCharType="separate"/>
        </w:r>
        <w:r w:rsidR="0065431D">
          <w:rPr>
            <w:noProof/>
            <w:webHidden/>
          </w:rPr>
          <w:t>34</w:t>
        </w:r>
        <w:r w:rsidR="0065431D">
          <w:rPr>
            <w:noProof/>
            <w:webHidden/>
          </w:rPr>
          <w:fldChar w:fldCharType="end"/>
        </w:r>
      </w:hyperlink>
    </w:p>
    <w:p w14:paraId="57786809" w14:textId="75ECE53D" w:rsidR="0065431D" w:rsidRDefault="003176B1" w:rsidP="00D15590">
      <w:pPr>
        <w:pStyle w:val="TOC1"/>
        <w:tabs>
          <w:tab w:val="clear" w:pos="6917"/>
          <w:tab w:val="right" w:pos="7230"/>
        </w:tabs>
        <w:rPr>
          <w:rFonts w:asciiTheme="minorHAnsi" w:eastAsiaTheme="minorEastAsia" w:hAnsiTheme="minorHAnsi"/>
          <w:noProof/>
          <w:sz w:val="22"/>
          <w:szCs w:val="22"/>
          <w:lang w:eastAsia="en-AU"/>
        </w:rPr>
      </w:pPr>
      <w:hyperlink w:anchor="_Toc79397223" w:history="1">
        <w:r w:rsidR="0065431D" w:rsidRPr="00E55A73">
          <w:rPr>
            <w:rStyle w:val="Hyperlink"/>
            <w:noProof/>
            <w:lang w:eastAsia="en-AU"/>
          </w:rPr>
          <w:t>Limitation of our work</w:t>
        </w:r>
        <w:r w:rsidR="0065431D">
          <w:rPr>
            <w:noProof/>
            <w:webHidden/>
          </w:rPr>
          <w:tab/>
        </w:r>
        <w:r w:rsidR="0065431D">
          <w:rPr>
            <w:noProof/>
            <w:webHidden/>
          </w:rPr>
          <w:fldChar w:fldCharType="begin"/>
        </w:r>
        <w:r w:rsidR="0065431D">
          <w:rPr>
            <w:noProof/>
            <w:webHidden/>
          </w:rPr>
          <w:instrText xml:space="preserve"> PAGEREF _Toc79397223 \h </w:instrText>
        </w:r>
        <w:r w:rsidR="0065431D">
          <w:rPr>
            <w:noProof/>
            <w:webHidden/>
          </w:rPr>
        </w:r>
        <w:r w:rsidR="0065431D">
          <w:rPr>
            <w:noProof/>
            <w:webHidden/>
          </w:rPr>
          <w:fldChar w:fldCharType="separate"/>
        </w:r>
        <w:r w:rsidR="0065431D">
          <w:rPr>
            <w:noProof/>
            <w:webHidden/>
          </w:rPr>
          <w:t>35</w:t>
        </w:r>
        <w:r w:rsidR="0065431D">
          <w:rPr>
            <w:noProof/>
            <w:webHidden/>
          </w:rPr>
          <w:fldChar w:fldCharType="end"/>
        </w:r>
      </w:hyperlink>
    </w:p>
    <w:p w14:paraId="413C0F7D" w14:textId="64B56E9C" w:rsidR="0065431D" w:rsidRDefault="003176B1" w:rsidP="00D15590">
      <w:pPr>
        <w:pStyle w:val="TOC2"/>
        <w:tabs>
          <w:tab w:val="clear" w:pos="6917"/>
          <w:tab w:val="right" w:pos="7230"/>
        </w:tabs>
        <w:rPr>
          <w:rFonts w:asciiTheme="minorHAnsi" w:eastAsiaTheme="minorEastAsia" w:hAnsiTheme="minorHAnsi"/>
          <w:noProof/>
          <w:sz w:val="22"/>
          <w:szCs w:val="22"/>
          <w:lang w:eastAsia="en-AU"/>
        </w:rPr>
      </w:pPr>
      <w:hyperlink w:anchor="_Toc79397224" w:history="1">
        <w:r w:rsidR="0065431D" w:rsidRPr="00E55A73">
          <w:rPr>
            <w:rStyle w:val="Hyperlink"/>
            <w:noProof/>
          </w:rPr>
          <w:t>General use restriction</w:t>
        </w:r>
        <w:r w:rsidR="0065431D">
          <w:rPr>
            <w:noProof/>
            <w:webHidden/>
          </w:rPr>
          <w:tab/>
        </w:r>
        <w:r w:rsidR="0065431D">
          <w:rPr>
            <w:noProof/>
            <w:webHidden/>
          </w:rPr>
          <w:fldChar w:fldCharType="begin"/>
        </w:r>
        <w:r w:rsidR="0065431D">
          <w:rPr>
            <w:noProof/>
            <w:webHidden/>
          </w:rPr>
          <w:instrText xml:space="preserve"> PAGEREF _Toc79397224 \h </w:instrText>
        </w:r>
        <w:r w:rsidR="0065431D">
          <w:rPr>
            <w:noProof/>
            <w:webHidden/>
          </w:rPr>
        </w:r>
        <w:r w:rsidR="0065431D">
          <w:rPr>
            <w:noProof/>
            <w:webHidden/>
          </w:rPr>
          <w:fldChar w:fldCharType="separate"/>
        </w:r>
        <w:r w:rsidR="0065431D">
          <w:rPr>
            <w:noProof/>
            <w:webHidden/>
          </w:rPr>
          <w:t>35</w:t>
        </w:r>
        <w:r w:rsidR="0065431D">
          <w:rPr>
            <w:noProof/>
            <w:webHidden/>
          </w:rPr>
          <w:fldChar w:fldCharType="end"/>
        </w:r>
      </w:hyperlink>
    </w:p>
    <w:p w14:paraId="4F89551A" w14:textId="382B0FAB" w:rsidR="00315C25" w:rsidRPr="00A42498" w:rsidRDefault="00B13DBB" w:rsidP="00D15590">
      <w:pPr>
        <w:tabs>
          <w:tab w:val="right" w:pos="7230"/>
          <w:tab w:val="right" w:pos="9781"/>
        </w:tabs>
        <w:spacing w:before="60" w:after="0"/>
      </w:pPr>
      <w:r>
        <w:rPr>
          <w:sz w:val="16"/>
          <w:szCs w:val="16"/>
        </w:rPr>
        <w:fldChar w:fldCharType="end"/>
      </w:r>
    </w:p>
    <w:p w14:paraId="6292B1AA" w14:textId="72A9D38D" w:rsidR="0080001F" w:rsidRPr="00A42498" w:rsidRDefault="0080001F" w:rsidP="002268CC"/>
    <w:p w14:paraId="30B6C430" w14:textId="77777777" w:rsidR="00A6563E" w:rsidRPr="00A42498" w:rsidRDefault="00A6563E" w:rsidP="00FC6122">
      <w:pPr>
        <w:sectPr w:rsidR="00A6563E" w:rsidRPr="00A42498" w:rsidSect="00526C81">
          <w:headerReference w:type="default" r:id="rId16"/>
          <w:footerReference w:type="default" r:id="rId17"/>
          <w:pgSz w:w="11906" w:h="16838" w:code="9"/>
          <w:pgMar w:top="1985" w:right="707" w:bottom="1134" w:left="680" w:header="680" w:footer="425" w:gutter="0"/>
          <w:cols w:space="284"/>
          <w:noEndnote/>
          <w:docGrid w:linePitch="360"/>
        </w:sectPr>
      </w:pPr>
    </w:p>
    <w:p w14:paraId="7F137F4E" w14:textId="77777777" w:rsidR="00E547D2" w:rsidRDefault="00E547D2" w:rsidP="00E547D2">
      <w:pPr>
        <w:pStyle w:val="TOCHeading"/>
      </w:pPr>
      <w:bookmarkStart w:id="5" w:name="_Toc462313129"/>
      <w:bookmarkStart w:id="6" w:name="_Toc462317839"/>
      <w:bookmarkStart w:id="7" w:name="_Toc462397803"/>
      <w:bookmarkStart w:id="8" w:name="_Toc463002430"/>
      <w:bookmarkStart w:id="9" w:name="_Toc472586342"/>
      <w:bookmarkStart w:id="10" w:name="_Toc482168120"/>
      <w:bookmarkStart w:id="11" w:name="_Toc482174907"/>
      <w:r>
        <w:lastRenderedPageBreak/>
        <w:t>Tables</w:t>
      </w:r>
    </w:p>
    <w:p w14:paraId="156982BB" w14:textId="0B26596B" w:rsidR="0065431D" w:rsidRDefault="00E547D2">
      <w:pPr>
        <w:pStyle w:val="TableofFigures"/>
        <w:tabs>
          <w:tab w:val="right" w:leader="dot" w:pos="10367"/>
        </w:tabs>
        <w:rPr>
          <w:rFonts w:asciiTheme="minorHAnsi" w:eastAsiaTheme="minorEastAsia" w:hAnsiTheme="minorHAnsi"/>
          <w:noProof/>
          <w:sz w:val="22"/>
          <w:szCs w:val="22"/>
          <w:lang w:eastAsia="en-AU"/>
        </w:rPr>
      </w:pPr>
      <w:r>
        <w:fldChar w:fldCharType="begin"/>
      </w:r>
      <w:r>
        <w:instrText xml:space="preserve"> TOC \h \z \t "Caption_Table" \c </w:instrText>
      </w:r>
      <w:r>
        <w:fldChar w:fldCharType="separate"/>
      </w:r>
      <w:hyperlink w:anchor="_Toc79397161" w:history="1">
        <w:r w:rsidR="0065431D" w:rsidRPr="002D6026">
          <w:rPr>
            <w:rStyle w:val="Hyperlink"/>
            <w:noProof/>
          </w:rPr>
          <w:t>Table 1.1 Types and examples of legitimate use of weapons</w:t>
        </w:r>
        <w:r w:rsidR="0065431D">
          <w:rPr>
            <w:noProof/>
            <w:webHidden/>
          </w:rPr>
          <w:tab/>
        </w:r>
        <w:r w:rsidR="0065431D">
          <w:rPr>
            <w:noProof/>
            <w:webHidden/>
          </w:rPr>
          <w:fldChar w:fldCharType="begin"/>
        </w:r>
        <w:r w:rsidR="0065431D">
          <w:rPr>
            <w:noProof/>
            <w:webHidden/>
          </w:rPr>
          <w:instrText xml:space="preserve"> PAGEREF _Toc79397161 \h </w:instrText>
        </w:r>
        <w:r w:rsidR="0065431D">
          <w:rPr>
            <w:noProof/>
            <w:webHidden/>
          </w:rPr>
        </w:r>
        <w:r w:rsidR="0065431D">
          <w:rPr>
            <w:noProof/>
            <w:webHidden/>
          </w:rPr>
          <w:fldChar w:fldCharType="separate"/>
        </w:r>
        <w:r w:rsidR="0065431D">
          <w:rPr>
            <w:noProof/>
            <w:webHidden/>
          </w:rPr>
          <w:t>9</w:t>
        </w:r>
        <w:r w:rsidR="0065431D">
          <w:rPr>
            <w:noProof/>
            <w:webHidden/>
          </w:rPr>
          <w:fldChar w:fldCharType="end"/>
        </w:r>
      </w:hyperlink>
    </w:p>
    <w:p w14:paraId="0BC8EF84" w14:textId="17450E48"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2" w:history="1">
        <w:r w:rsidR="0065431D" w:rsidRPr="002D6026">
          <w:rPr>
            <w:rStyle w:val="Hyperlink"/>
            <w:noProof/>
          </w:rPr>
          <w:t xml:space="preserve">Table 1.2 Categories of weapons defined in the </w:t>
        </w:r>
        <w:r w:rsidR="0065431D" w:rsidRPr="002D6026">
          <w:rPr>
            <w:rStyle w:val="Hyperlink"/>
            <w:i/>
            <w:iCs/>
            <w:noProof/>
          </w:rPr>
          <w:t>Control of Weapons Act (1990)</w:t>
        </w:r>
        <w:r w:rsidR="0065431D" w:rsidRPr="002D6026">
          <w:rPr>
            <w:rStyle w:val="Hyperlink"/>
            <w:noProof/>
          </w:rPr>
          <w:t xml:space="preserve"> and corresponding regulatory restrictions</w:t>
        </w:r>
        <w:r w:rsidR="0065431D">
          <w:rPr>
            <w:noProof/>
            <w:webHidden/>
          </w:rPr>
          <w:tab/>
        </w:r>
        <w:r w:rsidR="0065431D">
          <w:rPr>
            <w:noProof/>
            <w:webHidden/>
          </w:rPr>
          <w:fldChar w:fldCharType="begin"/>
        </w:r>
        <w:r w:rsidR="0065431D">
          <w:rPr>
            <w:noProof/>
            <w:webHidden/>
          </w:rPr>
          <w:instrText xml:space="preserve"> PAGEREF _Toc79397162 \h </w:instrText>
        </w:r>
        <w:r w:rsidR="0065431D">
          <w:rPr>
            <w:noProof/>
            <w:webHidden/>
          </w:rPr>
        </w:r>
        <w:r w:rsidR="0065431D">
          <w:rPr>
            <w:noProof/>
            <w:webHidden/>
          </w:rPr>
          <w:fldChar w:fldCharType="separate"/>
        </w:r>
        <w:r w:rsidR="0065431D">
          <w:rPr>
            <w:noProof/>
            <w:webHidden/>
          </w:rPr>
          <w:t>9</w:t>
        </w:r>
        <w:r w:rsidR="0065431D">
          <w:rPr>
            <w:noProof/>
            <w:webHidden/>
          </w:rPr>
          <w:fldChar w:fldCharType="end"/>
        </w:r>
      </w:hyperlink>
    </w:p>
    <w:p w14:paraId="36995B8B" w14:textId="1AB181D7"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3" w:history="1">
        <w:r w:rsidR="0065431D" w:rsidRPr="002D6026">
          <w:rPr>
            <w:rStyle w:val="Hyperlink"/>
            <w:noProof/>
            <w:lang w:eastAsia="en-AU"/>
          </w:rPr>
          <w:t>Table 3.1 : MCA scale</w:t>
        </w:r>
        <w:r w:rsidR="0065431D">
          <w:rPr>
            <w:noProof/>
            <w:webHidden/>
          </w:rPr>
          <w:tab/>
        </w:r>
        <w:r w:rsidR="0065431D">
          <w:rPr>
            <w:noProof/>
            <w:webHidden/>
          </w:rPr>
          <w:fldChar w:fldCharType="begin"/>
        </w:r>
        <w:r w:rsidR="0065431D">
          <w:rPr>
            <w:noProof/>
            <w:webHidden/>
          </w:rPr>
          <w:instrText xml:space="preserve"> PAGEREF _Toc79397163 \h </w:instrText>
        </w:r>
        <w:r w:rsidR="0065431D">
          <w:rPr>
            <w:noProof/>
            <w:webHidden/>
          </w:rPr>
        </w:r>
        <w:r w:rsidR="0065431D">
          <w:rPr>
            <w:noProof/>
            <w:webHidden/>
          </w:rPr>
          <w:fldChar w:fldCharType="separate"/>
        </w:r>
        <w:r w:rsidR="0065431D">
          <w:rPr>
            <w:noProof/>
            <w:webHidden/>
          </w:rPr>
          <w:t>21</w:t>
        </w:r>
        <w:r w:rsidR="0065431D">
          <w:rPr>
            <w:noProof/>
            <w:webHidden/>
          </w:rPr>
          <w:fldChar w:fldCharType="end"/>
        </w:r>
      </w:hyperlink>
    </w:p>
    <w:p w14:paraId="3459AD00" w14:textId="5F5E0851"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4" w:history="1">
        <w:r w:rsidR="0065431D" w:rsidRPr="002D6026">
          <w:rPr>
            <w:rStyle w:val="Hyperlink"/>
            <w:noProof/>
          </w:rPr>
          <w:t>Table 3.2 : Criteria</w:t>
        </w:r>
        <w:r w:rsidR="0065431D">
          <w:rPr>
            <w:noProof/>
            <w:webHidden/>
          </w:rPr>
          <w:tab/>
        </w:r>
        <w:r w:rsidR="0065431D">
          <w:rPr>
            <w:noProof/>
            <w:webHidden/>
          </w:rPr>
          <w:fldChar w:fldCharType="begin"/>
        </w:r>
        <w:r w:rsidR="0065431D">
          <w:rPr>
            <w:noProof/>
            <w:webHidden/>
          </w:rPr>
          <w:instrText xml:space="preserve"> PAGEREF _Toc79397164 \h </w:instrText>
        </w:r>
        <w:r w:rsidR="0065431D">
          <w:rPr>
            <w:noProof/>
            <w:webHidden/>
          </w:rPr>
        </w:r>
        <w:r w:rsidR="0065431D">
          <w:rPr>
            <w:noProof/>
            <w:webHidden/>
          </w:rPr>
          <w:fldChar w:fldCharType="separate"/>
        </w:r>
        <w:r w:rsidR="0065431D">
          <w:rPr>
            <w:noProof/>
            <w:webHidden/>
          </w:rPr>
          <w:t>21</w:t>
        </w:r>
        <w:r w:rsidR="0065431D">
          <w:rPr>
            <w:noProof/>
            <w:webHidden/>
          </w:rPr>
          <w:fldChar w:fldCharType="end"/>
        </w:r>
      </w:hyperlink>
    </w:p>
    <w:p w14:paraId="6F4EBA1B" w14:textId="4665B812"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5" w:history="1">
        <w:r w:rsidR="0065431D" w:rsidRPr="002D6026">
          <w:rPr>
            <w:rStyle w:val="Hyperlink"/>
            <w:noProof/>
          </w:rPr>
          <w:t>Table 3.3 : MCA scoring</w:t>
        </w:r>
        <w:r w:rsidR="0065431D">
          <w:rPr>
            <w:noProof/>
            <w:webHidden/>
          </w:rPr>
          <w:tab/>
        </w:r>
        <w:r w:rsidR="0065431D">
          <w:rPr>
            <w:noProof/>
            <w:webHidden/>
          </w:rPr>
          <w:fldChar w:fldCharType="begin"/>
        </w:r>
        <w:r w:rsidR="0065431D">
          <w:rPr>
            <w:noProof/>
            <w:webHidden/>
          </w:rPr>
          <w:instrText xml:space="preserve"> PAGEREF _Toc79397165 \h </w:instrText>
        </w:r>
        <w:r w:rsidR="0065431D">
          <w:rPr>
            <w:noProof/>
            <w:webHidden/>
          </w:rPr>
        </w:r>
        <w:r w:rsidR="0065431D">
          <w:rPr>
            <w:noProof/>
            <w:webHidden/>
          </w:rPr>
          <w:fldChar w:fldCharType="separate"/>
        </w:r>
        <w:r w:rsidR="0065431D">
          <w:rPr>
            <w:noProof/>
            <w:webHidden/>
          </w:rPr>
          <w:t>22</w:t>
        </w:r>
        <w:r w:rsidR="0065431D">
          <w:rPr>
            <w:noProof/>
            <w:webHidden/>
          </w:rPr>
          <w:fldChar w:fldCharType="end"/>
        </w:r>
      </w:hyperlink>
    </w:p>
    <w:p w14:paraId="3A46873C" w14:textId="1F39AED7"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6" w:history="1">
        <w:r w:rsidR="0065431D" w:rsidRPr="002D6026">
          <w:rPr>
            <w:rStyle w:val="Hyperlink"/>
            <w:noProof/>
          </w:rPr>
          <w:t>Table 3.4 : Estimated costs to individuals</w:t>
        </w:r>
        <w:r w:rsidR="0065431D">
          <w:rPr>
            <w:noProof/>
            <w:webHidden/>
          </w:rPr>
          <w:tab/>
        </w:r>
        <w:r w:rsidR="0065431D">
          <w:rPr>
            <w:noProof/>
            <w:webHidden/>
          </w:rPr>
          <w:fldChar w:fldCharType="begin"/>
        </w:r>
        <w:r w:rsidR="0065431D">
          <w:rPr>
            <w:noProof/>
            <w:webHidden/>
          </w:rPr>
          <w:instrText xml:space="preserve"> PAGEREF _Toc79397166 \h </w:instrText>
        </w:r>
        <w:r w:rsidR="0065431D">
          <w:rPr>
            <w:noProof/>
            <w:webHidden/>
          </w:rPr>
        </w:r>
        <w:r w:rsidR="0065431D">
          <w:rPr>
            <w:noProof/>
            <w:webHidden/>
          </w:rPr>
          <w:fldChar w:fldCharType="separate"/>
        </w:r>
        <w:r w:rsidR="0065431D">
          <w:rPr>
            <w:noProof/>
            <w:webHidden/>
          </w:rPr>
          <w:t>25</w:t>
        </w:r>
        <w:r w:rsidR="0065431D">
          <w:rPr>
            <w:noProof/>
            <w:webHidden/>
          </w:rPr>
          <w:fldChar w:fldCharType="end"/>
        </w:r>
      </w:hyperlink>
    </w:p>
    <w:p w14:paraId="3EBED227" w14:textId="1DCAE414"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7" w:history="1">
        <w:r w:rsidR="0065431D" w:rsidRPr="002D6026">
          <w:rPr>
            <w:rStyle w:val="Hyperlink"/>
            <w:noProof/>
          </w:rPr>
          <w:t>Table 3.5 : Estimated costs to businesses associated with approval applications</w:t>
        </w:r>
        <w:r w:rsidR="0065431D">
          <w:rPr>
            <w:noProof/>
            <w:webHidden/>
          </w:rPr>
          <w:tab/>
        </w:r>
        <w:r w:rsidR="0065431D">
          <w:rPr>
            <w:noProof/>
            <w:webHidden/>
          </w:rPr>
          <w:fldChar w:fldCharType="begin"/>
        </w:r>
        <w:r w:rsidR="0065431D">
          <w:rPr>
            <w:noProof/>
            <w:webHidden/>
          </w:rPr>
          <w:instrText xml:space="preserve"> PAGEREF _Toc79397167 \h </w:instrText>
        </w:r>
        <w:r w:rsidR="0065431D">
          <w:rPr>
            <w:noProof/>
            <w:webHidden/>
          </w:rPr>
        </w:r>
        <w:r w:rsidR="0065431D">
          <w:rPr>
            <w:noProof/>
            <w:webHidden/>
          </w:rPr>
          <w:fldChar w:fldCharType="separate"/>
        </w:r>
        <w:r w:rsidR="0065431D">
          <w:rPr>
            <w:noProof/>
            <w:webHidden/>
          </w:rPr>
          <w:t>26</w:t>
        </w:r>
        <w:r w:rsidR="0065431D">
          <w:rPr>
            <w:noProof/>
            <w:webHidden/>
          </w:rPr>
          <w:fldChar w:fldCharType="end"/>
        </w:r>
      </w:hyperlink>
    </w:p>
    <w:p w14:paraId="3990F557" w14:textId="2F867C86"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8" w:history="1">
        <w:r w:rsidR="0065431D" w:rsidRPr="002D6026">
          <w:rPr>
            <w:rStyle w:val="Hyperlink"/>
            <w:noProof/>
          </w:rPr>
          <w:t>Table 3.6 : Estimated costs to businesses associated with recording sales</w:t>
        </w:r>
        <w:r w:rsidR="0065431D">
          <w:rPr>
            <w:noProof/>
            <w:webHidden/>
          </w:rPr>
          <w:tab/>
        </w:r>
        <w:r w:rsidR="0065431D">
          <w:rPr>
            <w:noProof/>
            <w:webHidden/>
          </w:rPr>
          <w:fldChar w:fldCharType="begin"/>
        </w:r>
        <w:r w:rsidR="0065431D">
          <w:rPr>
            <w:noProof/>
            <w:webHidden/>
          </w:rPr>
          <w:instrText xml:space="preserve"> PAGEREF _Toc79397168 \h </w:instrText>
        </w:r>
        <w:r w:rsidR="0065431D">
          <w:rPr>
            <w:noProof/>
            <w:webHidden/>
          </w:rPr>
        </w:r>
        <w:r w:rsidR="0065431D">
          <w:rPr>
            <w:noProof/>
            <w:webHidden/>
          </w:rPr>
          <w:fldChar w:fldCharType="separate"/>
        </w:r>
        <w:r w:rsidR="0065431D">
          <w:rPr>
            <w:noProof/>
            <w:webHidden/>
          </w:rPr>
          <w:t>27</w:t>
        </w:r>
        <w:r w:rsidR="0065431D">
          <w:rPr>
            <w:noProof/>
            <w:webHidden/>
          </w:rPr>
          <w:fldChar w:fldCharType="end"/>
        </w:r>
      </w:hyperlink>
    </w:p>
    <w:p w14:paraId="0920D5E9" w14:textId="3C00E12C" w:rsidR="0065431D" w:rsidRDefault="003176B1">
      <w:pPr>
        <w:pStyle w:val="TableofFigures"/>
        <w:tabs>
          <w:tab w:val="right" w:leader="dot" w:pos="10367"/>
        </w:tabs>
        <w:rPr>
          <w:rFonts w:asciiTheme="minorHAnsi" w:eastAsiaTheme="minorEastAsia" w:hAnsiTheme="minorHAnsi"/>
          <w:noProof/>
          <w:sz w:val="22"/>
          <w:szCs w:val="22"/>
          <w:lang w:eastAsia="en-AU"/>
        </w:rPr>
      </w:pPr>
      <w:hyperlink w:anchor="_Toc79397169" w:history="1">
        <w:r w:rsidR="0065431D" w:rsidRPr="002D6026">
          <w:rPr>
            <w:rStyle w:val="Hyperlink"/>
            <w:noProof/>
          </w:rPr>
          <w:t>Table 5.1 : Anticipated small business and competition impacts of the proposed Regulations</w:t>
        </w:r>
        <w:r w:rsidR="0065431D">
          <w:rPr>
            <w:noProof/>
            <w:webHidden/>
          </w:rPr>
          <w:tab/>
        </w:r>
        <w:r w:rsidR="0065431D">
          <w:rPr>
            <w:noProof/>
            <w:webHidden/>
          </w:rPr>
          <w:fldChar w:fldCharType="begin"/>
        </w:r>
        <w:r w:rsidR="0065431D">
          <w:rPr>
            <w:noProof/>
            <w:webHidden/>
          </w:rPr>
          <w:instrText xml:space="preserve"> PAGEREF _Toc79397169 \h </w:instrText>
        </w:r>
        <w:r w:rsidR="0065431D">
          <w:rPr>
            <w:noProof/>
            <w:webHidden/>
          </w:rPr>
        </w:r>
        <w:r w:rsidR="0065431D">
          <w:rPr>
            <w:noProof/>
            <w:webHidden/>
          </w:rPr>
          <w:fldChar w:fldCharType="separate"/>
        </w:r>
        <w:r w:rsidR="0065431D">
          <w:rPr>
            <w:noProof/>
            <w:webHidden/>
          </w:rPr>
          <w:t>31</w:t>
        </w:r>
        <w:r w:rsidR="0065431D">
          <w:rPr>
            <w:noProof/>
            <w:webHidden/>
          </w:rPr>
          <w:fldChar w:fldCharType="end"/>
        </w:r>
      </w:hyperlink>
    </w:p>
    <w:p w14:paraId="7E70DADC" w14:textId="4BBB142D" w:rsidR="00E547D2" w:rsidRDefault="00E547D2" w:rsidP="00E547D2">
      <w:r>
        <w:fldChar w:fldCharType="end"/>
      </w:r>
    </w:p>
    <w:p w14:paraId="590E50C5" w14:textId="77777777" w:rsidR="00E547D2" w:rsidRDefault="00E547D2" w:rsidP="00E547D2"/>
    <w:p w14:paraId="153D8031" w14:textId="77777777" w:rsidR="00E547D2" w:rsidRDefault="00E547D2" w:rsidP="00E547D2">
      <w:pPr>
        <w:spacing w:after="0"/>
      </w:pPr>
      <w:r>
        <w:br w:type="page"/>
      </w:r>
    </w:p>
    <w:p w14:paraId="736B9D7B" w14:textId="77777777" w:rsidR="00E547D2" w:rsidRDefault="00E547D2" w:rsidP="00E547D2">
      <w:pPr>
        <w:pStyle w:val="Heading1un-numbered"/>
      </w:pPr>
      <w:bookmarkStart w:id="12" w:name="_Toc462313127"/>
      <w:bookmarkStart w:id="13" w:name="_Toc462317836"/>
      <w:bookmarkStart w:id="14" w:name="_Toc462397801"/>
      <w:bookmarkStart w:id="15" w:name="_Toc463002428"/>
      <w:bookmarkStart w:id="16" w:name="_Toc472586340"/>
      <w:bookmarkStart w:id="17" w:name="_Toc482168118"/>
      <w:bookmarkStart w:id="18" w:name="_Toc482174905"/>
      <w:bookmarkStart w:id="19" w:name="_Toc74298107"/>
      <w:bookmarkStart w:id="20" w:name="_Toc79397194"/>
      <w:r>
        <w:t>Glossary</w:t>
      </w:r>
      <w:bookmarkEnd w:id="12"/>
      <w:bookmarkEnd w:id="13"/>
      <w:bookmarkEnd w:id="14"/>
      <w:bookmarkEnd w:id="15"/>
      <w:bookmarkEnd w:id="16"/>
      <w:bookmarkEnd w:id="17"/>
      <w:bookmarkEnd w:id="18"/>
      <w:bookmarkEnd w:id="19"/>
      <w:bookmarkEnd w:id="20"/>
    </w:p>
    <w:tbl>
      <w:tblPr>
        <w:tblStyle w:val="Deloittetable"/>
        <w:tblW w:w="0" w:type="auto"/>
        <w:tblLayout w:type="fixed"/>
        <w:tblLook w:val="04A0" w:firstRow="1" w:lastRow="0" w:firstColumn="1" w:lastColumn="0" w:noHBand="0" w:noVBand="1"/>
      </w:tblPr>
      <w:tblGrid>
        <w:gridCol w:w="2132"/>
        <w:gridCol w:w="4813"/>
      </w:tblGrid>
      <w:tr w:rsidR="00E547D2" w14:paraId="5D0E6D21" w14:textId="77777777" w:rsidTr="00E547D2">
        <w:trPr>
          <w:cnfStyle w:val="100000000000" w:firstRow="1" w:lastRow="0" w:firstColumn="0" w:lastColumn="0" w:oddVBand="0" w:evenVBand="0" w:oddHBand="0" w:evenHBand="0" w:firstRowFirstColumn="0" w:firstRowLastColumn="0" w:lastRowFirstColumn="0" w:lastRowLastColumn="0"/>
        </w:trPr>
        <w:tc>
          <w:tcPr>
            <w:tcW w:w="2132" w:type="dxa"/>
            <w:tcBorders>
              <w:left w:val="nil"/>
              <w:bottom w:val="single" w:sz="4" w:space="0" w:color="000000" w:themeColor="text1"/>
              <w:right w:val="nil"/>
            </w:tcBorders>
            <w:hideMark/>
          </w:tcPr>
          <w:p w14:paraId="0285750B" w14:textId="77777777" w:rsidR="00E547D2" w:rsidRDefault="00E547D2">
            <w:pPr>
              <w:pStyle w:val="TabletextLeft"/>
              <w:rPr>
                <w:lang w:val="en-GB"/>
              </w:rPr>
            </w:pPr>
            <w:r>
              <w:rPr>
                <w:lang w:val="en-GB"/>
              </w:rPr>
              <w:t>Acronym</w:t>
            </w:r>
          </w:p>
        </w:tc>
        <w:tc>
          <w:tcPr>
            <w:tcW w:w="4813" w:type="dxa"/>
            <w:tcBorders>
              <w:left w:val="nil"/>
              <w:bottom w:val="single" w:sz="4" w:space="0" w:color="000000" w:themeColor="text1"/>
              <w:right w:val="nil"/>
            </w:tcBorders>
            <w:hideMark/>
          </w:tcPr>
          <w:p w14:paraId="54E7D620" w14:textId="77777777" w:rsidR="00E547D2" w:rsidRDefault="00E547D2">
            <w:pPr>
              <w:pStyle w:val="TabletextLeft"/>
              <w:rPr>
                <w:lang w:val="en-GB"/>
              </w:rPr>
            </w:pPr>
            <w:r>
              <w:rPr>
                <w:lang w:val="en-GB"/>
              </w:rPr>
              <w:t>Full name</w:t>
            </w:r>
          </w:p>
        </w:tc>
      </w:tr>
      <w:tr w:rsidR="00E547D2" w14:paraId="5C248B83" w14:textId="77777777" w:rsidTr="00E547D2">
        <w:tc>
          <w:tcPr>
            <w:tcW w:w="2132" w:type="dxa"/>
            <w:tcBorders>
              <w:top w:val="single" w:sz="4" w:space="0" w:color="000000" w:themeColor="text1"/>
              <w:left w:val="nil"/>
              <w:bottom w:val="single" w:sz="4" w:space="0" w:color="000000" w:themeColor="text1"/>
              <w:right w:val="nil"/>
            </w:tcBorders>
            <w:hideMark/>
          </w:tcPr>
          <w:p w14:paraId="0D7D843A" w14:textId="77777777" w:rsidR="00E547D2" w:rsidRDefault="00E547D2">
            <w:pPr>
              <w:pStyle w:val="TabletextLeft"/>
              <w:rPr>
                <w:lang w:val="en-GB"/>
              </w:rPr>
            </w:pPr>
            <w:r>
              <w:rPr>
                <w:lang w:val="en-GB"/>
              </w:rPr>
              <w:t>ABS</w:t>
            </w:r>
          </w:p>
        </w:tc>
        <w:tc>
          <w:tcPr>
            <w:tcW w:w="4813" w:type="dxa"/>
            <w:tcBorders>
              <w:top w:val="single" w:sz="4" w:space="0" w:color="000000" w:themeColor="text1"/>
              <w:left w:val="nil"/>
              <w:bottom w:val="single" w:sz="4" w:space="0" w:color="000000" w:themeColor="text1"/>
              <w:right w:val="nil"/>
            </w:tcBorders>
            <w:hideMark/>
          </w:tcPr>
          <w:p w14:paraId="23465481" w14:textId="77777777" w:rsidR="00E547D2" w:rsidRDefault="00E547D2">
            <w:pPr>
              <w:pStyle w:val="TabletextLeft"/>
              <w:rPr>
                <w:lang w:val="en-GB"/>
              </w:rPr>
            </w:pPr>
            <w:r>
              <w:rPr>
                <w:lang w:val="en-GB"/>
              </w:rPr>
              <w:t>Australian Bureau of Statistics</w:t>
            </w:r>
          </w:p>
        </w:tc>
      </w:tr>
      <w:tr w:rsidR="00E547D2" w14:paraId="4BF57F12" w14:textId="77777777" w:rsidTr="00E547D2">
        <w:tc>
          <w:tcPr>
            <w:tcW w:w="2132" w:type="dxa"/>
            <w:tcBorders>
              <w:top w:val="single" w:sz="4" w:space="0" w:color="000000" w:themeColor="text1"/>
              <w:left w:val="nil"/>
              <w:bottom w:val="single" w:sz="4" w:space="0" w:color="000000" w:themeColor="text1"/>
              <w:right w:val="nil"/>
            </w:tcBorders>
            <w:hideMark/>
          </w:tcPr>
          <w:p w14:paraId="010918B4" w14:textId="77777777" w:rsidR="00E547D2" w:rsidRDefault="00E547D2">
            <w:pPr>
              <w:pStyle w:val="TabletextLeft"/>
              <w:rPr>
                <w:lang w:val="en-GB"/>
              </w:rPr>
            </w:pPr>
            <w:r>
              <w:rPr>
                <w:lang w:val="en-GB"/>
              </w:rPr>
              <w:t>the Act</w:t>
            </w:r>
          </w:p>
        </w:tc>
        <w:tc>
          <w:tcPr>
            <w:tcW w:w="4813" w:type="dxa"/>
            <w:tcBorders>
              <w:top w:val="single" w:sz="4" w:space="0" w:color="000000" w:themeColor="text1"/>
              <w:left w:val="nil"/>
              <w:bottom w:val="single" w:sz="4" w:space="0" w:color="000000" w:themeColor="text1"/>
              <w:right w:val="nil"/>
            </w:tcBorders>
            <w:hideMark/>
          </w:tcPr>
          <w:p w14:paraId="55056B62" w14:textId="77777777" w:rsidR="00E547D2" w:rsidRDefault="00E547D2">
            <w:pPr>
              <w:pStyle w:val="TabletextLeft"/>
              <w:rPr>
                <w:lang w:val="en-GB"/>
              </w:rPr>
            </w:pPr>
            <w:r>
              <w:rPr>
                <w:i/>
                <w:iCs/>
                <w:lang w:val="en-GB"/>
              </w:rPr>
              <w:t>Control of Weapons Act 1990</w:t>
            </w:r>
          </w:p>
        </w:tc>
      </w:tr>
      <w:tr w:rsidR="00E547D2" w14:paraId="38CF7451" w14:textId="77777777" w:rsidTr="00E547D2">
        <w:tc>
          <w:tcPr>
            <w:tcW w:w="2132" w:type="dxa"/>
            <w:tcBorders>
              <w:top w:val="single" w:sz="4" w:space="0" w:color="000000" w:themeColor="text1"/>
              <w:left w:val="nil"/>
              <w:bottom w:val="single" w:sz="4" w:space="0" w:color="000000" w:themeColor="text1"/>
              <w:right w:val="nil"/>
            </w:tcBorders>
            <w:hideMark/>
          </w:tcPr>
          <w:p w14:paraId="2418AD22" w14:textId="77777777" w:rsidR="00E547D2" w:rsidRDefault="00E547D2">
            <w:pPr>
              <w:pStyle w:val="TabletextLeft"/>
              <w:rPr>
                <w:lang w:val="en-GB"/>
              </w:rPr>
            </w:pPr>
            <w:r>
              <w:rPr>
                <w:lang w:val="en-GB"/>
              </w:rPr>
              <w:t>the Regulations</w:t>
            </w:r>
          </w:p>
        </w:tc>
        <w:tc>
          <w:tcPr>
            <w:tcW w:w="4813" w:type="dxa"/>
            <w:tcBorders>
              <w:top w:val="single" w:sz="4" w:space="0" w:color="000000" w:themeColor="text1"/>
              <w:left w:val="nil"/>
              <w:bottom w:val="single" w:sz="4" w:space="0" w:color="000000" w:themeColor="text1"/>
              <w:right w:val="nil"/>
            </w:tcBorders>
            <w:hideMark/>
          </w:tcPr>
          <w:p w14:paraId="61B6B1CA" w14:textId="77777777" w:rsidR="00E547D2" w:rsidRDefault="00E547D2">
            <w:pPr>
              <w:pStyle w:val="TabletextLeft"/>
              <w:rPr>
                <w:lang w:val="en-GB"/>
              </w:rPr>
            </w:pPr>
            <w:r>
              <w:rPr>
                <w:lang w:val="en-GB"/>
              </w:rPr>
              <w:t>Control of Weapons Regulations</w:t>
            </w:r>
          </w:p>
        </w:tc>
      </w:tr>
      <w:tr w:rsidR="00E547D2" w14:paraId="41F3B69D" w14:textId="77777777" w:rsidTr="00E547D2">
        <w:tc>
          <w:tcPr>
            <w:tcW w:w="2132" w:type="dxa"/>
            <w:tcBorders>
              <w:top w:val="single" w:sz="4" w:space="0" w:color="000000" w:themeColor="text1"/>
              <w:left w:val="nil"/>
              <w:bottom w:val="single" w:sz="4" w:space="0" w:color="000000" w:themeColor="text1"/>
              <w:right w:val="nil"/>
            </w:tcBorders>
            <w:hideMark/>
          </w:tcPr>
          <w:p w14:paraId="09AE0A6A" w14:textId="77777777" w:rsidR="00E547D2" w:rsidRDefault="00E547D2">
            <w:pPr>
              <w:pStyle w:val="TabletextLeft"/>
              <w:ind w:left="0"/>
              <w:rPr>
                <w:lang w:val="en-GB"/>
              </w:rPr>
            </w:pPr>
            <w:r>
              <w:rPr>
                <w:lang w:val="en-GB"/>
              </w:rPr>
              <w:t xml:space="preserve"> DJCS</w:t>
            </w:r>
          </w:p>
        </w:tc>
        <w:tc>
          <w:tcPr>
            <w:tcW w:w="4813" w:type="dxa"/>
            <w:tcBorders>
              <w:top w:val="single" w:sz="4" w:space="0" w:color="000000" w:themeColor="text1"/>
              <w:left w:val="nil"/>
              <w:bottom w:val="single" w:sz="4" w:space="0" w:color="000000" w:themeColor="text1"/>
              <w:right w:val="nil"/>
            </w:tcBorders>
            <w:hideMark/>
          </w:tcPr>
          <w:p w14:paraId="74D246D1" w14:textId="77777777" w:rsidR="00E547D2" w:rsidRDefault="00E547D2">
            <w:pPr>
              <w:pStyle w:val="TabletextLeft"/>
              <w:rPr>
                <w:lang w:val="en-GB"/>
              </w:rPr>
            </w:pPr>
            <w:r>
              <w:rPr>
                <w:lang w:val="en-GB"/>
              </w:rPr>
              <w:t>Department of Justice and Community Safety</w:t>
            </w:r>
          </w:p>
        </w:tc>
      </w:tr>
      <w:tr w:rsidR="00E547D2" w14:paraId="5260FA7E" w14:textId="77777777" w:rsidTr="00E547D2">
        <w:tc>
          <w:tcPr>
            <w:tcW w:w="2132" w:type="dxa"/>
            <w:tcBorders>
              <w:top w:val="single" w:sz="4" w:space="0" w:color="000000" w:themeColor="text1"/>
              <w:left w:val="nil"/>
              <w:bottom w:val="single" w:sz="4" w:space="0" w:color="000000" w:themeColor="text1"/>
              <w:right w:val="nil"/>
            </w:tcBorders>
            <w:hideMark/>
          </w:tcPr>
          <w:p w14:paraId="3DB17416" w14:textId="77777777" w:rsidR="00E547D2" w:rsidRDefault="00E547D2">
            <w:pPr>
              <w:pStyle w:val="TabletextLeft"/>
              <w:ind w:left="0"/>
              <w:rPr>
                <w:lang w:val="en-GB"/>
              </w:rPr>
            </w:pPr>
            <w:r>
              <w:rPr>
                <w:lang w:val="en-GB"/>
              </w:rPr>
              <w:t xml:space="preserve"> weapons</w:t>
            </w:r>
          </w:p>
        </w:tc>
        <w:tc>
          <w:tcPr>
            <w:tcW w:w="4813" w:type="dxa"/>
            <w:tcBorders>
              <w:top w:val="single" w:sz="4" w:space="0" w:color="000000" w:themeColor="text1"/>
              <w:left w:val="nil"/>
              <w:bottom w:val="single" w:sz="4" w:space="0" w:color="000000" w:themeColor="text1"/>
              <w:right w:val="nil"/>
            </w:tcBorders>
            <w:hideMark/>
          </w:tcPr>
          <w:p w14:paraId="5BBF3BAB" w14:textId="77777777" w:rsidR="00E547D2" w:rsidRDefault="00E547D2">
            <w:pPr>
              <w:pStyle w:val="TabletextLeft"/>
              <w:rPr>
                <w:lang w:val="en-GB"/>
              </w:rPr>
            </w:pPr>
            <w:r>
              <w:rPr>
                <w:lang w:val="en-GB"/>
              </w:rPr>
              <w:t>non-firearm weapons</w:t>
            </w:r>
          </w:p>
        </w:tc>
      </w:tr>
      <w:tr w:rsidR="00E547D2" w14:paraId="369547EE" w14:textId="77777777" w:rsidTr="00E547D2">
        <w:tc>
          <w:tcPr>
            <w:tcW w:w="2132" w:type="dxa"/>
            <w:tcBorders>
              <w:top w:val="single" w:sz="4" w:space="0" w:color="000000" w:themeColor="text1"/>
              <w:left w:val="nil"/>
              <w:bottom w:val="single" w:sz="4" w:space="0" w:color="000000" w:themeColor="text1"/>
              <w:right w:val="nil"/>
            </w:tcBorders>
            <w:hideMark/>
          </w:tcPr>
          <w:p w14:paraId="6D7698C6" w14:textId="77777777" w:rsidR="00E547D2" w:rsidRDefault="00E547D2">
            <w:pPr>
              <w:pStyle w:val="TabletextLeft"/>
              <w:rPr>
                <w:lang w:val="en-GB"/>
              </w:rPr>
            </w:pPr>
            <w:r>
              <w:rPr>
                <w:lang w:val="en-GB"/>
              </w:rPr>
              <w:t>MCA</w:t>
            </w:r>
          </w:p>
        </w:tc>
        <w:tc>
          <w:tcPr>
            <w:tcW w:w="4813" w:type="dxa"/>
            <w:tcBorders>
              <w:top w:val="single" w:sz="4" w:space="0" w:color="000000" w:themeColor="text1"/>
              <w:left w:val="nil"/>
              <w:bottom w:val="single" w:sz="4" w:space="0" w:color="000000" w:themeColor="text1"/>
              <w:right w:val="nil"/>
            </w:tcBorders>
            <w:hideMark/>
          </w:tcPr>
          <w:p w14:paraId="79CFDE6F" w14:textId="77777777" w:rsidR="00E547D2" w:rsidRDefault="00E547D2">
            <w:pPr>
              <w:pStyle w:val="TabletextLeft"/>
              <w:rPr>
                <w:lang w:val="en-GB"/>
              </w:rPr>
            </w:pPr>
            <w:r>
              <w:rPr>
                <w:lang w:val="en-GB"/>
              </w:rPr>
              <w:t>Multi-Criteria Analysis</w:t>
            </w:r>
          </w:p>
        </w:tc>
      </w:tr>
      <w:tr w:rsidR="00E547D2" w14:paraId="76EA0681" w14:textId="77777777" w:rsidTr="00E547D2">
        <w:tc>
          <w:tcPr>
            <w:tcW w:w="2132" w:type="dxa"/>
            <w:tcBorders>
              <w:top w:val="single" w:sz="4" w:space="0" w:color="000000" w:themeColor="text1"/>
              <w:left w:val="nil"/>
              <w:bottom w:val="single" w:sz="4" w:space="0" w:color="000000" w:themeColor="text1"/>
              <w:right w:val="nil"/>
            </w:tcBorders>
            <w:hideMark/>
          </w:tcPr>
          <w:p w14:paraId="17F535D4" w14:textId="77777777" w:rsidR="00E547D2" w:rsidRDefault="00E547D2">
            <w:pPr>
              <w:pStyle w:val="TabletextLeft"/>
              <w:ind w:left="0"/>
              <w:rPr>
                <w:lang w:val="en-GB"/>
              </w:rPr>
            </w:pPr>
            <w:r>
              <w:rPr>
                <w:lang w:val="en-GB"/>
              </w:rPr>
              <w:t xml:space="preserve"> the Regulations</w:t>
            </w:r>
          </w:p>
        </w:tc>
        <w:tc>
          <w:tcPr>
            <w:tcW w:w="4813" w:type="dxa"/>
            <w:tcBorders>
              <w:top w:val="single" w:sz="4" w:space="0" w:color="000000" w:themeColor="text1"/>
              <w:left w:val="nil"/>
              <w:bottom w:val="single" w:sz="4" w:space="0" w:color="000000" w:themeColor="text1"/>
              <w:right w:val="nil"/>
            </w:tcBorders>
            <w:hideMark/>
          </w:tcPr>
          <w:p w14:paraId="351EBA9E" w14:textId="77777777" w:rsidR="00E547D2" w:rsidRDefault="00E547D2">
            <w:pPr>
              <w:pStyle w:val="TabletextLeft"/>
              <w:rPr>
                <w:lang w:val="en-GB"/>
              </w:rPr>
            </w:pPr>
            <w:r>
              <w:rPr>
                <w:lang w:val="en-GB"/>
              </w:rPr>
              <w:t>Control of Weapons Regulations 2011</w:t>
            </w:r>
          </w:p>
        </w:tc>
      </w:tr>
      <w:tr w:rsidR="00E547D2" w14:paraId="7D380F19" w14:textId="77777777" w:rsidTr="00E547D2">
        <w:tc>
          <w:tcPr>
            <w:tcW w:w="2132" w:type="dxa"/>
            <w:tcBorders>
              <w:top w:val="single" w:sz="4" w:space="0" w:color="000000" w:themeColor="text1"/>
              <w:left w:val="nil"/>
              <w:bottom w:val="single" w:sz="4" w:space="0" w:color="000000" w:themeColor="text1"/>
              <w:right w:val="nil"/>
            </w:tcBorders>
            <w:hideMark/>
          </w:tcPr>
          <w:p w14:paraId="0B086B2B" w14:textId="77777777" w:rsidR="00E547D2" w:rsidRDefault="00E547D2">
            <w:pPr>
              <w:pStyle w:val="TabletextLeft"/>
              <w:ind w:left="0"/>
              <w:rPr>
                <w:lang w:val="en-GB"/>
              </w:rPr>
            </w:pPr>
            <w:r>
              <w:rPr>
                <w:lang w:val="en-GB"/>
              </w:rPr>
              <w:t xml:space="preserve"> RIS </w:t>
            </w:r>
          </w:p>
        </w:tc>
        <w:tc>
          <w:tcPr>
            <w:tcW w:w="4813" w:type="dxa"/>
            <w:tcBorders>
              <w:top w:val="single" w:sz="4" w:space="0" w:color="000000" w:themeColor="text1"/>
              <w:left w:val="nil"/>
              <w:bottom w:val="single" w:sz="4" w:space="0" w:color="000000" w:themeColor="text1"/>
              <w:right w:val="nil"/>
            </w:tcBorders>
            <w:hideMark/>
          </w:tcPr>
          <w:p w14:paraId="5D03FE1A" w14:textId="77777777" w:rsidR="00E547D2" w:rsidRDefault="00E547D2">
            <w:pPr>
              <w:pStyle w:val="TabletextLeft"/>
              <w:rPr>
                <w:lang w:val="en-GB"/>
              </w:rPr>
            </w:pPr>
            <w:r>
              <w:rPr>
                <w:lang w:val="en-GB"/>
              </w:rPr>
              <w:t>Regulatory Impact Statement</w:t>
            </w:r>
          </w:p>
        </w:tc>
      </w:tr>
      <w:tr w:rsidR="00E547D2" w14:paraId="03A14877" w14:textId="77777777" w:rsidTr="00E547D2">
        <w:tc>
          <w:tcPr>
            <w:tcW w:w="2132" w:type="dxa"/>
            <w:tcBorders>
              <w:top w:val="single" w:sz="4" w:space="0" w:color="000000" w:themeColor="text1"/>
              <w:left w:val="nil"/>
              <w:bottom w:val="single" w:sz="4" w:space="0" w:color="000000" w:themeColor="text1"/>
              <w:right w:val="nil"/>
            </w:tcBorders>
            <w:hideMark/>
          </w:tcPr>
          <w:p w14:paraId="6AA8223F" w14:textId="77777777" w:rsidR="00E547D2" w:rsidRDefault="00E547D2">
            <w:pPr>
              <w:pStyle w:val="TabletextLeft"/>
              <w:rPr>
                <w:lang w:val="en-GB"/>
              </w:rPr>
            </w:pPr>
            <w:r>
              <w:rPr>
                <w:lang w:val="en-GB"/>
              </w:rPr>
              <w:t>ABN</w:t>
            </w:r>
          </w:p>
        </w:tc>
        <w:tc>
          <w:tcPr>
            <w:tcW w:w="4813" w:type="dxa"/>
            <w:tcBorders>
              <w:top w:val="single" w:sz="4" w:space="0" w:color="000000" w:themeColor="text1"/>
              <w:left w:val="nil"/>
              <w:bottom w:val="single" w:sz="4" w:space="0" w:color="000000" w:themeColor="text1"/>
              <w:right w:val="nil"/>
            </w:tcBorders>
            <w:hideMark/>
          </w:tcPr>
          <w:p w14:paraId="4F36C7F1" w14:textId="77777777" w:rsidR="00E547D2" w:rsidRDefault="00E547D2">
            <w:pPr>
              <w:pStyle w:val="TabletextLeft"/>
              <w:rPr>
                <w:lang w:val="en-GB"/>
              </w:rPr>
            </w:pPr>
            <w:r>
              <w:rPr>
                <w:lang w:val="en-GB"/>
              </w:rPr>
              <w:t>Australian Business Number</w:t>
            </w:r>
          </w:p>
        </w:tc>
      </w:tr>
      <w:tr w:rsidR="00E547D2" w14:paraId="57C307FA" w14:textId="77777777" w:rsidTr="00E547D2">
        <w:tc>
          <w:tcPr>
            <w:tcW w:w="2132" w:type="dxa"/>
            <w:tcBorders>
              <w:top w:val="single" w:sz="4" w:space="0" w:color="000000" w:themeColor="text1"/>
              <w:left w:val="nil"/>
              <w:bottom w:val="single" w:sz="4" w:space="0" w:color="000000" w:themeColor="text1"/>
              <w:right w:val="nil"/>
            </w:tcBorders>
            <w:hideMark/>
          </w:tcPr>
          <w:p w14:paraId="5D659D86" w14:textId="77777777" w:rsidR="00E547D2" w:rsidRDefault="00E547D2">
            <w:pPr>
              <w:pStyle w:val="TabletextLeft"/>
              <w:rPr>
                <w:lang w:val="en-GB"/>
              </w:rPr>
            </w:pPr>
            <w:r>
              <w:rPr>
                <w:lang w:val="en-GB"/>
              </w:rPr>
              <w:t>ACN</w:t>
            </w:r>
          </w:p>
        </w:tc>
        <w:tc>
          <w:tcPr>
            <w:tcW w:w="4813" w:type="dxa"/>
            <w:tcBorders>
              <w:top w:val="single" w:sz="4" w:space="0" w:color="000000" w:themeColor="text1"/>
              <w:left w:val="nil"/>
              <w:bottom w:val="single" w:sz="4" w:space="0" w:color="000000" w:themeColor="text1"/>
              <w:right w:val="nil"/>
            </w:tcBorders>
            <w:hideMark/>
          </w:tcPr>
          <w:p w14:paraId="1E590289" w14:textId="77777777" w:rsidR="00E547D2" w:rsidRDefault="00E547D2">
            <w:pPr>
              <w:pStyle w:val="TabletextLeft"/>
              <w:rPr>
                <w:lang w:val="en-GB"/>
              </w:rPr>
            </w:pPr>
            <w:r>
              <w:rPr>
                <w:lang w:val="en-GB"/>
              </w:rPr>
              <w:t>Australian Company Number</w:t>
            </w:r>
          </w:p>
        </w:tc>
      </w:tr>
      <w:tr w:rsidR="00E547D2" w14:paraId="2C089099" w14:textId="77777777" w:rsidTr="00E547D2">
        <w:tc>
          <w:tcPr>
            <w:tcW w:w="2132" w:type="dxa"/>
            <w:tcBorders>
              <w:top w:val="single" w:sz="4" w:space="0" w:color="000000" w:themeColor="text1"/>
              <w:left w:val="nil"/>
              <w:bottom w:val="single" w:sz="4" w:space="0" w:color="000000" w:themeColor="text1"/>
              <w:right w:val="nil"/>
            </w:tcBorders>
            <w:hideMark/>
          </w:tcPr>
          <w:p w14:paraId="7015E339" w14:textId="77777777" w:rsidR="00E547D2" w:rsidRDefault="00E547D2">
            <w:pPr>
              <w:pStyle w:val="TabletextLeft"/>
              <w:rPr>
                <w:lang w:val="en-GB"/>
              </w:rPr>
            </w:pPr>
            <w:r>
              <w:rPr>
                <w:lang w:val="en-GB"/>
              </w:rPr>
              <w:t>ARBN</w:t>
            </w:r>
          </w:p>
        </w:tc>
        <w:tc>
          <w:tcPr>
            <w:tcW w:w="4813" w:type="dxa"/>
            <w:tcBorders>
              <w:top w:val="single" w:sz="4" w:space="0" w:color="000000" w:themeColor="text1"/>
              <w:left w:val="nil"/>
              <w:bottom w:val="single" w:sz="4" w:space="0" w:color="000000" w:themeColor="text1"/>
              <w:right w:val="nil"/>
            </w:tcBorders>
            <w:hideMark/>
          </w:tcPr>
          <w:p w14:paraId="12BB0702" w14:textId="77777777" w:rsidR="00E547D2" w:rsidRDefault="00E547D2">
            <w:pPr>
              <w:pStyle w:val="TabletextLeft"/>
              <w:rPr>
                <w:lang w:val="en-GB"/>
              </w:rPr>
            </w:pPr>
            <w:r>
              <w:rPr>
                <w:lang w:val="en-GB"/>
              </w:rPr>
              <w:t>Australian Registered Body Number</w:t>
            </w:r>
          </w:p>
        </w:tc>
      </w:tr>
    </w:tbl>
    <w:p w14:paraId="410C72B8" w14:textId="77777777" w:rsidR="00E547D2" w:rsidRDefault="00E547D2" w:rsidP="00E547D2"/>
    <w:p w14:paraId="1599D57D" w14:textId="77777777" w:rsidR="00E547D2" w:rsidRDefault="00E547D2" w:rsidP="00E547D2"/>
    <w:p w14:paraId="36B26760" w14:textId="77777777" w:rsidR="00E547D2" w:rsidRDefault="00E547D2">
      <w:pPr>
        <w:spacing w:after="0"/>
        <w:rPr>
          <w:rFonts w:eastAsiaTheme="majorEastAsia" w:cstheme="majorBidi"/>
          <w:bCs/>
          <w:sz w:val="60"/>
          <w:szCs w:val="28"/>
        </w:rPr>
      </w:pPr>
      <w:r>
        <w:br w:type="page"/>
      </w:r>
    </w:p>
    <w:p w14:paraId="750C6702" w14:textId="60F1C8D4" w:rsidR="008A2571" w:rsidRDefault="008A2571" w:rsidP="002C4C85">
      <w:pPr>
        <w:pStyle w:val="Heading1"/>
        <w:numPr>
          <w:ilvl w:val="0"/>
          <w:numId w:val="0"/>
        </w:numPr>
        <w:spacing w:after="360"/>
        <w:ind w:left="794" w:hanging="794"/>
      </w:pPr>
      <w:bookmarkStart w:id="21" w:name="_Toc79397195"/>
      <w:r>
        <w:t>Executive Summary</w:t>
      </w:r>
      <w:bookmarkEnd w:id="21"/>
    </w:p>
    <w:p w14:paraId="5528FD26" w14:textId="41C51031" w:rsidR="008A2571" w:rsidRDefault="008A2571" w:rsidP="002C4C85">
      <w:pPr>
        <w:pStyle w:val="HeadingA"/>
        <w:spacing w:before="0"/>
      </w:pPr>
      <w:r>
        <w:t xml:space="preserve">Purpose of this </w:t>
      </w:r>
      <w:r w:rsidR="00572529">
        <w:t>R</w:t>
      </w:r>
      <w:r>
        <w:t xml:space="preserve">egulatory </w:t>
      </w:r>
      <w:r w:rsidR="00572529">
        <w:t>I</w:t>
      </w:r>
      <w:r>
        <w:t xml:space="preserve">mpact </w:t>
      </w:r>
      <w:r w:rsidR="00572529">
        <w:t>S</w:t>
      </w:r>
      <w:r>
        <w:t>tatement</w:t>
      </w:r>
      <w:r w:rsidR="00572529">
        <w:t xml:space="preserve"> (RIS)</w:t>
      </w:r>
    </w:p>
    <w:p w14:paraId="63B736B7" w14:textId="400AF414" w:rsidR="00660C6A" w:rsidRDefault="008A2571" w:rsidP="0097773B">
      <w:r>
        <w:t xml:space="preserve">The purpose of this RIS is to review the effectiveness and impacts of the </w:t>
      </w:r>
      <w:r w:rsidR="00575DDD">
        <w:rPr>
          <w:lang w:val="da-DK"/>
        </w:rPr>
        <w:t>Control of We</w:t>
      </w:r>
      <w:r w:rsidR="004F6643">
        <w:rPr>
          <w:lang w:val="da-DK"/>
        </w:rPr>
        <w:t>apons</w:t>
      </w:r>
      <w:r>
        <w:rPr>
          <w:lang w:val="da-DK"/>
        </w:rPr>
        <w:t xml:space="preserve"> Regulations 201</w:t>
      </w:r>
      <w:r w:rsidR="004F6643">
        <w:rPr>
          <w:lang w:val="da-DK"/>
        </w:rPr>
        <w:t>1</w:t>
      </w:r>
      <w:r>
        <w:rPr>
          <w:lang w:val="da-DK"/>
        </w:rPr>
        <w:t xml:space="preserve"> (the Regulations)</w:t>
      </w:r>
      <w:r>
        <w:t xml:space="preserve">, assess feasible options for changes to the Regulations, and set out a preferred set of new </w:t>
      </w:r>
      <w:r w:rsidR="00572529">
        <w:t>R</w:t>
      </w:r>
      <w:r>
        <w:t>egulations.</w:t>
      </w:r>
      <w:r w:rsidR="0097773B">
        <w:t xml:space="preserve"> </w:t>
      </w:r>
      <w:r>
        <w:t xml:space="preserve">The Regulations prescribe matters for the purposes of the </w:t>
      </w:r>
      <w:r w:rsidR="004F6643">
        <w:rPr>
          <w:i/>
          <w:iCs/>
          <w:lang w:val="da-DK"/>
        </w:rPr>
        <w:t>Control of Weapons Act 1990</w:t>
      </w:r>
      <w:r>
        <w:rPr>
          <w:lang w:val="da-DK"/>
        </w:rPr>
        <w:t xml:space="preserve"> (the Act) and</w:t>
      </w:r>
      <w:r>
        <w:t xml:space="preserve"> sunset on 2</w:t>
      </w:r>
      <w:r w:rsidR="005B6C32">
        <w:t>9</w:t>
      </w:r>
      <w:r>
        <w:t xml:space="preserve"> </w:t>
      </w:r>
      <w:r w:rsidR="005B6C32">
        <w:t>November</w:t>
      </w:r>
      <w:r>
        <w:t xml:space="preserve"> 2021.</w:t>
      </w:r>
    </w:p>
    <w:p w14:paraId="550314E0" w14:textId="09AE72A4" w:rsidR="00572529" w:rsidRDefault="00572529" w:rsidP="0097773B">
      <w:r>
        <w:t>This RIS and accompanying exposure draft Regulations only relate to non-firearms weapons</w:t>
      </w:r>
      <w:r w:rsidR="00412E92">
        <w:t xml:space="preserve"> (weapons hereafter)</w:t>
      </w:r>
      <w:r>
        <w:t xml:space="preserve">. Firearms are separately regulated under the </w:t>
      </w:r>
      <w:r w:rsidRPr="00B13DBB">
        <w:rPr>
          <w:i/>
          <w:iCs/>
        </w:rPr>
        <w:t>Firearms Act 1996</w:t>
      </w:r>
      <w:r>
        <w:t xml:space="preserve"> and the Firearms Regulations 2018 </w:t>
      </w:r>
      <w:r w:rsidR="00DA237C">
        <w:t xml:space="preserve">and </w:t>
      </w:r>
      <w:r>
        <w:t>are not within the scope of this review. Imitation firearms are within the scope of this review as they are classed as weapons not as firearms.</w:t>
      </w:r>
    </w:p>
    <w:p w14:paraId="592AB0D0" w14:textId="77777777" w:rsidR="008A2571" w:rsidRDefault="008A2571" w:rsidP="008A2571">
      <w:pPr>
        <w:pStyle w:val="HeadingA"/>
      </w:pPr>
      <w:r>
        <w:t>Problem statement</w:t>
      </w:r>
    </w:p>
    <w:p w14:paraId="55CE1133" w14:textId="5717393E" w:rsidR="008A2571" w:rsidRDefault="00684350" w:rsidP="002C4C85">
      <w:pPr>
        <w:spacing w:after="120"/>
      </w:pPr>
      <w:r>
        <w:t>The</w:t>
      </w:r>
      <w:r w:rsidR="008A2571">
        <w:t xml:space="preserve"> problem</w:t>
      </w:r>
      <w:r>
        <w:t>s</w:t>
      </w:r>
      <w:r w:rsidR="008A2571">
        <w:t xml:space="preserve"> that these Regulations are intended to address</w:t>
      </w:r>
      <w:r w:rsidR="00E1475A">
        <w:t xml:space="preserve"> </w:t>
      </w:r>
      <w:r>
        <w:t>are</w:t>
      </w:r>
      <w:r w:rsidR="008A2571">
        <w:t>:</w:t>
      </w:r>
    </w:p>
    <w:p w14:paraId="5D76B21C" w14:textId="1D1E2B74" w:rsidR="008A2571" w:rsidRDefault="00F73569" w:rsidP="003B4B20">
      <w:pPr>
        <w:numPr>
          <w:ilvl w:val="0"/>
          <w:numId w:val="35"/>
        </w:numPr>
        <w:spacing w:after="120" w:line="240" w:lineRule="auto"/>
      </w:pPr>
      <w:r>
        <w:t>public access to weapons increases the risk of weapons related harm (both intentional and unintentional</w:t>
      </w:r>
      <w:r w:rsidR="0021489B">
        <w:t>)</w:t>
      </w:r>
    </w:p>
    <w:p w14:paraId="2D9BBB2F" w14:textId="2C0F237F" w:rsidR="008A2571" w:rsidRDefault="0021489B" w:rsidP="003B4B20">
      <w:pPr>
        <w:numPr>
          <w:ilvl w:val="0"/>
          <w:numId w:val="35"/>
        </w:numPr>
        <w:spacing w:after="120" w:line="240" w:lineRule="auto"/>
      </w:pPr>
      <w:r>
        <w:t xml:space="preserve">a lack of regulation may increase frequency </w:t>
      </w:r>
      <w:r w:rsidR="00F325D2">
        <w:t>and severity of harm</w:t>
      </w:r>
      <w:r w:rsidR="15AD1802">
        <w:t>, and</w:t>
      </w:r>
    </w:p>
    <w:p w14:paraId="2EAE36B0" w14:textId="4CBC381D" w:rsidR="008A2571" w:rsidRDefault="007E37C1" w:rsidP="003B4B20">
      <w:pPr>
        <w:numPr>
          <w:ilvl w:val="0"/>
          <w:numId w:val="35"/>
        </w:numPr>
        <w:spacing w:after="120" w:line="240" w:lineRule="auto"/>
      </w:pPr>
      <w:r>
        <w:t xml:space="preserve">the misuse of weapons </w:t>
      </w:r>
      <w:r w:rsidR="00EC5528">
        <w:t>creates</w:t>
      </w:r>
      <w:r>
        <w:t xml:space="preserve"> </w:t>
      </w:r>
      <w:r w:rsidR="00EC5528">
        <w:t>significant</w:t>
      </w:r>
      <w:r>
        <w:t xml:space="preserve"> social and economic costs</w:t>
      </w:r>
      <w:r w:rsidR="008A2571">
        <w:t>.</w:t>
      </w:r>
    </w:p>
    <w:p w14:paraId="6C74BFA6" w14:textId="77777777" w:rsidR="008A2571" w:rsidRDefault="008A2571" w:rsidP="008A2571">
      <w:pPr>
        <w:pStyle w:val="HeadingA"/>
      </w:pPr>
      <w:r>
        <w:t>Scope of the RIS</w:t>
      </w:r>
    </w:p>
    <w:p w14:paraId="55E9289B" w14:textId="47FAD0CB" w:rsidR="008A2571" w:rsidRPr="000D2ED7" w:rsidRDefault="008A2571" w:rsidP="008A2571">
      <w:pPr>
        <w:spacing w:after="120" w:line="240" w:lineRule="auto"/>
      </w:pPr>
      <w:r w:rsidRPr="000D2ED7">
        <w:t xml:space="preserve">The heads of power in </w:t>
      </w:r>
      <w:r>
        <w:t xml:space="preserve">the </w:t>
      </w:r>
      <w:r w:rsidRPr="000D2ED7">
        <w:t xml:space="preserve">Act allow for regulations to </w:t>
      </w:r>
      <w:r>
        <w:t xml:space="preserve">be </w:t>
      </w:r>
      <w:r w:rsidRPr="000D2ED7">
        <w:t>made that refine or add to the requirements of the Act, including:</w:t>
      </w:r>
    </w:p>
    <w:p w14:paraId="326E5346" w14:textId="77777777" w:rsidR="006962FF" w:rsidRDefault="006962FF" w:rsidP="003B4B20">
      <w:pPr>
        <w:numPr>
          <w:ilvl w:val="0"/>
          <w:numId w:val="35"/>
        </w:numPr>
        <w:spacing w:after="120" w:line="240" w:lineRule="auto"/>
      </w:pPr>
      <w:r>
        <w:t>prescribe what items are body armour</w:t>
      </w:r>
    </w:p>
    <w:p w14:paraId="4D7D6E9C" w14:textId="77777777" w:rsidR="006962FF" w:rsidRDefault="006962FF" w:rsidP="003B4B20">
      <w:pPr>
        <w:numPr>
          <w:ilvl w:val="0"/>
          <w:numId w:val="35"/>
        </w:numPr>
        <w:spacing w:after="120" w:line="240" w:lineRule="auto"/>
      </w:pPr>
      <w:r>
        <w:t>prescribe specific articles as a certain class of weapon (e.g. controlled weapon or prohibited weapon), triggering specific regulatory controls under the Act</w:t>
      </w:r>
    </w:p>
    <w:p w14:paraId="60093544" w14:textId="41A042BB" w:rsidR="006962FF" w:rsidRDefault="006962FF" w:rsidP="003B4B20">
      <w:pPr>
        <w:numPr>
          <w:ilvl w:val="0"/>
          <w:numId w:val="35"/>
        </w:numPr>
        <w:spacing w:after="120" w:line="240" w:lineRule="auto"/>
      </w:pPr>
      <w:r>
        <w:t xml:space="preserve">set fees for </w:t>
      </w:r>
      <w:r w:rsidR="00572529">
        <w:t xml:space="preserve">an </w:t>
      </w:r>
      <w:r>
        <w:t>approval to lawfully use prohibited weapons</w:t>
      </w:r>
    </w:p>
    <w:p w14:paraId="5C4D6B16" w14:textId="77777777" w:rsidR="006962FF" w:rsidRDefault="006962FF" w:rsidP="003B4B20">
      <w:pPr>
        <w:numPr>
          <w:ilvl w:val="0"/>
          <w:numId w:val="35"/>
        </w:numPr>
        <w:spacing w:after="120" w:line="240" w:lineRule="auto"/>
      </w:pPr>
      <w:r>
        <w:t>prescribe requirements for record-keeping and identification in transactions of prohibited weapons</w:t>
      </w:r>
    </w:p>
    <w:p w14:paraId="21120EB9" w14:textId="04B30143" w:rsidR="009A70BA" w:rsidRDefault="006962FF" w:rsidP="009A70BA">
      <w:pPr>
        <w:numPr>
          <w:ilvl w:val="0"/>
          <w:numId w:val="35"/>
        </w:numPr>
        <w:spacing w:after="120" w:line="240" w:lineRule="auto"/>
      </w:pPr>
      <w:r>
        <w:t>prescribe record keeping requirements for police and protective services officers exercising powers under the Act.</w:t>
      </w:r>
    </w:p>
    <w:p w14:paraId="6741B291" w14:textId="1A473B03" w:rsidR="003309E5" w:rsidRDefault="003309E5" w:rsidP="003309E5">
      <w:pPr>
        <w:spacing w:after="120" w:line="240" w:lineRule="auto"/>
      </w:pPr>
      <w:r>
        <w:t xml:space="preserve">For example, prohibited weapons are defined in the Act as an imitation firearm, with additional weapons prescribed in regulation. Prohibited weapons may only be sold or used with an approval by the Chief Commissioner of Police or by exemption order made by the Governor in Council and published in the Government Gazette. </w:t>
      </w:r>
    </w:p>
    <w:p w14:paraId="5E6C4076" w14:textId="77777777" w:rsidR="003309E5" w:rsidRDefault="003309E5" w:rsidP="003309E5">
      <w:pPr>
        <w:spacing w:after="120" w:line="240" w:lineRule="auto"/>
      </w:pPr>
      <w:r>
        <w:t xml:space="preserve">By comparison, controlled weapons are defined in the Act as knives, with a small number of additional weapons prescribed in regulation. Controlled weapons are subject to a number of restrictions (e.g. they may only </w:t>
      </w:r>
      <w:r w:rsidRPr="00A42498">
        <w:t>be possessed, carried, used or sold</w:t>
      </w:r>
      <w:r w:rsidRPr="00A42498" w:rsidDel="00381598">
        <w:t xml:space="preserve"> </w:t>
      </w:r>
      <w:r w:rsidRPr="00A42498">
        <w:t>with a lawful excuse</w:t>
      </w:r>
      <w:r>
        <w:t xml:space="preserve">, must </w:t>
      </w:r>
      <w:r w:rsidRPr="00A42498">
        <w:t>be carried in a safe and secure manner and cannot be sold to, or purchased by, children aged under 18 years of age</w:t>
      </w:r>
      <w:r>
        <w:t>), but do not require a Chief Commissioner approval or exemption order in order to be used legally.</w:t>
      </w:r>
    </w:p>
    <w:p w14:paraId="636C2D93" w14:textId="77777777" w:rsidR="008A2571" w:rsidRDefault="008A2571" w:rsidP="002C4C85">
      <w:pPr>
        <w:pStyle w:val="HeadingA"/>
      </w:pPr>
      <w:r>
        <w:t>Summary of options considered</w:t>
      </w:r>
    </w:p>
    <w:p w14:paraId="24B1E9CD" w14:textId="36CA7EC6" w:rsidR="008A2571" w:rsidRDefault="008A2571" w:rsidP="008A2571">
      <w:r>
        <w:t>This RIS identifies options for alternative approaches to addressing the problem</w:t>
      </w:r>
      <w:r w:rsidR="00572529">
        <w:t>s</w:t>
      </w:r>
      <w:r>
        <w:t xml:space="preserve">, each of which </w:t>
      </w:r>
      <w:r w:rsidR="00572529">
        <w:t>are</w:t>
      </w:r>
      <w:r>
        <w:t xml:space="preserve"> later assessed against the Base Case: a counter-factual scenario used in impact analysis to provide a common point of comparison for all options. In this RIS, the Base Case represents a situation where the current </w:t>
      </w:r>
      <w:r w:rsidR="00572529">
        <w:t>R</w:t>
      </w:r>
      <w:r>
        <w:t xml:space="preserve">egulations for the control of </w:t>
      </w:r>
      <w:r w:rsidR="00572529">
        <w:t>weapons</w:t>
      </w:r>
      <w:r>
        <w:t xml:space="preserve"> sunset on </w:t>
      </w:r>
      <w:r w:rsidR="0084085C">
        <w:t>29</w:t>
      </w:r>
      <w:r>
        <w:t xml:space="preserve"> </w:t>
      </w:r>
      <w:r w:rsidR="0084085C">
        <w:t>Novembe</w:t>
      </w:r>
      <w:r>
        <w:t>r 2021, with no new approach to address the problem established.</w:t>
      </w:r>
    </w:p>
    <w:p w14:paraId="58631DD6" w14:textId="6F2E5873" w:rsidR="008A2571" w:rsidRDefault="008A2571" w:rsidP="002C4C85">
      <w:pPr>
        <w:spacing w:after="120"/>
      </w:pPr>
      <w:r>
        <w:t>Options identified and assess</w:t>
      </w:r>
      <w:r w:rsidR="00684350">
        <w:t>ed</w:t>
      </w:r>
      <w:r>
        <w:t xml:space="preserve"> in this RIS include:</w:t>
      </w:r>
    </w:p>
    <w:p w14:paraId="6D7C75B4" w14:textId="78E8DA6A" w:rsidR="008A2571" w:rsidRDefault="008A2571" w:rsidP="003B4B20">
      <w:pPr>
        <w:pStyle w:val="ListParagraph"/>
        <w:numPr>
          <w:ilvl w:val="0"/>
          <w:numId w:val="36"/>
        </w:numPr>
        <w:ind w:left="426"/>
      </w:pPr>
      <w:r>
        <w:t xml:space="preserve">a </w:t>
      </w:r>
      <w:r w:rsidR="00597543">
        <w:t>negative licensing scheme</w:t>
      </w:r>
    </w:p>
    <w:p w14:paraId="5ABC67DC" w14:textId="5CD1D617" w:rsidR="008A2571" w:rsidRDefault="008A2571" w:rsidP="003B4B20">
      <w:pPr>
        <w:pStyle w:val="ListParagraph"/>
        <w:numPr>
          <w:ilvl w:val="0"/>
          <w:numId w:val="36"/>
        </w:numPr>
        <w:ind w:left="426"/>
      </w:pPr>
      <w:r>
        <w:t xml:space="preserve">an </w:t>
      </w:r>
      <w:r w:rsidRPr="002A5975">
        <w:t>industry-led code of conduct</w:t>
      </w:r>
      <w:r w:rsidDel="00133100">
        <w:rPr>
          <w:rFonts w:eastAsia="Times New Roman" w:cs="Times New Roman"/>
          <w:b/>
          <w:bCs/>
          <w:color w:val="000000"/>
          <w:sz w:val="16"/>
          <w:szCs w:val="16"/>
          <w:lang w:val="en-GB" w:eastAsia="en-AU"/>
        </w:rPr>
        <w:t xml:space="preserve"> </w:t>
      </w:r>
    </w:p>
    <w:p w14:paraId="08E94B4D" w14:textId="00AE0A9D" w:rsidR="008A2571" w:rsidRDefault="008A2571" w:rsidP="003B4B20">
      <w:pPr>
        <w:pStyle w:val="ListParagraph"/>
        <w:numPr>
          <w:ilvl w:val="0"/>
          <w:numId w:val="36"/>
        </w:numPr>
        <w:ind w:left="426"/>
      </w:pPr>
      <w:r>
        <w:t xml:space="preserve">a regulatory approach, based on the </w:t>
      </w:r>
      <w:r w:rsidR="001A6CC4">
        <w:t xml:space="preserve">remaking the current </w:t>
      </w:r>
      <w:r w:rsidR="00572529">
        <w:t>R</w:t>
      </w:r>
      <w:r w:rsidR="001A6CC4">
        <w:t>egulations</w:t>
      </w:r>
      <w:r>
        <w:t xml:space="preserve"> with </w:t>
      </w:r>
      <w:r w:rsidR="001924C2">
        <w:t>minor refinements</w:t>
      </w:r>
      <w:r>
        <w:t>.</w:t>
      </w:r>
    </w:p>
    <w:p w14:paraId="78FA7D6B" w14:textId="6A59A29F" w:rsidR="008A2571" w:rsidRDefault="008A2571" w:rsidP="008A2571">
      <w:pPr>
        <w:pStyle w:val="Heading4"/>
      </w:pPr>
      <w:r w:rsidRPr="001E159D">
        <w:t xml:space="preserve">Option 1 – </w:t>
      </w:r>
      <w:r w:rsidR="00C71484">
        <w:t>negative licensing scheme</w:t>
      </w:r>
    </w:p>
    <w:p w14:paraId="7D067A71" w14:textId="2E89F4DE" w:rsidR="00B169AC" w:rsidRPr="00B169AC" w:rsidRDefault="00B169AC" w:rsidP="00675B62">
      <w:r>
        <w:t>This option involves implementing a scheme whereby no weapons are prohibited, but where a person who breaches the Regulations or commits relevant offences could be prohibited from using or gaining access to weapons.</w:t>
      </w:r>
      <w:r w:rsidR="002C4C85">
        <w:t xml:space="preserve"> </w:t>
      </w:r>
      <w:r>
        <w:t>Introducing this option would requir</w:t>
      </w:r>
      <w:r w:rsidR="00A43203">
        <w:t xml:space="preserve">e </w:t>
      </w:r>
      <w:r>
        <w:t>setting out the requirements and/or standards that, if breached, could result in a person being issued with a negative licence</w:t>
      </w:r>
      <w:r w:rsidR="00991CA0">
        <w:t xml:space="preserve">, along with the conditions </w:t>
      </w:r>
      <w:r w:rsidR="00A77ABB">
        <w:t>that a negative licence would impose (such as duration of ban and/or the actions that could be taken by the person for the ban to be revoked)</w:t>
      </w:r>
    </w:p>
    <w:p w14:paraId="05F7745B" w14:textId="77777777" w:rsidR="008A2571" w:rsidRPr="001E159D" w:rsidRDefault="008A2571" w:rsidP="008A2571">
      <w:pPr>
        <w:pStyle w:val="Heading4"/>
      </w:pPr>
      <w:r w:rsidRPr="001E159D">
        <w:t>Option 2 –industry-led code of conduct with government enforcement</w:t>
      </w:r>
    </w:p>
    <w:p w14:paraId="4A531532" w14:textId="010D7985" w:rsidR="008A2571" w:rsidRDefault="002E65A3" w:rsidP="002E65A3">
      <w:r w:rsidRPr="00A42498">
        <w:t>Under Option 2, industry would develop and administer its own code of conduct or control scheme for weapons in consultation with the government. This would involve agreeing upon a list of prescribed weapons, record keeping requirements and fee structures.</w:t>
      </w:r>
      <w:r w:rsidR="002C4C85">
        <w:t xml:space="preserve"> </w:t>
      </w:r>
      <w:r w:rsidRPr="00A42498">
        <w:t>Industry would be the sole or primary administrator of measures to mitigate risks. The government would the</w:t>
      </w:r>
      <w:r>
        <w:t>n</w:t>
      </w:r>
      <w:r w:rsidRPr="00A42498">
        <w:t xml:space="preserve"> provide legislative backing to allow the industry arrangements to be enforced. In doing so, the government may offer to investigate or enforce non-compliance or delegate this power to industry</w:t>
      </w:r>
      <w:r w:rsidR="00675B62">
        <w:t>.</w:t>
      </w:r>
      <w:r w:rsidR="008A2571">
        <w:t xml:space="preserve"> </w:t>
      </w:r>
    </w:p>
    <w:p w14:paraId="70610CA2" w14:textId="77777777" w:rsidR="008A2571" w:rsidRDefault="008A2571" w:rsidP="008A2571">
      <w:pPr>
        <w:pStyle w:val="Heading4"/>
      </w:pPr>
      <w:r w:rsidRPr="001E159D">
        <w:t xml:space="preserve">Option 3 – regulatory approach </w:t>
      </w:r>
    </w:p>
    <w:p w14:paraId="42FA20F8" w14:textId="11EA9CFB" w:rsidR="002E65A3" w:rsidRPr="00A42498" w:rsidRDefault="002E65A3" w:rsidP="002E65A3">
      <w:r w:rsidRPr="00A42498">
        <w:t xml:space="preserve">Option </w:t>
      </w:r>
      <w:r>
        <w:t>3</w:t>
      </w:r>
      <w:r w:rsidRPr="00A42498">
        <w:t xml:space="preserve"> uses a regulatory approach to the control of weapons, within the constraints of the Act. </w:t>
      </w:r>
    </w:p>
    <w:p w14:paraId="08496DE5" w14:textId="65A0D4DE" w:rsidR="00012C54" w:rsidRPr="0056147B" w:rsidRDefault="002E65A3" w:rsidP="002C4C85">
      <w:pPr>
        <w:spacing w:after="120" w:line="240" w:lineRule="auto"/>
      </w:pPr>
      <w:r w:rsidRPr="0056147B">
        <w:t xml:space="preserve">This involves remaking the Regulations, with the </w:t>
      </w:r>
      <w:r w:rsidR="00012C54" w:rsidRPr="0056147B">
        <w:t>following minor adjustments</w:t>
      </w:r>
      <w:r w:rsidR="002C4C85">
        <w:t xml:space="preserve"> (outlined in section 3.2.2)</w:t>
      </w:r>
      <w:r w:rsidR="00012C54" w:rsidRPr="0056147B">
        <w:t xml:space="preserve">: </w:t>
      </w:r>
    </w:p>
    <w:p w14:paraId="0409A072" w14:textId="1594A342" w:rsidR="00012C54" w:rsidRPr="0056147B" w:rsidRDefault="00012C54" w:rsidP="00675B62">
      <w:pPr>
        <w:pStyle w:val="ListParagraph"/>
        <w:numPr>
          <w:ilvl w:val="0"/>
          <w:numId w:val="29"/>
        </w:numPr>
        <w:spacing w:after="120"/>
        <w:ind w:left="284" w:hanging="284"/>
        <w:contextualSpacing w:val="0"/>
      </w:pPr>
      <w:r w:rsidRPr="0056147B">
        <w:t xml:space="preserve">redefining body armour </w:t>
      </w:r>
      <w:r w:rsidR="003F3F29" w:rsidRPr="0056147B">
        <w:t>to better reflect how the framework is currently administered</w:t>
      </w:r>
    </w:p>
    <w:p w14:paraId="005CD603" w14:textId="5DC6A4BA" w:rsidR="00012C54" w:rsidRPr="0056147B" w:rsidRDefault="003F3F29" w:rsidP="00675B62">
      <w:pPr>
        <w:pStyle w:val="ListParagraph"/>
        <w:numPr>
          <w:ilvl w:val="0"/>
          <w:numId w:val="29"/>
        </w:numPr>
        <w:spacing w:after="120"/>
        <w:ind w:left="284" w:hanging="284"/>
        <w:contextualSpacing w:val="0"/>
      </w:pPr>
      <w:r w:rsidRPr="0056147B">
        <w:t>a minor extension to record-keeping requirements for sellers of prohibited weapons</w:t>
      </w:r>
    </w:p>
    <w:p w14:paraId="048AE518" w14:textId="1C3881B5" w:rsidR="00012C54" w:rsidRPr="0056147B" w:rsidRDefault="00012C54" w:rsidP="00675B62">
      <w:pPr>
        <w:pStyle w:val="ListParagraph"/>
        <w:numPr>
          <w:ilvl w:val="0"/>
          <w:numId w:val="29"/>
        </w:numPr>
        <w:spacing w:after="120"/>
        <w:ind w:left="284" w:hanging="284"/>
        <w:contextualSpacing w:val="0"/>
      </w:pPr>
      <w:r w:rsidRPr="0056147B">
        <w:t>expand the list of valid documents to prove one’s identity to a seller of a prohibited weapon and</w:t>
      </w:r>
    </w:p>
    <w:p w14:paraId="5F837F71" w14:textId="355AB90F" w:rsidR="00012C54" w:rsidRPr="0056147B" w:rsidRDefault="00012C54" w:rsidP="00675B62">
      <w:pPr>
        <w:pStyle w:val="ListParagraph"/>
        <w:numPr>
          <w:ilvl w:val="0"/>
          <w:numId w:val="29"/>
        </w:numPr>
        <w:spacing w:after="120"/>
        <w:ind w:left="284" w:hanging="284"/>
        <w:contextualSpacing w:val="0"/>
      </w:pPr>
      <w:r w:rsidRPr="0056147B">
        <w:t>updating police record search requirements to clarify their alignment with powers under the Act.</w:t>
      </w:r>
      <w:r w:rsidR="000A234B">
        <w:rPr>
          <w:rStyle w:val="FootnoteReference"/>
        </w:rPr>
        <w:footnoteReference w:id="2"/>
      </w:r>
    </w:p>
    <w:p w14:paraId="690DF1A9" w14:textId="1B786AA4" w:rsidR="006238E6" w:rsidRDefault="00B453E1" w:rsidP="002E65A3">
      <w:r>
        <w:t>This RIS reflects a range of views provided by industry stakeholders</w:t>
      </w:r>
      <w:r w:rsidR="00923969">
        <w:t xml:space="preserve"> through a consultation process. </w:t>
      </w:r>
      <w:r w:rsidR="002D27B0">
        <w:t xml:space="preserve">Although several suggested changes to the regulatory framework raised by stakeholders </w:t>
      </w:r>
      <w:r w:rsidR="006238E6">
        <w:t>cannot be implemented through the Regulations and are thus outside the scope of this RIS</w:t>
      </w:r>
      <w:r w:rsidR="002D27B0">
        <w:t xml:space="preserve"> for the purposes of detailed analysis, they are nonetheless noted in this RIS in the interests of providing a clear and complete consultation document.</w:t>
      </w:r>
    </w:p>
    <w:p w14:paraId="4BCDC31B" w14:textId="77777777" w:rsidR="008A2571" w:rsidRDefault="008A2571" w:rsidP="008A2571">
      <w:pPr>
        <w:pStyle w:val="HeadingA"/>
      </w:pPr>
      <w:r>
        <w:t>Assessment of options</w:t>
      </w:r>
    </w:p>
    <w:p w14:paraId="2FC2B814" w14:textId="0BC0A0C8" w:rsidR="008A2571" w:rsidRDefault="008A2571" w:rsidP="008A2571">
      <w:pPr>
        <w:pStyle w:val="BodyText"/>
        <w:spacing w:after="120"/>
        <w:rPr>
          <w:rFonts w:asciiTheme="minorHAnsi" w:hAnsiTheme="minorHAnsi" w:cstheme="minorHAnsi"/>
        </w:rPr>
      </w:pPr>
      <w:r>
        <w:rPr>
          <w:rFonts w:asciiTheme="minorHAnsi" w:hAnsiTheme="minorHAnsi" w:cstheme="minorHAnsi"/>
        </w:rPr>
        <w:t>The options in this RIS are assessed using Multi-Criteria Analysis (MCA) to score each of these approaches against the following criteria:</w:t>
      </w:r>
    </w:p>
    <w:p w14:paraId="5C1CA5DD" w14:textId="77777777" w:rsidR="008A2571" w:rsidRDefault="008A2571" w:rsidP="002C4C85">
      <w:pPr>
        <w:pStyle w:val="ListParagraph"/>
        <w:numPr>
          <w:ilvl w:val="0"/>
          <w:numId w:val="36"/>
        </w:numPr>
        <w:spacing w:after="120"/>
        <w:ind w:left="426"/>
        <w:rPr>
          <w:rFonts w:asciiTheme="minorHAnsi" w:hAnsiTheme="minorHAnsi" w:cstheme="minorHAnsi"/>
        </w:rPr>
      </w:pPr>
      <w:r w:rsidRPr="00150FD9">
        <w:t>benefits</w:t>
      </w:r>
      <w:r>
        <w:rPr>
          <w:rFonts w:asciiTheme="minorHAnsi" w:hAnsiTheme="minorHAnsi" w:cstheme="minorHAnsi"/>
        </w:rPr>
        <w:t xml:space="preserve"> including:</w:t>
      </w:r>
    </w:p>
    <w:p w14:paraId="5213FDE1" w14:textId="335FC655" w:rsidR="008A2571" w:rsidRPr="008652D7" w:rsidRDefault="00E1581E" w:rsidP="003B4B20">
      <w:pPr>
        <w:pStyle w:val="BodyText"/>
        <w:numPr>
          <w:ilvl w:val="0"/>
          <w:numId w:val="37"/>
        </w:numPr>
        <w:spacing w:after="120"/>
        <w:rPr>
          <w:rFonts w:asciiTheme="minorHAnsi" w:hAnsiTheme="minorHAnsi" w:cstheme="minorHAnsi"/>
        </w:rPr>
      </w:pPr>
      <w:r>
        <w:rPr>
          <w:rFonts w:asciiTheme="minorHAnsi" w:hAnsiTheme="minorHAnsi" w:cstheme="minorHAnsi"/>
        </w:rPr>
        <w:t xml:space="preserve">the reduction in </w:t>
      </w:r>
      <w:r w:rsidR="00856506">
        <w:rPr>
          <w:rFonts w:asciiTheme="minorHAnsi" w:hAnsiTheme="minorHAnsi" w:cstheme="minorHAnsi"/>
        </w:rPr>
        <w:t>deliberate or accidental weapon-related harm and public distress.</w:t>
      </w:r>
    </w:p>
    <w:p w14:paraId="5BA3CAB6" w14:textId="77777777" w:rsidR="008A2571" w:rsidRDefault="008A2571" w:rsidP="002C4C85">
      <w:pPr>
        <w:pStyle w:val="ListParagraph"/>
        <w:numPr>
          <w:ilvl w:val="0"/>
          <w:numId w:val="36"/>
        </w:numPr>
        <w:spacing w:after="120"/>
        <w:ind w:left="426"/>
        <w:rPr>
          <w:rFonts w:asciiTheme="minorHAnsi" w:hAnsiTheme="minorHAnsi" w:cstheme="minorHAnsi"/>
        </w:rPr>
      </w:pPr>
      <w:r>
        <w:rPr>
          <w:rFonts w:asciiTheme="minorHAnsi" w:hAnsiTheme="minorHAnsi" w:cstheme="minorHAnsi"/>
        </w:rPr>
        <w:t>cost including:</w:t>
      </w:r>
    </w:p>
    <w:p w14:paraId="35A49164" w14:textId="0C7A886A" w:rsidR="008A2571" w:rsidRDefault="00856506" w:rsidP="003B4B20">
      <w:pPr>
        <w:pStyle w:val="BodyText"/>
        <w:numPr>
          <w:ilvl w:val="0"/>
          <w:numId w:val="37"/>
        </w:numPr>
        <w:spacing w:after="120"/>
        <w:rPr>
          <w:rFonts w:asciiTheme="minorHAnsi" w:hAnsiTheme="minorHAnsi" w:cstheme="minorHAnsi"/>
        </w:rPr>
      </w:pPr>
      <w:r>
        <w:rPr>
          <w:rFonts w:asciiTheme="minorHAnsi" w:hAnsiTheme="minorHAnsi" w:cstheme="minorHAnsi"/>
        </w:rPr>
        <w:t>cost of enforcement and compliance</w:t>
      </w:r>
    </w:p>
    <w:p w14:paraId="056A8B0A" w14:textId="1B376247" w:rsidR="008A2571" w:rsidRDefault="00856506" w:rsidP="003B4B20">
      <w:pPr>
        <w:pStyle w:val="BodyText"/>
        <w:numPr>
          <w:ilvl w:val="0"/>
          <w:numId w:val="37"/>
        </w:numPr>
        <w:spacing w:after="120"/>
        <w:rPr>
          <w:rFonts w:asciiTheme="minorHAnsi" w:hAnsiTheme="minorHAnsi" w:cstheme="minorHAnsi"/>
        </w:rPr>
      </w:pPr>
      <w:r>
        <w:rPr>
          <w:rFonts w:asciiTheme="minorHAnsi" w:hAnsiTheme="minorHAnsi" w:cstheme="minorHAnsi"/>
        </w:rPr>
        <w:t>discouragement of legitimate use.</w:t>
      </w:r>
    </w:p>
    <w:p w14:paraId="6364ACB6" w14:textId="299BEFF9" w:rsidR="008A2571" w:rsidRDefault="008A2571" w:rsidP="008A2571">
      <w:r>
        <w:t xml:space="preserve">The results of the MCA show that the regulatory approach is the preferred option. Compared to the </w:t>
      </w:r>
      <w:r w:rsidR="004B3DA7">
        <w:t>B</w:t>
      </w:r>
      <w:r>
        <w:t xml:space="preserve">ase </w:t>
      </w:r>
      <w:r w:rsidR="004B3DA7">
        <w:t>C</w:t>
      </w:r>
      <w:r>
        <w:t xml:space="preserve">ase and the other options, it is the most effective at reducing </w:t>
      </w:r>
      <w:r w:rsidR="00FF34FF">
        <w:t>deliberate o</w:t>
      </w:r>
      <w:r w:rsidR="00DA237C">
        <w:t>r</w:t>
      </w:r>
      <w:r w:rsidR="00FF34FF">
        <w:t xml:space="preserve"> accidental </w:t>
      </w:r>
      <w:r w:rsidR="008947E0">
        <w:t>weapon</w:t>
      </w:r>
      <w:r w:rsidR="00305BFB">
        <w:t>-related harm and public distress</w:t>
      </w:r>
      <w:r w:rsidR="005451BD">
        <w:t xml:space="preserve">. It draws </w:t>
      </w:r>
      <w:r w:rsidR="6418FF3B">
        <w:t xml:space="preserve">on the expertise of Victoria Police in identifying weapons that pose risks to society and </w:t>
      </w:r>
      <w:r w:rsidR="005451BD">
        <w:t xml:space="preserve">has </w:t>
      </w:r>
      <w:r w:rsidR="6418FF3B">
        <w:t xml:space="preserve">the advantages of </w:t>
      </w:r>
      <w:r w:rsidR="004B3DA7">
        <w:t xml:space="preserve">a </w:t>
      </w:r>
      <w:r w:rsidR="006222D8">
        <w:t>publicly declared, government-backed list of prescribed weapons and requirements</w:t>
      </w:r>
      <w:r>
        <w:t>, without imposing disproportionate cost</w:t>
      </w:r>
      <w:r w:rsidR="006222D8">
        <w:t>s</w:t>
      </w:r>
      <w:r>
        <w:t xml:space="preserve"> </w:t>
      </w:r>
      <w:r w:rsidR="004B3DA7">
        <w:t xml:space="preserve">to </w:t>
      </w:r>
      <w:r>
        <w:t>industry (in terms of compliance) or government (in terms of administering and enforcing the regulatory framework).</w:t>
      </w:r>
    </w:p>
    <w:p w14:paraId="2842B728" w14:textId="77777777" w:rsidR="008A2571" w:rsidRDefault="008A2571" w:rsidP="008A2571">
      <w:pPr>
        <w:pStyle w:val="HeadingA"/>
      </w:pPr>
      <w:r>
        <w:t>Impact of preferred option (regulation)</w:t>
      </w:r>
    </w:p>
    <w:p w14:paraId="227948BC" w14:textId="5E51E731" w:rsidR="008A2571" w:rsidRDefault="00D82EF6" w:rsidP="008A2571">
      <w:r>
        <w:t>The</w:t>
      </w:r>
      <w:r w:rsidR="008A2571">
        <w:t xml:space="preserve"> impact of the proposed </w:t>
      </w:r>
      <w:r w:rsidR="004B3DA7">
        <w:t>R</w:t>
      </w:r>
      <w:r w:rsidR="008A2571">
        <w:t xml:space="preserve">egulations on stakeholders </w:t>
      </w:r>
      <w:r w:rsidR="005A4FBB">
        <w:t>is estimated by</w:t>
      </w:r>
      <w:r w:rsidR="008A2571">
        <w:t xml:space="preserve"> the regulatory burden imposed on those </w:t>
      </w:r>
      <w:r w:rsidR="001673EA">
        <w:t>lawfully using weapons</w:t>
      </w:r>
      <w:r w:rsidR="008A2571">
        <w:t xml:space="preserve"> by requiring them to </w:t>
      </w:r>
      <w:r w:rsidR="006D331A">
        <w:t>apply for approvals</w:t>
      </w:r>
      <w:r w:rsidR="00A34C57">
        <w:t xml:space="preserve"> </w:t>
      </w:r>
      <w:r w:rsidR="004B3DA7">
        <w:t xml:space="preserve">or be subject to conditions under exemptions </w:t>
      </w:r>
      <w:r w:rsidR="00A34C57">
        <w:t>to use</w:t>
      </w:r>
      <w:r w:rsidR="004B3DA7">
        <w:t>, possess, carry</w:t>
      </w:r>
      <w:r w:rsidR="00A34C57">
        <w:t xml:space="preserve"> or sell prohibited weapons</w:t>
      </w:r>
      <w:r w:rsidR="006D331A">
        <w:t xml:space="preserve"> as well as </w:t>
      </w:r>
      <w:r w:rsidR="000D65FC">
        <w:t xml:space="preserve">meet compliance </w:t>
      </w:r>
      <w:r w:rsidR="000954DA">
        <w:t xml:space="preserve">requirements </w:t>
      </w:r>
      <w:r w:rsidR="00357C0F">
        <w:t>(</w:t>
      </w:r>
      <w:r w:rsidR="000D65FC">
        <w:t>such as record-keeping in the case of weapons retailers</w:t>
      </w:r>
      <w:r w:rsidR="008A2571">
        <w:t>)</w:t>
      </w:r>
      <w:r w:rsidR="000954DA">
        <w:t>.</w:t>
      </w:r>
    </w:p>
    <w:p w14:paraId="21E8078D" w14:textId="0CCBBA29" w:rsidR="008A2571" w:rsidRDefault="008A2571" w:rsidP="008A2571">
      <w:r>
        <w:t xml:space="preserve">This analysis is based on available data about the </w:t>
      </w:r>
      <w:r w:rsidR="00873F25">
        <w:t>legitimate use of weapons</w:t>
      </w:r>
      <w:r>
        <w:t xml:space="preserve"> and transparent</w:t>
      </w:r>
      <w:r w:rsidR="00357C0F">
        <w:t xml:space="preserve"> and</w:t>
      </w:r>
      <w:r>
        <w:t xml:space="preserve"> credible assumptions that have been informed by stakeholder consultation.</w:t>
      </w:r>
    </w:p>
    <w:p w14:paraId="5D7668FD" w14:textId="6D182AF6" w:rsidR="008A2571" w:rsidRDefault="008A2571" w:rsidP="008A2571">
      <w:pPr>
        <w:pStyle w:val="ListBullet"/>
        <w:numPr>
          <w:ilvl w:val="0"/>
          <w:numId w:val="0"/>
        </w:numPr>
        <w:spacing w:after="120"/>
      </w:pPr>
      <w:r>
        <w:t xml:space="preserve">This RIS estimates that the total impact of the proposed </w:t>
      </w:r>
      <w:r w:rsidR="004B3DA7">
        <w:t>R</w:t>
      </w:r>
      <w:r>
        <w:t>egulations on stakeholders is $1.</w:t>
      </w:r>
      <w:r w:rsidR="001A28D6">
        <w:t>2</w:t>
      </w:r>
      <w:r>
        <w:t xml:space="preserve"> million per year, compared to a base case in which no </w:t>
      </w:r>
      <w:r w:rsidR="004B3DA7">
        <w:t>R</w:t>
      </w:r>
      <w:r>
        <w:t xml:space="preserve">egulations were remade. </w:t>
      </w:r>
      <w:r w:rsidR="00D61D87">
        <w:t>This includes the estimated cost of fees charged for a</w:t>
      </w:r>
      <w:r w:rsidR="005018FF">
        <w:t>p</w:t>
      </w:r>
      <w:r w:rsidR="00D61D87">
        <w:t>p</w:t>
      </w:r>
      <w:r w:rsidR="005018FF">
        <w:t>rovals</w:t>
      </w:r>
      <w:r w:rsidR="00313903">
        <w:t>.</w:t>
      </w:r>
      <w:r w:rsidR="005018FF">
        <w:t xml:space="preserve"> </w:t>
      </w:r>
      <w:r>
        <w:t xml:space="preserve">While the </w:t>
      </w:r>
      <w:r w:rsidR="004B3DA7">
        <w:t>B</w:t>
      </w:r>
      <w:r>
        <w:t xml:space="preserve">ase </w:t>
      </w:r>
      <w:r w:rsidR="004B3DA7">
        <w:t>C</w:t>
      </w:r>
      <w:r>
        <w:t xml:space="preserve">ase is the relevant technical point of comparison in impact analysis, the </w:t>
      </w:r>
      <w:r w:rsidRPr="00384A7F">
        <w:rPr>
          <w:i/>
          <w:iCs/>
        </w:rPr>
        <w:t>incremental</w:t>
      </w:r>
      <w:r>
        <w:t xml:space="preserve"> difference in impact between the status quo and the proposed </w:t>
      </w:r>
      <w:r w:rsidR="004B3DA7">
        <w:t>R</w:t>
      </w:r>
      <w:r>
        <w:t xml:space="preserve">egulations (due to </w:t>
      </w:r>
      <w:r w:rsidR="007D4163">
        <w:t>additional record-keeping requirements</w:t>
      </w:r>
      <w:r>
        <w:t>) is estimated to be $</w:t>
      </w:r>
      <w:r w:rsidR="007D4163">
        <w:t>1</w:t>
      </w:r>
      <w:r w:rsidR="004D1857">
        <w:t>46</w:t>
      </w:r>
      <w:r w:rsidR="007D4163">
        <w:t>,851</w:t>
      </w:r>
      <w:r>
        <w:t xml:space="preserve"> per year.</w:t>
      </w:r>
    </w:p>
    <w:p w14:paraId="22A697AA" w14:textId="1DB8229B" w:rsidR="008A2571" w:rsidRDefault="008A2571" w:rsidP="008A2571">
      <w:r>
        <w:t xml:space="preserve">The impact analysis in Chapter </w:t>
      </w:r>
      <w:r w:rsidR="005018FF">
        <w:t xml:space="preserve">5 </w:t>
      </w:r>
      <w:r>
        <w:t xml:space="preserve">concludes that the proposed </w:t>
      </w:r>
      <w:r w:rsidR="004B3DA7">
        <w:t>R</w:t>
      </w:r>
      <w:r>
        <w:t xml:space="preserve">egulations are expected to yield net benefits for society on the basis of breakeven analysis. Breakeven analysis is used because the benefits of the proposed </w:t>
      </w:r>
      <w:r w:rsidR="004B3DA7">
        <w:t>R</w:t>
      </w:r>
      <w:r>
        <w:t>egulations are harder to determine with confidence or accuracy than the costs.</w:t>
      </w:r>
      <w:r w:rsidR="007D4163">
        <w:t xml:space="preserve"> Given the current net present value of a statistical life of around $4.6 million, and the ten year net present value of the estimate costs of the proposed </w:t>
      </w:r>
      <w:r w:rsidR="004B3DA7">
        <w:t>R</w:t>
      </w:r>
      <w:r w:rsidR="007D4163">
        <w:t xml:space="preserve">egulations of around $8.9 million, the proposed Regulations would “break even” and yield a net social benefit provided that they reduce weapons-related deaths by just two over a period of ten years. </w:t>
      </w:r>
      <w:r>
        <w:t xml:space="preserve"> </w:t>
      </w:r>
    </w:p>
    <w:p w14:paraId="6C1521DB" w14:textId="77777777" w:rsidR="008A2571" w:rsidRDefault="008A2571" w:rsidP="008A2571">
      <w:pPr>
        <w:pStyle w:val="HeadingA"/>
      </w:pPr>
      <w:r>
        <w:t>Small business and competition impacts</w:t>
      </w:r>
    </w:p>
    <w:p w14:paraId="01C0CB3E" w14:textId="08138D7C" w:rsidR="008A2571" w:rsidRDefault="005A4FBB" w:rsidP="008A2571">
      <w:r>
        <w:t>T</w:t>
      </w:r>
      <w:r w:rsidR="008A2571">
        <w:t xml:space="preserve">he proposed Regulations are not expected to have adverse impacts on competition and any disproportionate impacts on smaller businesses </w:t>
      </w:r>
      <w:r w:rsidR="004B3DA7">
        <w:t>are</w:t>
      </w:r>
      <w:r w:rsidR="008A2571">
        <w:t xml:space="preserve"> expected to be </w:t>
      </w:r>
      <w:r w:rsidR="009E354E">
        <w:t xml:space="preserve">minimal given the </w:t>
      </w:r>
      <w:r w:rsidR="00E6583A">
        <w:t xml:space="preserve">marginal impact </w:t>
      </w:r>
      <w:r w:rsidR="00E8693C">
        <w:t xml:space="preserve">the </w:t>
      </w:r>
      <w:r w:rsidR="003E535B">
        <w:t>requirements have on small businesses as a whole.</w:t>
      </w:r>
    </w:p>
    <w:p w14:paraId="5C41C697" w14:textId="77777777" w:rsidR="008A2571" w:rsidRDefault="008A2571" w:rsidP="008A2571">
      <w:pPr>
        <w:pStyle w:val="HeadingA"/>
      </w:pPr>
      <w:r>
        <w:t>Implementation, evaluation, and enforcement</w:t>
      </w:r>
    </w:p>
    <w:p w14:paraId="742FFAE1" w14:textId="114ADE41" w:rsidR="008A2571" w:rsidRDefault="008A2571" w:rsidP="00A84B73">
      <w:r>
        <w:t>Victoria Police will support implementation of the proposed Regulations through proactive communication with stakeholders as part of their ongoing industry engagement (</w:t>
      </w:r>
      <w:r w:rsidR="004B3DA7">
        <w:t xml:space="preserve">including </w:t>
      </w:r>
      <w:r>
        <w:t>building</w:t>
      </w:r>
      <w:r w:rsidR="004B3DA7">
        <w:t xml:space="preserve"> and maintaining</w:t>
      </w:r>
      <w:r>
        <w:t xml:space="preserve"> relationships with </w:t>
      </w:r>
      <w:r w:rsidR="003E535B">
        <w:t xml:space="preserve">organisations </w:t>
      </w:r>
      <w:r w:rsidR="004B3DA7">
        <w:t>that</w:t>
      </w:r>
      <w:r w:rsidR="003E535B">
        <w:t xml:space="preserve"> use weapons for legitimate purposes</w:t>
      </w:r>
      <w:r>
        <w:t>)</w:t>
      </w:r>
      <w:r w:rsidR="00095312">
        <w:t>. This includes advising stakeholders of the changes to the Regulations</w:t>
      </w:r>
      <w:r w:rsidR="005520D7">
        <w:t xml:space="preserve">. </w:t>
      </w:r>
    </w:p>
    <w:p w14:paraId="6FB87ED9" w14:textId="449A08C9" w:rsidR="008A2571" w:rsidRDefault="005520D7" w:rsidP="00A84B73">
      <w:r>
        <w:t xml:space="preserve">Victoria Police will </w:t>
      </w:r>
      <w:r w:rsidR="004B3DA7">
        <w:t xml:space="preserve">continue to </w:t>
      </w:r>
      <w:r>
        <w:t xml:space="preserve">enforce the regulatory framework through their role in auditing approval/exemption holders, encouraging compliance and continuing their current enforcement and monitoring practices. </w:t>
      </w:r>
      <w:r w:rsidR="00264092">
        <w:t>Given the relatively minor changes proposed for the Regulations, no material changes to existing enforcement and evaluation</w:t>
      </w:r>
      <w:r w:rsidR="00F92AC5">
        <w:t xml:space="preserve"> arrangements are proposed.  T</w:t>
      </w:r>
      <w:r w:rsidR="008A2571">
        <w:t xml:space="preserve">he success of the </w:t>
      </w:r>
      <w:r w:rsidR="00945E81">
        <w:t xml:space="preserve">proposed </w:t>
      </w:r>
      <w:r w:rsidR="00FF5C77">
        <w:t>R</w:t>
      </w:r>
      <w:r w:rsidR="008A2571">
        <w:t xml:space="preserve">egulations can be evaluated based on measures relating to </w:t>
      </w:r>
      <w:r w:rsidR="008732C5">
        <w:t>trends in weapons related crime and harm</w:t>
      </w:r>
      <w:r w:rsidR="00F92AC5">
        <w:t>.</w:t>
      </w:r>
    </w:p>
    <w:p w14:paraId="2AAC703A" w14:textId="77777777" w:rsidR="008A2571" w:rsidRDefault="008A2571" w:rsidP="008A2571">
      <w:pPr>
        <w:pStyle w:val="HeadingA"/>
      </w:pPr>
      <w:r w:rsidRPr="00593EDA">
        <w:t>Public consultation</w:t>
      </w:r>
    </w:p>
    <w:p w14:paraId="6D0EBB39" w14:textId="64A3984F" w:rsidR="005B040D" w:rsidRDefault="00F92AC5" w:rsidP="008A2571">
      <w:r>
        <w:t>DJCS</w:t>
      </w:r>
      <w:r w:rsidR="008A2571">
        <w:t xml:space="preserve"> welcomes feedback from all interested members of the public on </w:t>
      </w:r>
      <w:r w:rsidR="0066454B">
        <w:t xml:space="preserve">this RIS and </w:t>
      </w:r>
      <w:r w:rsidR="008A2571">
        <w:t xml:space="preserve">any matters they feel would improve the proposed </w:t>
      </w:r>
      <w:r w:rsidR="00FF5C77">
        <w:t>R</w:t>
      </w:r>
      <w:r w:rsidR="008A2571">
        <w:t xml:space="preserve">egulations. The proposed </w:t>
      </w:r>
      <w:r w:rsidR="00FF5C77">
        <w:t>R</w:t>
      </w:r>
      <w:r w:rsidR="008A2571">
        <w:t xml:space="preserve">egulations are not final, and improvements or changes may be made in response to public comment. </w:t>
      </w:r>
    </w:p>
    <w:p w14:paraId="0ED807E5" w14:textId="0269AC2D" w:rsidR="00361082" w:rsidRDefault="005B040D" w:rsidP="00361082">
      <w:bookmarkStart w:id="22" w:name="_Hlk73460098"/>
      <w:r>
        <w:t xml:space="preserve">All comments and submissions will be treated as public documents unless requested to be made confidential. </w:t>
      </w:r>
      <w:r w:rsidR="00361082">
        <w:t>Submissions must not include the personal information of another individual without first obtaining the prior written consent of that individual.</w:t>
      </w:r>
      <w:r w:rsidR="00361082" w:rsidRPr="00361082">
        <w:t xml:space="preserve"> </w:t>
      </w:r>
    </w:p>
    <w:p w14:paraId="7E10C516" w14:textId="67BDBD19" w:rsidR="00BF3260" w:rsidRPr="00A42498" w:rsidRDefault="00BF3260" w:rsidP="009B4DC3">
      <w:pPr>
        <w:pStyle w:val="Heading1"/>
        <w:numPr>
          <w:ilvl w:val="0"/>
          <w:numId w:val="44"/>
        </w:numPr>
      </w:pPr>
      <w:bookmarkStart w:id="23" w:name="_Toc79397196"/>
      <w:bookmarkEnd w:id="22"/>
      <w:r w:rsidRPr="00A42498">
        <w:t>Background</w:t>
      </w:r>
      <w:bookmarkEnd w:id="5"/>
      <w:bookmarkEnd w:id="6"/>
      <w:bookmarkEnd w:id="7"/>
      <w:bookmarkEnd w:id="8"/>
      <w:bookmarkEnd w:id="9"/>
      <w:bookmarkEnd w:id="10"/>
      <w:bookmarkEnd w:id="11"/>
      <w:bookmarkEnd w:id="23"/>
    </w:p>
    <w:p w14:paraId="62D7E5E8" w14:textId="1B16ED62" w:rsidR="00FA3238" w:rsidRPr="00A42498" w:rsidRDefault="00845667" w:rsidP="00845667">
      <w:r w:rsidRPr="00A42498">
        <w:rPr>
          <w:sz w:val="28"/>
          <w:szCs w:val="28"/>
        </w:rPr>
        <w:t xml:space="preserve">This chapter provides background </w:t>
      </w:r>
      <w:r w:rsidR="00FA3238" w:rsidRPr="00A42498">
        <w:rPr>
          <w:sz w:val="28"/>
          <w:szCs w:val="28"/>
        </w:rPr>
        <w:t>in relation to the control of weapons</w:t>
      </w:r>
      <w:r w:rsidR="00542E66" w:rsidRPr="00A42498">
        <w:rPr>
          <w:sz w:val="28"/>
          <w:szCs w:val="28"/>
        </w:rPr>
        <w:t xml:space="preserve"> and</w:t>
      </w:r>
      <w:r w:rsidR="002B0CAA" w:rsidRPr="00A42498">
        <w:rPr>
          <w:sz w:val="28"/>
          <w:szCs w:val="28"/>
        </w:rPr>
        <w:t xml:space="preserve"> outlines the purpose of this RIS</w:t>
      </w:r>
      <w:r w:rsidR="00FA3238" w:rsidRPr="00A42498">
        <w:t>.</w:t>
      </w:r>
    </w:p>
    <w:p w14:paraId="0208EE3C" w14:textId="53AA57E0" w:rsidR="00DA6EDB" w:rsidRPr="00A42498" w:rsidRDefault="00DA6EDB" w:rsidP="00DA6EDB">
      <w:pPr>
        <w:pStyle w:val="Heading2"/>
      </w:pPr>
      <w:bookmarkStart w:id="24" w:name="_Toc79397197"/>
      <w:r w:rsidRPr="00A42498">
        <w:t>Purpose of this Regulatory Impact Statement (RIS)</w:t>
      </w:r>
      <w:bookmarkEnd w:id="24"/>
    </w:p>
    <w:p w14:paraId="2BA81BF6" w14:textId="09539F75" w:rsidR="00DA6EDB" w:rsidRPr="00A42498" w:rsidRDefault="00DA6EDB" w:rsidP="00DA6EDB">
      <w:r w:rsidRPr="00A42498">
        <w:t xml:space="preserve">The purpose of this RIS is </w:t>
      </w:r>
      <w:r w:rsidR="005864DF" w:rsidRPr="00A42498">
        <w:t xml:space="preserve">to </w:t>
      </w:r>
      <w:r w:rsidRPr="00A42498">
        <w:t xml:space="preserve">review the effectiveness and impacts of the Control of Weapons Regulations 2011 (the Regulations), assess feasible options for changes to the Regulations and provide a preferred option for the proposed Control of Weapons Regulations 2021. </w:t>
      </w:r>
    </w:p>
    <w:p w14:paraId="56D1BD72" w14:textId="198A4983" w:rsidR="006C3AEE" w:rsidRDefault="006C3AEE" w:rsidP="006C3AEE">
      <w:r w:rsidRPr="00A42498">
        <w:t>The Regulations</w:t>
      </w:r>
      <w:r>
        <w:t xml:space="preserve"> are made under </w:t>
      </w:r>
      <w:r w:rsidRPr="00A42498">
        <w:t xml:space="preserve">the </w:t>
      </w:r>
      <w:r w:rsidRPr="00A42498">
        <w:rPr>
          <w:i/>
          <w:iCs/>
        </w:rPr>
        <w:t>Control of Weapons Act 1990</w:t>
      </w:r>
      <w:r w:rsidRPr="00A42498">
        <w:t xml:space="preserve"> (the Act)</w:t>
      </w:r>
      <w:r>
        <w:t xml:space="preserve"> and </w:t>
      </w:r>
      <w:r w:rsidRPr="00A42498">
        <w:t>sunset on 29 November 2021.</w:t>
      </w:r>
      <w:r>
        <w:t xml:space="preserve"> </w:t>
      </w:r>
      <w:r w:rsidR="00DA6EDB" w:rsidRPr="00A42498">
        <w:t xml:space="preserve">The Act promotes community safety and minimises potential harm from misuse </w:t>
      </w:r>
      <w:r w:rsidR="00464D30">
        <w:t xml:space="preserve">(intentional or otherwise) </w:t>
      </w:r>
      <w:r w:rsidR="00DA6EDB" w:rsidRPr="00A42498">
        <w:t>of non-firearm weapons (</w:t>
      </w:r>
      <w:r w:rsidR="00464D30">
        <w:t>weapons hereafter</w:t>
      </w:r>
      <w:r w:rsidR="00DA6EDB" w:rsidRPr="00A42498">
        <w:t>). It does so by restricting the sale, possession, carriage and/or use of a limited number of weapons.</w:t>
      </w:r>
      <w:r w:rsidR="00C818A2">
        <w:t xml:space="preserve"> </w:t>
      </w:r>
    </w:p>
    <w:p w14:paraId="4664BF2E" w14:textId="73B7374F" w:rsidR="006C3AEE" w:rsidRPr="00A42498" w:rsidRDefault="006C3AEE" w:rsidP="00820E92">
      <w:pPr>
        <w:spacing w:after="60"/>
      </w:pPr>
      <w:r>
        <w:t>The Regulations prescribe matters for the purposes</w:t>
      </w:r>
      <w:r w:rsidRPr="00A42498">
        <w:t xml:space="preserve"> of the </w:t>
      </w:r>
      <w:r w:rsidRPr="00A42498">
        <w:rPr>
          <w:i/>
          <w:iCs/>
        </w:rPr>
        <w:t>Control of Weapons Act 1990</w:t>
      </w:r>
      <w:r w:rsidRPr="00A42498">
        <w:t xml:space="preserve"> (the Act)</w:t>
      </w:r>
      <w:r>
        <w:t>. For example, the Regulations:</w:t>
      </w:r>
    </w:p>
    <w:p w14:paraId="32AAAF4A" w14:textId="77777777" w:rsidR="004329D2" w:rsidRDefault="004329D2" w:rsidP="00820E92">
      <w:pPr>
        <w:pStyle w:val="ListParagraph"/>
        <w:numPr>
          <w:ilvl w:val="0"/>
          <w:numId w:val="24"/>
        </w:numPr>
        <w:spacing w:after="60"/>
        <w:ind w:left="284" w:hanging="284"/>
        <w:contextualSpacing w:val="0"/>
      </w:pPr>
      <w:r>
        <w:t xml:space="preserve">prescribe what items are body armour </w:t>
      </w:r>
    </w:p>
    <w:p w14:paraId="4745D9B9" w14:textId="3910AB45" w:rsidR="00DA6EDB" w:rsidRPr="00A42498" w:rsidRDefault="00934C2B" w:rsidP="00820E92">
      <w:pPr>
        <w:pStyle w:val="ListParagraph"/>
        <w:numPr>
          <w:ilvl w:val="0"/>
          <w:numId w:val="24"/>
        </w:numPr>
        <w:spacing w:after="60"/>
        <w:ind w:left="284" w:hanging="284"/>
        <w:contextualSpacing w:val="0"/>
      </w:pPr>
      <w:r>
        <w:t xml:space="preserve">prescribe </w:t>
      </w:r>
      <w:r w:rsidR="00DA6EDB" w:rsidRPr="00A42498">
        <w:t xml:space="preserve">specific </w:t>
      </w:r>
      <w:r w:rsidR="0005205E">
        <w:t>articles</w:t>
      </w:r>
      <w:r w:rsidR="0097090B">
        <w:t xml:space="preserve"> as a certain class of weapon (e.g. controlled weapon or prohibited weapon</w:t>
      </w:r>
      <w:r w:rsidR="00063EF6">
        <w:t>), trigger</w:t>
      </w:r>
      <w:r w:rsidR="00E722FC">
        <w:t>ing</w:t>
      </w:r>
      <w:r w:rsidR="00063EF6">
        <w:t xml:space="preserve"> specific regulatory controls under the Act</w:t>
      </w:r>
    </w:p>
    <w:p w14:paraId="5DBE5C6E" w14:textId="15B360A5" w:rsidR="00DA6EDB" w:rsidRPr="00A42498" w:rsidRDefault="00934C2B" w:rsidP="00820E92">
      <w:pPr>
        <w:pStyle w:val="ListParagraph"/>
        <w:numPr>
          <w:ilvl w:val="0"/>
          <w:numId w:val="24"/>
        </w:numPr>
        <w:spacing w:after="60"/>
        <w:ind w:left="284" w:hanging="284"/>
        <w:contextualSpacing w:val="0"/>
      </w:pPr>
      <w:r>
        <w:t xml:space="preserve">set </w:t>
      </w:r>
      <w:r w:rsidR="00DA6EDB" w:rsidRPr="00A42498">
        <w:t xml:space="preserve">fees for </w:t>
      </w:r>
      <w:r w:rsidR="00F024F2">
        <w:t xml:space="preserve">Chief Commissioner </w:t>
      </w:r>
      <w:r w:rsidR="00DA6EDB" w:rsidRPr="00A42498">
        <w:t>approval</w:t>
      </w:r>
      <w:r w:rsidR="00332C91">
        <w:t>s</w:t>
      </w:r>
      <w:r w:rsidR="00DA6EDB" w:rsidRPr="00A42498">
        <w:t xml:space="preserve"> </w:t>
      </w:r>
      <w:r w:rsidR="00332C91">
        <w:t xml:space="preserve">to </w:t>
      </w:r>
      <w:r w:rsidR="00DA6EDB" w:rsidRPr="00A42498">
        <w:t>lawful</w:t>
      </w:r>
      <w:r w:rsidR="00332C91">
        <w:t>ly</w:t>
      </w:r>
      <w:r w:rsidR="00DA6EDB" w:rsidRPr="00A42498">
        <w:t xml:space="preserve"> use prohibited weapons</w:t>
      </w:r>
    </w:p>
    <w:p w14:paraId="733555C0" w14:textId="757A4397" w:rsidR="005004A5" w:rsidRDefault="00934C2B" w:rsidP="00820E92">
      <w:pPr>
        <w:pStyle w:val="ListParagraph"/>
        <w:numPr>
          <w:ilvl w:val="0"/>
          <w:numId w:val="24"/>
        </w:numPr>
        <w:spacing w:after="60"/>
        <w:ind w:left="284" w:hanging="284"/>
        <w:contextualSpacing w:val="0"/>
      </w:pPr>
      <w:r>
        <w:t xml:space="preserve">prescribe </w:t>
      </w:r>
      <w:r w:rsidR="00DA6EDB" w:rsidRPr="00A42498">
        <w:t>requirements for record</w:t>
      </w:r>
      <w:r w:rsidR="0797ED7B">
        <w:t>-</w:t>
      </w:r>
      <w:r w:rsidR="00DA6EDB" w:rsidRPr="00A42498">
        <w:t xml:space="preserve">keeping and identification in transactions of </w:t>
      </w:r>
      <w:r w:rsidR="00335289">
        <w:t xml:space="preserve">prohibited </w:t>
      </w:r>
      <w:r w:rsidR="00DA6EDB" w:rsidRPr="00A42498">
        <w:t>weapons</w:t>
      </w:r>
      <w:r w:rsidR="00ED2086">
        <w:t>,</w:t>
      </w:r>
      <w:r w:rsidR="00430832">
        <w:t xml:space="preserve"> </w:t>
      </w:r>
      <w:r w:rsidR="00FE27AA">
        <w:t>and</w:t>
      </w:r>
    </w:p>
    <w:p w14:paraId="6AECDA13" w14:textId="55E7000D" w:rsidR="00DA6EDB" w:rsidRPr="00A42498" w:rsidRDefault="00934C2B" w:rsidP="00A23189">
      <w:pPr>
        <w:pStyle w:val="ListParagraph"/>
        <w:numPr>
          <w:ilvl w:val="0"/>
          <w:numId w:val="24"/>
        </w:numPr>
        <w:spacing w:after="120"/>
        <w:ind w:left="284" w:hanging="284"/>
        <w:contextualSpacing w:val="0"/>
      </w:pPr>
      <w:r>
        <w:t xml:space="preserve">prescribe </w:t>
      </w:r>
      <w:r w:rsidR="005004A5">
        <w:t xml:space="preserve">record keeping requirements for police and </w:t>
      </w:r>
      <w:r w:rsidR="00FE27AA">
        <w:t>protective services officers exercising powers under the Act</w:t>
      </w:r>
      <w:r w:rsidR="00DA6EDB" w:rsidRPr="00A42498">
        <w:t xml:space="preserve">. </w:t>
      </w:r>
    </w:p>
    <w:p w14:paraId="7D8327E8" w14:textId="5FF6D17D" w:rsidR="00C4799C" w:rsidRDefault="00DA6EDB" w:rsidP="00DA6EDB">
      <w:r w:rsidRPr="00A42498">
        <w:t>If the Regulations were to sunset without being replaced</w:t>
      </w:r>
      <w:r w:rsidR="00017630">
        <w:t>, the regulatory framework would not operate effectively</w:t>
      </w:r>
      <w:r w:rsidR="00063EF6">
        <w:t xml:space="preserve"> as </w:t>
      </w:r>
      <w:r w:rsidRPr="00A42498">
        <w:t xml:space="preserve">the large list of weapons the </w:t>
      </w:r>
      <w:r w:rsidR="00F024F2">
        <w:t>R</w:t>
      </w:r>
      <w:r w:rsidRPr="00A42498">
        <w:t xml:space="preserve">egulations prescribe would not be adequately controlled. </w:t>
      </w:r>
      <w:bookmarkStart w:id="25" w:name="_Hlk72171130"/>
      <w:r w:rsidR="00891CE6">
        <w:t>Inadequate control of these weapons would certainly lead to an increase in the harm they cause to the community</w:t>
      </w:r>
      <w:bookmarkEnd w:id="25"/>
      <w:r w:rsidR="00891CE6">
        <w:t xml:space="preserve"> </w:t>
      </w:r>
      <w:r w:rsidR="009B35F0">
        <w:t xml:space="preserve">as they become more </w:t>
      </w:r>
      <w:r w:rsidR="00C17F0C">
        <w:t>accessible to those who might misuse them</w:t>
      </w:r>
      <w:r w:rsidRPr="00A42498">
        <w:t xml:space="preserve">  The implications of not having any </w:t>
      </w:r>
      <w:r w:rsidR="008E5F57">
        <w:t>R</w:t>
      </w:r>
      <w:r w:rsidRPr="00A42498">
        <w:t>egulations include increased risks to the community or to the reputation of stakeholders in the sector</w:t>
      </w:r>
      <w:r w:rsidR="00C4799C" w:rsidRPr="00A42498">
        <w:t>.</w:t>
      </w:r>
    </w:p>
    <w:p w14:paraId="7CC3B46E" w14:textId="233702A4" w:rsidR="00DA237C" w:rsidRPr="00A42498" w:rsidRDefault="00DA237C" w:rsidP="00DA6EDB">
      <w:r>
        <w:t xml:space="preserve">This RIS and accompanying exposure draft Regulations only relate to weapons which are not firearms. Firearms are separately regulated under the </w:t>
      </w:r>
      <w:r w:rsidRPr="00067D76">
        <w:rPr>
          <w:i/>
          <w:iCs/>
        </w:rPr>
        <w:t>Firearms Act 1996</w:t>
      </w:r>
      <w:r>
        <w:t xml:space="preserve"> and the Firearms Regulations 2018 and are not within the scope of this review. Imitation firearms are within the scope of this review as they are classed as weapons not as firearms.</w:t>
      </w:r>
    </w:p>
    <w:p w14:paraId="76229679" w14:textId="67023B71" w:rsidR="00B04CFC" w:rsidRPr="00A42498" w:rsidRDefault="00B04CFC" w:rsidP="00B04CFC">
      <w:pPr>
        <w:pStyle w:val="Heading2"/>
      </w:pPr>
      <w:bookmarkStart w:id="26" w:name="_Toc79397198"/>
      <w:r w:rsidRPr="00A42498">
        <w:t>The control of weapons</w:t>
      </w:r>
      <w:bookmarkEnd w:id="26"/>
    </w:p>
    <w:p w14:paraId="396F7329" w14:textId="1ACF83FA" w:rsidR="00BF2199" w:rsidRPr="00A42498" w:rsidRDefault="00BF2199" w:rsidP="00BF2199">
      <w:pPr>
        <w:pStyle w:val="Heading3"/>
      </w:pPr>
      <w:r w:rsidRPr="00A42498">
        <w:t xml:space="preserve">What </w:t>
      </w:r>
      <w:r w:rsidR="00D9727C" w:rsidRPr="00A42498">
        <w:t xml:space="preserve">are </w:t>
      </w:r>
      <w:r w:rsidRPr="00A42498">
        <w:t>weapon</w:t>
      </w:r>
      <w:r w:rsidR="00D9727C" w:rsidRPr="00A42498">
        <w:t>s</w:t>
      </w:r>
      <w:r w:rsidRPr="00A42498">
        <w:t>?</w:t>
      </w:r>
    </w:p>
    <w:p w14:paraId="0A333014" w14:textId="5CAF7C06" w:rsidR="00BF2199" w:rsidRPr="00A42498" w:rsidRDefault="0081206C" w:rsidP="00590970">
      <w:r w:rsidRPr="00A42498">
        <w:t>A weapon can be any object that might cause harm</w:t>
      </w:r>
      <w:r w:rsidR="008330E5" w:rsidRPr="00A42498">
        <w:t>,</w:t>
      </w:r>
      <w:r w:rsidRPr="00A42498">
        <w:t xml:space="preserve"> intentionally or otherwise. </w:t>
      </w:r>
      <w:r w:rsidR="00500850">
        <w:t xml:space="preserve">Examples of </w:t>
      </w:r>
      <w:r w:rsidR="005D4BC9" w:rsidRPr="00A42498">
        <w:t xml:space="preserve">weapons include </w:t>
      </w:r>
      <w:r w:rsidR="009D1B0F" w:rsidRPr="00A42498">
        <w:t xml:space="preserve">knives, swords, </w:t>
      </w:r>
      <w:r w:rsidR="00356269" w:rsidRPr="00A42498">
        <w:t>martial arts weapons</w:t>
      </w:r>
      <w:r w:rsidR="004644FA" w:rsidRPr="00A42498">
        <w:t>,</w:t>
      </w:r>
      <w:r w:rsidR="00356269" w:rsidRPr="00A42498">
        <w:t xml:space="preserve"> </w:t>
      </w:r>
      <w:r w:rsidR="005B4CBC" w:rsidRPr="00A42498">
        <w:t>batons</w:t>
      </w:r>
      <w:r w:rsidR="00247278">
        <w:t xml:space="preserve"> and</w:t>
      </w:r>
      <w:r w:rsidR="005B4CBC" w:rsidRPr="00A42498">
        <w:t xml:space="preserve"> </w:t>
      </w:r>
      <w:r w:rsidR="00356269" w:rsidRPr="00A42498">
        <w:t xml:space="preserve">imitation </w:t>
      </w:r>
      <w:r w:rsidR="0046015A" w:rsidRPr="00A42498">
        <w:t>firearms</w:t>
      </w:r>
      <w:r w:rsidR="00A74102" w:rsidRPr="00A42498">
        <w:t>.</w:t>
      </w:r>
      <w:r w:rsidR="00C11495" w:rsidRPr="00A42498">
        <w:t xml:space="preserve"> </w:t>
      </w:r>
      <w:r w:rsidR="00437378" w:rsidRPr="00A42498">
        <w:t xml:space="preserve">Body armour </w:t>
      </w:r>
      <w:r w:rsidR="0040436E" w:rsidRPr="00A42498">
        <w:t xml:space="preserve">is also </w:t>
      </w:r>
      <w:r w:rsidR="008330E5" w:rsidRPr="00A42498">
        <w:t>regulated</w:t>
      </w:r>
      <w:r w:rsidR="005D3EB8" w:rsidRPr="00A42498">
        <w:t xml:space="preserve"> by the Act.</w:t>
      </w:r>
      <w:r w:rsidR="00E05206" w:rsidRPr="00A42498">
        <w:t xml:space="preserve"> </w:t>
      </w:r>
      <w:r w:rsidRPr="00A42498">
        <w:t xml:space="preserve">The </w:t>
      </w:r>
      <w:r w:rsidR="008070BB" w:rsidRPr="00A42498">
        <w:t>Act</w:t>
      </w:r>
      <w:r w:rsidRPr="00A42498">
        <w:t xml:space="preserve"> organises weapons into four categories</w:t>
      </w:r>
      <w:r w:rsidR="00740D61" w:rsidRPr="00A42498">
        <w:t>, each</w:t>
      </w:r>
      <w:r w:rsidRPr="00A42498">
        <w:t xml:space="preserve"> with </w:t>
      </w:r>
      <w:r w:rsidR="00740D61" w:rsidRPr="00A42498">
        <w:t>corresponding regulatory restrictio</w:t>
      </w:r>
      <w:r w:rsidR="00F7556D" w:rsidRPr="00A42498">
        <w:t>n</w:t>
      </w:r>
      <w:r w:rsidR="00740D61" w:rsidRPr="00A42498">
        <w:t>s (</w:t>
      </w:r>
      <w:r w:rsidR="00F7556D" w:rsidRPr="00A42498">
        <w:fldChar w:fldCharType="begin"/>
      </w:r>
      <w:r w:rsidR="00F7556D" w:rsidRPr="00A42498">
        <w:instrText xml:space="preserve"> REF _Ref70060717 \r \h </w:instrText>
      </w:r>
      <w:r w:rsidR="00FE7C33" w:rsidRPr="00A42498">
        <w:instrText xml:space="preserve"> \* MERGEFORMAT </w:instrText>
      </w:r>
      <w:r w:rsidR="00F7556D" w:rsidRPr="00A42498">
        <w:fldChar w:fldCharType="separate"/>
      </w:r>
      <w:r w:rsidR="008C066F">
        <w:t>Table 1.2</w:t>
      </w:r>
      <w:r w:rsidR="00F7556D" w:rsidRPr="00A42498">
        <w:fldChar w:fldCharType="end"/>
      </w:r>
      <w:r w:rsidR="00740D61" w:rsidRPr="00A42498">
        <w:t>).</w:t>
      </w:r>
    </w:p>
    <w:p w14:paraId="6A41BDF0" w14:textId="5335D7C8" w:rsidR="00871C75" w:rsidRPr="00A42498" w:rsidRDefault="00871C75" w:rsidP="00871C75">
      <w:pPr>
        <w:pStyle w:val="Heading3"/>
      </w:pPr>
      <w:r w:rsidRPr="00A42498">
        <w:t>What are the uses of weapons?</w:t>
      </w:r>
    </w:p>
    <w:p w14:paraId="51300FAE" w14:textId="2097FB84" w:rsidR="00B91038" w:rsidRPr="00A42498" w:rsidRDefault="006A2D52" w:rsidP="00590970">
      <w:r w:rsidRPr="00A42498">
        <w:t xml:space="preserve">The uses of weapons are </w:t>
      </w:r>
      <w:r w:rsidR="00E4304D" w:rsidRPr="00A42498">
        <w:t xml:space="preserve">wide and varied and </w:t>
      </w:r>
      <w:r w:rsidR="00243B71" w:rsidRPr="00A42498">
        <w:t xml:space="preserve">can be </w:t>
      </w:r>
      <w:r w:rsidR="00162CD3" w:rsidRPr="00A42498">
        <w:t>either</w:t>
      </w:r>
      <w:r w:rsidR="00243B71" w:rsidRPr="00A42498">
        <w:t xml:space="preserve"> </w:t>
      </w:r>
      <w:r w:rsidR="00B3669D" w:rsidRPr="00A42498">
        <w:t>legitimate</w:t>
      </w:r>
      <w:r w:rsidR="00243B71" w:rsidRPr="00A42498">
        <w:t xml:space="preserve"> or </w:t>
      </w:r>
      <w:r w:rsidR="00B3669D" w:rsidRPr="00A42498">
        <w:t xml:space="preserve">unlawful. </w:t>
      </w:r>
      <w:r w:rsidR="005377FE" w:rsidRPr="00A42498">
        <w:t xml:space="preserve">Legitimate </w:t>
      </w:r>
      <w:r w:rsidR="00D82F4F" w:rsidRPr="00A42498">
        <w:t>purposes for using weapons</w:t>
      </w:r>
      <w:r w:rsidR="00D6101D" w:rsidRPr="00A42498">
        <w:t xml:space="preserve"> </w:t>
      </w:r>
      <w:r w:rsidR="005377FE" w:rsidRPr="00A42498">
        <w:t xml:space="preserve">largely pertain to </w:t>
      </w:r>
      <w:r w:rsidR="00F872BE" w:rsidRPr="00A42498">
        <w:t>uses</w:t>
      </w:r>
      <w:r w:rsidR="00D6101D" w:rsidRPr="00A42498">
        <w:t xml:space="preserve"> that are occupational, </w:t>
      </w:r>
      <w:r w:rsidR="004F7F69" w:rsidRPr="00A42498">
        <w:t>recreational</w:t>
      </w:r>
      <w:r w:rsidR="00D6101D" w:rsidRPr="00A42498">
        <w:t xml:space="preserve">, </w:t>
      </w:r>
      <w:r w:rsidR="00DE1EAB" w:rsidRPr="00A42498">
        <w:t xml:space="preserve">cultural </w:t>
      </w:r>
      <w:r w:rsidR="00D6101D" w:rsidRPr="00A42498">
        <w:t xml:space="preserve">or </w:t>
      </w:r>
      <w:r w:rsidR="00DE1EAB" w:rsidRPr="00A42498">
        <w:t>religious</w:t>
      </w:r>
      <w:r w:rsidR="005377FE" w:rsidRPr="00A42498">
        <w:t xml:space="preserve">. </w:t>
      </w:r>
    </w:p>
    <w:p w14:paraId="20CD8B1B" w14:textId="425881B0" w:rsidR="005377FE" w:rsidRPr="00A42498" w:rsidRDefault="00712360" w:rsidP="00590970">
      <w:r w:rsidRPr="00A42498">
        <w:t>The legitimate and responsible use of weapons for</w:t>
      </w:r>
      <w:r w:rsidR="00E01F4E">
        <w:t xml:space="preserve"> these</w:t>
      </w:r>
      <w:r w:rsidRPr="00A42498">
        <w:t xml:space="preserve"> purposes is worthwhile and valuable to society, whether in the support of business activity, providing recreational benefits, or contributing to and maintaining the traditions and culture of Victorians.</w:t>
      </w:r>
      <w:r w:rsidR="00D1393E" w:rsidRPr="00A42498">
        <w:t xml:space="preserve"> </w:t>
      </w:r>
      <w:r w:rsidR="000C3FC2" w:rsidRPr="00A42498">
        <w:t xml:space="preserve">Examples of each of these </w:t>
      </w:r>
      <w:r w:rsidR="00B91038" w:rsidRPr="00A42498">
        <w:t xml:space="preserve">legitimate uses are </w:t>
      </w:r>
      <w:r w:rsidR="000C3FC2" w:rsidRPr="00A42498">
        <w:t>shown in the table below.</w:t>
      </w:r>
      <w:r w:rsidR="00FA21FC" w:rsidRPr="00A42498">
        <w:t xml:space="preserve"> </w:t>
      </w:r>
    </w:p>
    <w:p w14:paraId="5A16082F" w14:textId="77777777" w:rsidR="0030718A" w:rsidRDefault="0030718A">
      <w:pPr>
        <w:spacing w:after="0"/>
        <w:rPr>
          <w:rStyle w:val="eop"/>
          <w:rFonts w:eastAsia="Times New Roman" w:cs="Times New Roman"/>
          <w:color w:val="75787B" w:themeColor="accent6"/>
          <w:sz w:val="17"/>
          <w:szCs w:val="20"/>
        </w:rPr>
      </w:pPr>
      <w:r>
        <w:rPr>
          <w:rStyle w:val="eop"/>
        </w:rPr>
        <w:br w:type="page"/>
      </w:r>
    </w:p>
    <w:p w14:paraId="7B33C818" w14:textId="0198BE84" w:rsidR="0089670E" w:rsidRPr="00A42498" w:rsidRDefault="00F7556D" w:rsidP="00F7556D">
      <w:pPr>
        <w:pStyle w:val="CaptionTable"/>
      </w:pPr>
      <w:r w:rsidRPr="00A42498">
        <w:rPr>
          <w:rStyle w:val="eop"/>
        </w:rPr>
        <w:t xml:space="preserve"> </w:t>
      </w:r>
      <w:bookmarkStart w:id="27" w:name="_Toc70066711"/>
      <w:bookmarkStart w:id="28" w:name="_Toc79397161"/>
      <w:r w:rsidR="0089670E" w:rsidRPr="00A42498">
        <w:rPr>
          <w:rStyle w:val="eop"/>
        </w:rPr>
        <w:t>Types and examples of legitimate use of weapons</w:t>
      </w:r>
      <w:bookmarkEnd w:id="27"/>
      <w:bookmarkEnd w:id="28"/>
      <w:r w:rsidR="000505D1" w:rsidRPr="00A42498">
        <w:rPr>
          <w:rStyle w:val="eop"/>
        </w:rPr>
        <w:t xml:space="preserve"> </w:t>
      </w:r>
    </w:p>
    <w:tbl>
      <w:tblPr>
        <w:tblStyle w:val="Deloittetable"/>
        <w:tblW w:w="0" w:type="auto"/>
        <w:tblLook w:val="04A0" w:firstRow="1" w:lastRow="0" w:firstColumn="1" w:lastColumn="0" w:noHBand="0" w:noVBand="1"/>
      </w:tblPr>
      <w:tblGrid>
        <w:gridCol w:w="2547"/>
        <w:gridCol w:w="6237"/>
        <w:gridCol w:w="113"/>
      </w:tblGrid>
      <w:tr w:rsidR="00D6101D" w:rsidRPr="00A42498" w14:paraId="4662C63F" w14:textId="77777777" w:rsidTr="00C27F2B">
        <w:trPr>
          <w:cnfStyle w:val="100000000000" w:firstRow="1" w:lastRow="0" w:firstColumn="0" w:lastColumn="0" w:oddVBand="0" w:evenVBand="0" w:oddHBand="0" w:evenHBand="0" w:firstRowFirstColumn="0" w:firstRowLastColumn="0" w:lastRowFirstColumn="0" w:lastRowLastColumn="0"/>
        </w:trPr>
        <w:tc>
          <w:tcPr>
            <w:tcW w:w="2547" w:type="dxa"/>
          </w:tcPr>
          <w:p w14:paraId="0F48932B" w14:textId="663358C1" w:rsidR="00D6101D" w:rsidRPr="00A42498" w:rsidRDefault="00D6101D" w:rsidP="00590970">
            <w:pPr>
              <w:rPr>
                <w:b/>
                <w:bCs/>
              </w:rPr>
            </w:pPr>
            <w:r w:rsidRPr="00A42498">
              <w:rPr>
                <w:b/>
                <w:bCs/>
              </w:rPr>
              <w:t>Type of legitimate use</w:t>
            </w:r>
          </w:p>
        </w:tc>
        <w:tc>
          <w:tcPr>
            <w:tcW w:w="6237" w:type="dxa"/>
            <w:gridSpan w:val="2"/>
          </w:tcPr>
          <w:p w14:paraId="6E428786" w14:textId="7871602B" w:rsidR="00D6101D" w:rsidRPr="00A42498" w:rsidRDefault="00241933" w:rsidP="00590970">
            <w:pPr>
              <w:rPr>
                <w:b/>
                <w:bCs/>
              </w:rPr>
            </w:pPr>
            <w:r w:rsidRPr="00A42498">
              <w:rPr>
                <w:b/>
                <w:bCs/>
              </w:rPr>
              <w:t>Example</w:t>
            </w:r>
          </w:p>
        </w:tc>
      </w:tr>
      <w:tr w:rsidR="00D6101D" w:rsidRPr="00A42498" w14:paraId="69D314A2" w14:textId="77777777" w:rsidTr="00C27F2B">
        <w:trPr>
          <w:gridAfter w:val="1"/>
          <w:wAfter w:w="113" w:type="dxa"/>
        </w:trPr>
        <w:tc>
          <w:tcPr>
            <w:tcW w:w="2547" w:type="dxa"/>
          </w:tcPr>
          <w:p w14:paraId="565C4397" w14:textId="6AA5B1AD" w:rsidR="00D6101D" w:rsidRPr="00A42498" w:rsidRDefault="00D6101D" w:rsidP="00590970">
            <w:r w:rsidRPr="00A42498">
              <w:t xml:space="preserve">Occupational </w:t>
            </w:r>
          </w:p>
        </w:tc>
        <w:tc>
          <w:tcPr>
            <w:tcW w:w="6237" w:type="dxa"/>
          </w:tcPr>
          <w:p w14:paraId="33A0F44A" w14:textId="77777777" w:rsidR="00D1393E" w:rsidRPr="00A42498" w:rsidRDefault="00545E32" w:rsidP="00780815">
            <w:pPr>
              <w:pStyle w:val="ListParagraph"/>
              <w:numPr>
                <w:ilvl w:val="0"/>
                <w:numId w:val="25"/>
              </w:numPr>
            </w:pPr>
            <w:r w:rsidRPr="00A42498">
              <w:t>Martial arts trainers using swords</w:t>
            </w:r>
          </w:p>
          <w:p w14:paraId="49522CFD" w14:textId="7F3F1F4E" w:rsidR="00D1393E" w:rsidRPr="00A42498" w:rsidRDefault="00D1393E" w:rsidP="00780815">
            <w:pPr>
              <w:pStyle w:val="ListParagraph"/>
              <w:numPr>
                <w:ilvl w:val="0"/>
                <w:numId w:val="25"/>
              </w:numPr>
            </w:pPr>
            <w:r w:rsidRPr="00A42498">
              <w:t>Law enforcement officers using capsicum spray</w:t>
            </w:r>
          </w:p>
          <w:p w14:paraId="2C99D67E" w14:textId="188F3AC1" w:rsidR="00D1393E" w:rsidRPr="00A42498" w:rsidRDefault="00C81E05" w:rsidP="00780815">
            <w:pPr>
              <w:pStyle w:val="ListParagraph"/>
              <w:numPr>
                <w:ilvl w:val="0"/>
                <w:numId w:val="25"/>
              </w:numPr>
            </w:pPr>
            <w:r w:rsidRPr="00A42498">
              <w:t>Use of weapons in film, television, and theatre</w:t>
            </w:r>
          </w:p>
        </w:tc>
      </w:tr>
      <w:tr w:rsidR="00D6101D" w:rsidRPr="00A42498" w14:paraId="0FE32C84" w14:textId="77777777" w:rsidTr="00C27F2B">
        <w:trPr>
          <w:gridAfter w:val="1"/>
          <w:wAfter w:w="113" w:type="dxa"/>
        </w:trPr>
        <w:tc>
          <w:tcPr>
            <w:tcW w:w="2547" w:type="dxa"/>
          </w:tcPr>
          <w:p w14:paraId="61CB710D" w14:textId="040402A5" w:rsidR="00D6101D" w:rsidRPr="00A42498" w:rsidRDefault="00D6101D" w:rsidP="00590970">
            <w:r w:rsidRPr="00A42498">
              <w:t>Recreational</w:t>
            </w:r>
          </w:p>
        </w:tc>
        <w:tc>
          <w:tcPr>
            <w:tcW w:w="6237" w:type="dxa"/>
          </w:tcPr>
          <w:p w14:paraId="6822DC36" w14:textId="53782FA0" w:rsidR="00126448" w:rsidRDefault="00126448" w:rsidP="00780815">
            <w:pPr>
              <w:pStyle w:val="ListParagraph"/>
              <w:numPr>
                <w:ilvl w:val="0"/>
                <w:numId w:val="25"/>
              </w:numPr>
            </w:pPr>
            <w:r>
              <w:t>Sport (e.g. fencing, modern pentathlon)</w:t>
            </w:r>
          </w:p>
          <w:p w14:paraId="21756A98" w14:textId="57F83555" w:rsidR="0089670E" w:rsidRPr="00A42498" w:rsidRDefault="00C81E05" w:rsidP="00780815">
            <w:pPr>
              <w:pStyle w:val="ListParagraph"/>
              <w:numPr>
                <w:ilvl w:val="0"/>
                <w:numId w:val="25"/>
              </w:numPr>
            </w:pPr>
            <w:r w:rsidRPr="00A42498">
              <w:t>Historical re-enactment</w:t>
            </w:r>
          </w:p>
          <w:p w14:paraId="01099E96" w14:textId="498ACE92" w:rsidR="00C81E05" w:rsidRPr="00A42498" w:rsidRDefault="00442BB0" w:rsidP="00780815">
            <w:pPr>
              <w:pStyle w:val="ListParagraph"/>
              <w:numPr>
                <w:ilvl w:val="0"/>
                <w:numId w:val="25"/>
              </w:numPr>
            </w:pPr>
            <w:r w:rsidRPr="00A42498">
              <w:t xml:space="preserve">Militaristic mock </w:t>
            </w:r>
            <w:r w:rsidR="00FD5BDD" w:rsidRPr="00A42498">
              <w:t>combat games</w:t>
            </w:r>
          </w:p>
          <w:p w14:paraId="27A33D4E" w14:textId="77777777" w:rsidR="00D6101D" w:rsidRPr="00A42498" w:rsidRDefault="00FD5BDD" w:rsidP="00780815">
            <w:pPr>
              <w:pStyle w:val="ListParagraph"/>
              <w:numPr>
                <w:ilvl w:val="0"/>
                <w:numId w:val="25"/>
              </w:numPr>
            </w:pPr>
            <w:r w:rsidRPr="00A42498">
              <w:t>Weapons collecting</w:t>
            </w:r>
          </w:p>
          <w:p w14:paraId="54BCF6A2" w14:textId="268CFFE2" w:rsidR="000C6982" w:rsidRPr="00A42498" w:rsidRDefault="007F2C59" w:rsidP="00780815">
            <w:pPr>
              <w:pStyle w:val="ListParagraph"/>
              <w:numPr>
                <w:ilvl w:val="0"/>
                <w:numId w:val="25"/>
              </w:numPr>
            </w:pPr>
            <w:r w:rsidRPr="00A42498">
              <w:t>Live action role-playing (l</w:t>
            </w:r>
            <w:r w:rsidR="00D017A2" w:rsidRPr="00A42498">
              <w:t>arping</w:t>
            </w:r>
            <w:r w:rsidR="007902E7" w:rsidRPr="00A42498">
              <w:t>)</w:t>
            </w:r>
          </w:p>
        </w:tc>
      </w:tr>
      <w:tr w:rsidR="00D017A2" w:rsidRPr="00A42498" w14:paraId="63EAB2EE" w14:textId="77777777" w:rsidTr="00C27F2B">
        <w:trPr>
          <w:gridAfter w:val="1"/>
          <w:wAfter w:w="113" w:type="dxa"/>
        </w:trPr>
        <w:tc>
          <w:tcPr>
            <w:tcW w:w="2547" w:type="dxa"/>
          </w:tcPr>
          <w:p w14:paraId="1286241C" w14:textId="2CDE1D36" w:rsidR="00D017A2" w:rsidRPr="00A42498" w:rsidRDefault="00D017A2" w:rsidP="00590970">
            <w:pPr>
              <w:rPr>
                <w:b/>
                <w:bCs/>
              </w:rPr>
            </w:pPr>
            <w:r w:rsidRPr="00A42498">
              <w:t>Cultural or religious</w:t>
            </w:r>
          </w:p>
        </w:tc>
        <w:tc>
          <w:tcPr>
            <w:tcW w:w="6237" w:type="dxa"/>
          </w:tcPr>
          <w:p w14:paraId="237AF24C" w14:textId="357411EA" w:rsidR="007746B3" w:rsidRDefault="00112403" w:rsidP="00780815">
            <w:pPr>
              <w:pStyle w:val="ListParagraph"/>
              <w:numPr>
                <w:ilvl w:val="0"/>
                <w:numId w:val="25"/>
              </w:numPr>
            </w:pPr>
            <w:r>
              <w:t>S</w:t>
            </w:r>
            <w:r w:rsidRPr="003841C5">
              <w:t>gian-dubh</w:t>
            </w:r>
            <w:r>
              <w:t xml:space="preserve">s </w:t>
            </w:r>
            <w:r w:rsidR="004277EE">
              <w:t>as part of ceremonial or traditional Scottish Highland dress</w:t>
            </w:r>
            <w:r w:rsidR="004277EE" w:rsidRPr="003841C5">
              <w:t xml:space="preserve"> </w:t>
            </w:r>
          </w:p>
          <w:p w14:paraId="3F240543" w14:textId="20825A25" w:rsidR="000117C3" w:rsidRPr="00E77B2B" w:rsidRDefault="00D017A2" w:rsidP="00E77B2B">
            <w:pPr>
              <w:pStyle w:val="ListParagraph"/>
              <w:numPr>
                <w:ilvl w:val="0"/>
                <w:numId w:val="25"/>
              </w:numPr>
            </w:pPr>
            <w:r w:rsidRPr="00A42498">
              <w:t>Sikh community members using ceremonial kirpan daggers</w:t>
            </w:r>
          </w:p>
        </w:tc>
      </w:tr>
    </w:tbl>
    <w:p w14:paraId="70307417" w14:textId="38F1AA16" w:rsidR="00C6628E" w:rsidRPr="00A42498" w:rsidRDefault="009C53BD" w:rsidP="00614505">
      <w:pPr>
        <w:spacing w:before="170"/>
      </w:pPr>
      <w:r w:rsidRPr="00A42498">
        <w:t xml:space="preserve">Notwithstanding the many legitimate </w:t>
      </w:r>
      <w:r w:rsidR="003E1041" w:rsidRPr="00A42498">
        <w:t>uses of weapons (and the fact that most Victorians who use weapons do so safely, responsibly, an</w:t>
      </w:r>
      <w:r w:rsidR="00563D92" w:rsidRPr="00A42498">
        <w:t>d</w:t>
      </w:r>
      <w:r w:rsidR="003E1041" w:rsidRPr="00A42498">
        <w:t xml:space="preserve"> in accordance with the law) </w:t>
      </w:r>
      <w:r w:rsidR="006729DC" w:rsidRPr="00A42498">
        <w:t xml:space="preserve">the </w:t>
      </w:r>
      <w:r w:rsidR="00626B5E" w:rsidRPr="00A42498">
        <w:t xml:space="preserve">risks posed </w:t>
      </w:r>
      <w:r w:rsidR="003E1041" w:rsidRPr="00A42498">
        <w:t xml:space="preserve">by </w:t>
      </w:r>
      <w:r w:rsidR="00626B5E" w:rsidRPr="00A42498">
        <w:t>deliberate or accidental misuse of weapons persist</w:t>
      </w:r>
      <w:r w:rsidR="00CB18D1" w:rsidRPr="00A42498">
        <w:t xml:space="preserve"> (see </w:t>
      </w:r>
      <w:r w:rsidR="00991C2B" w:rsidRPr="00A42498">
        <w:t>Chapter</w:t>
      </w:r>
      <w:r w:rsidR="00CB18D1" w:rsidRPr="00A42498">
        <w:t xml:space="preserve"> 2 for more detail).</w:t>
      </w:r>
    </w:p>
    <w:p w14:paraId="3181CDB3" w14:textId="5ED788B7" w:rsidR="003B133F" w:rsidRPr="00A42498" w:rsidRDefault="008612DC" w:rsidP="003B133F">
      <w:pPr>
        <w:pStyle w:val="Heading2"/>
        <w:rPr>
          <w:lang w:val="da-DK"/>
        </w:rPr>
      </w:pPr>
      <w:bookmarkStart w:id="29" w:name="_Toc79397199"/>
      <w:r w:rsidRPr="00A42498">
        <w:rPr>
          <w:lang w:val="da-DK"/>
        </w:rPr>
        <w:t>Legislative framework</w:t>
      </w:r>
      <w:bookmarkEnd w:id="29"/>
    </w:p>
    <w:p w14:paraId="55A37241" w14:textId="55005A71" w:rsidR="003B133F" w:rsidRPr="00A42498" w:rsidRDefault="003B133F" w:rsidP="00CF355E">
      <w:pPr>
        <w:pStyle w:val="Heading3"/>
      </w:pPr>
      <w:r w:rsidRPr="00A42498">
        <w:t>Legislative framework in Victoria</w:t>
      </w:r>
    </w:p>
    <w:p w14:paraId="3322115A" w14:textId="0C4E6DF2" w:rsidR="009206ED" w:rsidRPr="00A42498" w:rsidRDefault="00B91038" w:rsidP="00590970">
      <w:r w:rsidRPr="00A42498">
        <w:t xml:space="preserve">The Act </w:t>
      </w:r>
      <w:r w:rsidR="0074771F" w:rsidRPr="00A42498">
        <w:t xml:space="preserve">mitigates the risks of harm posed by </w:t>
      </w:r>
      <w:r w:rsidR="00002F98" w:rsidRPr="00A42498">
        <w:t xml:space="preserve">weapons </w:t>
      </w:r>
      <w:r w:rsidR="000E3E7A" w:rsidRPr="00A42498">
        <w:t xml:space="preserve">by restricting who may access </w:t>
      </w:r>
      <w:r w:rsidR="00D569CB" w:rsidRPr="00A42498">
        <w:t>weapons</w:t>
      </w:r>
      <w:r w:rsidR="002645E9" w:rsidRPr="00A42498">
        <w:t xml:space="preserve"> </w:t>
      </w:r>
      <w:r w:rsidR="00882B1D" w:rsidRPr="00A42498">
        <w:t xml:space="preserve">and the circumstances in which they are acquired and used. </w:t>
      </w:r>
      <w:r w:rsidRPr="00A42498">
        <w:t>The Act defines four categories of weapon, each with corresponding regulatory restrictions as outlined in the table below.</w:t>
      </w:r>
    </w:p>
    <w:p w14:paraId="5718968C" w14:textId="65CED605" w:rsidR="00B91038" w:rsidRPr="00A42498" w:rsidRDefault="00B91038" w:rsidP="00F7556D">
      <w:pPr>
        <w:pStyle w:val="CaptionTable"/>
      </w:pPr>
      <w:r w:rsidRPr="00A42498">
        <w:rPr>
          <w:rStyle w:val="eop"/>
          <w:color w:val="A6A6A6" w:themeColor="background1" w:themeShade="A6"/>
        </w:rPr>
        <w:t xml:space="preserve"> </w:t>
      </w:r>
      <w:bookmarkStart w:id="30" w:name="_Ref70060717"/>
      <w:bookmarkStart w:id="31" w:name="_Toc70066712"/>
      <w:bookmarkStart w:id="32" w:name="_Toc79397162"/>
      <w:r w:rsidRPr="00A42498">
        <w:rPr>
          <w:rStyle w:val="eop"/>
          <w:color w:val="A6A6A6" w:themeColor="background1" w:themeShade="A6"/>
        </w:rPr>
        <w:t xml:space="preserve">Categories of weapons defined in the </w:t>
      </w:r>
      <w:r w:rsidRPr="00A42498">
        <w:rPr>
          <w:rStyle w:val="eop"/>
          <w:i/>
          <w:iCs/>
          <w:color w:val="A6A6A6" w:themeColor="background1" w:themeShade="A6"/>
        </w:rPr>
        <w:t>Control of Weapons Act (1990)</w:t>
      </w:r>
      <w:r w:rsidRPr="00A42498">
        <w:rPr>
          <w:rStyle w:val="eop"/>
          <w:color w:val="A6A6A6" w:themeColor="background1" w:themeShade="A6"/>
        </w:rPr>
        <w:t xml:space="preserve"> and corresponding regulatory restrictions</w:t>
      </w:r>
      <w:bookmarkEnd w:id="30"/>
      <w:bookmarkEnd w:id="31"/>
      <w:bookmarkEnd w:id="32"/>
    </w:p>
    <w:tbl>
      <w:tblPr>
        <w:tblStyle w:val="Deloittetable"/>
        <w:tblW w:w="10343" w:type="dxa"/>
        <w:tblInd w:w="5" w:type="dxa"/>
        <w:tblLayout w:type="fixed"/>
        <w:tblLook w:val="04A0" w:firstRow="1" w:lastRow="0" w:firstColumn="1" w:lastColumn="0" w:noHBand="0" w:noVBand="1"/>
      </w:tblPr>
      <w:tblGrid>
        <w:gridCol w:w="2263"/>
        <w:gridCol w:w="4678"/>
        <w:gridCol w:w="3402"/>
      </w:tblGrid>
      <w:tr w:rsidR="006B3D45" w:rsidRPr="00A42498" w14:paraId="6BC8A829" w14:textId="22EA79A4" w:rsidTr="001C3080">
        <w:trPr>
          <w:cnfStyle w:val="100000000000" w:firstRow="1" w:lastRow="0" w:firstColumn="0" w:lastColumn="0" w:oddVBand="0" w:evenVBand="0" w:oddHBand="0" w:evenHBand="0" w:firstRowFirstColumn="0" w:firstRowLastColumn="0" w:lastRowFirstColumn="0" w:lastRowLastColumn="0"/>
          <w:tblHeader/>
        </w:trPr>
        <w:tc>
          <w:tcPr>
            <w:tcW w:w="2263" w:type="dxa"/>
          </w:tcPr>
          <w:p w14:paraId="655468CD" w14:textId="7B6AE220" w:rsidR="00350690" w:rsidRPr="00A42498" w:rsidRDefault="00350690" w:rsidP="00F144A3">
            <w:pPr>
              <w:rPr>
                <w:b/>
                <w:bCs/>
              </w:rPr>
            </w:pPr>
            <w:r w:rsidRPr="00A42498">
              <w:rPr>
                <w:b/>
                <w:bCs/>
              </w:rPr>
              <w:t>Category of weapon</w:t>
            </w:r>
          </w:p>
        </w:tc>
        <w:tc>
          <w:tcPr>
            <w:tcW w:w="4678" w:type="dxa"/>
          </w:tcPr>
          <w:p w14:paraId="1C6E2F6F" w14:textId="2E18E5EC" w:rsidR="00350690" w:rsidRPr="00A42498" w:rsidRDefault="00350690" w:rsidP="00F144A3">
            <w:pPr>
              <w:rPr>
                <w:b/>
                <w:bCs/>
              </w:rPr>
            </w:pPr>
            <w:r w:rsidRPr="00A42498">
              <w:rPr>
                <w:b/>
                <w:bCs/>
              </w:rPr>
              <w:t>Definition and example</w:t>
            </w:r>
          </w:p>
        </w:tc>
        <w:tc>
          <w:tcPr>
            <w:tcW w:w="3402" w:type="dxa"/>
          </w:tcPr>
          <w:p w14:paraId="7245688C" w14:textId="0B74D724" w:rsidR="00350690" w:rsidRPr="00A42498" w:rsidRDefault="00350690" w:rsidP="00F144A3">
            <w:pPr>
              <w:rPr>
                <w:b/>
                <w:bCs/>
              </w:rPr>
            </w:pPr>
            <w:r w:rsidRPr="00A42498">
              <w:rPr>
                <w:b/>
                <w:bCs/>
              </w:rPr>
              <w:t>Regulatory restrictions</w:t>
            </w:r>
          </w:p>
        </w:tc>
      </w:tr>
      <w:tr w:rsidR="00350690" w:rsidRPr="00A42498" w14:paraId="363CC79C" w14:textId="1BFBE5B8" w:rsidTr="001C3080">
        <w:trPr>
          <w:trHeight w:val="1304"/>
        </w:trPr>
        <w:tc>
          <w:tcPr>
            <w:tcW w:w="2263" w:type="dxa"/>
          </w:tcPr>
          <w:p w14:paraId="0BE81CEA" w14:textId="7D065A51" w:rsidR="00350690" w:rsidRPr="00A42498" w:rsidRDefault="00350690" w:rsidP="00F144A3">
            <w:r w:rsidRPr="00A42498">
              <w:t xml:space="preserve">Prohibited weapon </w:t>
            </w:r>
          </w:p>
        </w:tc>
        <w:tc>
          <w:tcPr>
            <w:tcW w:w="4678" w:type="dxa"/>
          </w:tcPr>
          <w:p w14:paraId="2FE33A2B" w14:textId="7311B538" w:rsidR="00350690" w:rsidRPr="00A42498" w:rsidRDefault="006D2182" w:rsidP="0067537D">
            <w:pPr>
              <w:spacing w:after="60"/>
            </w:pPr>
            <w:r>
              <w:t>Prescribed items consider</w:t>
            </w:r>
            <w:r w:rsidR="00086F87">
              <w:t>ed</w:t>
            </w:r>
            <w:r>
              <w:t xml:space="preserve"> inappropriate </w:t>
            </w:r>
            <w:r w:rsidR="00350690" w:rsidRPr="00A42498">
              <w:t xml:space="preserve">for general </w:t>
            </w:r>
            <w:r w:rsidR="00C70F51" w:rsidRPr="00A42498">
              <w:t>possession.</w:t>
            </w:r>
          </w:p>
          <w:p w14:paraId="493C4255" w14:textId="72872370" w:rsidR="00C70F51" w:rsidRPr="00A42498" w:rsidRDefault="00C70F51" w:rsidP="0067537D">
            <w:pPr>
              <w:spacing w:after="60"/>
            </w:pPr>
            <w:r w:rsidRPr="00A42498">
              <w:t>Examples include imitation f</w:t>
            </w:r>
            <w:r w:rsidR="00501461" w:rsidRPr="00A42498">
              <w:t xml:space="preserve">irearms, swords, crossbows, daggers, martial arts </w:t>
            </w:r>
            <w:r w:rsidR="00E81662" w:rsidRPr="00A42498">
              <w:t>weapons, and certain knives.</w:t>
            </w:r>
          </w:p>
        </w:tc>
        <w:tc>
          <w:tcPr>
            <w:tcW w:w="3402" w:type="dxa"/>
          </w:tcPr>
          <w:p w14:paraId="726F632E" w14:textId="4F162FFD" w:rsidR="00350690" w:rsidRPr="00A42498" w:rsidRDefault="00350690" w:rsidP="0067537D">
            <w:pPr>
              <w:spacing w:after="60"/>
            </w:pPr>
            <w:r w:rsidRPr="00A42498">
              <w:t xml:space="preserve">Cannot be used, purchased, </w:t>
            </w:r>
            <w:r w:rsidR="00681FDC">
              <w:t xml:space="preserve">brought into Victoria, </w:t>
            </w:r>
            <w:r w:rsidRPr="00A42498">
              <w:t xml:space="preserve">manufactured or carried unless </w:t>
            </w:r>
            <w:r w:rsidR="001D540E">
              <w:t xml:space="preserve">the person has </w:t>
            </w:r>
            <w:r w:rsidRPr="00A42498">
              <w:t xml:space="preserve">an exemption from the Governor in Council or </w:t>
            </w:r>
            <w:r w:rsidR="00487E7F">
              <w:t>an</w:t>
            </w:r>
            <w:r w:rsidR="00487E7F" w:rsidRPr="00A42498">
              <w:t xml:space="preserve"> </w:t>
            </w:r>
            <w:r w:rsidRPr="00A42498">
              <w:t>approval from the Chief Commissioner of Police.</w:t>
            </w:r>
            <w:r w:rsidR="00334A04" w:rsidRPr="00A42498">
              <w:t xml:space="preserve"> </w:t>
            </w:r>
          </w:p>
        </w:tc>
      </w:tr>
      <w:tr w:rsidR="00350690" w:rsidRPr="00A42498" w14:paraId="580D383D" w14:textId="2773C24E" w:rsidTr="001C3080">
        <w:tc>
          <w:tcPr>
            <w:tcW w:w="2263" w:type="dxa"/>
          </w:tcPr>
          <w:p w14:paraId="54C274BA" w14:textId="409FA451" w:rsidR="00350690" w:rsidRPr="00A42498" w:rsidRDefault="00350690" w:rsidP="00F144A3">
            <w:r w:rsidRPr="00A42498">
              <w:t>Controlled weapon</w:t>
            </w:r>
          </w:p>
        </w:tc>
        <w:tc>
          <w:tcPr>
            <w:tcW w:w="4678" w:type="dxa"/>
          </w:tcPr>
          <w:p w14:paraId="0BED919F" w14:textId="5B9A56FF" w:rsidR="00350690" w:rsidRPr="00A42498" w:rsidRDefault="0030718A" w:rsidP="0067537D">
            <w:pPr>
              <w:spacing w:after="60"/>
            </w:pPr>
            <w:r>
              <w:t xml:space="preserve">Prescribed items </w:t>
            </w:r>
            <w:r w:rsidR="00C70F51" w:rsidRPr="00A42498">
              <w:t>that can be possessed</w:t>
            </w:r>
            <w:r w:rsidR="00780E5C" w:rsidRPr="00A42498">
              <w:t>, carried and used for legitimate purposes but may pose a danger to the community.</w:t>
            </w:r>
          </w:p>
          <w:p w14:paraId="2D41A1ED" w14:textId="43FA3FE0" w:rsidR="00780E5C" w:rsidRPr="00A42498" w:rsidRDefault="00780E5C" w:rsidP="0067537D">
            <w:pPr>
              <w:spacing w:after="60"/>
            </w:pPr>
            <w:r w:rsidRPr="00A42498">
              <w:t>Examples include knives, spear guns, batons, bayonets, and cattle prods.</w:t>
            </w:r>
          </w:p>
        </w:tc>
        <w:tc>
          <w:tcPr>
            <w:tcW w:w="3402" w:type="dxa"/>
          </w:tcPr>
          <w:p w14:paraId="03FE90FF" w14:textId="112B25F5" w:rsidR="00350690" w:rsidRPr="00A42498" w:rsidRDefault="00350690" w:rsidP="0067537D">
            <w:pPr>
              <w:spacing w:after="60"/>
            </w:pPr>
            <w:r w:rsidRPr="00A42498">
              <w:t xml:space="preserve">Can only be </w:t>
            </w:r>
            <w:r w:rsidR="00181593" w:rsidRPr="00A42498">
              <w:t>possessed</w:t>
            </w:r>
            <w:r w:rsidRPr="00A42498">
              <w:t>, carried</w:t>
            </w:r>
            <w:r w:rsidR="00381598" w:rsidRPr="00A42498">
              <w:t>,</w:t>
            </w:r>
            <w:r w:rsidRPr="00A42498">
              <w:t xml:space="preserve"> used </w:t>
            </w:r>
            <w:r w:rsidR="00381598" w:rsidRPr="00A42498">
              <w:t>or sold</w:t>
            </w:r>
            <w:r w:rsidRPr="00A42498" w:rsidDel="00381598">
              <w:t xml:space="preserve"> </w:t>
            </w:r>
            <w:r w:rsidRPr="00A42498">
              <w:t xml:space="preserve">with a lawful </w:t>
            </w:r>
            <w:r w:rsidR="000A53BB" w:rsidRPr="00A42498">
              <w:t>excuse</w:t>
            </w:r>
            <w:r w:rsidRPr="00A42498">
              <w:t>.</w:t>
            </w:r>
            <w:r w:rsidR="005E25A4" w:rsidRPr="00A42498">
              <w:t xml:space="preserve"> Controlled weapons</w:t>
            </w:r>
            <w:r w:rsidR="007B6A12" w:rsidRPr="00A42498">
              <w:t xml:space="preserve"> must be carried in a safe and secure manner and</w:t>
            </w:r>
            <w:r w:rsidR="005E25A4" w:rsidRPr="00A42498">
              <w:t xml:space="preserve"> cannot be sold to</w:t>
            </w:r>
            <w:r w:rsidR="00042171" w:rsidRPr="00A42498">
              <w:t>,</w:t>
            </w:r>
            <w:r w:rsidR="005E25A4" w:rsidRPr="00A42498">
              <w:t xml:space="preserve"> or purchased by</w:t>
            </w:r>
            <w:r w:rsidR="00042171" w:rsidRPr="00A42498">
              <w:t>,</w:t>
            </w:r>
            <w:r w:rsidR="005E25A4" w:rsidRPr="00A42498">
              <w:t xml:space="preserve"> children aged under 18 years of age.</w:t>
            </w:r>
          </w:p>
        </w:tc>
      </w:tr>
      <w:tr w:rsidR="00350690" w:rsidRPr="00A42498" w14:paraId="53493119" w14:textId="29231A79" w:rsidTr="001C3080">
        <w:tc>
          <w:tcPr>
            <w:tcW w:w="2263" w:type="dxa"/>
          </w:tcPr>
          <w:p w14:paraId="0E335F72" w14:textId="4322224B" w:rsidR="00350690" w:rsidRPr="00A42498" w:rsidRDefault="00350690" w:rsidP="00F144A3">
            <w:pPr>
              <w:rPr>
                <w:b/>
                <w:bCs/>
              </w:rPr>
            </w:pPr>
            <w:r w:rsidRPr="00A42498">
              <w:t xml:space="preserve">Dangerous </w:t>
            </w:r>
            <w:r w:rsidR="00CA5CB1" w:rsidRPr="00A42498">
              <w:t>article</w:t>
            </w:r>
          </w:p>
        </w:tc>
        <w:tc>
          <w:tcPr>
            <w:tcW w:w="4678" w:type="dxa"/>
          </w:tcPr>
          <w:p w14:paraId="76B60701" w14:textId="714578F8" w:rsidR="00350690" w:rsidRPr="00A42498" w:rsidRDefault="00780E5C" w:rsidP="0067537D">
            <w:pPr>
              <w:spacing w:after="60"/>
            </w:pPr>
            <w:r w:rsidRPr="00A42498">
              <w:t xml:space="preserve">Any </w:t>
            </w:r>
            <w:r w:rsidR="00A93952">
              <w:t>article</w:t>
            </w:r>
            <w:r w:rsidR="00A93952" w:rsidRPr="00A42498">
              <w:t xml:space="preserve"> </w:t>
            </w:r>
            <w:r w:rsidRPr="00A42498">
              <w:t>which is carried with the intention of being used as a weapon or adapted so as to be capable of being used as a weapon.</w:t>
            </w:r>
          </w:p>
          <w:p w14:paraId="2564D0CC" w14:textId="36FF9207" w:rsidR="00780E5C" w:rsidRPr="00A42498" w:rsidRDefault="00780E5C" w:rsidP="0067537D">
            <w:pPr>
              <w:spacing w:after="60"/>
            </w:pPr>
            <w:r w:rsidRPr="00A42498">
              <w:t>This may include everyday items including tools, household items or sports equipment.</w:t>
            </w:r>
          </w:p>
        </w:tc>
        <w:tc>
          <w:tcPr>
            <w:tcW w:w="3402" w:type="dxa"/>
          </w:tcPr>
          <w:p w14:paraId="63E13F60" w14:textId="21F5F363" w:rsidR="00350690" w:rsidRPr="00A42498" w:rsidRDefault="000C49A7" w:rsidP="0067537D">
            <w:pPr>
              <w:spacing w:after="60"/>
            </w:pPr>
            <w:r w:rsidRPr="00A42498">
              <w:t xml:space="preserve">Can only be </w:t>
            </w:r>
            <w:r w:rsidR="005A383A" w:rsidRPr="00A42498">
              <w:t xml:space="preserve">possessed or </w:t>
            </w:r>
            <w:r w:rsidRPr="00A42498">
              <w:t xml:space="preserve">carried </w:t>
            </w:r>
            <w:r w:rsidR="005A383A" w:rsidRPr="00A42498">
              <w:t>in a public place or licensed premises</w:t>
            </w:r>
            <w:r w:rsidRPr="00A42498">
              <w:t xml:space="preserve"> with a lawful excuse</w:t>
            </w:r>
            <w:r w:rsidR="00CF355E" w:rsidRPr="00A42498">
              <w:t>.</w:t>
            </w:r>
          </w:p>
        </w:tc>
      </w:tr>
      <w:tr w:rsidR="00350690" w:rsidRPr="00A42498" w14:paraId="2F91ACE2" w14:textId="79846F7A" w:rsidTr="001C3080">
        <w:tc>
          <w:tcPr>
            <w:tcW w:w="2263" w:type="dxa"/>
          </w:tcPr>
          <w:p w14:paraId="3235CE17" w14:textId="59977664" w:rsidR="00350690" w:rsidRPr="00A42498" w:rsidRDefault="00350690" w:rsidP="00F144A3">
            <w:r w:rsidRPr="00A42498">
              <w:t>Body armour</w:t>
            </w:r>
          </w:p>
        </w:tc>
        <w:tc>
          <w:tcPr>
            <w:tcW w:w="4678" w:type="dxa"/>
          </w:tcPr>
          <w:p w14:paraId="043C04EF" w14:textId="7C8B1D96" w:rsidR="00350690" w:rsidRPr="00A42498" w:rsidRDefault="00C70F51" w:rsidP="0067537D">
            <w:pPr>
              <w:spacing w:after="60"/>
            </w:pPr>
            <w:r w:rsidRPr="00A42498">
              <w:t xml:space="preserve">A </w:t>
            </w:r>
            <w:r w:rsidR="0030718A">
              <w:t xml:space="preserve">prescribed </w:t>
            </w:r>
            <w:r w:rsidRPr="00A42498">
              <w:t xml:space="preserve">garment or item that is designed, intended or adapted for the purpose of protecting the body from the effects of a </w:t>
            </w:r>
            <w:r w:rsidR="00954EF8">
              <w:t>firearm</w:t>
            </w:r>
            <w:r w:rsidRPr="00A42498">
              <w:t>.</w:t>
            </w:r>
          </w:p>
        </w:tc>
        <w:tc>
          <w:tcPr>
            <w:tcW w:w="3402" w:type="dxa"/>
          </w:tcPr>
          <w:p w14:paraId="55300DE3" w14:textId="5971F7CB" w:rsidR="00350690" w:rsidRPr="00A42498" w:rsidRDefault="00350690" w:rsidP="0067537D">
            <w:pPr>
              <w:spacing w:after="60"/>
            </w:pPr>
            <w:r w:rsidRPr="00A42498">
              <w:t>Regulated in a similar manner to prohibited weapons.</w:t>
            </w:r>
          </w:p>
        </w:tc>
      </w:tr>
    </w:tbl>
    <w:p w14:paraId="5B4920E7" w14:textId="196DF115" w:rsidR="00D629B7" w:rsidRPr="00A42498" w:rsidRDefault="00F55CEE" w:rsidP="00614505">
      <w:pPr>
        <w:spacing w:before="170"/>
      </w:pPr>
      <w:r w:rsidRPr="00A42498">
        <w:t xml:space="preserve">The Act </w:t>
      </w:r>
      <w:r w:rsidR="008E5F57">
        <w:t>defines</w:t>
      </w:r>
      <w:r w:rsidRPr="00A42498">
        <w:t xml:space="preserve"> imitation firearms as prohibited weapons, and knives</w:t>
      </w:r>
      <w:r w:rsidR="008E5F57">
        <w:t xml:space="preserve"> (other than knives that are prohibited weapons)</w:t>
      </w:r>
      <w:r w:rsidRPr="00A42498">
        <w:t xml:space="preserve"> as controlled weapons</w:t>
      </w:r>
      <w:r w:rsidR="00B7731A" w:rsidRPr="00A42498">
        <w:t xml:space="preserve">, and allows for the prescription of </w:t>
      </w:r>
      <w:r w:rsidR="00D629B7" w:rsidRPr="00A42498">
        <w:t xml:space="preserve">additional </w:t>
      </w:r>
      <w:r w:rsidR="0075377D" w:rsidRPr="00A42498">
        <w:t>specific items</w:t>
      </w:r>
      <w:r w:rsidR="00D02A51" w:rsidRPr="00A42498">
        <w:t xml:space="preserve">. This prescriptive approach to regulation (as opposed to an outcomes-based approach which sets out rules or conditions that apply </w:t>
      </w:r>
      <w:r w:rsidR="00591BCE" w:rsidRPr="00A42498">
        <w:t xml:space="preserve">instead </w:t>
      </w:r>
      <w:r w:rsidR="00D02A51" w:rsidRPr="00A42498">
        <w:t xml:space="preserve">based on the broader risks or outcomes that can arise from the misuse of weapons) helps clarify and simplify </w:t>
      </w:r>
      <w:r w:rsidR="003C59B2" w:rsidRPr="00A42498">
        <w:t xml:space="preserve">the understanding of which weapons are </w:t>
      </w:r>
      <w:r w:rsidR="008E5F57">
        <w:t>subject to</w:t>
      </w:r>
      <w:r w:rsidR="003C59B2" w:rsidRPr="00A42498">
        <w:t xml:space="preserve"> the restrictions, both for those affected by them and for those enforcing them. </w:t>
      </w:r>
    </w:p>
    <w:p w14:paraId="1ACFB59A" w14:textId="3A36D7C4" w:rsidR="00F3372D" w:rsidRPr="00A42498" w:rsidRDefault="00E2262B" w:rsidP="00590970">
      <w:r w:rsidRPr="00A42498">
        <w:t xml:space="preserve">To facilitate this </w:t>
      </w:r>
      <w:r w:rsidR="003C59B2" w:rsidRPr="00A42498">
        <w:t>prescriptive</w:t>
      </w:r>
      <w:r w:rsidRPr="00A42498">
        <w:t xml:space="preserve"> approach to mitigating risk, </w:t>
      </w:r>
      <w:r w:rsidR="00476592">
        <w:t>s</w:t>
      </w:r>
      <w:r w:rsidRPr="00A42498">
        <w:t xml:space="preserve">ection 12 of the Act outlines the powers of the Governor in Council to </w:t>
      </w:r>
      <w:r w:rsidR="008E5F57">
        <w:t>make</w:t>
      </w:r>
      <w:r w:rsidRPr="00A42498">
        <w:t xml:space="preserve"> </w:t>
      </w:r>
      <w:r w:rsidR="008E5F57">
        <w:t>R</w:t>
      </w:r>
      <w:r w:rsidRPr="00A42498">
        <w:t xml:space="preserve">egulations </w:t>
      </w:r>
      <w:r w:rsidR="00521D6A" w:rsidRPr="00A42498">
        <w:t xml:space="preserve">that prescribe additional weapons or body armour to the above categories (thereby </w:t>
      </w:r>
      <w:r w:rsidR="00F3372D" w:rsidRPr="00A42498">
        <w:t>identifying and providing clarity regarding other weapons that should belong to the above categories</w:t>
      </w:r>
      <w:r w:rsidR="00521D6A" w:rsidRPr="00A42498">
        <w:t>).</w:t>
      </w:r>
    </w:p>
    <w:p w14:paraId="533DEA91" w14:textId="79C7F162" w:rsidR="00D9303A" w:rsidRPr="00A42498" w:rsidRDefault="005E3033" w:rsidP="00191D77">
      <w:r w:rsidRPr="00A42498">
        <w:t>As noted in the table above, t</w:t>
      </w:r>
      <w:r w:rsidR="00D9303A" w:rsidRPr="00A42498">
        <w:t xml:space="preserve">he Act also provides for individuals to transact and/or use </w:t>
      </w:r>
      <w:r w:rsidR="00786990" w:rsidRPr="00A42498">
        <w:t xml:space="preserve">weapons </w:t>
      </w:r>
      <w:r w:rsidR="0038674C" w:rsidRPr="00A42498">
        <w:t>for legitimate purposes</w:t>
      </w:r>
      <w:r w:rsidR="002314CC" w:rsidRPr="00A42498">
        <w:t xml:space="preserve">. </w:t>
      </w:r>
      <w:r w:rsidR="00D9303A" w:rsidRPr="00A42498">
        <w:t xml:space="preserve">In the case of a controlled weapon it requires </w:t>
      </w:r>
      <w:r w:rsidR="009058E0" w:rsidRPr="00A42498">
        <w:t xml:space="preserve">a </w:t>
      </w:r>
      <w:r w:rsidR="00D9303A" w:rsidRPr="00A42498">
        <w:t>lawful excuse</w:t>
      </w:r>
      <w:r w:rsidR="002C715D" w:rsidRPr="00A42498">
        <w:t xml:space="preserve"> (e.g. a chef using knives for the purposes of employment, or the use of props in a theatre performance)</w:t>
      </w:r>
      <w:r w:rsidR="00D9303A" w:rsidRPr="00A42498">
        <w:t>.</w:t>
      </w:r>
      <w:r w:rsidR="002C715D" w:rsidRPr="00A42498">
        <w:t xml:space="preserve"> In the case of prohibited weapons, the buyer, seller and/or user of a weapon requires either an exemption from the Governor in Council or approval from the Chief Commissioner of Polic</w:t>
      </w:r>
      <w:r w:rsidR="00191D77" w:rsidRPr="00A42498">
        <w:t>e.</w:t>
      </w:r>
    </w:p>
    <w:p w14:paraId="755743EA" w14:textId="25A9B473" w:rsidR="00A07FDF" w:rsidRPr="00A42498" w:rsidRDefault="003546A3" w:rsidP="001D6A53">
      <w:r w:rsidRPr="00A42498">
        <w:t xml:space="preserve">The </w:t>
      </w:r>
      <w:r w:rsidR="00521D6A" w:rsidRPr="00A42498">
        <w:t>Regulations support the proper and efficient administration of the legislative framework</w:t>
      </w:r>
      <w:r w:rsidR="00191D77" w:rsidRPr="00A42498">
        <w:t xml:space="preserve"> in relation to the approved use of prohibited weapons </w:t>
      </w:r>
      <w:r w:rsidR="00E1504C" w:rsidRPr="00A42498">
        <w:t>and cover matters including</w:t>
      </w:r>
      <w:r w:rsidR="00521D6A" w:rsidRPr="00A42498">
        <w:t>:</w:t>
      </w:r>
    </w:p>
    <w:p w14:paraId="034AA444" w14:textId="7C686348" w:rsidR="000D45F1" w:rsidRPr="00A42498" w:rsidRDefault="00DB3080" w:rsidP="00A23189">
      <w:pPr>
        <w:pStyle w:val="ListParagraph"/>
        <w:numPr>
          <w:ilvl w:val="0"/>
          <w:numId w:val="24"/>
        </w:numPr>
        <w:spacing w:after="120"/>
        <w:ind w:left="284" w:hanging="284"/>
        <w:contextualSpacing w:val="0"/>
      </w:pPr>
      <w:r w:rsidRPr="00A42498">
        <w:t>requirements for purchase/sale</w:t>
      </w:r>
      <w:r w:rsidR="00B50E79" w:rsidRPr="00A42498">
        <w:t xml:space="preserve"> of prohibited weapons</w:t>
      </w:r>
      <w:r w:rsidR="00521D6A" w:rsidRPr="00A42498">
        <w:t xml:space="preserve"> being</w:t>
      </w:r>
    </w:p>
    <w:p w14:paraId="1F8FBAC2" w14:textId="1A655947" w:rsidR="00B50E79" w:rsidRPr="00A42498" w:rsidRDefault="00B50E79" w:rsidP="00A23189">
      <w:pPr>
        <w:pStyle w:val="ListParagraph"/>
        <w:numPr>
          <w:ilvl w:val="1"/>
          <w:numId w:val="40"/>
        </w:numPr>
        <w:spacing w:after="120"/>
        <w:ind w:left="709"/>
        <w:contextualSpacing w:val="0"/>
      </w:pPr>
      <w:r w:rsidRPr="00A42498">
        <w:t xml:space="preserve">personal identification details to be provided </w:t>
      </w:r>
      <w:r w:rsidR="00044D14">
        <w:t xml:space="preserve">by </w:t>
      </w:r>
      <w:r w:rsidRPr="00A42498">
        <w:t xml:space="preserve">the purchaser </w:t>
      </w:r>
    </w:p>
    <w:p w14:paraId="43ABBB37" w14:textId="3D1EB7E2" w:rsidR="00493B8B" w:rsidRDefault="00493B8B" w:rsidP="00A23189">
      <w:pPr>
        <w:pStyle w:val="ListParagraph"/>
        <w:numPr>
          <w:ilvl w:val="1"/>
          <w:numId w:val="40"/>
        </w:numPr>
        <w:spacing w:after="120"/>
        <w:ind w:left="709"/>
        <w:contextualSpacing w:val="0"/>
      </w:pPr>
      <w:r>
        <w:t>the form in which a record of sale must be kept by the seller</w:t>
      </w:r>
    </w:p>
    <w:p w14:paraId="76377CDF" w14:textId="5E8130B1" w:rsidR="00B50E79" w:rsidRPr="00A42498" w:rsidRDefault="00493B8B" w:rsidP="00A23189">
      <w:pPr>
        <w:pStyle w:val="ListParagraph"/>
        <w:numPr>
          <w:ilvl w:val="1"/>
          <w:numId w:val="40"/>
        </w:numPr>
        <w:spacing w:after="120"/>
        <w:ind w:left="709"/>
        <w:contextualSpacing w:val="0"/>
      </w:pPr>
      <w:r>
        <w:t xml:space="preserve">the </w:t>
      </w:r>
      <w:r w:rsidR="00B50E79" w:rsidRPr="00A42498">
        <w:t>details of the sale to be recorded by the seller</w:t>
      </w:r>
      <w:r w:rsidR="00ED2086">
        <w:t>,</w:t>
      </w:r>
      <w:r w:rsidR="00406E29" w:rsidRPr="00A42498">
        <w:t xml:space="preserve"> and</w:t>
      </w:r>
    </w:p>
    <w:p w14:paraId="541B8E4B" w14:textId="043415E9" w:rsidR="00231583" w:rsidRPr="00A42498" w:rsidRDefault="00231583" w:rsidP="00A23189">
      <w:pPr>
        <w:pStyle w:val="ListParagraph"/>
        <w:numPr>
          <w:ilvl w:val="0"/>
          <w:numId w:val="24"/>
        </w:numPr>
        <w:spacing w:after="120"/>
        <w:ind w:left="284" w:hanging="284"/>
        <w:contextualSpacing w:val="0"/>
      </w:pPr>
      <w:r w:rsidRPr="00A42498">
        <w:t xml:space="preserve">fees for </w:t>
      </w:r>
      <w:r w:rsidR="000556D8" w:rsidRPr="00A42498">
        <w:t xml:space="preserve">applications for </w:t>
      </w:r>
      <w:r w:rsidRPr="00A42498">
        <w:t>approval</w:t>
      </w:r>
      <w:r w:rsidR="001E105E" w:rsidRPr="00A42498">
        <w:t xml:space="preserve"> to use </w:t>
      </w:r>
      <w:r w:rsidR="008433E4" w:rsidRPr="00A42498">
        <w:t>prohibited weapons</w:t>
      </w:r>
      <w:r w:rsidRPr="00A42498">
        <w:t>.</w:t>
      </w:r>
    </w:p>
    <w:p w14:paraId="10971B19" w14:textId="143730B9" w:rsidR="007F3AB1" w:rsidRPr="00A42498" w:rsidRDefault="00FC3CCE" w:rsidP="00EF4DE4">
      <w:r>
        <w:t>The Regulations</w:t>
      </w:r>
      <w:r w:rsidR="00D7495D">
        <w:t xml:space="preserve"> </w:t>
      </w:r>
      <w:r w:rsidR="007F3AB1">
        <w:t>also prescribe record keeping requirements for police officers and protective services officers exercising search powers under the Act.</w:t>
      </w:r>
    </w:p>
    <w:p w14:paraId="7CEEC134" w14:textId="528B8257" w:rsidR="000E0A37" w:rsidRPr="00A42498" w:rsidRDefault="000E0A37" w:rsidP="00CC0B18">
      <w:r w:rsidRPr="00A42498">
        <w:t xml:space="preserve">All other Australian jurisdictions </w:t>
      </w:r>
      <w:r w:rsidR="00AF5CB5" w:rsidRPr="00A42498">
        <w:t>(</w:t>
      </w:r>
      <w:r w:rsidRPr="00A42498">
        <w:t xml:space="preserve">and the vast majority of </w:t>
      </w:r>
      <w:r w:rsidR="00AF5CB5" w:rsidRPr="00A42498">
        <w:t xml:space="preserve">other </w:t>
      </w:r>
      <w:r w:rsidRPr="00A42498">
        <w:t>countries</w:t>
      </w:r>
      <w:r w:rsidR="00AF5CB5" w:rsidRPr="00A42498">
        <w:t>)</w:t>
      </w:r>
      <w:r w:rsidRPr="00A42498">
        <w:t xml:space="preserve"> have weapons control schemes of one form or another</w:t>
      </w:r>
      <w:r w:rsidR="00405E40" w:rsidRPr="00A42498">
        <w:t xml:space="preserve"> aimed at </w:t>
      </w:r>
      <w:r w:rsidR="007B1647" w:rsidRPr="00A42498">
        <w:t>reducing the risk of harm from misuse.</w:t>
      </w:r>
      <w:r w:rsidR="00113790" w:rsidRPr="00A42498">
        <w:t xml:space="preserve"> There are,</w:t>
      </w:r>
      <w:r w:rsidR="00AF5CB5" w:rsidRPr="00A42498">
        <w:t xml:space="preserve"> however, a range of different rules and approaches used in other </w:t>
      </w:r>
      <w:r w:rsidR="00CC0B18" w:rsidRPr="00A42498">
        <w:t>jurisdictions.</w:t>
      </w:r>
    </w:p>
    <w:p w14:paraId="1272AFAF" w14:textId="71929BAF" w:rsidR="00AD38DC" w:rsidRPr="00A42498" w:rsidRDefault="00CC0B18" w:rsidP="0053081A">
      <w:r w:rsidRPr="00247FC9">
        <w:t>For example, t</w:t>
      </w:r>
      <w:r w:rsidR="00E1162F" w:rsidRPr="00247FC9">
        <w:t xml:space="preserve">he Act allows </w:t>
      </w:r>
      <w:r w:rsidR="00004D11" w:rsidRPr="00247FC9">
        <w:t xml:space="preserve">for </w:t>
      </w:r>
      <w:r w:rsidR="0056532F" w:rsidRPr="00247FC9">
        <w:t xml:space="preserve">an </w:t>
      </w:r>
      <w:r w:rsidR="00691883" w:rsidRPr="00247FC9">
        <w:t xml:space="preserve">exemption </w:t>
      </w:r>
      <w:r w:rsidR="008931DD" w:rsidRPr="00247FC9">
        <w:t xml:space="preserve">to be applied to </w:t>
      </w:r>
      <w:r w:rsidR="00E43E4E">
        <w:t>classes of persons or to a corrections officer, military officer or member of police personnel by name or description of office and approvals to be granted to individuals</w:t>
      </w:r>
      <w:r w:rsidR="008931DD" w:rsidRPr="00247FC9">
        <w:t xml:space="preserve">. </w:t>
      </w:r>
      <w:r w:rsidR="0003327A" w:rsidRPr="00D11A22">
        <w:t>By way of comparison, t</w:t>
      </w:r>
      <w:r w:rsidR="00CB6F7A" w:rsidRPr="00D11A22">
        <w:t>he Weapons Act</w:t>
      </w:r>
      <w:r w:rsidR="007C0B27" w:rsidRPr="00D11A22">
        <w:t xml:space="preserve"> 1990 </w:t>
      </w:r>
      <w:r w:rsidR="00B85857" w:rsidRPr="00D11A22">
        <w:t xml:space="preserve">of </w:t>
      </w:r>
      <w:r w:rsidR="009B5A47" w:rsidRPr="00D11A22">
        <w:t xml:space="preserve">Queensland </w:t>
      </w:r>
      <w:r w:rsidR="00B85857" w:rsidRPr="00D11A22">
        <w:t>allows o</w:t>
      </w:r>
      <w:r w:rsidR="000C26E2" w:rsidRPr="00D11A22">
        <w:t>rganisations</w:t>
      </w:r>
      <w:r w:rsidR="0060526A" w:rsidRPr="00D11A22">
        <w:t xml:space="preserve"> </w:t>
      </w:r>
      <w:r w:rsidR="00186334" w:rsidRPr="00D11A22">
        <w:t xml:space="preserve">to </w:t>
      </w:r>
      <w:r w:rsidR="000C26E2" w:rsidRPr="00D11A22">
        <w:t xml:space="preserve">lawfully use </w:t>
      </w:r>
      <w:r w:rsidR="001662E4" w:rsidRPr="00D11A22">
        <w:t>restricted weapons</w:t>
      </w:r>
      <w:r w:rsidR="00301A23" w:rsidRPr="00D11A22">
        <w:t xml:space="preserve">, provided that they obtain a </w:t>
      </w:r>
      <w:r w:rsidR="00A422C0" w:rsidRPr="00D11A22">
        <w:t>group</w:t>
      </w:r>
      <w:r w:rsidR="00D976AE" w:rsidRPr="00D11A22">
        <w:t xml:space="preserve"> licence (based on eligibility requirements and conditions outlined in regulation)</w:t>
      </w:r>
      <w:r w:rsidR="0069024E" w:rsidRPr="00D11A22">
        <w:t>.</w:t>
      </w:r>
    </w:p>
    <w:p w14:paraId="2C21D7ED" w14:textId="066A96CD" w:rsidR="000D2649" w:rsidRPr="00A42498" w:rsidRDefault="00ED0CBE" w:rsidP="0053081A">
      <w:r w:rsidRPr="00A42498">
        <w:t xml:space="preserve">In NSW the </w:t>
      </w:r>
      <w:r w:rsidR="006B07CF" w:rsidRPr="009C5350">
        <w:t>Weapons Prohibition Act 1998 and the corresponding Weapons Prohibition Regulations 2017</w:t>
      </w:r>
      <w:r w:rsidR="006B07CF" w:rsidRPr="00A42498">
        <w:t xml:space="preserve"> </w:t>
      </w:r>
      <w:r w:rsidR="006D2252">
        <w:t>established</w:t>
      </w:r>
      <w:r w:rsidR="006B07CF" w:rsidRPr="00A42498">
        <w:t xml:space="preserve"> a </w:t>
      </w:r>
      <w:r w:rsidR="000D2649" w:rsidRPr="00A42498">
        <w:t>‘permit’ system notably more detailed</w:t>
      </w:r>
      <w:r w:rsidR="006806E4" w:rsidRPr="00A42498">
        <w:t xml:space="preserve"> as compared with Victorian legislation. </w:t>
      </w:r>
      <w:r w:rsidR="00774453">
        <w:t>(</w:t>
      </w:r>
      <w:r w:rsidR="009C5350" w:rsidRPr="009C5350">
        <w:t xml:space="preserve">The Victorian system instead confers broad discretions on the Governor in Council and the </w:t>
      </w:r>
      <w:r w:rsidR="009C5350" w:rsidRPr="00A42498">
        <w:rPr>
          <w:rStyle w:val="eop"/>
          <w:rFonts w:asciiTheme="majorHAnsi" w:hAnsiTheme="majorHAnsi" w:cstheme="majorHAnsi"/>
          <w:color w:val="000000"/>
          <w:shd w:val="clear" w:color="auto" w:fill="FFFFFF"/>
        </w:rPr>
        <w:t xml:space="preserve">Chief Commissioner of Police </w:t>
      </w:r>
      <w:r w:rsidR="009C5350" w:rsidRPr="009C5350">
        <w:t>to impose conditions on exemptions or approvals given under the Act.</w:t>
      </w:r>
      <w:r w:rsidR="00774453">
        <w:t>)</w:t>
      </w:r>
      <w:r w:rsidR="009C5350">
        <w:t xml:space="preserve"> </w:t>
      </w:r>
      <w:r w:rsidR="00774453">
        <w:t>In NSW t</w:t>
      </w:r>
      <w:r w:rsidR="00C94DD8" w:rsidRPr="00A42498">
        <w:t xml:space="preserve">here are </w:t>
      </w:r>
      <w:r w:rsidR="007A029E" w:rsidRPr="00A42498">
        <w:t xml:space="preserve">numerous variations of permits each pertaining to particular activities. </w:t>
      </w:r>
      <w:r w:rsidR="009E7B7B" w:rsidRPr="00A42498">
        <w:t xml:space="preserve">NSW legislation also </w:t>
      </w:r>
      <w:r w:rsidR="002C6B33">
        <w:t xml:space="preserve">requires </w:t>
      </w:r>
      <w:r w:rsidR="00EB249A" w:rsidRPr="00A42498">
        <w:t xml:space="preserve">training and safety courses </w:t>
      </w:r>
      <w:r w:rsidR="002C6B33">
        <w:t xml:space="preserve">to </w:t>
      </w:r>
      <w:r w:rsidR="00EB249A" w:rsidRPr="00A42498">
        <w:t xml:space="preserve">be completed in order to acquire certain permits. </w:t>
      </w:r>
    </w:p>
    <w:p w14:paraId="3C3DA5E5" w14:textId="32DB696C" w:rsidR="00D45A55" w:rsidRPr="00A42498" w:rsidRDefault="00D45A55" w:rsidP="00D45A55">
      <w:pPr>
        <w:pStyle w:val="Heading2"/>
        <w:rPr>
          <w:lang w:val="da-DK"/>
        </w:rPr>
      </w:pPr>
      <w:bookmarkStart w:id="33" w:name="_Toc79397200"/>
      <w:r w:rsidRPr="00A42498">
        <w:rPr>
          <w:lang w:val="da-DK"/>
        </w:rPr>
        <w:t>Preparation of the RIS</w:t>
      </w:r>
      <w:bookmarkEnd w:id="33"/>
    </w:p>
    <w:p w14:paraId="5B3ABE47" w14:textId="0D2EBD19" w:rsidR="00D45A55" w:rsidRPr="00A42498" w:rsidRDefault="00D45A55" w:rsidP="00044B8D">
      <w:r w:rsidRPr="00A42498">
        <w:t xml:space="preserve">The key purpose of this RIS is to assess the impact of different options for replacing the sunsetting </w:t>
      </w:r>
      <w:r w:rsidR="003F5A79">
        <w:t>Control of Weapons</w:t>
      </w:r>
      <w:r w:rsidR="003F5A79" w:rsidRPr="00A42498">
        <w:t xml:space="preserve"> </w:t>
      </w:r>
      <w:r w:rsidRPr="00A42498">
        <w:t xml:space="preserve">Regulations. The general approach to the assessment </w:t>
      </w:r>
      <w:r w:rsidR="00DC79B5">
        <w:t xml:space="preserve">is </w:t>
      </w:r>
      <w:r w:rsidRPr="00A42498">
        <w:t>as follows:</w:t>
      </w:r>
    </w:p>
    <w:p w14:paraId="30DBDC91" w14:textId="77777777" w:rsidR="00044B8D" w:rsidRPr="00A42498" w:rsidRDefault="00D45A55" w:rsidP="00D5216B">
      <w:pPr>
        <w:pStyle w:val="ListParagraph"/>
        <w:numPr>
          <w:ilvl w:val="3"/>
          <w:numId w:val="17"/>
        </w:numPr>
        <w:spacing w:after="60"/>
        <w:ind w:left="357" w:hanging="357"/>
      </w:pPr>
      <w:r w:rsidRPr="00A42498">
        <w:t xml:space="preserve">Identification of the problem </w:t>
      </w:r>
    </w:p>
    <w:p w14:paraId="3446E57E" w14:textId="4227E680" w:rsidR="00D45A55" w:rsidRPr="00A42498" w:rsidRDefault="00D45A55" w:rsidP="00044B8D">
      <w:r w:rsidRPr="00A42498">
        <w:t xml:space="preserve">This involved consideration of the nature and extent of the problem that the proposed </w:t>
      </w:r>
      <w:r w:rsidR="006D2252">
        <w:t>R</w:t>
      </w:r>
      <w:r w:rsidRPr="00A42498">
        <w:t xml:space="preserve">egulations aim to address, including the need for government intervention, the risks of non-intervention and the objectives of such intervention. </w:t>
      </w:r>
    </w:p>
    <w:p w14:paraId="1EDEEF9D" w14:textId="0FC2A6E7" w:rsidR="00D45A55" w:rsidRPr="00A42498" w:rsidRDefault="00D45A55" w:rsidP="00D5216B">
      <w:pPr>
        <w:pStyle w:val="ListParagraph"/>
        <w:numPr>
          <w:ilvl w:val="3"/>
          <w:numId w:val="17"/>
        </w:numPr>
        <w:spacing w:after="60"/>
        <w:ind w:left="357" w:hanging="357"/>
      </w:pPr>
      <w:r w:rsidRPr="00A42498">
        <w:t xml:space="preserve">Identification of the options to achieve the objectives of the proposed </w:t>
      </w:r>
      <w:r w:rsidR="006D2252">
        <w:t>R</w:t>
      </w:r>
      <w:r w:rsidRPr="00A42498">
        <w:t>egulations</w:t>
      </w:r>
    </w:p>
    <w:p w14:paraId="699B0F88" w14:textId="39899CB2" w:rsidR="00D45A55" w:rsidRPr="00A42498" w:rsidRDefault="00D45A55" w:rsidP="00044B8D">
      <w:r w:rsidRPr="00A42498">
        <w:t xml:space="preserve">The proposed </w:t>
      </w:r>
      <w:r w:rsidR="006D2252">
        <w:t>R</w:t>
      </w:r>
      <w:r w:rsidRPr="00A42498">
        <w:t xml:space="preserve">egulations and alternative options were developed by government and informed by </w:t>
      </w:r>
      <w:r w:rsidR="005C3FA5">
        <w:t>pre-</w:t>
      </w:r>
      <w:r w:rsidR="005C3FA5" w:rsidRPr="00A42498">
        <w:t xml:space="preserve">RIS consultation </w:t>
      </w:r>
      <w:r w:rsidRPr="00A42498">
        <w:t>(see</w:t>
      </w:r>
      <w:r w:rsidR="006E7FF6">
        <w:t xml:space="preserve"> Chapter 3</w:t>
      </w:r>
      <w:r w:rsidRPr="00A42498">
        <w:t xml:space="preserve"> for </w:t>
      </w:r>
      <w:r w:rsidR="006E7FF6">
        <w:t xml:space="preserve">examples of issues raised in </w:t>
      </w:r>
      <w:r w:rsidRPr="00A42498">
        <w:t>consultation undertaken). The establishment of options allowed possible costs and benefits to be examined as part of the stakeholder consultation.</w:t>
      </w:r>
    </w:p>
    <w:p w14:paraId="7CAFC8C4" w14:textId="77777777" w:rsidR="00D45A55" w:rsidRPr="00A42498" w:rsidRDefault="00D45A55" w:rsidP="00D5216B">
      <w:pPr>
        <w:pStyle w:val="ListParagraph"/>
        <w:numPr>
          <w:ilvl w:val="3"/>
          <w:numId w:val="17"/>
        </w:numPr>
        <w:spacing w:after="60"/>
        <w:ind w:left="357" w:hanging="357"/>
      </w:pPr>
      <w:r w:rsidRPr="00A42498">
        <w:t>Stakeholder consultations</w:t>
      </w:r>
    </w:p>
    <w:p w14:paraId="7EB60AC6" w14:textId="6F4D3C04" w:rsidR="00D45A55" w:rsidRPr="00A42498" w:rsidRDefault="00D45A55" w:rsidP="00044B8D">
      <w:r w:rsidRPr="00A42498">
        <w:t xml:space="preserve">Targeted pre-RIS stakeholder consultation was undertaken by Deloitte and DJCS to gather relevant information on the impact of the </w:t>
      </w:r>
      <w:r w:rsidR="004F4AC6" w:rsidRPr="00A42498">
        <w:t xml:space="preserve">existing and </w:t>
      </w:r>
      <w:r w:rsidRPr="00A42498">
        <w:t xml:space="preserve">proposed </w:t>
      </w:r>
      <w:r w:rsidR="006D2252">
        <w:t>R</w:t>
      </w:r>
      <w:r w:rsidRPr="00A42498">
        <w:t xml:space="preserve">egulations and possible </w:t>
      </w:r>
      <w:r w:rsidR="00395E10" w:rsidRPr="00A42498">
        <w:t>impacts</w:t>
      </w:r>
      <w:r w:rsidRPr="00A42498">
        <w:t xml:space="preserve"> for different groups</w:t>
      </w:r>
      <w:r w:rsidR="00395E10" w:rsidRPr="00A42498">
        <w:t xml:space="preserve"> of stakeholders</w:t>
      </w:r>
      <w:r w:rsidRPr="00A42498">
        <w:t xml:space="preserve">. </w:t>
      </w:r>
    </w:p>
    <w:p w14:paraId="2730C2B0" w14:textId="77777777" w:rsidR="00D45A55" w:rsidRPr="00A42498" w:rsidRDefault="00D45A55" w:rsidP="00D5216B">
      <w:pPr>
        <w:pStyle w:val="ListParagraph"/>
        <w:numPr>
          <w:ilvl w:val="3"/>
          <w:numId w:val="17"/>
        </w:numPr>
        <w:spacing w:after="60"/>
        <w:ind w:left="357" w:hanging="357"/>
      </w:pPr>
      <w:r w:rsidRPr="00A42498">
        <w:t>Assessment of the costs and benefits</w:t>
      </w:r>
    </w:p>
    <w:p w14:paraId="0DBD6BB6" w14:textId="6F9BFCA2" w:rsidR="002314CC" w:rsidRPr="00A42498" w:rsidRDefault="00D45A55" w:rsidP="00044B8D">
      <w:r w:rsidRPr="00A42498">
        <w:t xml:space="preserve">Consistent with the requirements of the </w:t>
      </w:r>
      <w:r w:rsidRPr="00A42498">
        <w:rPr>
          <w:i/>
        </w:rPr>
        <w:t>Victorian Guide to Regulation</w:t>
      </w:r>
      <w:r w:rsidRPr="00A42498">
        <w:t>, an assessment of the costs and benefits under all options, relative to a reference case (the Base Case) was undertaken. The analysis included the quantification, where possible, of benefits to industry, government, and the Victorian community.</w:t>
      </w:r>
    </w:p>
    <w:p w14:paraId="07474348" w14:textId="2523024E" w:rsidR="00D45A55" w:rsidRPr="00A42498" w:rsidRDefault="00D45A55" w:rsidP="00D5216B">
      <w:pPr>
        <w:pStyle w:val="ListParagraph"/>
        <w:numPr>
          <w:ilvl w:val="3"/>
          <w:numId w:val="17"/>
        </w:numPr>
        <w:spacing w:after="60"/>
        <w:ind w:left="357" w:hanging="357"/>
      </w:pPr>
      <w:r w:rsidRPr="00A42498">
        <w:t>Assessment of the other impacts</w:t>
      </w:r>
    </w:p>
    <w:p w14:paraId="53ECDFB8" w14:textId="77777777" w:rsidR="00D45A55" w:rsidRPr="00A42498" w:rsidRDefault="00D45A55" w:rsidP="00044B8D">
      <w:r w:rsidRPr="00A42498">
        <w:t>We have considered the likely impacts of the preferred option on industry competition and small businesses. This part of the RIS draws on stakeholder consultations.</w:t>
      </w:r>
    </w:p>
    <w:p w14:paraId="414F8962" w14:textId="72DBB7D8" w:rsidR="00D45A55" w:rsidRPr="00A42498" w:rsidRDefault="00D45A55" w:rsidP="00D5216B">
      <w:pPr>
        <w:pStyle w:val="ListParagraph"/>
        <w:numPr>
          <w:ilvl w:val="3"/>
          <w:numId w:val="17"/>
        </w:numPr>
        <w:spacing w:after="60"/>
        <w:ind w:left="357" w:hanging="357"/>
      </w:pPr>
      <w:r w:rsidRPr="00A42498">
        <w:t>Implementatio</w:t>
      </w:r>
      <w:r w:rsidR="00214522" w:rsidRPr="00A42498">
        <w:t>n</w:t>
      </w:r>
      <w:r w:rsidRPr="00A42498">
        <w:t xml:space="preserve"> and evaluation</w:t>
      </w:r>
    </w:p>
    <w:p w14:paraId="235651E4" w14:textId="1F69F438" w:rsidR="00D45A55" w:rsidRDefault="00991C2B" w:rsidP="00044B8D">
      <w:r w:rsidRPr="00A42498">
        <w:t xml:space="preserve">This chapter </w:t>
      </w:r>
      <w:r w:rsidR="00D45A55" w:rsidRPr="00A42498">
        <w:t>describe</w:t>
      </w:r>
      <w:r w:rsidRPr="00A42498">
        <w:t>s</w:t>
      </w:r>
      <w:r w:rsidR="00D45A55" w:rsidRPr="00A42498">
        <w:t xml:space="preserve"> the arrangements for implementation and evaluation of the preferred option. </w:t>
      </w:r>
    </w:p>
    <w:p w14:paraId="05A215CA" w14:textId="77777777" w:rsidR="00F46464" w:rsidRPr="00BF281D" w:rsidRDefault="00F46464" w:rsidP="00F46464">
      <w:pPr>
        <w:pStyle w:val="BodyText"/>
      </w:pPr>
      <w:r>
        <w:t xml:space="preserve">As such, </w:t>
      </w:r>
      <w:r w:rsidRPr="00012DD6">
        <w:t>the</w:t>
      </w:r>
      <w:r w:rsidRPr="00BF281D">
        <w:t xml:space="preserve"> report is structured as follows</w:t>
      </w:r>
      <w:r>
        <w:t xml:space="preserve">, which is consistent with the </w:t>
      </w:r>
      <w:r w:rsidRPr="003F0C3D">
        <w:rPr>
          <w:i/>
        </w:rPr>
        <w:t>Victorian Guide to Regulation</w:t>
      </w:r>
      <w:r w:rsidRPr="00BF281D">
        <w:t>:</w:t>
      </w:r>
    </w:p>
    <w:p w14:paraId="65505C24" w14:textId="0BF2D448" w:rsidR="004D5792" w:rsidRDefault="004D5792" w:rsidP="00F46464">
      <w:pPr>
        <w:spacing w:after="0"/>
      </w:pPr>
      <w:r>
        <w:t>Chapter 1 - Background</w:t>
      </w:r>
    </w:p>
    <w:p w14:paraId="362A9105" w14:textId="590664A8" w:rsidR="00F46464" w:rsidRPr="00BF281D" w:rsidRDefault="00F46464" w:rsidP="00F46464">
      <w:pPr>
        <w:spacing w:after="0"/>
      </w:pPr>
      <w:r w:rsidRPr="00BF281D">
        <w:t>Chapter 2 – Problem statement</w:t>
      </w:r>
    </w:p>
    <w:p w14:paraId="1A0A2DDB" w14:textId="77777777" w:rsidR="00F46464" w:rsidRPr="00BF281D" w:rsidRDefault="00F46464" w:rsidP="00F46464">
      <w:pPr>
        <w:spacing w:after="0"/>
      </w:pPr>
      <w:r w:rsidRPr="00BF281D">
        <w:t>Chapter 3 – Options development</w:t>
      </w:r>
    </w:p>
    <w:p w14:paraId="138DF783" w14:textId="77777777" w:rsidR="00F46464" w:rsidRPr="00BF281D" w:rsidRDefault="00F46464" w:rsidP="00F46464">
      <w:pPr>
        <w:spacing w:after="0"/>
      </w:pPr>
      <w:r w:rsidRPr="00BF281D">
        <w:t>Chapter 4 – Options analysis and preferred option</w:t>
      </w:r>
    </w:p>
    <w:p w14:paraId="341A1A5E" w14:textId="28415704" w:rsidR="00242EDF" w:rsidRDefault="00242EDF" w:rsidP="00F46464">
      <w:pPr>
        <w:spacing w:after="0"/>
      </w:pPr>
      <w:r>
        <w:t>Chapter 5 - Fees</w:t>
      </w:r>
    </w:p>
    <w:p w14:paraId="485D24F8" w14:textId="44593C3E" w:rsidR="00F46464" w:rsidRPr="00BF281D" w:rsidRDefault="00F46464" w:rsidP="00F46464">
      <w:pPr>
        <w:spacing w:after="0"/>
      </w:pPr>
      <w:r w:rsidRPr="00BF281D">
        <w:t xml:space="preserve">Chapter </w:t>
      </w:r>
      <w:r w:rsidR="00BC7907">
        <w:t>6</w:t>
      </w:r>
      <w:r w:rsidR="00BC7907" w:rsidRPr="00BF281D">
        <w:t xml:space="preserve"> </w:t>
      </w:r>
      <w:r w:rsidRPr="00BF281D">
        <w:t>– Impact on competition and small business</w:t>
      </w:r>
    </w:p>
    <w:p w14:paraId="386029C4" w14:textId="2E68FBFA" w:rsidR="00F46464" w:rsidRPr="00BF281D" w:rsidRDefault="00F46464" w:rsidP="00F46464">
      <w:pPr>
        <w:spacing w:after="0"/>
      </w:pPr>
      <w:r w:rsidRPr="00BF281D">
        <w:t xml:space="preserve">Chapter </w:t>
      </w:r>
      <w:r w:rsidR="00BC7907">
        <w:t>7</w:t>
      </w:r>
      <w:r w:rsidRPr="00BF281D">
        <w:t xml:space="preserve">– Implementation and evaluation </w:t>
      </w:r>
    </w:p>
    <w:p w14:paraId="5C2F1EB7" w14:textId="77777777" w:rsidR="00F46464" w:rsidRPr="00BF281D" w:rsidRDefault="00F46464" w:rsidP="00F46464">
      <w:pPr>
        <w:spacing w:after="0"/>
      </w:pPr>
      <w:r w:rsidRPr="00BF281D">
        <w:t>Appendix A – Detailed options analysis</w:t>
      </w:r>
    </w:p>
    <w:p w14:paraId="16BA3C82" w14:textId="77777777" w:rsidR="00F46464" w:rsidRPr="00BF281D" w:rsidRDefault="00F46464" w:rsidP="00F46464">
      <w:pPr>
        <w:spacing w:after="0"/>
      </w:pPr>
      <w:r w:rsidRPr="00BF281D">
        <w:t>Appendix B – Stakeholder engagement</w:t>
      </w:r>
    </w:p>
    <w:p w14:paraId="01AFFB88" w14:textId="77777777" w:rsidR="00F46464" w:rsidRPr="00BF281D" w:rsidRDefault="00F46464" w:rsidP="00F46464">
      <w:pPr>
        <w:spacing w:after="0"/>
      </w:pPr>
      <w:r w:rsidRPr="00BF281D">
        <w:t>Appendix C - Cross jurisdictional analysis</w:t>
      </w:r>
      <w:r w:rsidRPr="00BF281D">
        <w:br/>
      </w:r>
    </w:p>
    <w:p w14:paraId="3ECAD033" w14:textId="521C2B46" w:rsidR="00F46464" w:rsidRPr="00E63D13" w:rsidRDefault="00F46464" w:rsidP="00044B8D">
      <w:pPr>
        <w:rPr>
          <w:rFonts w:cs="Calibri"/>
          <w:szCs w:val="22"/>
          <w:lang w:eastAsia="en-AU"/>
        </w:rPr>
      </w:pPr>
      <w:r w:rsidRPr="00BF281D">
        <w:rPr>
          <w:rFonts w:cs="Calibri"/>
          <w:szCs w:val="22"/>
          <w:lang w:eastAsia="en-AU"/>
        </w:rPr>
        <w:t xml:space="preserve">In addition, relevant to all components is an overriding requirement that the depth of analysis must be commensurate with the magnitude of the problem and with the size of the potential impact of the proposal. </w:t>
      </w:r>
    </w:p>
    <w:p w14:paraId="71D8BC1F" w14:textId="77777777" w:rsidR="00C80A1C" w:rsidRPr="00A42498" w:rsidRDefault="00C80A1C" w:rsidP="00C80A1C">
      <w:pPr>
        <w:pStyle w:val="Heading3"/>
      </w:pPr>
      <w:r>
        <w:t xml:space="preserve">Public comment </w:t>
      </w:r>
    </w:p>
    <w:p w14:paraId="22CF6030" w14:textId="0104601D" w:rsidR="0008670B" w:rsidRDefault="00C80A1C" w:rsidP="0008670B">
      <w:r w:rsidRPr="00A42498">
        <w:t xml:space="preserve">This RIS and the proposed </w:t>
      </w:r>
      <w:r w:rsidR="00E63CE1">
        <w:t>R</w:t>
      </w:r>
      <w:r w:rsidRPr="00A42498">
        <w:t xml:space="preserve">egulations </w:t>
      </w:r>
      <w:r>
        <w:t>have been publicly</w:t>
      </w:r>
      <w:r w:rsidRPr="00A42498">
        <w:t xml:space="preserve"> released for </w:t>
      </w:r>
      <w:r>
        <w:t xml:space="preserve">consultation to </w:t>
      </w:r>
      <w:r w:rsidRPr="00A42498">
        <w:t xml:space="preserve">provide businesses, members of the public and other interested parties the opportunity to provide feedback through a formal submission process. </w:t>
      </w:r>
    </w:p>
    <w:p w14:paraId="02E082EE" w14:textId="3DC02676" w:rsidR="00D45A55" w:rsidRPr="00A42498" w:rsidRDefault="00D45A55" w:rsidP="00590970">
      <w:pPr>
        <w:pStyle w:val="Heading3"/>
      </w:pPr>
      <w:r w:rsidRPr="00A42498">
        <w:t>Addressing public comment</w:t>
      </w:r>
    </w:p>
    <w:p w14:paraId="753E075F" w14:textId="564C114F" w:rsidR="00CE19C4" w:rsidRPr="00A42498" w:rsidRDefault="000C25A5" w:rsidP="00962688">
      <w:r>
        <w:t xml:space="preserve">The Minister </w:t>
      </w:r>
      <w:r w:rsidR="00D45A55" w:rsidRPr="00A42498">
        <w:t xml:space="preserve">will consider all submissions received during the period of public review. </w:t>
      </w:r>
      <w:r w:rsidR="00D91C18">
        <w:t xml:space="preserve">The Minister </w:t>
      </w:r>
      <w:r w:rsidR="00D45A55" w:rsidRPr="00A42498">
        <w:t xml:space="preserve">will prepare a Statement of Reasons summarising the submissions received and their response. Submissions </w:t>
      </w:r>
      <w:r w:rsidR="00816284">
        <w:t>on</w:t>
      </w:r>
      <w:r w:rsidR="00816284" w:rsidRPr="00A42498">
        <w:t xml:space="preserve"> </w:t>
      </w:r>
      <w:r w:rsidR="00D45A55" w:rsidRPr="00A42498">
        <w:t>th</w:t>
      </w:r>
      <w:r w:rsidR="00816284">
        <w:t>is</w:t>
      </w:r>
      <w:r w:rsidR="00D45A55" w:rsidRPr="00A42498">
        <w:t xml:space="preserve"> RIS and draft </w:t>
      </w:r>
      <w:r w:rsidR="006D2252">
        <w:t>R</w:t>
      </w:r>
      <w:r w:rsidR="00D45A55" w:rsidRPr="00A42498">
        <w:t>egulations, and the Statement of Reasons, will also be made available</w:t>
      </w:r>
      <w:r w:rsidR="003E2C7D">
        <w:t>.</w:t>
      </w:r>
    </w:p>
    <w:p w14:paraId="5D6BC588" w14:textId="488CB0DB" w:rsidR="00AD2B0F" w:rsidRPr="00A42498" w:rsidRDefault="00D45A55" w:rsidP="00452F12">
      <w:pPr>
        <w:pStyle w:val="Heading1"/>
      </w:pPr>
      <w:bookmarkStart w:id="34" w:name="_Toc79397201"/>
      <w:bookmarkStart w:id="35" w:name="_Toc447626781"/>
      <w:r w:rsidRPr="00A42498">
        <w:t>Problem statement</w:t>
      </w:r>
      <w:bookmarkEnd w:id="34"/>
    </w:p>
    <w:p w14:paraId="10614B8F" w14:textId="73C96A0D" w:rsidR="00E633DA" w:rsidRPr="00A42498" w:rsidRDefault="00D45A55" w:rsidP="008349C4">
      <w:pPr>
        <w:pStyle w:val="Sectionintro"/>
      </w:pPr>
      <w:r w:rsidRPr="00A42498">
        <w:t xml:space="preserve">This </w:t>
      </w:r>
      <w:r w:rsidR="002133E9" w:rsidRPr="00A42498">
        <w:t>c</w:t>
      </w:r>
      <w:r w:rsidRPr="00A42498">
        <w:t>hapter outlines th</w:t>
      </w:r>
      <w:r w:rsidR="005857A2" w:rsidRPr="00A42498">
        <w:t xml:space="preserve">e </w:t>
      </w:r>
      <w:r w:rsidR="003814CD" w:rsidRPr="00A42498">
        <w:t xml:space="preserve">nature and scale of the problem the </w:t>
      </w:r>
      <w:r w:rsidR="007D5B4C" w:rsidRPr="00A42498">
        <w:t xml:space="preserve">Regulations </w:t>
      </w:r>
      <w:r w:rsidR="003814CD" w:rsidRPr="00A42498">
        <w:t>seek to address</w:t>
      </w:r>
      <w:r w:rsidR="00EF2F6E" w:rsidRPr="00A42498">
        <w:t xml:space="preserve">, and the expectation that these </w:t>
      </w:r>
      <w:r w:rsidR="007D5B4C" w:rsidRPr="00A42498">
        <w:t xml:space="preserve">problems </w:t>
      </w:r>
      <w:r w:rsidR="00EF2F6E" w:rsidRPr="00A42498">
        <w:t xml:space="preserve">would worsen in the absence of any regulation. </w:t>
      </w:r>
      <w:bookmarkEnd w:id="35"/>
    </w:p>
    <w:p w14:paraId="1C5B0562" w14:textId="7889CB6D" w:rsidR="00BE4312" w:rsidRPr="00A42498" w:rsidRDefault="008903AC" w:rsidP="00BE4312">
      <w:pPr>
        <w:pStyle w:val="Heading2"/>
      </w:pPr>
      <w:bookmarkStart w:id="36" w:name="_Toc79397202"/>
      <w:r w:rsidRPr="00A42498">
        <w:t>Potential</w:t>
      </w:r>
      <w:r w:rsidR="00002494" w:rsidRPr="00A42498">
        <w:t xml:space="preserve"> m</w:t>
      </w:r>
      <w:r w:rsidR="00647BB3" w:rsidRPr="00A42498">
        <w:t>isuse</w:t>
      </w:r>
      <w:r w:rsidR="008E0A1F" w:rsidRPr="00A42498">
        <w:t xml:space="preserve"> of weapons</w:t>
      </w:r>
      <w:r w:rsidR="00B96050" w:rsidRPr="00A42498">
        <w:t xml:space="preserve"> </w:t>
      </w:r>
      <w:r w:rsidRPr="00A42498">
        <w:t>poses risks to</w:t>
      </w:r>
      <w:r w:rsidR="00C97B17" w:rsidRPr="00A42498">
        <w:t xml:space="preserve"> </w:t>
      </w:r>
      <w:r w:rsidR="00A716BC" w:rsidRPr="00A42498">
        <w:t>community safety</w:t>
      </w:r>
      <w:bookmarkEnd w:id="36"/>
    </w:p>
    <w:p w14:paraId="13137CC9" w14:textId="38F82C5B" w:rsidR="006F5522" w:rsidRPr="00A42498" w:rsidRDefault="008F2B51" w:rsidP="00590970">
      <w:pPr>
        <w:rPr>
          <w:rStyle w:val="eop"/>
        </w:rPr>
      </w:pPr>
      <w:r w:rsidRPr="00A42498">
        <w:t>M</w:t>
      </w:r>
      <w:r w:rsidR="00832798" w:rsidRPr="00A42498">
        <w:t>isuse of weapons can occur for a wide range of reasons</w:t>
      </w:r>
      <w:r w:rsidR="00C12833" w:rsidRPr="00A42498">
        <w:t xml:space="preserve">, ranging from </w:t>
      </w:r>
      <w:r w:rsidR="00832798" w:rsidRPr="00A42498">
        <w:t xml:space="preserve">the </w:t>
      </w:r>
      <w:r w:rsidR="0064687E" w:rsidRPr="00A42498">
        <w:t>accidental mishandling</w:t>
      </w:r>
      <w:r w:rsidR="00832798" w:rsidRPr="00A42498">
        <w:t xml:space="preserve"> of a weapon</w:t>
      </w:r>
      <w:r w:rsidR="0064687E" w:rsidRPr="00A42498">
        <w:t xml:space="preserve"> </w:t>
      </w:r>
      <w:r w:rsidR="00557388" w:rsidRPr="00A42498">
        <w:t xml:space="preserve">to deliberate misuse </w:t>
      </w:r>
      <w:r w:rsidR="00397ED4" w:rsidRPr="00A42498">
        <w:t>associated with</w:t>
      </w:r>
      <w:r w:rsidR="00557388" w:rsidRPr="00A42498">
        <w:t xml:space="preserve"> </w:t>
      </w:r>
      <w:r w:rsidR="002A2CD0" w:rsidRPr="00A42498">
        <w:t>criminal activities.</w:t>
      </w:r>
      <w:r w:rsidR="0038143F" w:rsidRPr="00A42498">
        <w:t xml:space="preserve"> </w:t>
      </w:r>
      <w:r w:rsidR="00FD634A" w:rsidRPr="00A42498">
        <w:t xml:space="preserve">Regardless of intent, the misuse </w:t>
      </w:r>
      <w:r w:rsidR="00762F27" w:rsidRPr="00A42498">
        <w:t>of</w:t>
      </w:r>
      <w:r w:rsidR="00147E31" w:rsidRPr="00A42498">
        <w:t xml:space="preserve"> </w:t>
      </w:r>
      <w:r w:rsidR="00762F27" w:rsidRPr="00A42498">
        <w:t xml:space="preserve">weapons can </w:t>
      </w:r>
      <w:r w:rsidR="00B04CCD" w:rsidRPr="00A42498">
        <w:t xml:space="preserve">increase the risk of injury and </w:t>
      </w:r>
      <w:r w:rsidR="009872FF" w:rsidRPr="00A42498">
        <w:t>crime</w:t>
      </w:r>
      <w:r w:rsidR="000F2D64" w:rsidRPr="00A42498">
        <w:t xml:space="preserve">. These risks </w:t>
      </w:r>
      <w:r w:rsidR="0060285F" w:rsidRPr="00A42498">
        <w:t>pos</w:t>
      </w:r>
      <w:r w:rsidR="00E13970" w:rsidRPr="00A42498">
        <w:t>e</w:t>
      </w:r>
      <w:r w:rsidR="00BD4D21" w:rsidRPr="00A42498">
        <w:t xml:space="preserve"> a threat to the safety of the</w:t>
      </w:r>
      <w:r w:rsidR="009872FF" w:rsidRPr="00A42498">
        <w:t xml:space="preserve"> community</w:t>
      </w:r>
      <w:r w:rsidR="0060285F" w:rsidRPr="00A42498">
        <w:t xml:space="preserve"> which can be mitigated by regulating</w:t>
      </w:r>
      <w:r w:rsidR="00CA4698" w:rsidRPr="00A42498">
        <w:t xml:space="preserve"> </w:t>
      </w:r>
      <w:r w:rsidR="00CA4698" w:rsidRPr="00A42498">
        <w:rPr>
          <w:rStyle w:val="eop"/>
        </w:rPr>
        <w:t xml:space="preserve">access to weapons without unduly restricting their legitimate use or </w:t>
      </w:r>
      <w:r w:rsidR="00E1294C" w:rsidRPr="00A42498">
        <w:rPr>
          <w:rStyle w:val="eop"/>
        </w:rPr>
        <w:t>im</w:t>
      </w:r>
      <w:r w:rsidR="00CA4698" w:rsidRPr="00A42498">
        <w:rPr>
          <w:rStyle w:val="eop"/>
        </w:rPr>
        <w:t>posing prohibitive costs on potential users.</w:t>
      </w:r>
    </w:p>
    <w:p w14:paraId="73C9BD69" w14:textId="3EE042C3" w:rsidR="00E33A85" w:rsidRPr="00A42498" w:rsidRDefault="00AF2A3C" w:rsidP="00590970">
      <w:pPr>
        <w:rPr>
          <w:rStyle w:val="eop"/>
        </w:rPr>
      </w:pPr>
      <w:r w:rsidRPr="00A42498">
        <w:rPr>
          <w:rStyle w:val="eop"/>
        </w:rPr>
        <w:t>If</w:t>
      </w:r>
      <w:r w:rsidR="00DA618D" w:rsidRPr="00A42498">
        <w:rPr>
          <w:rStyle w:val="eop"/>
        </w:rPr>
        <w:t xml:space="preserve"> this risk is realised</w:t>
      </w:r>
      <w:r w:rsidRPr="00A42498">
        <w:rPr>
          <w:rStyle w:val="eop"/>
        </w:rPr>
        <w:t xml:space="preserve">, the </w:t>
      </w:r>
      <w:r w:rsidR="00DA618D" w:rsidRPr="00A42498">
        <w:rPr>
          <w:rStyle w:val="eop"/>
        </w:rPr>
        <w:t>consequences</w:t>
      </w:r>
      <w:r w:rsidRPr="00A42498">
        <w:rPr>
          <w:rStyle w:val="eop"/>
        </w:rPr>
        <w:t xml:space="preserve"> of misuse </w:t>
      </w:r>
      <w:r w:rsidR="00DA618D" w:rsidRPr="00A42498">
        <w:rPr>
          <w:rStyle w:val="eop"/>
        </w:rPr>
        <w:t>are</w:t>
      </w:r>
      <w:r w:rsidRPr="00A42498">
        <w:rPr>
          <w:rStyle w:val="eop"/>
        </w:rPr>
        <w:t xml:space="preserve"> </w:t>
      </w:r>
      <w:r w:rsidR="00EB77DC" w:rsidRPr="00A42498">
        <w:rPr>
          <w:rStyle w:val="eop"/>
        </w:rPr>
        <w:t>serious an</w:t>
      </w:r>
      <w:r w:rsidR="00CA7D90" w:rsidRPr="00A42498">
        <w:rPr>
          <w:rStyle w:val="eop"/>
        </w:rPr>
        <w:t>d extend beyond individual victims to families and members of the broader community.</w:t>
      </w:r>
    </w:p>
    <w:p w14:paraId="39473060" w14:textId="40D51245" w:rsidR="003E5221" w:rsidRPr="00A42498" w:rsidRDefault="003E5221" w:rsidP="00C87DAA">
      <w:pPr>
        <w:pStyle w:val="ListParagraph"/>
        <w:numPr>
          <w:ilvl w:val="0"/>
          <w:numId w:val="19"/>
        </w:numPr>
        <w:spacing w:after="120"/>
        <w:ind w:left="357" w:hanging="357"/>
        <w:contextualSpacing w:val="0"/>
        <w:rPr>
          <w:rStyle w:val="eop"/>
          <w:rFonts w:asciiTheme="majorHAnsi" w:hAnsiTheme="majorHAnsi" w:cstheme="majorHAnsi"/>
          <w:color w:val="000000"/>
          <w:shd w:val="clear" w:color="auto" w:fill="FFFFFF"/>
        </w:rPr>
      </w:pPr>
      <w:r w:rsidRPr="00A42498">
        <w:rPr>
          <w:rStyle w:val="eop"/>
          <w:rFonts w:asciiTheme="majorHAnsi" w:hAnsiTheme="majorHAnsi" w:cstheme="majorHAnsi"/>
          <w:b/>
          <w:bCs/>
          <w:color w:val="000000"/>
          <w:shd w:val="clear" w:color="auto" w:fill="FFFFFF"/>
        </w:rPr>
        <w:t>Individuals:</w:t>
      </w:r>
      <w:r w:rsidRPr="00A42498">
        <w:rPr>
          <w:rStyle w:val="eop"/>
          <w:rFonts w:asciiTheme="majorHAnsi" w:hAnsiTheme="majorHAnsi" w:cstheme="majorHAnsi"/>
          <w:color w:val="000000"/>
          <w:shd w:val="clear" w:color="auto" w:fill="FFFFFF"/>
        </w:rPr>
        <w:t xml:space="preserve"> an individual victim may suffer physical pain and suffering, disfigurement, disabil</w:t>
      </w:r>
      <w:r w:rsidR="00FA4FED" w:rsidRPr="00A42498">
        <w:rPr>
          <w:rStyle w:val="eop"/>
          <w:rFonts w:asciiTheme="majorHAnsi" w:hAnsiTheme="majorHAnsi" w:cstheme="majorHAnsi"/>
          <w:color w:val="000000"/>
          <w:shd w:val="clear" w:color="auto" w:fill="FFFFFF"/>
        </w:rPr>
        <w:t>ity and in extreme cases, death.</w:t>
      </w:r>
    </w:p>
    <w:p w14:paraId="16CDF412" w14:textId="64E85112" w:rsidR="003E5221" w:rsidRPr="00A42498" w:rsidRDefault="003E5221" w:rsidP="00C87DAA">
      <w:pPr>
        <w:pStyle w:val="ListParagraph"/>
        <w:numPr>
          <w:ilvl w:val="0"/>
          <w:numId w:val="19"/>
        </w:numPr>
        <w:spacing w:after="120"/>
        <w:ind w:left="357" w:hanging="357"/>
        <w:contextualSpacing w:val="0"/>
        <w:rPr>
          <w:rStyle w:val="eop"/>
          <w:rFonts w:asciiTheme="majorHAnsi" w:hAnsiTheme="majorHAnsi" w:cstheme="majorHAnsi"/>
          <w:color w:val="000000"/>
          <w:shd w:val="clear" w:color="auto" w:fill="FFFFFF"/>
        </w:rPr>
      </w:pPr>
      <w:r w:rsidRPr="00A42498">
        <w:rPr>
          <w:rStyle w:val="eop"/>
          <w:rFonts w:asciiTheme="majorHAnsi" w:hAnsiTheme="majorHAnsi" w:cstheme="majorHAnsi"/>
          <w:b/>
          <w:bCs/>
          <w:color w:val="000000"/>
          <w:shd w:val="clear" w:color="auto" w:fill="FFFFFF"/>
        </w:rPr>
        <w:t>Families:</w:t>
      </w:r>
      <w:r w:rsidR="00FA4FED" w:rsidRPr="00A42498">
        <w:rPr>
          <w:rStyle w:val="eop"/>
          <w:rFonts w:asciiTheme="majorHAnsi" w:hAnsiTheme="majorHAnsi" w:cstheme="majorHAnsi"/>
          <w:color w:val="000000"/>
          <w:shd w:val="clear" w:color="auto" w:fill="FFFFFF"/>
        </w:rPr>
        <w:t xml:space="preserve"> family and friends of the victim are likely to experience mental suffering associated with the</w:t>
      </w:r>
      <w:r w:rsidR="00B4152E" w:rsidRPr="00A42498">
        <w:rPr>
          <w:rStyle w:val="eop"/>
          <w:rFonts w:asciiTheme="majorHAnsi" w:hAnsiTheme="majorHAnsi" w:cstheme="majorHAnsi"/>
          <w:color w:val="000000"/>
          <w:shd w:val="clear" w:color="auto" w:fill="FFFFFF"/>
        </w:rPr>
        <w:t xml:space="preserve"> harm or death of their family member.</w:t>
      </w:r>
    </w:p>
    <w:p w14:paraId="496ED003" w14:textId="53064FD7" w:rsidR="003E5221" w:rsidRPr="00A42498" w:rsidRDefault="003E5221" w:rsidP="00C87DAA">
      <w:pPr>
        <w:pStyle w:val="ListParagraph"/>
        <w:numPr>
          <w:ilvl w:val="0"/>
          <w:numId w:val="19"/>
        </w:numPr>
        <w:spacing w:after="120"/>
        <w:ind w:left="357" w:hanging="357"/>
        <w:contextualSpacing w:val="0"/>
        <w:rPr>
          <w:rStyle w:val="eop"/>
          <w:rFonts w:asciiTheme="majorHAnsi" w:hAnsiTheme="majorHAnsi" w:cstheme="majorHAnsi"/>
          <w:color w:val="000000"/>
          <w:shd w:val="clear" w:color="auto" w:fill="FFFFFF"/>
        </w:rPr>
      </w:pPr>
      <w:r w:rsidRPr="00A42498">
        <w:rPr>
          <w:rStyle w:val="eop"/>
          <w:rFonts w:asciiTheme="majorHAnsi" w:hAnsiTheme="majorHAnsi" w:cstheme="majorHAnsi"/>
          <w:b/>
          <w:bCs/>
          <w:color w:val="000000"/>
          <w:shd w:val="clear" w:color="auto" w:fill="FFFFFF"/>
        </w:rPr>
        <w:t>Community</w:t>
      </w:r>
      <w:r w:rsidRPr="00A42498">
        <w:rPr>
          <w:rStyle w:val="eop"/>
          <w:rFonts w:asciiTheme="majorHAnsi" w:hAnsiTheme="majorHAnsi" w:cstheme="majorHAnsi"/>
          <w:color w:val="000000"/>
          <w:shd w:val="clear" w:color="auto" w:fill="FFFFFF"/>
        </w:rPr>
        <w:t>:</w:t>
      </w:r>
      <w:r w:rsidR="00E33A85" w:rsidRPr="00A42498">
        <w:rPr>
          <w:rStyle w:val="eop"/>
          <w:rFonts w:asciiTheme="majorHAnsi" w:hAnsiTheme="majorHAnsi" w:cstheme="majorHAnsi"/>
          <w:color w:val="000000"/>
          <w:shd w:val="clear" w:color="auto" w:fill="FFFFFF"/>
        </w:rPr>
        <w:t xml:space="preserve"> the wider community is likely to experience heightened insecurity and distress regarding general safety.</w:t>
      </w:r>
    </w:p>
    <w:p w14:paraId="1B3EC09D" w14:textId="29365682" w:rsidR="00AA3533" w:rsidRPr="00A42498" w:rsidRDefault="00AA3533" w:rsidP="00AA3533">
      <w:pPr>
        <w:pStyle w:val="Heading3"/>
      </w:pPr>
      <w:r w:rsidRPr="00A42498">
        <w:t>Public access to weapons increases the risk</w:t>
      </w:r>
      <w:r w:rsidR="009B119C" w:rsidRPr="00A42498">
        <w:t xml:space="preserve"> of harm</w:t>
      </w:r>
    </w:p>
    <w:p w14:paraId="4BB9113A" w14:textId="02181BEF" w:rsidR="003058D4" w:rsidRPr="00A42498" w:rsidRDefault="00D91C8C" w:rsidP="00590970">
      <w:pPr>
        <w:rPr>
          <w:rStyle w:val="eop"/>
          <w:rFonts w:asciiTheme="majorHAnsi" w:hAnsiTheme="majorHAnsi" w:cstheme="majorHAnsi"/>
          <w:color w:val="000000"/>
          <w:shd w:val="clear" w:color="auto" w:fill="FFFFFF"/>
        </w:rPr>
      </w:pPr>
      <w:r w:rsidRPr="00A42498">
        <w:rPr>
          <w:rStyle w:val="eop"/>
          <w:rFonts w:asciiTheme="majorHAnsi" w:hAnsiTheme="majorHAnsi" w:cstheme="majorHAnsi"/>
          <w:color w:val="000000"/>
          <w:shd w:val="clear" w:color="auto" w:fill="FFFFFF"/>
        </w:rPr>
        <w:t>The level of risk to our community is related to weapon accessibility.</w:t>
      </w:r>
      <w:r w:rsidR="00F432EB" w:rsidRPr="00A42498">
        <w:rPr>
          <w:rStyle w:val="eop"/>
          <w:rFonts w:asciiTheme="majorHAnsi" w:hAnsiTheme="majorHAnsi" w:cstheme="majorHAnsi"/>
          <w:color w:val="000000"/>
          <w:shd w:val="clear" w:color="auto" w:fill="FFFFFF"/>
        </w:rPr>
        <w:t xml:space="preserve"> </w:t>
      </w:r>
      <w:r w:rsidR="00F658A4" w:rsidRPr="00A42498">
        <w:rPr>
          <w:rStyle w:val="eop"/>
          <w:rFonts w:asciiTheme="majorHAnsi" w:hAnsiTheme="majorHAnsi" w:cstheme="majorHAnsi"/>
          <w:color w:val="000000"/>
          <w:shd w:val="clear" w:color="auto" w:fill="FFFFFF"/>
        </w:rPr>
        <w:t>By nature, i</w:t>
      </w:r>
      <w:r w:rsidRPr="00A42498">
        <w:rPr>
          <w:rStyle w:val="eop"/>
          <w:rFonts w:asciiTheme="majorHAnsi" w:hAnsiTheme="majorHAnsi" w:cstheme="majorHAnsi"/>
          <w:color w:val="000000"/>
          <w:shd w:val="clear" w:color="auto" w:fill="FFFFFF"/>
        </w:rPr>
        <w:t xml:space="preserve">ncreased access to weapons increases opportunity for </w:t>
      </w:r>
      <w:r w:rsidR="00B41DBB" w:rsidRPr="00A42498">
        <w:rPr>
          <w:rStyle w:val="eop"/>
          <w:rFonts w:asciiTheme="majorHAnsi" w:hAnsiTheme="majorHAnsi" w:cstheme="majorHAnsi"/>
          <w:color w:val="000000"/>
          <w:shd w:val="clear" w:color="auto" w:fill="FFFFFF"/>
        </w:rPr>
        <w:t>them to be used in an unsafe manner</w:t>
      </w:r>
      <w:r w:rsidRPr="00A42498">
        <w:rPr>
          <w:rStyle w:val="eop"/>
          <w:rFonts w:asciiTheme="majorHAnsi" w:hAnsiTheme="majorHAnsi" w:cstheme="majorHAnsi"/>
          <w:color w:val="000000"/>
          <w:shd w:val="clear" w:color="auto" w:fill="FFFFFF"/>
        </w:rPr>
        <w:t xml:space="preserve">. </w:t>
      </w:r>
      <w:r w:rsidR="00625B81" w:rsidRPr="00A42498">
        <w:rPr>
          <w:rStyle w:val="eop"/>
          <w:rFonts w:asciiTheme="majorHAnsi" w:hAnsiTheme="majorHAnsi" w:cstheme="majorHAnsi"/>
          <w:color w:val="000000"/>
          <w:shd w:val="clear" w:color="auto" w:fill="FFFFFF"/>
        </w:rPr>
        <w:t xml:space="preserve">Research has established </w:t>
      </w:r>
      <w:r w:rsidR="00861173" w:rsidRPr="00A42498">
        <w:rPr>
          <w:rStyle w:val="eop"/>
          <w:rFonts w:asciiTheme="majorHAnsi" w:hAnsiTheme="majorHAnsi" w:cstheme="majorHAnsi"/>
          <w:color w:val="000000"/>
          <w:shd w:val="clear" w:color="auto" w:fill="FFFFFF"/>
        </w:rPr>
        <w:t>that – as is the case with firearms –</w:t>
      </w:r>
      <w:r w:rsidR="00625B81" w:rsidRPr="00A42498">
        <w:rPr>
          <w:rStyle w:val="eop"/>
          <w:rFonts w:asciiTheme="majorHAnsi" w:hAnsiTheme="majorHAnsi" w:cstheme="majorHAnsi"/>
          <w:color w:val="000000"/>
          <w:shd w:val="clear" w:color="auto" w:fill="FFFFFF"/>
        </w:rPr>
        <w:t xml:space="preserve"> the</w:t>
      </w:r>
      <w:r w:rsidR="00861173" w:rsidRPr="00A42498">
        <w:rPr>
          <w:rStyle w:val="eop"/>
          <w:rFonts w:asciiTheme="majorHAnsi" w:hAnsiTheme="majorHAnsi" w:cstheme="majorHAnsi"/>
          <w:color w:val="000000"/>
          <w:shd w:val="clear" w:color="auto" w:fill="FFFFFF"/>
        </w:rPr>
        <w:t>re is a</w:t>
      </w:r>
      <w:r w:rsidR="00625B81" w:rsidRPr="00A42498">
        <w:rPr>
          <w:rStyle w:val="eop"/>
          <w:rFonts w:asciiTheme="majorHAnsi" w:hAnsiTheme="majorHAnsi" w:cstheme="majorHAnsi"/>
          <w:color w:val="000000"/>
          <w:shd w:val="clear" w:color="auto" w:fill="FFFFFF"/>
        </w:rPr>
        <w:t xml:space="preserve"> </w:t>
      </w:r>
      <w:r w:rsidR="00EB1FA6" w:rsidRPr="00A42498">
        <w:rPr>
          <w:rStyle w:val="eop"/>
          <w:rFonts w:asciiTheme="majorHAnsi" w:hAnsiTheme="majorHAnsi" w:cstheme="majorHAnsi"/>
          <w:color w:val="000000"/>
          <w:shd w:val="clear" w:color="auto" w:fill="FFFFFF"/>
        </w:rPr>
        <w:t xml:space="preserve">causal </w:t>
      </w:r>
      <w:r w:rsidR="0040199B" w:rsidRPr="00A42498">
        <w:rPr>
          <w:rStyle w:val="eop"/>
          <w:rFonts w:asciiTheme="majorHAnsi" w:hAnsiTheme="majorHAnsi" w:cstheme="majorHAnsi"/>
          <w:color w:val="000000"/>
          <w:shd w:val="clear" w:color="auto" w:fill="FFFFFF"/>
        </w:rPr>
        <w:t>“</w:t>
      </w:r>
      <w:r w:rsidR="00EB1FA6" w:rsidRPr="00A42498">
        <w:rPr>
          <w:rStyle w:val="eop"/>
          <w:rFonts w:asciiTheme="majorHAnsi" w:hAnsiTheme="majorHAnsi" w:cstheme="majorHAnsi"/>
          <w:color w:val="000000"/>
          <w:shd w:val="clear" w:color="auto" w:fill="FFFFFF"/>
        </w:rPr>
        <w:t xml:space="preserve">relationship between </w:t>
      </w:r>
      <w:r w:rsidR="0040199B" w:rsidRPr="00A42498">
        <w:rPr>
          <w:rStyle w:val="eop"/>
          <w:rFonts w:asciiTheme="majorHAnsi" w:hAnsiTheme="majorHAnsi" w:cstheme="majorHAnsi"/>
          <w:color w:val="000000"/>
          <w:shd w:val="clear" w:color="auto" w:fill="FFFFFF"/>
        </w:rPr>
        <w:t>offending behaviour</w:t>
      </w:r>
      <w:r w:rsidR="00031A98" w:rsidRPr="00A42498">
        <w:rPr>
          <w:rStyle w:val="eop"/>
          <w:rFonts w:asciiTheme="majorHAnsi" w:hAnsiTheme="majorHAnsi" w:cstheme="majorHAnsi"/>
          <w:color w:val="000000"/>
          <w:shd w:val="clear" w:color="auto" w:fill="FFFFFF"/>
        </w:rPr>
        <w:t xml:space="preserve"> and</w:t>
      </w:r>
      <w:r w:rsidR="004B0735" w:rsidRPr="00A42498">
        <w:rPr>
          <w:rStyle w:val="eop"/>
          <w:rFonts w:asciiTheme="majorHAnsi" w:hAnsiTheme="majorHAnsi" w:cstheme="majorHAnsi"/>
          <w:color w:val="000000"/>
          <w:shd w:val="clear" w:color="auto" w:fill="FFFFFF"/>
        </w:rPr>
        <w:t>… the possession of weapon</w:t>
      </w:r>
      <w:r w:rsidR="003436E5" w:rsidRPr="00A42498">
        <w:rPr>
          <w:rStyle w:val="eop"/>
          <w:rFonts w:asciiTheme="majorHAnsi" w:hAnsiTheme="majorHAnsi" w:cstheme="majorHAnsi"/>
          <w:color w:val="000000"/>
          <w:shd w:val="clear" w:color="auto" w:fill="FFFFFF"/>
        </w:rPr>
        <w:t>s”.</w:t>
      </w:r>
      <w:r w:rsidR="00C6712D" w:rsidRPr="00A42498">
        <w:rPr>
          <w:rStyle w:val="FootnoteReference"/>
          <w:rFonts w:asciiTheme="majorHAnsi" w:hAnsiTheme="majorHAnsi" w:cstheme="majorHAnsi"/>
          <w:color w:val="000000"/>
          <w:shd w:val="clear" w:color="auto" w:fill="FFFFFF"/>
        </w:rPr>
        <w:footnoteReference w:id="3"/>
      </w:r>
      <w:r w:rsidR="00730F3A" w:rsidRPr="00A42498">
        <w:rPr>
          <w:rStyle w:val="eop"/>
          <w:rFonts w:asciiTheme="majorHAnsi" w:hAnsiTheme="majorHAnsi" w:cstheme="majorHAnsi"/>
          <w:color w:val="000000"/>
          <w:shd w:val="clear" w:color="auto" w:fill="FFFFFF"/>
        </w:rPr>
        <w:t xml:space="preserve"> </w:t>
      </w:r>
    </w:p>
    <w:p w14:paraId="63EEC711" w14:textId="23CA602C" w:rsidR="00FF7333" w:rsidRDefault="00C869D2" w:rsidP="00590970">
      <w:pPr>
        <w:rPr>
          <w:rStyle w:val="eop"/>
          <w:rFonts w:asciiTheme="majorHAnsi" w:hAnsiTheme="majorHAnsi" w:cstheme="majorHAnsi"/>
          <w:color w:val="000000"/>
          <w:shd w:val="clear" w:color="auto" w:fill="FFFFFF"/>
        </w:rPr>
      </w:pPr>
      <w:r w:rsidRPr="2F4437B0">
        <w:rPr>
          <w:rStyle w:val="eop"/>
          <w:rFonts w:asciiTheme="majorHAnsi" w:hAnsiTheme="majorHAnsi" w:cstheme="majorBidi"/>
          <w:color w:val="000000"/>
          <w:shd w:val="clear" w:color="auto" w:fill="FFFFFF"/>
        </w:rPr>
        <w:t xml:space="preserve">In recent years, there has been continuing public demand for weapons for legitimate use, with </w:t>
      </w:r>
      <w:r w:rsidR="0038221D">
        <w:rPr>
          <w:rStyle w:val="eop"/>
          <w:rFonts w:asciiTheme="majorHAnsi" w:hAnsiTheme="majorHAnsi" w:cstheme="majorBidi"/>
          <w:color w:val="000000"/>
          <w:shd w:val="clear" w:color="auto" w:fill="FFFFFF"/>
        </w:rPr>
        <w:t>an average of 313</w:t>
      </w:r>
      <w:r w:rsidR="006A55AF">
        <w:rPr>
          <w:rStyle w:val="eop"/>
          <w:rFonts w:asciiTheme="majorHAnsi" w:hAnsiTheme="majorHAnsi" w:cstheme="majorBidi"/>
          <w:color w:val="000000"/>
          <w:shd w:val="clear" w:color="auto" w:fill="FFFFFF"/>
        </w:rPr>
        <w:t xml:space="preserve"> applications for</w:t>
      </w:r>
      <w:r w:rsidRPr="2F4437B0">
        <w:rPr>
          <w:rStyle w:val="eop"/>
          <w:rFonts w:asciiTheme="majorHAnsi" w:hAnsiTheme="majorHAnsi" w:cstheme="majorBidi"/>
          <w:color w:val="000000"/>
          <w:shd w:val="clear" w:color="auto" w:fill="FFFFFF"/>
        </w:rPr>
        <w:t xml:space="preserve"> approvals </w:t>
      </w:r>
      <w:r w:rsidR="00E92DB3">
        <w:rPr>
          <w:rStyle w:val="eop"/>
          <w:rFonts w:asciiTheme="majorHAnsi" w:hAnsiTheme="majorHAnsi" w:cstheme="majorBidi"/>
          <w:color w:val="000000"/>
          <w:shd w:val="clear" w:color="auto" w:fill="FFFFFF"/>
        </w:rPr>
        <w:t xml:space="preserve">considered </w:t>
      </w:r>
      <w:r w:rsidRPr="2F4437B0">
        <w:rPr>
          <w:rStyle w:val="eop"/>
          <w:rFonts w:asciiTheme="majorHAnsi" w:hAnsiTheme="majorHAnsi" w:cstheme="majorBidi"/>
          <w:color w:val="000000"/>
          <w:shd w:val="clear" w:color="auto" w:fill="FFFFFF"/>
        </w:rPr>
        <w:t xml:space="preserve">by the Chief Commissioner of Police each year </w:t>
      </w:r>
      <w:r w:rsidR="00737FF1">
        <w:rPr>
          <w:rStyle w:val="eop"/>
          <w:rFonts w:asciiTheme="majorHAnsi" w:hAnsiTheme="majorHAnsi" w:cstheme="majorBidi"/>
          <w:color w:val="000000"/>
          <w:shd w:val="clear" w:color="auto" w:fill="FFFFFF"/>
        </w:rPr>
        <w:t>from 2015-16 to 2019-20.</w:t>
      </w:r>
      <w:r w:rsidRPr="2F4437B0">
        <w:rPr>
          <w:rStyle w:val="eop"/>
          <w:rFonts w:asciiTheme="majorHAnsi" w:hAnsiTheme="majorHAnsi" w:cstheme="majorBidi"/>
          <w:color w:val="000000"/>
          <w:shd w:val="clear" w:color="auto" w:fill="FFFFFF"/>
        </w:rPr>
        <w:t xml:space="preserve"> </w:t>
      </w:r>
      <w:r w:rsidR="00FF7333" w:rsidRPr="00A42498">
        <w:rPr>
          <w:rStyle w:val="eop"/>
          <w:rFonts w:asciiTheme="majorHAnsi" w:hAnsiTheme="majorHAnsi" w:cstheme="majorHAnsi"/>
          <w:color w:val="000000"/>
          <w:shd w:val="clear" w:color="auto" w:fill="FFFFFF"/>
        </w:rPr>
        <w:t xml:space="preserve">The combination of </w:t>
      </w:r>
      <w:r w:rsidR="004C219E" w:rsidRPr="00A42498">
        <w:rPr>
          <w:rStyle w:val="eop"/>
          <w:rFonts w:asciiTheme="majorHAnsi" w:hAnsiTheme="majorHAnsi" w:cstheme="majorHAnsi"/>
          <w:color w:val="000000"/>
          <w:shd w:val="clear" w:color="auto" w:fill="FFFFFF"/>
        </w:rPr>
        <w:t xml:space="preserve">the </w:t>
      </w:r>
      <w:r w:rsidR="00FF7333" w:rsidRPr="00A42498">
        <w:rPr>
          <w:rStyle w:val="eop"/>
          <w:rFonts w:asciiTheme="majorHAnsi" w:hAnsiTheme="majorHAnsi" w:cstheme="majorHAnsi"/>
          <w:color w:val="000000"/>
          <w:shd w:val="clear" w:color="auto" w:fill="FFFFFF"/>
        </w:rPr>
        <w:t>demand</w:t>
      </w:r>
      <w:r w:rsidR="007B48C4" w:rsidRPr="00A42498">
        <w:rPr>
          <w:rStyle w:val="eop"/>
          <w:rFonts w:asciiTheme="majorHAnsi" w:hAnsiTheme="majorHAnsi" w:cstheme="majorHAnsi"/>
          <w:color w:val="000000"/>
          <w:shd w:val="clear" w:color="auto" w:fill="FFFFFF"/>
        </w:rPr>
        <w:t xml:space="preserve"> for</w:t>
      </w:r>
      <w:r w:rsidR="00FF7333" w:rsidRPr="00A42498">
        <w:rPr>
          <w:rStyle w:val="eop"/>
          <w:rFonts w:asciiTheme="majorHAnsi" w:hAnsiTheme="majorHAnsi" w:cstheme="majorHAnsi"/>
          <w:color w:val="000000"/>
          <w:shd w:val="clear" w:color="auto" w:fill="FFFFFF"/>
        </w:rPr>
        <w:t xml:space="preserve"> </w:t>
      </w:r>
      <w:r w:rsidR="004C219E" w:rsidRPr="00A42498">
        <w:rPr>
          <w:rStyle w:val="eop"/>
          <w:rFonts w:asciiTheme="majorHAnsi" w:hAnsiTheme="majorHAnsi" w:cstheme="majorHAnsi"/>
          <w:color w:val="000000"/>
          <w:shd w:val="clear" w:color="auto" w:fill="FFFFFF"/>
        </w:rPr>
        <w:t>(</w:t>
      </w:r>
      <w:r w:rsidR="00FF7333" w:rsidRPr="00A42498">
        <w:rPr>
          <w:rStyle w:val="eop"/>
          <w:rFonts w:asciiTheme="majorHAnsi" w:hAnsiTheme="majorHAnsi" w:cstheme="majorHAnsi"/>
          <w:color w:val="000000"/>
          <w:shd w:val="clear" w:color="auto" w:fill="FFFFFF"/>
        </w:rPr>
        <w:t>and access to</w:t>
      </w:r>
      <w:r w:rsidR="004C219E" w:rsidRPr="00A42498">
        <w:rPr>
          <w:rStyle w:val="eop"/>
          <w:rFonts w:asciiTheme="majorHAnsi" w:hAnsiTheme="majorHAnsi" w:cstheme="majorHAnsi"/>
          <w:color w:val="000000"/>
          <w:shd w:val="clear" w:color="auto" w:fill="FFFFFF"/>
        </w:rPr>
        <w:t xml:space="preserve">) </w:t>
      </w:r>
      <w:r w:rsidR="00FF7333" w:rsidRPr="00A42498">
        <w:rPr>
          <w:rStyle w:val="eop"/>
          <w:rFonts w:asciiTheme="majorHAnsi" w:hAnsiTheme="majorHAnsi" w:cstheme="majorHAnsi"/>
          <w:color w:val="000000"/>
          <w:shd w:val="clear" w:color="auto" w:fill="FFFFFF"/>
        </w:rPr>
        <w:t xml:space="preserve">weapons </w:t>
      </w:r>
      <w:r w:rsidR="00960846" w:rsidRPr="00A42498">
        <w:rPr>
          <w:rStyle w:val="eop"/>
          <w:rFonts w:asciiTheme="majorHAnsi" w:hAnsiTheme="majorHAnsi" w:cstheme="majorHAnsi"/>
          <w:color w:val="000000"/>
          <w:shd w:val="clear" w:color="auto" w:fill="FFFFFF"/>
        </w:rPr>
        <w:t>contributes to</w:t>
      </w:r>
      <w:r w:rsidR="00672A1C" w:rsidRPr="00A42498">
        <w:rPr>
          <w:rStyle w:val="eop"/>
          <w:rFonts w:asciiTheme="majorHAnsi" w:hAnsiTheme="majorHAnsi" w:cstheme="majorHAnsi"/>
          <w:color w:val="000000"/>
          <w:shd w:val="clear" w:color="auto" w:fill="FFFFFF"/>
        </w:rPr>
        <w:t xml:space="preserve"> </w:t>
      </w:r>
      <w:r w:rsidR="002212FA" w:rsidRPr="00A42498">
        <w:rPr>
          <w:rStyle w:val="eop"/>
          <w:rFonts w:asciiTheme="majorHAnsi" w:hAnsiTheme="majorHAnsi" w:cstheme="majorHAnsi"/>
          <w:color w:val="000000"/>
          <w:shd w:val="clear" w:color="auto" w:fill="FFFFFF"/>
        </w:rPr>
        <w:t xml:space="preserve">the </w:t>
      </w:r>
      <w:r w:rsidR="00672A1C" w:rsidRPr="00A42498">
        <w:rPr>
          <w:rStyle w:val="eop"/>
          <w:rFonts w:asciiTheme="majorHAnsi" w:hAnsiTheme="majorHAnsi" w:cstheme="majorHAnsi"/>
          <w:color w:val="000000"/>
          <w:shd w:val="clear" w:color="auto" w:fill="FFFFFF"/>
        </w:rPr>
        <w:t xml:space="preserve">prevalence </w:t>
      </w:r>
      <w:r w:rsidR="002E1538" w:rsidRPr="00A42498">
        <w:rPr>
          <w:rStyle w:val="eop"/>
          <w:rFonts w:asciiTheme="majorHAnsi" w:hAnsiTheme="majorHAnsi" w:cstheme="majorHAnsi"/>
          <w:color w:val="000000"/>
          <w:shd w:val="clear" w:color="auto" w:fill="FFFFFF"/>
        </w:rPr>
        <w:t>of weapons within the community</w:t>
      </w:r>
      <w:r w:rsidR="00C67E24" w:rsidRPr="00A42498">
        <w:rPr>
          <w:rStyle w:val="eop"/>
          <w:rFonts w:asciiTheme="majorHAnsi" w:hAnsiTheme="majorHAnsi" w:cstheme="majorHAnsi"/>
          <w:color w:val="000000"/>
          <w:shd w:val="clear" w:color="auto" w:fill="FFFFFF"/>
        </w:rPr>
        <w:t xml:space="preserve"> and their </w:t>
      </w:r>
      <w:r w:rsidR="007A4E24" w:rsidRPr="00A42498">
        <w:rPr>
          <w:rStyle w:val="eop"/>
          <w:rFonts w:asciiTheme="majorHAnsi" w:hAnsiTheme="majorHAnsi" w:cstheme="majorHAnsi"/>
          <w:color w:val="000000"/>
          <w:shd w:val="clear" w:color="auto" w:fill="FFFFFF"/>
        </w:rPr>
        <w:t>potential</w:t>
      </w:r>
      <w:r w:rsidR="00C67E24" w:rsidRPr="00A42498">
        <w:rPr>
          <w:rStyle w:val="eop"/>
          <w:rFonts w:asciiTheme="majorHAnsi" w:hAnsiTheme="majorHAnsi" w:cstheme="majorHAnsi"/>
          <w:color w:val="000000"/>
          <w:shd w:val="clear" w:color="auto" w:fill="FFFFFF"/>
        </w:rPr>
        <w:t xml:space="preserve"> misuse</w:t>
      </w:r>
      <w:r w:rsidR="000C0BC1" w:rsidRPr="00A42498">
        <w:rPr>
          <w:rStyle w:val="eop"/>
          <w:rFonts w:asciiTheme="majorHAnsi" w:hAnsiTheme="majorHAnsi" w:cstheme="majorHAnsi"/>
          <w:color w:val="000000"/>
          <w:shd w:val="clear" w:color="auto" w:fill="FFFFFF"/>
        </w:rPr>
        <w:t>.</w:t>
      </w:r>
      <w:r w:rsidR="006F2E09" w:rsidRPr="00A42498">
        <w:rPr>
          <w:rStyle w:val="eop"/>
          <w:rFonts w:asciiTheme="majorHAnsi" w:hAnsiTheme="majorHAnsi" w:cstheme="majorHAnsi"/>
          <w:color w:val="000000"/>
          <w:shd w:val="clear" w:color="auto" w:fill="FFFFFF"/>
        </w:rPr>
        <w:t xml:space="preserve"> Stakeholder feedback suggests that </w:t>
      </w:r>
      <w:r w:rsidR="000B52CB" w:rsidRPr="00A42498">
        <w:rPr>
          <w:rStyle w:val="eop"/>
          <w:rFonts w:asciiTheme="majorHAnsi" w:hAnsiTheme="majorHAnsi" w:cstheme="majorHAnsi"/>
          <w:color w:val="000000"/>
          <w:shd w:val="clear" w:color="auto" w:fill="FFFFFF"/>
        </w:rPr>
        <w:t>the use of weapons without exemption or approval also persists</w:t>
      </w:r>
      <w:r w:rsidR="00BC5446" w:rsidRPr="00A42498">
        <w:rPr>
          <w:rStyle w:val="eop"/>
          <w:rFonts w:asciiTheme="majorHAnsi" w:hAnsiTheme="majorHAnsi" w:cstheme="majorHAnsi"/>
          <w:color w:val="000000"/>
          <w:shd w:val="clear" w:color="auto" w:fill="FFFFFF"/>
        </w:rPr>
        <w:t xml:space="preserve"> (</w:t>
      </w:r>
      <w:r w:rsidR="000B52CB" w:rsidRPr="00A42498">
        <w:rPr>
          <w:rStyle w:val="eop"/>
          <w:rFonts w:asciiTheme="majorHAnsi" w:hAnsiTheme="majorHAnsi" w:cstheme="majorHAnsi"/>
          <w:color w:val="000000"/>
          <w:shd w:val="clear" w:color="auto" w:fill="FFFFFF"/>
        </w:rPr>
        <w:t xml:space="preserve">particularly in cases where those </w:t>
      </w:r>
      <w:r w:rsidR="008A503B" w:rsidRPr="00A42498">
        <w:rPr>
          <w:rStyle w:val="eop"/>
          <w:rFonts w:asciiTheme="majorHAnsi" w:hAnsiTheme="majorHAnsi" w:cstheme="majorHAnsi"/>
          <w:color w:val="000000"/>
          <w:shd w:val="clear" w:color="auto" w:fill="FFFFFF"/>
        </w:rPr>
        <w:t>using</w:t>
      </w:r>
      <w:r w:rsidR="004304CF" w:rsidRPr="00A42498">
        <w:rPr>
          <w:rStyle w:val="eop"/>
          <w:rFonts w:asciiTheme="majorHAnsi" w:hAnsiTheme="majorHAnsi" w:cstheme="majorHAnsi"/>
          <w:color w:val="000000"/>
          <w:shd w:val="clear" w:color="auto" w:fill="FFFFFF"/>
        </w:rPr>
        <w:t xml:space="preserve"> </w:t>
      </w:r>
      <w:r w:rsidR="000B52CB" w:rsidRPr="00A42498">
        <w:rPr>
          <w:rStyle w:val="eop"/>
          <w:rFonts w:asciiTheme="majorHAnsi" w:hAnsiTheme="majorHAnsi" w:cstheme="majorHAnsi"/>
          <w:color w:val="000000"/>
          <w:shd w:val="clear" w:color="auto" w:fill="FFFFFF"/>
        </w:rPr>
        <w:t xml:space="preserve">weapons are </w:t>
      </w:r>
      <w:r w:rsidR="00657172" w:rsidRPr="00A42498">
        <w:rPr>
          <w:rStyle w:val="eop"/>
          <w:rFonts w:asciiTheme="majorHAnsi" w:hAnsiTheme="majorHAnsi" w:cstheme="majorHAnsi"/>
          <w:color w:val="000000"/>
          <w:shd w:val="clear" w:color="auto" w:fill="FFFFFF"/>
        </w:rPr>
        <w:t>unaware of</w:t>
      </w:r>
      <w:r w:rsidR="001821A9" w:rsidRPr="00A42498">
        <w:rPr>
          <w:rStyle w:val="eop"/>
          <w:rFonts w:asciiTheme="majorHAnsi" w:hAnsiTheme="majorHAnsi" w:cstheme="majorHAnsi"/>
          <w:color w:val="000000"/>
          <w:shd w:val="clear" w:color="auto" w:fill="FFFFFF"/>
        </w:rPr>
        <w:t xml:space="preserve"> the</w:t>
      </w:r>
      <w:r w:rsidR="000B52CB" w:rsidRPr="00A42498">
        <w:rPr>
          <w:rStyle w:val="eop"/>
          <w:rFonts w:asciiTheme="majorHAnsi" w:hAnsiTheme="majorHAnsi" w:cstheme="majorHAnsi"/>
          <w:color w:val="000000"/>
          <w:shd w:val="clear" w:color="auto" w:fill="FFFFFF"/>
        </w:rPr>
        <w:t xml:space="preserve"> specific weapons </w:t>
      </w:r>
      <w:r w:rsidR="001821A9" w:rsidRPr="00A42498">
        <w:rPr>
          <w:rStyle w:val="eop"/>
          <w:rFonts w:asciiTheme="majorHAnsi" w:hAnsiTheme="majorHAnsi" w:cstheme="majorHAnsi"/>
          <w:color w:val="000000"/>
          <w:shd w:val="clear" w:color="auto" w:fill="FFFFFF"/>
        </w:rPr>
        <w:t xml:space="preserve">that </w:t>
      </w:r>
      <w:r w:rsidR="000B52CB" w:rsidRPr="00A42498">
        <w:rPr>
          <w:rStyle w:val="eop"/>
          <w:rFonts w:asciiTheme="majorHAnsi" w:hAnsiTheme="majorHAnsi" w:cstheme="majorHAnsi"/>
          <w:color w:val="000000"/>
          <w:shd w:val="clear" w:color="auto" w:fill="FFFFFF"/>
        </w:rPr>
        <w:t>are restricted and</w:t>
      </w:r>
      <w:r w:rsidR="00BC5446" w:rsidRPr="00A42498">
        <w:rPr>
          <w:rStyle w:val="eop"/>
          <w:rFonts w:asciiTheme="majorHAnsi" w:hAnsiTheme="majorHAnsi" w:cstheme="majorHAnsi"/>
          <w:color w:val="000000"/>
          <w:shd w:val="clear" w:color="auto" w:fill="FFFFFF"/>
        </w:rPr>
        <w:t>/or their legitimate uses)</w:t>
      </w:r>
      <w:r w:rsidR="000B52CB" w:rsidRPr="00A42498">
        <w:rPr>
          <w:rStyle w:val="eop"/>
          <w:rFonts w:asciiTheme="majorHAnsi" w:hAnsiTheme="majorHAnsi" w:cstheme="majorHAnsi"/>
          <w:color w:val="000000"/>
          <w:shd w:val="clear" w:color="auto" w:fill="FFFFFF"/>
        </w:rPr>
        <w:t xml:space="preserve">. </w:t>
      </w:r>
    </w:p>
    <w:p w14:paraId="35FEF53C" w14:textId="4F385441" w:rsidR="00003B68" w:rsidRPr="00003B68" w:rsidRDefault="00003B68" w:rsidP="00003B68">
      <w:pPr>
        <w:pStyle w:val="Heading4"/>
        <w:rPr>
          <w:rStyle w:val="eop"/>
        </w:rPr>
      </w:pPr>
      <w:r w:rsidRPr="00003B68">
        <w:rPr>
          <w:rStyle w:val="eop"/>
        </w:rPr>
        <w:t>Trends in offences using prohibited and controlled weapons</w:t>
      </w:r>
    </w:p>
    <w:p w14:paraId="70A139EC" w14:textId="584165A4" w:rsidR="00FB0D7B" w:rsidRPr="00A42498" w:rsidRDefault="001E1674" w:rsidP="00590970">
      <w:pPr>
        <w:rPr>
          <w:rStyle w:val="eop"/>
          <w:rFonts w:asciiTheme="majorHAnsi" w:hAnsiTheme="majorHAnsi" w:cstheme="majorHAnsi"/>
          <w:color w:val="000000"/>
          <w:shd w:val="clear" w:color="auto" w:fill="FFFFFF"/>
        </w:rPr>
      </w:pPr>
      <w:r>
        <w:rPr>
          <w:rStyle w:val="eop"/>
          <w:rFonts w:asciiTheme="majorHAnsi" w:hAnsiTheme="majorHAnsi" w:cstheme="majorHAnsi"/>
          <w:color w:val="000000"/>
          <w:shd w:val="clear" w:color="auto" w:fill="FFFFFF"/>
        </w:rPr>
        <w:t>Recorded o</w:t>
      </w:r>
      <w:r w:rsidR="00CC42B0">
        <w:rPr>
          <w:rStyle w:val="eop"/>
          <w:rFonts w:asciiTheme="majorHAnsi" w:hAnsiTheme="majorHAnsi" w:cstheme="majorHAnsi"/>
          <w:color w:val="000000"/>
          <w:shd w:val="clear" w:color="auto" w:fill="FFFFFF"/>
        </w:rPr>
        <w:t>ffences involving</w:t>
      </w:r>
      <w:r w:rsidR="00BC1AC9" w:rsidRPr="00A42498">
        <w:rPr>
          <w:rStyle w:val="eop"/>
          <w:rFonts w:asciiTheme="majorHAnsi" w:hAnsiTheme="majorHAnsi" w:cstheme="majorHAnsi"/>
          <w:color w:val="000000"/>
          <w:shd w:val="clear" w:color="auto" w:fill="FFFFFF"/>
        </w:rPr>
        <w:t xml:space="preserve"> </w:t>
      </w:r>
      <w:r w:rsidR="006D6A9B" w:rsidRPr="2F4437B0">
        <w:rPr>
          <w:rStyle w:val="eop"/>
          <w:rFonts w:asciiTheme="majorHAnsi" w:hAnsiTheme="majorHAnsi" w:cstheme="majorBidi"/>
          <w:color w:val="000000"/>
          <w:shd w:val="clear" w:color="auto" w:fill="FFFFFF"/>
        </w:rPr>
        <w:t xml:space="preserve">use of prohibited and controlled weapons </w:t>
      </w:r>
      <w:r w:rsidR="007A4E24" w:rsidRPr="00A42498">
        <w:rPr>
          <w:rStyle w:val="eop"/>
          <w:rFonts w:asciiTheme="majorHAnsi" w:hAnsiTheme="majorHAnsi" w:cstheme="majorHAnsi"/>
          <w:color w:val="000000"/>
          <w:shd w:val="clear" w:color="auto" w:fill="FFFFFF"/>
        </w:rPr>
        <w:t>“</w:t>
      </w:r>
      <w:r w:rsidR="00BC1AC9" w:rsidRPr="00A42498">
        <w:rPr>
          <w:rStyle w:val="eop"/>
          <w:rFonts w:asciiTheme="majorHAnsi" w:hAnsiTheme="majorHAnsi" w:cstheme="majorHAnsi"/>
          <w:color w:val="000000"/>
          <w:shd w:val="clear" w:color="auto" w:fill="FFFFFF"/>
        </w:rPr>
        <w:t xml:space="preserve">without an exemption </w:t>
      </w:r>
      <w:r w:rsidR="00B80FF3">
        <w:rPr>
          <w:rStyle w:val="eop"/>
          <w:rFonts w:asciiTheme="majorHAnsi" w:hAnsiTheme="majorHAnsi" w:cstheme="majorHAnsi"/>
          <w:color w:val="000000"/>
          <w:shd w:val="clear" w:color="auto" w:fill="FFFFFF"/>
        </w:rPr>
        <w:t xml:space="preserve">or approval </w:t>
      </w:r>
      <w:r w:rsidR="00BC1AC9" w:rsidRPr="00A42498">
        <w:rPr>
          <w:rStyle w:val="eop"/>
          <w:rFonts w:asciiTheme="majorHAnsi" w:hAnsiTheme="majorHAnsi" w:cstheme="majorHAnsi"/>
          <w:color w:val="000000"/>
          <w:shd w:val="clear" w:color="auto" w:fill="FFFFFF"/>
        </w:rPr>
        <w:t>or exc</w:t>
      </w:r>
      <w:r w:rsidR="000E3C33" w:rsidRPr="00A42498">
        <w:rPr>
          <w:rStyle w:val="eop"/>
          <w:rFonts w:asciiTheme="majorHAnsi" w:hAnsiTheme="majorHAnsi" w:cstheme="majorHAnsi"/>
          <w:color w:val="000000"/>
          <w:shd w:val="clear" w:color="auto" w:fill="FFFFFF"/>
        </w:rPr>
        <w:t>use</w:t>
      </w:r>
      <w:r w:rsidR="007A4E24" w:rsidRPr="00A42498">
        <w:rPr>
          <w:rStyle w:val="eop"/>
          <w:rFonts w:asciiTheme="majorHAnsi" w:hAnsiTheme="majorHAnsi" w:cstheme="majorHAnsi"/>
          <w:color w:val="000000"/>
          <w:shd w:val="clear" w:color="auto" w:fill="FFFFFF"/>
        </w:rPr>
        <w:t>”</w:t>
      </w:r>
      <w:r w:rsidR="00796128" w:rsidRPr="00A42498">
        <w:rPr>
          <w:rStyle w:val="eop"/>
          <w:rFonts w:asciiTheme="majorHAnsi" w:hAnsiTheme="majorHAnsi" w:cstheme="majorHAnsi"/>
          <w:color w:val="000000"/>
          <w:shd w:val="clear" w:color="auto" w:fill="FFFFFF"/>
        </w:rPr>
        <w:t xml:space="preserve"> (the formal definition of the relevant offence)</w:t>
      </w:r>
      <w:r w:rsidR="000E3C33" w:rsidRPr="00A42498">
        <w:rPr>
          <w:rStyle w:val="eop"/>
          <w:rFonts w:asciiTheme="majorHAnsi" w:hAnsiTheme="majorHAnsi" w:cstheme="majorHAnsi"/>
          <w:color w:val="000000"/>
          <w:shd w:val="clear" w:color="auto" w:fill="FFFFFF"/>
        </w:rPr>
        <w:t xml:space="preserve"> can be used as a proxy to estimate the prevalence of weapons usage</w:t>
      </w:r>
      <w:r w:rsidR="00F200B3" w:rsidRPr="00A42498">
        <w:rPr>
          <w:rStyle w:val="eop"/>
          <w:rFonts w:asciiTheme="majorHAnsi" w:hAnsiTheme="majorHAnsi" w:cstheme="majorHAnsi"/>
          <w:color w:val="000000"/>
          <w:shd w:val="clear" w:color="auto" w:fill="FFFFFF"/>
        </w:rPr>
        <w:t xml:space="preserve"> in the community</w:t>
      </w:r>
      <w:r w:rsidR="000E3C33" w:rsidRPr="00A42498">
        <w:rPr>
          <w:rStyle w:val="eop"/>
          <w:rFonts w:asciiTheme="majorHAnsi" w:hAnsiTheme="majorHAnsi" w:cstheme="majorHAnsi"/>
          <w:color w:val="000000"/>
          <w:shd w:val="clear" w:color="auto" w:fill="FFFFFF"/>
        </w:rPr>
        <w:t xml:space="preserve">. </w:t>
      </w:r>
      <w:r w:rsidR="00DA055A" w:rsidRPr="00A42498">
        <w:rPr>
          <w:rStyle w:val="eop"/>
          <w:rFonts w:asciiTheme="majorHAnsi" w:hAnsiTheme="majorHAnsi" w:cstheme="majorHAnsi"/>
          <w:color w:val="000000"/>
          <w:shd w:val="clear" w:color="auto" w:fill="FFFFFF"/>
        </w:rPr>
        <w:t>On average over the past decade</w:t>
      </w:r>
      <w:r w:rsidR="0055118C" w:rsidRPr="00A42498">
        <w:rPr>
          <w:rStyle w:val="eop"/>
          <w:rFonts w:asciiTheme="majorHAnsi" w:hAnsiTheme="majorHAnsi" w:cstheme="majorHAnsi"/>
          <w:color w:val="000000"/>
          <w:shd w:val="clear" w:color="auto" w:fill="FFFFFF"/>
        </w:rPr>
        <w:t>,</w:t>
      </w:r>
      <w:r w:rsidR="003E66FF">
        <w:rPr>
          <w:rStyle w:val="eop"/>
          <w:rFonts w:asciiTheme="majorHAnsi" w:hAnsiTheme="majorHAnsi" w:cstheme="majorHAnsi"/>
          <w:color w:val="000000"/>
          <w:shd w:val="clear" w:color="auto" w:fill="FFFFFF"/>
        </w:rPr>
        <w:t xml:space="preserve"> ABS data show that</w:t>
      </w:r>
      <w:r w:rsidR="0055118C" w:rsidRPr="00A42498">
        <w:rPr>
          <w:rStyle w:val="eop"/>
          <w:rFonts w:asciiTheme="majorHAnsi" w:hAnsiTheme="majorHAnsi" w:cstheme="majorHAnsi"/>
          <w:color w:val="000000"/>
          <w:shd w:val="clear" w:color="auto" w:fill="FFFFFF"/>
        </w:rPr>
        <w:t xml:space="preserve"> </w:t>
      </w:r>
      <w:r w:rsidR="001D53B6" w:rsidRPr="00A42498">
        <w:rPr>
          <w:rStyle w:val="eop"/>
          <w:rFonts w:asciiTheme="majorHAnsi" w:hAnsiTheme="majorHAnsi" w:cstheme="majorHAnsi"/>
          <w:color w:val="000000"/>
          <w:shd w:val="clear" w:color="auto" w:fill="FFFFFF"/>
        </w:rPr>
        <w:t xml:space="preserve">controlled </w:t>
      </w:r>
      <w:r w:rsidR="003E1342" w:rsidRPr="00A42498">
        <w:rPr>
          <w:rStyle w:val="eop"/>
          <w:rFonts w:asciiTheme="majorHAnsi" w:hAnsiTheme="majorHAnsi" w:cstheme="majorHAnsi"/>
          <w:color w:val="000000"/>
          <w:shd w:val="clear" w:color="auto" w:fill="FFFFFF"/>
        </w:rPr>
        <w:t xml:space="preserve">weapons </w:t>
      </w:r>
      <w:r w:rsidR="001D53B6" w:rsidRPr="00A42498">
        <w:rPr>
          <w:rStyle w:val="eop"/>
          <w:rFonts w:asciiTheme="majorHAnsi" w:hAnsiTheme="majorHAnsi" w:cstheme="majorHAnsi"/>
          <w:color w:val="000000"/>
          <w:shd w:val="clear" w:color="auto" w:fill="FFFFFF"/>
        </w:rPr>
        <w:t>are</w:t>
      </w:r>
      <w:r w:rsidR="003E1342" w:rsidRPr="00A42498">
        <w:rPr>
          <w:rStyle w:val="eop"/>
          <w:rFonts w:asciiTheme="majorHAnsi" w:hAnsiTheme="majorHAnsi" w:cstheme="majorHAnsi"/>
          <w:color w:val="000000"/>
          <w:shd w:val="clear" w:color="auto" w:fill="FFFFFF"/>
        </w:rPr>
        <w:t xml:space="preserve"> used </w:t>
      </w:r>
      <w:r w:rsidR="006F36A8" w:rsidRPr="00A42498">
        <w:rPr>
          <w:rStyle w:val="eop"/>
          <w:rFonts w:asciiTheme="majorHAnsi" w:hAnsiTheme="majorHAnsi" w:cstheme="majorHAnsi"/>
          <w:color w:val="000000"/>
          <w:shd w:val="clear" w:color="auto" w:fill="FFFFFF"/>
        </w:rPr>
        <w:t xml:space="preserve">without an excuse </w:t>
      </w:r>
      <w:r w:rsidR="001D53B6" w:rsidRPr="00A42498">
        <w:rPr>
          <w:rStyle w:val="eop"/>
          <w:rFonts w:asciiTheme="majorHAnsi" w:hAnsiTheme="majorHAnsi" w:cstheme="majorHAnsi"/>
          <w:color w:val="000000"/>
          <w:shd w:val="clear" w:color="auto" w:fill="FFFFFF"/>
        </w:rPr>
        <w:t>over 100 times annually</w:t>
      </w:r>
      <w:r w:rsidR="003D4AEB" w:rsidRPr="00A42498">
        <w:rPr>
          <w:rStyle w:val="eop"/>
          <w:rFonts w:asciiTheme="majorHAnsi" w:hAnsiTheme="majorHAnsi" w:cstheme="majorHAnsi"/>
          <w:color w:val="000000"/>
          <w:shd w:val="clear" w:color="auto" w:fill="FFFFFF"/>
        </w:rPr>
        <w:t xml:space="preserve"> (</w:t>
      </w:r>
      <w:r w:rsidR="003D4AEB" w:rsidRPr="00A42498">
        <w:rPr>
          <w:rStyle w:val="eop"/>
          <w:rFonts w:asciiTheme="majorHAnsi" w:hAnsiTheme="majorHAnsi" w:cstheme="majorHAnsi"/>
          <w:color w:val="000000"/>
          <w:shd w:val="clear" w:color="auto" w:fill="FFFFFF"/>
        </w:rPr>
        <w:fldChar w:fldCharType="begin"/>
      </w:r>
      <w:r w:rsidR="003D4AEB" w:rsidRPr="00A42498">
        <w:rPr>
          <w:rStyle w:val="eop"/>
          <w:rFonts w:asciiTheme="majorHAnsi" w:hAnsiTheme="majorHAnsi" w:cstheme="majorHAnsi"/>
          <w:color w:val="000000"/>
          <w:shd w:val="clear" w:color="auto" w:fill="FFFFFF"/>
        </w:rPr>
        <w:instrText xml:space="preserve"> REF _Ref69918386 \r \h  \* MERGEFORMAT </w:instrText>
      </w:r>
      <w:r w:rsidR="003D4AEB" w:rsidRPr="00A42498">
        <w:rPr>
          <w:rStyle w:val="eop"/>
          <w:rFonts w:asciiTheme="majorHAnsi" w:hAnsiTheme="majorHAnsi" w:cstheme="majorHAnsi"/>
          <w:color w:val="000000"/>
          <w:shd w:val="clear" w:color="auto" w:fill="FFFFFF"/>
        </w:rPr>
      </w:r>
      <w:r w:rsidR="003D4AEB" w:rsidRPr="00A42498">
        <w:rPr>
          <w:rStyle w:val="eop"/>
          <w:rFonts w:asciiTheme="majorHAnsi" w:hAnsiTheme="majorHAnsi" w:cstheme="majorHAnsi"/>
          <w:color w:val="000000"/>
          <w:shd w:val="clear" w:color="auto" w:fill="FFFFFF"/>
        </w:rPr>
        <w:fldChar w:fldCharType="separate"/>
      </w:r>
      <w:r w:rsidR="008C066F">
        <w:rPr>
          <w:rStyle w:val="eop"/>
          <w:rFonts w:asciiTheme="majorHAnsi" w:hAnsiTheme="majorHAnsi" w:cstheme="majorHAnsi"/>
          <w:color w:val="000000"/>
          <w:shd w:val="clear" w:color="auto" w:fill="FFFFFF"/>
        </w:rPr>
        <w:t>Chart 2.1</w:t>
      </w:r>
      <w:r w:rsidR="003D4AEB" w:rsidRPr="00A42498">
        <w:rPr>
          <w:rStyle w:val="eop"/>
          <w:rFonts w:asciiTheme="majorHAnsi" w:hAnsiTheme="majorHAnsi" w:cstheme="majorHAnsi"/>
          <w:color w:val="000000"/>
          <w:shd w:val="clear" w:color="auto" w:fill="FFFFFF"/>
        </w:rPr>
        <w:fldChar w:fldCharType="end"/>
      </w:r>
      <w:r w:rsidR="003D4AEB" w:rsidRPr="00A42498">
        <w:rPr>
          <w:rStyle w:val="eop"/>
          <w:rFonts w:asciiTheme="majorHAnsi" w:hAnsiTheme="majorHAnsi" w:cstheme="majorHAnsi"/>
          <w:color w:val="000000"/>
          <w:shd w:val="clear" w:color="auto" w:fill="FFFFFF"/>
        </w:rPr>
        <w:t>)</w:t>
      </w:r>
      <w:r w:rsidR="001D53B6" w:rsidRPr="00A42498">
        <w:rPr>
          <w:rStyle w:val="eop"/>
          <w:rFonts w:asciiTheme="majorHAnsi" w:hAnsiTheme="majorHAnsi" w:cstheme="majorHAnsi"/>
          <w:color w:val="000000"/>
          <w:shd w:val="clear" w:color="auto" w:fill="FFFFFF"/>
        </w:rPr>
        <w:t xml:space="preserve">. For prohibited weapons, </w:t>
      </w:r>
      <w:r w:rsidR="003D4AEB" w:rsidRPr="00A42498">
        <w:rPr>
          <w:rStyle w:val="eop"/>
          <w:rFonts w:asciiTheme="majorHAnsi" w:hAnsiTheme="majorHAnsi" w:cstheme="majorHAnsi"/>
          <w:color w:val="000000"/>
          <w:shd w:val="clear" w:color="auto" w:fill="FFFFFF"/>
        </w:rPr>
        <w:t xml:space="preserve">usage without an exemption </w:t>
      </w:r>
      <w:r w:rsidR="006D2252">
        <w:rPr>
          <w:rStyle w:val="eop"/>
          <w:rFonts w:asciiTheme="majorHAnsi" w:hAnsiTheme="majorHAnsi" w:cstheme="majorHAnsi"/>
          <w:color w:val="000000"/>
          <w:shd w:val="clear" w:color="auto" w:fill="FFFFFF"/>
        </w:rPr>
        <w:t xml:space="preserve">or approval </w:t>
      </w:r>
      <w:r w:rsidR="003D4AEB" w:rsidRPr="00A42498">
        <w:rPr>
          <w:rStyle w:val="eop"/>
          <w:rFonts w:asciiTheme="majorHAnsi" w:hAnsiTheme="majorHAnsi" w:cstheme="majorHAnsi"/>
          <w:color w:val="000000"/>
          <w:shd w:val="clear" w:color="auto" w:fill="FFFFFF"/>
        </w:rPr>
        <w:t xml:space="preserve">occurs 33 times yearly. </w:t>
      </w:r>
      <w:r w:rsidR="0064245A" w:rsidRPr="00A42498">
        <w:rPr>
          <w:rStyle w:val="eop"/>
          <w:rFonts w:asciiTheme="majorHAnsi" w:hAnsiTheme="majorHAnsi" w:cstheme="majorHAnsi"/>
          <w:color w:val="000000"/>
          <w:shd w:val="clear" w:color="auto" w:fill="FFFFFF"/>
        </w:rPr>
        <w:t xml:space="preserve">By definition, </w:t>
      </w:r>
      <w:r w:rsidR="00095692" w:rsidRPr="00A42498" w:rsidDel="003149D6">
        <w:rPr>
          <w:rStyle w:val="eop"/>
          <w:rFonts w:asciiTheme="majorHAnsi" w:hAnsiTheme="majorHAnsi" w:cstheme="majorHAnsi"/>
          <w:color w:val="000000"/>
          <w:shd w:val="clear" w:color="auto" w:fill="FFFFFF"/>
        </w:rPr>
        <w:t>t</w:t>
      </w:r>
      <w:r w:rsidR="00095692" w:rsidRPr="00A42498">
        <w:rPr>
          <w:rStyle w:val="eop"/>
          <w:rFonts w:asciiTheme="majorHAnsi" w:hAnsiTheme="majorHAnsi" w:cstheme="majorHAnsi"/>
          <w:color w:val="000000"/>
          <w:shd w:val="clear" w:color="auto" w:fill="FFFFFF"/>
        </w:rPr>
        <w:t>hese</w:t>
      </w:r>
      <w:r w:rsidR="00C723A2" w:rsidRPr="00A42498">
        <w:rPr>
          <w:rStyle w:val="eop"/>
          <w:rFonts w:asciiTheme="majorHAnsi" w:hAnsiTheme="majorHAnsi" w:cstheme="majorHAnsi"/>
          <w:color w:val="000000"/>
          <w:shd w:val="clear" w:color="auto" w:fill="FFFFFF"/>
        </w:rPr>
        <w:t xml:space="preserve"> statistics </w:t>
      </w:r>
      <w:r w:rsidR="0064245A" w:rsidRPr="00A42498">
        <w:rPr>
          <w:rStyle w:val="eop"/>
          <w:rFonts w:asciiTheme="majorHAnsi" w:hAnsiTheme="majorHAnsi" w:cstheme="majorHAnsi"/>
          <w:color w:val="000000"/>
          <w:shd w:val="clear" w:color="auto" w:fill="FFFFFF"/>
        </w:rPr>
        <w:t>do not</w:t>
      </w:r>
      <w:r w:rsidR="00C723A2" w:rsidRPr="00A42498">
        <w:rPr>
          <w:rStyle w:val="eop"/>
          <w:rFonts w:asciiTheme="majorHAnsi" w:hAnsiTheme="majorHAnsi" w:cstheme="majorHAnsi"/>
          <w:color w:val="000000"/>
          <w:shd w:val="clear" w:color="auto" w:fill="FFFFFF"/>
        </w:rPr>
        <w:t xml:space="preserve"> reflect instances where</w:t>
      </w:r>
      <w:r w:rsidR="00AD3B15" w:rsidRPr="00A42498">
        <w:rPr>
          <w:rStyle w:val="eop"/>
          <w:rFonts w:asciiTheme="majorHAnsi" w:hAnsiTheme="majorHAnsi" w:cstheme="majorHAnsi"/>
          <w:color w:val="000000"/>
          <w:shd w:val="clear" w:color="auto" w:fill="FFFFFF"/>
        </w:rPr>
        <w:t xml:space="preserve"> </w:t>
      </w:r>
      <w:r w:rsidR="00AA570D" w:rsidRPr="00A42498">
        <w:rPr>
          <w:rStyle w:val="eop"/>
          <w:rFonts w:asciiTheme="majorHAnsi" w:hAnsiTheme="majorHAnsi" w:cstheme="majorHAnsi"/>
          <w:color w:val="000000"/>
          <w:shd w:val="clear" w:color="auto" w:fill="FFFFFF"/>
        </w:rPr>
        <w:t xml:space="preserve">unlawful </w:t>
      </w:r>
      <w:r w:rsidR="00AD3B15" w:rsidRPr="00A42498">
        <w:rPr>
          <w:rStyle w:val="eop"/>
          <w:rFonts w:asciiTheme="majorHAnsi" w:hAnsiTheme="majorHAnsi" w:cstheme="majorHAnsi"/>
          <w:color w:val="000000"/>
          <w:shd w:val="clear" w:color="auto" w:fill="FFFFFF"/>
        </w:rPr>
        <w:t>weapons</w:t>
      </w:r>
      <w:r w:rsidR="00C723A2" w:rsidRPr="00A42498">
        <w:rPr>
          <w:rStyle w:val="eop"/>
          <w:rFonts w:asciiTheme="majorHAnsi" w:hAnsiTheme="majorHAnsi" w:cstheme="majorHAnsi"/>
          <w:color w:val="000000"/>
          <w:shd w:val="clear" w:color="auto" w:fill="FFFFFF"/>
        </w:rPr>
        <w:t xml:space="preserve"> </w:t>
      </w:r>
      <w:r w:rsidR="00AA570D" w:rsidRPr="00A42498">
        <w:rPr>
          <w:rStyle w:val="eop"/>
          <w:rFonts w:asciiTheme="majorHAnsi" w:hAnsiTheme="majorHAnsi" w:cstheme="majorHAnsi"/>
          <w:color w:val="000000"/>
          <w:shd w:val="clear" w:color="auto" w:fill="FFFFFF"/>
        </w:rPr>
        <w:t xml:space="preserve">use is not </w:t>
      </w:r>
      <w:r w:rsidR="00C723A2" w:rsidRPr="00A42498">
        <w:rPr>
          <w:rStyle w:val="eop"/>
          <w:rFonts w:asciiTheme="majorHAnsi" w:hAnsiTheme="majorHAnsi" w:cstheme="majorHAnsi"/>
          <w:color w:val="000000"/>
          <w:shd w:val="clear" w:color="auto" w:fill="FFFFFF"/>
        </w:rPr>
        <w:t>detected</w:t>
      </w:r>
      <w:r w:rsidR="00AA570D" w:rsidRPr="00A42498">
        <w:rPr>
          <w:rStyle w:val="eop"/>
          <w:rFonts w:asciiTheme="majorHAnsi" w:hAnsiTheme="majorHAnsi" w:cstheme="majorHAnsi"/>
          <w:color w:val="000000"/>
          <w:shd w:val="clear" w:color="auto" w:fill="FFFFFF"/>
        </w:rPr>
        <w:t xml:space="preserve">, </w:t>
      </w:r>
      <w:r w:rsidR="00C723A2" w:rsidRPr="00A42498">
        <w:rPr>
          <w:rStyle w:val="eop"/>
          <w:rFonts w:asciiTheme="majorHAnsi" w:hAnsiTheme="majorHAnsi" w:cstheme="majorHAnsi"/>
          <w:color w:val="000000"/>
          <w:shd w:val="clear" w:color="auto" w:fill="FFFFFF"/>
        </w:rPr>
        <w:t xml:space="preserve">and therefore </w:t>
      </w:r>
      <w:r w:rsidR="00DE3FE6" w:rsidRPr="00A42498">
        <w:rPr>
          <w:rStyle w:val="eop"/>
          <w:rFonts w:asciiTheme="majorHAnsi" w:hAnsiTheme="majorHAnsi" w:cstheme="majorHAnsi"/>
          <w:color w:val="000000"/>
          <w:shd w:val="clear" w:color="auto" w:fill="FFFFFF"/>
        </w:rPr>
        <w:t xml:space="preserve">it </w:t>
      </w:r>
      <w:r w:rsidR="00A323D0" w:rsidRPr="00A42498">
        <w:rPr>
          <w:rStyle w:val="eop"/>
          <w:rFonts w:asciiTheme="majorHAnsi" w:hAnsiTheme="majorHAnsi" w:cstheme="majorHAnsi"/>
          <w:color w:val="000000"/>
          <w:shd w:val="clear" w:color="auto" w:fill="FFFFFF"/>
        </w:rPr>
        <w:t>is like</w:t>
      </w:r>
      <w:r w:rsidR="00E7791E" w:rsidRPr="00A42498">
        <w:rPr>
          <w:rStyle w:val="eop"/>
          <w:rFonts w:asciiTheme="majorHAnsi" w:hAnsiTheme="majorHAnsi" w:cstheme="majorHAnsi"/>
          <w:color w:val="000000"/>
          <w:shd w:val="clear" w:color="auto" w:fill="FFFFFF"/>
        </w:rPr>
        <w:t>l</w:t>
      </w:r>
      <w:r w:rsidR="00A323D0" w:rsidRPr="00A42498">
        <w:rPr>
          <w:rStyle w:val="eop"/>
          <w:rFonts w:asciiTheme="majorHAnsi" w:hAnsiTheme="majorHAnsi" w:cstheme="majorHAnsi"/>
          <w:color w:val="000000"/>
          <w:shd w:val="clear" w:color="auto" w:fill="FFFFFF"/>
        </w:rPr>
        <w:t>y</w:t>
      </w:r>
      <w:r w:rsidR="00E7791E" w:rsidRPr="00A42498">
        <w:rPr>
          <w:rStyle w:val="eop"/>
          <w:rFonts w:asciiTheme="majorHAnsi" w:hAnsiTheme="majorHAnsi" w:cstheme="majorHAnsi"/>
          <w:color w:val="000000"/>
          <w:shd w:val="clear" w:color="auto" w:fill="FFFFFF"/>
        </w:rPr>
        <w:t xml:space="preserve"> t</w:t>
      </w:r>
      <w:r w:rsidR="00DE3FE6" w:rsidRPr="00A42498">
        <w:rPr>
          <w:rStyle w:val="eop"/>
          <w:rFonts w:asciiTheme="majorHAnsi" w:hAnsiTheme="majorHAnsi" w:cstheme="majorHAnsi"/>
          <w:color w:val="000000"/>
          <w:shd w:val="clear" w:color="auto" w:fill="FFFFFF"/>
        </w:rPr>
        <w:t xml:space="preserve">hat </w:t>
      </w:r>
      <w:r w:rsidR="00AA570D" w:rsidRPr="00A42498">
        <w:rPr>
          <w:rStyle w:val="eop"/>
          <w:rFonts w:asciiTheme="majorHAnsi" w:hAnsiTheme="majorHAnsi" w:cstheme="majorHAnsi"/>
          <w:color w:val="000000"/>
          <w:shd w:val="clear" w:color="auto" w:fill="FFFFFF"/>
        </w:rPr>
        <w:t xml:space="preserve">the </w:t>
      </w:r>
      <w:r w:rsidR="00DE3FE6" w:rsidRPr="00A42498">
        <w:rPr>
          <w:rStyle w:val="eop"/>
          <w:rFonts w:asciiTheme="majorHAnsi" w:hAnsiTheme="majorHAnsi" w:cstheme="majorHAnsi"/>
          <w:color w:val="000000"/>
          <w:shd w:val="clear" w:color="auto" w:fill="FFFFFF"/>
        </w:rPr>
        <w:t>actual use</w:t>
      </w:r>
      <w:r w:rsidR="00A424B9" w:rsidRPr="00A42498">
        <w:rPr>
          <w:rStyle w:val="eop"/>
          <w:rFonts w:asciiTheme="majorHAnsi" w:hAnsiTheme="majorHAnsi" w:cstheme="majorHAnsi"/>
          <w:color w:val="000000"/>
          <w:shd w:val="clear" w:color="auto" w:fill="FFFFFF"/>
        </w:rPr>
        <w:t xml:space="preserve"> of weapons</w:t>
      </w:r>
      <w:r w:rsidR="00DE3FE6" w:rsidRPr="00A42498">
        <w:rPr>
          <w:rStyle w:val="eop"/>
          <w:rFonts w:asciiTheme="majorHAnsi" w:hAnsiTheme="majorHAnsi" w:cstheme="majorHAnsi"/>
          <w:color w:val="000000"/>
          <w:shd w:val="clear" w:color="auto" w:fill="FFFFFF"/>
        </w:rPr>
        <w:t xml:space="preserve"> </w:t>
      </w:r>
      <w:r w:rsidR="00730437" w:rsidRPr="00A42498">
        <w:rPr>
          <w:rStyle w:val="eop"/>
          <w:rFonts w:asciiTheme="majorHAnsi" w:hAnsiTheme="majorHAnsi" w:cstheme="majorHAnsi"/>
          <w:color w:val="000000"/>
          <w:shd w:val="clear" w:color="auto" w:fill="FFFFFF"/>
        </w:rPr>
        <w:t>without</w:t>
      </w:r>
      <w:r w:rsidR="00DE3FE6" w:rsidRPr="00A42498">
        <w:rPr>
          <w:rStyle w:val="eop"/>
          <w:rFonts w:asciiTheme="majorHAnsi" w:hAnsiTheme="majorHAnsi" w:cstheme="majorHAnsi"/>
          <w:color w:val="000000"/>
          <w:shd w:val="clear" w:color="auto" w:fill="FFFFFF"/>
        </w:rPr>
        <w:t xml:space="preserve"> an excuse or exemption</w:t>
      </w:r>
      <w:r w:rsidR="006D2252">
        <w:rPr>
          <w:rStyle w:val="eop"/>
          <w:rFonts w:asciiTheme="majorHAnsi" w:hAnsiTheme="majorHAnsi" w:cstheme="majorHAnsi"/>
          <w:color w:val="000000"/>
          <w:shd w:val="clear" w:color="auto" w:fill="FFFFFF"/>
        </w:rPr>
        <w:t>/approval</w:t>
      </w:r>
      <w:r w:rsidR="00E7791E" w:rsidRPr="00A42498">
        <w:rPr>
          <w:rStyle w:val="eop"/>
          <w:rFonts w:asciiTheme="majorHAnsi" w:hAnsiTheme="majorHAnsi" w:cstheme="majorHAnsi"/>
          <w:color w:val="000000"/>
          <w:shd w:val="clear" w:color="auto" w:fill="FFFFFF"/>
        </w:rPr>
        <w:t xml:space="preserve"> is </w:t>
      </w:r>
      <w:r w:rsidR="009531C6" w:rsidRPr="00A42498">
        <w:rPr>
          <w:rStyle w:val="eop"/>
          <w:rFonts w:asciiTheme="majorHAnsi" w:hAnsiTheme="majorHAnsi" w:cstheme="majorHAnsi"/>
          <w:color w:val="000000"/>
          <w:shd w:val="clear" w:color="auto" w:fill="FFFFFF"/>
        </w:rPr>
        <w:t>significantly</w:t>
      </w:r>
      <w:r w:rsidR="00E7791E" w:rsidRPr="00A42498">
        <w:rPr>
          <w:rStyle w:val="eop"/>
          <w:rFonts w:asciiTheme="majorHAnsi" w:hAnsiTheme="majorHAnsi" w:cstheme="majorHAnsi"/>
          <w:color w:val="000000"/>
          <w:shd w:val="clear" w:color="auto" w:fill="FFFFFF"/>
        </w:rPr>
        <w:t xml:space="preserve"> highe</w:t>
      </w:r>
      <w:r w:rsidR="009531C6" w:rsidRPr="00A42498">
        <w:rPr>
          <w:rStyle w:val="eop"/>
          <w:rFonts w:asciiTheme="majorHAnsi" w:hAnsiTheme="majorHAnsi" w:cstheme="majorHAnsi"/>
          <w:color w:val="000000"/>
          <w:shd w:val="clear" w:color="auto" w:fill="FFFFFF"/>
        </w:rPr>
        <w:t>r</w:t>
      </w:r>
      <w:r w:rsidR="00E7791E" w:rsidRPr="00A42498">
        <w:rPr>
          <w:rStyle w:val="eop"/>
          <w:rFonts w:asciiTheme="majorHAnsi" w:hAnsiTheme="majorHAnsi" w:cstheme="majorHAnsi"/>
          <w:color w:val="000000"/>
          <w:shd w:val="clear" w:color="auto" w:fill="FFFFFF"/>
        </w:rPr>
        <w:t>.</w:t>
      </w:r>
      <w:r w:rsidR="00C723A2" w:rsidRPr="00A42498">
        <w:rPr>
          <w:rStyle w:val="eop"/>
          <w:rFonts w:asciiTheme="majorHAnsi" w:hAnsiTheme="majorHAnsi" w:cstheme="majorHAnsi"/>
          <w:color w:val="000000"/>
          <w:shd w:val="clear" w:color="auto" w:fill="FFFFFF"/>
        </w:rPr>
        <w:t xml:space="preserve"> </w:t>
      </w:r>
      <w:r w:rsidR="009973EE" w:rsidRPr="00A42498">
        <w:rPr>
          <w:rStyle w:val="eop"/>
          <w:rFonts w:asciiTheme="majorHAnsi" w:hAnsiTheme="majorHAnsi" w:cstheme="majorHAnsi"/>
          <w:color w:val="000000"/>
          <w:shd w:val="clear" w:color="auto" w:fill="FFFFFF"/>
        </w:rPr>
        <w:t>This demonstrates the need for appropriate mechanisms to police the usage of weapons</w:t>
      </w:r>
      <w:r w:rsidR="009A3D4B" w:rsidRPr="00A42498">
        <w:rPr>
          <w:rStyle w:val="eop"/>
          <w:rFonts w:asciiTheme="majorHAnsi" w:hAnsiTheme="majorHAnsi" w:cstheme="majorHAnsi"/>
          <w:color w:val="000000"/>
          <w:shd w:val="clear" w:color="auto" w:fill="FFFFFF"/>
        </w:rPr>
        <w:t>, w</w:t>
      </w:r>
      <w:r w:rsidR="001346A1" w:rsidRPr="00A42498">
        <w:rPr>
          <w:rStyle w:val="eop"/>
          <w:rFonts w:asciiTheme="majorHAnsi" w:hAnsiTheme="majorHAnsi" w:cstheme="majorHAnsi"/>
          <w:color w:val="000000"/>
          <w:shd w:val="clear" w:color="auto" w:fill="FFFFFF"/>
        </w:rPr>
        <w:t xml:space="preserve">ithout which harm </w:t>
      </w:r>
      <w:r w:rsidR="00ED4ABF" w:rsidRPr="00A42498">
        <w:rPr>
          <w:rStyle w:val="eop"/>
          <w:rFonts w:asciiTheme="majorHAnsi" w:hAnsiTheme="majorHAnsi" w:cstheme="majorHAnsi"/>
          <w:color w:val="000000"/>
          <w:shd w:val="clear" w:color="auto" w:fill="FFFFFF"/>
        </w:rPr>
        <w:t>may</w:t>
      </w:r>
      <w:r w:rsidR="001346A1" w:rsidRPr="00A42498">
        <w:rPr>
          <w:rStyle w:val="eop"/>
          <w:rFonts w:asciiTheme="majorHAnsi" w:hAnsiTheme="majorHAnsi" w:cstheme="majorHAnsi"/>
          <w:color w:val="000000"/>
          <w:shd w:val="clear" w:color="auto" w:fill="FFFFFF"/>
        </w:rPr>
        <w:t xml:space="preserve"> have </w:t>
      </w:r>
      <w:r w:rsidR="003E6745" w:rsidRPr="00A42498">
        <w:rPr>
          <w:rStyle w:val="eop"/>
          <w:rFonts w:asciiTheme="majorHAnsi" w:hAnsiTheme="majorHAnsi" w:cstheme="majorHAnsi"/>
          <w:color w:val="000000"/>
          <w:shd w:val="clear" w:color="auto" w:fill="FFFFFF"/>
        </w:rPr>
        <w:t>occurred in these instances</w:t>
      </w:r>
      <w:r w:rsidR="009973EE" w:rsidRPr="00A42498">
        <w:rPr>
          <w:rStyle w:val="eop"/>
          <w:rFonts w:asciiTheme="majorHAnsi" w:hAnsiTheme="majorHAnsi" w:cstheme="majorHAnsi"/>
          <w:color w:val="000000"/>
          <w:shd w:val="clear" w:color="auto" w:fill="FFFFFF"/>
        </w:rPr>
        <w:t xml:space="preserve">. </w:t>
      </w:r>
      <w:r w:rsidR="00C54695" w:rsidRPr="00A42498">
        <w:rPr>
          <w:rStyle w:val="eop"/>
          <w:rFonts w:asciiTheme="majorHAnsi" w:hAnsiTheme="majorHAnsi" w:cstheme="majorHAnsi"/>
          <w:color w:val="000000"/>
          <w:shd w:val="clear" w:color="auto" w:fill="FFFFFF"/>
        </w:rPr>
        <w:t xml:space="preserve">To the extent that regulation and enforcement also creates a deterrent effect, in the absence of </w:t>
      </w:r>
      <w:r w:rsidR="006F1039" w:rsidRPr="00A42498">
        <w:rPr>
          <w:rStyle w:val="eop"/>
          <w:rFonts w:asciiTheme="majorHAnsi" w:hAnsiTheme="majorHAnsi" w:cstheme="majorHAnsi"/>
          <w:color w:val="000000"/>
          <w:shd w:val="clear" w:color="auto" w:fill="FFFFFF"/>
        </w:rPr>
        <w:t>the current Regulations the use of prohibited and controlled weapons would likely have been at least marginally higher.</w:t>
      </w:r>
    </w:p>
    <w:p w14:paraId="148FCB0C" w14:textId="5399F39B" w:rsidR="00C45849" w:rsidRPr="00A42498" w:rsidRDefault="00FA0EC6" w:rsidP="00C45849">
      <w:pPr>
        <w:pStyle w:val="CaptionChart"/>
        <w:rPr>
          <w:rStyle w:val="eop"/>
        </w:rPr>
      </w:pPr>
      <w:bookmarkStart w:id="37" w:name="_Ref69918386"/>
      <w:bookmarkStart w:id="38" w:name="_Toc70066708"/>
      <w:r>
        <w:rPr>
          <w:rStyle w:val="eop"/>
        </w:rPr>
        <w:t xml:space="preserve">  </w:t>
      </w:r>
      <w:r w:rsidR="00C45849" w:rsidRPr="2F4437B0">
        <w:rPr>
          <w:rStyle w:val="eop"/>
        </w:rPr>
        <w:t>Use of prohibited and controlled weapons without an exemption or approval or excuse in Victoria, 2011-2020</w:t>
      </w:r>
      <w:bookmarkEnd w:id="37"/>
      <w:bookmarkEnd w:id="38"/>
    </w:p>
    <w:p w14:paraId="40FABC02" w14:textId="002B0378" w:rsidR="000D2375" w:rsidRPr="00A42498" w:rsidRDefault="000A4B4F" w:rsidP="000D2375">
      <w:pPr>
        <w:pStyle w:val="Source"/>
        <w:rPr>
          <w:rStyle w:val="eop"/>
          <w:rFonts w:asciiTheme="majorHAnsi" w:hAnsiTheme="majorHAnsi" w:cstheme="majorHAnsi"/>
          <w:color w:val="000000"/>
          <w:shd w:val="clear" w:color="auto" w:fill="FFFFFF"/>
        </w:rPr>
      </w:pPr>
      <w:r w:rsidRPr="00A42498">
        <w:rPr>
          <w:noProof/>
        </w:rPr>
        <w:drawing>
          <wp:inline distT="0" distB="0" distL="0" distR="0" wp14:anchorId="0E6B72E6" wp14:editId="2678FB2B">
            <wp:extent cx="5529532" cy="2743200"/>
            <wp:effectExtent l="0" t="0" r="14605" b="0"/>
            <wp:docPr id="28" name="Chart 28">
              <a:extLst xmlns:a="http://schemas.openxmlformats.org/drawingml/2006/main">
                <a:ext uri="{FF2B5EF4-FFF2-40B4-BE49-F238E27FC236}">
                  <a16:creationId xmlns:a16="http://schemas.microsoft.com/office/drawing/2014/main" id="{C45F23FB-E561-4B22-A4A6-956EBF48A3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D2375" w:rsidRPr="00A42498">
        <w:t>Source: Crime Statistics Agency, 2020</w:t>
      </w:r>
      <w:r w:rsidR="000D2375" w:rsidRPr="00A42498">
        <w:rPr>
          <w:rStyle w:val="eop"/>
          <w:rFonts w:asciiTheme="majorHAnsi" w:hAnsiTheme="majorHAnsi" w:cstheme="majorHAnsi"/>
          <w:color w:val="000000"/>
          <w:shd w:val="clear" w:color="auto" w:fill="FFFFFF"/>
        </w:rPr>
        <w:t xml:space="preserve"> </w:t>
      </w:r>
    </w:p>
    <w:p w14:paraId="3CA5A836" w14:textId="38F0DFA3" w:rsidR="0039113A" w:rsidRPr="0039113A" w:rsidRDefault="0039113A" w:rsidP="0039113A">
      <w:pPr>
        <w:pStyle w:val="Heading4"/>
        <w:rPr>
          <w:rStyle w:val="eop"/>
        </w:rPr>
      </w:pPr>
      <w:r w:rsidRPr="0039113A">
        <w:rPr>
          <w:rStyle w:val="eop"/>
        </w:rPr>
        <w:t>Trends in weapons-related crime</w:t>
      </w:r>
    </w:p>
    <w:p w14:paraId="49FBC2C3" w14:textId="11A7F602" w:rsidR="005755C3" w:rsidRDefault="00637000" w:rsidP="00590970">
      <w:pPr>
        <w:rPr>
          <w:rStyle w:val="eop"/>
          <w:rFonts w:asciiTheme="majorHAnsi" w:hAnsiTheme="majorHAnsi" w:cstheme="majorHAnsi"/>
          <w:color w:val="000000"/>
          <w:shd w:val="clear" w:color="auto" w:fill="FFFFFF"/>
        </w:rPr>
      </w:pPr>
      <w:r w:rsidRPr="2F4437B0">
        <w:rPr>
          <w:rStyle w:val="eop"/>
          <w:rFonts w:asciiTheme="majorHAnsi" w:hAnsiTheme="majorHAnsi" w:cstheme="majorBidi"/>
          <w:color w:val="000000"/>
          <w:shd w:val="clear" w:color="auto" w:fill="FFFFFF"/>
        </w:rPr>
        <w:t>Nationally,</w:t>
      </w:r>
      <w:r w:rsidR="00901BB5" w:rsidRPr="00A42498">
        <w:rPr>
          <w:rStyle w:val="eop"/>
          <w:rFonts w:asciiTheme="majorHAnsi" w:hAnsiTheme="majorHAnsi" w:cstheme="majorHAnsi"/>
          <w:color w:val="000000"/>
          <w:shd w:val="clear" w:color="auto" w:fill="FFFFFF"/>
        </w:rPr>
        <w:t xml:space="preserve"> the number of homicide</w:t>
      </w:r>
      <w:r w:rsidR="00D62595" w:rsidRPr="00A42498">
        <w:rPr>
          <w:rStyle w:val="eop"/>
          <w:rFonts w:asciiTheme="majorHAnsi" w:hAnsiTheme="majorHAnsi" w:cstheme="majorHAnsi"/>
          <w:color w:val="000000"/>
          <w:shd w:val="clear" w:color="auto" w:fill="FFFFFF"/>
        </w:rPr>
        <w:t>s</w:t>
      </w:r>
      <w:r w:rsidR="00901BB5" w:rsidRPr="00A42498">
        <w:rPr>
          <w:rStyle w:val="eop"/>
          <w:rFonts w:asciiTheme="majorHAnsi" w:hAnsiTheme="majorHAnsi" w:cstheme="majorHAnsi"/>
          <w:color w:val="000000"/>
          <w:shd w:val="clear" w:color="auto" w:fill="FFFFFF"/>
        </w:rPr>
        <w:t xml:space="preserve"> and related offences </w:t>
      </w:r>
      <w:r w:rsidR="00D62595" w:rsidRPr="00A42498">
        <w:rPr>
          <w:rStyle w:val="eop"/>
          <w:rFonts w:asciiTheme="majorHAnsi" w:hAnsiTheme="majorHAnsi" w:cstheme="majorHAnsi"/>
          <w:color w:val="000000"/>
          <w:shd w:val="clear" w:color="auto" w:fill="FFFFFF"/>
        </w:rPr>
        <w:t>rose</w:t>
      </w:r>
      <w:r w:rsidR="00901BB5" w:rsidRPr="00A42498">
        <w:rPr>
          <w:rStyle w:val="eop"/>
          <w:rFonts w:asciiTheme="majorHAnsi" w:hAnsiTheme="majorHAnsi" w:cstheme="majorHAnsi"/>
          <w:color w:val="000000"/>
          <w:shd w:val="clear" w:color="auto" w:fill="FFFFFF"/>
        </w:rPr>
        <w:t xml:space="preserve"> 10 per cent </w:t>
      </w:r>
      <w:r w:rsidR="00F53AE8">
        <w:rPr>
          <w:rStyle w:val="eop"/>
          <w:rFonts w:asciiTheme="majorHAnsi" w:hAnsiTheme="majorHAnsi" w:cstheme="majorHAnsi"/>
          <w:color w:val="000000"/>
          <w:shd w:val="clear" w:color="auto" w:fill="FFFFFF"/>
        </w:rPr>
        <w:t xml:space="preserve">from </w:t>
      </w:r>
      <w:r w:rsidR="00901BB5" w:rsidRPr="00A42498">
        <w:rPr>
          <w:rStyle w:val="eop"/>
          <w:rFonts w:asciiTheme="majorHAnsi" w:hAnsiTheme="majorHAnsi" w:cstheme="majorHAnsi"/>
          <w:color w:val="000000"/>
          <w:shd w:val="clear" w:color="auto" w:fill="FFFFFF"/>
        </w:rPr>
        <w:t>2018</w:t>
      </w:r>
      <w:r w:rsidR="00F53AE8">
        <w:rPr>
          <w:rStyle w:val="eop"/>
          <w:rFonts w:asciiTheme="majorHAnsi" w:hAnsiTheme="majorHAnsi" w:cstheme="majorHAnsi"/>
          <w:color w:val="000000"/>
          <w:shd w:val="clear" w:color="auto" w:fill="FFFFFF"/>
        </w:rPr>
        <w:t xml:space="preserve"> to 201</w:t>
      </w:r>
      <w:r w:rsidR="00901BB5" w:rsidRPr="00A42498">
        <w:rPr>
          <w:rStyle w:val="eop"/>
          <w:rFonts w:asciiTheme="majorHAnsi" w:hAnsiTheme="majorHAnsi" w:cstheme="majorHAnsi"/>
          <w:color w:val="000000"/>
          <w:shd w:val="clear" w:color="auto" w:fill="FFFFFF"/>
        </w:rPr>
        <w:t>9.</w:t>
      </w:r>
      <w:r w:rsidR="00901BB5" w:rsidRPr="00A42498">
        <w:rPr>
          <w:rStyle w:val="FootnoteReference"/>
          <w:rFonts w:asciiTheme="majorHAnsi" w:hAnsiTheme="majorHAnsi" w:cstheme="majorHAnsi"/>
          <w:color w:val="000000"/>
          <w:shd w:val="clear" w:color="auto" w:fill="FFFFFF"/>
        </w:rPr>
        <w:footnoteReference w:id="4"/>
      </w:r>
      <w:r w:rsidR="00901BB5" w:rsidRPr="00A42498">
        <w:rPr>
          <w:rStyle w:val="eop"/>
          <w:rFonts w:asciiTheme="majorHAnsi" w:hAnsiTheme="majorHAnsi" w:cstheme="majorHAnsi"/>
          <w:color w:val="000000"/>
          <w:shd w:val="clear" w:color="auto" w:fill="FFFFFF"/>
        </w:rPr>
        <w:t xml:space="preserve"> The most common weapon used in these offences was </w:t>
      </w:r>
      <w:r w:rsidR="00901BB5" w:rsidRPr="2F4437B0" w:rsidDel="00453874">
        <w:rPr>
          <w:rStyle w:val="eop"/>
          <w:rFonts w:asciiTheme="majorHAnsi" w:hAnsiTheme="majorHAnsi" w:cstheme="majorBidi"/>
          <w:color w:val="000000"/>
          <w:shd w:val="clear" w:color="auto" w:fill="FFFFFF"/>
        </w:rPr>
        <w:t xml:space="preserve">a </w:t>
      </w:r>
      <w:r w:rsidR="002C3FD0" w:rsidRPr="2F4437B0">
        <w:rPr>
          <w:rStyle w:val="eop"/>
          <w:rFonts w:asciiTheme="majorHAnsi" w:hAnsiTheme="majorHAnsi" w:cstheme="majorBidi"/>
          <w:color w:val="000000"/>
          <w:shd w:val="clear" w:color="auto" w:fill="FFFFFF"/>
        </w:rPr>
        <w:t>knife (46%). In Victoria in 2019, 34 per cent of murders were committed using weapons including knives (</w:t>
      </w:r>
      <w:r w:rsidR="002C3FD0" w:rsidRPr="2F4437B0">
        <w:rPr>
          <w:rStyle w:val="eop"/>
          <w:rFonts w:asciiTheme="majorHAnsi" w:hAnsiTheme="majorHAnsi" w:cstheme="majorBidi"/>
          <w:color w:val="000000"/>
          <w:shd w:val="clear" w:color="auto" w:fill="FFFFFF"/>
        </w:rPr>
        <w:fldChar w:fldCharType="begin"/>
      </w:r>
      <w:r w:rsidR="002C3FD0" w:rsidRPr="2F4437B0">
        <w:rPr>
          <w:rStyle w:val="eop"/>
          <w:rFonts w:asciiTheme="majorHAnsi" w:hAnsiTheme="majorHAnsi" w:cstheme="majorBidi"/>
          <w:color w:val="000000"/>
          <w:shd w:val="clear" w:color="auto" w:fill="FFFFFF"/>
        </w:rPr>
        <w:instrText xml:space="preserve"> REF _Ref69906398 \r \h  \* MERGEFORMAT </w:instrText>
      </w:r>
      <w:r w:rsidR="002C3FD0" w:rsidRPr="2F4437B0">
        <w:rPr>
          <w:rStyle w:val="eop"/>
          <w:rFonts w:asciiTheme="majorHAnsi" w:hAnsiTheme="majorHAnsi" w:cstheme="majorBidi"/>
          <w:color w:val="000000"/>
          <w:shd w:val="clear" w:color="auto" w:fill="FFFFFF"/>
        </w:rPr>
      </w:r>
      <w:r w:rsidR="002C3FD0" w:rsidRPr="2F4437B0">
        <w:rPr>
          <w:rStyle w:val="eop"/>
          <w:rFonts w:asciiTheme="majorHAnsi" w:hAnsiTheme="majorHAnsi" w:cstheme="majorBidi"/>
          <w:color w:val="000000"/>
          <w:shd w:val="clear" w:color="auto" w:fill="FFFFFF"/>
        </w:rPr>
        <w:fldChar w:fldCharType="separate"/>
      </w:r>
      <w:r w:rsidR="008C066F">
        <w:rPr>
          <w:rStyle w:val="eop"/>
          <w:rFonts w:asciiTheme="majorHAnsi" w:hAnsiTheme="majorHAnsi" w:cstheme="majorBidi"/>
          <w:color w:val="000000"/>
          <w:shd w:val="clear" w:color="auto" w:fill="FFFFFF"/>
        </w:rPr>
        <w:t>Chart 2.2</w:t>
      </w:r>
      <w:r w:rsidR="002C3FD0" w:rsidRPr="2F4437B0">
        <w:rPr>
          <w:rStyle w:val="eop"/>
          <w:rFonts w:asciiTheme="majorHAnsi" w:hAnsiTheme="majorHAnsi" w:cstheme="majorBidi"/>
          <w:color w:val="000000"/>
          <w:shd w:val="clear" w:color="auto" w:fill="FFFFFF"/>
        </w:rPr>
        <w:fldChar w:fldCharType="end"/>
      </w:r>
      <w:r w:rsidR="002C3FD0" w:rsidRPr="2F4437B0">
        <w:rPr>
          <w:rStyle w:val="eop"/>
          <w:rFonts w:asciiTheme="majorHAnsi" w:hAnsiTheme="majorHAnsi" w:cstheme="majorBidi"/>
          <w:color w:val="000000"/>
          <w:shd w:val="clear" w:color="auto" w:fill="FFFFFF"/>
        </w:rPr>
        <w:t xml:space="preserve">). </w:t>
      </w:r>
      <w:r w:rsidR="000C0224" w:rsidRPr="00A42498">
        <w:rPr>
          <w:rStyle w:val="eop"/>
          <w:rFonts w:asciiTheme="majorHAnsi" w:hAnsiTheme="majorHAnsi" w:cstheme="majorHAnsi"/>
          <w:color w:val="000000"/>
          <w:shd w:val="clear" w:color="auto" w:fill="FFFFFF"/>
        </w:rPr>
        <w:t xml:space="preserve"> These statistics </w:t>
      </w:r>
      <w:r w:rsidR="00B25197" w:rsidRPr="00A42498">
        <w:rPr>
          <w:rStyle w:val="eop"/>
          <w:rFonts w:asciiTheme="majorHAnsi" w:hAnsiTheme="majorHAnsi" w:cstheme="majorHAnsi"/>
          <w:color w:val="000000"/>
          <w:shd w:val="clear" w:color="auto" w:fill="FFFFFF"/>
        </w:rPr>
        <w:t xml:space="preserve">also </w:t>
      </w:r>
      <w:r w:rsidR="000C0224" w:rsidRPr="00A42498">
        <w:rPr>
          <w:rStyle w:val="eop"/>
          <w:rFonts w:asciiTheme="majorHAnsi" w:hAnsiTheme="majorHAnsi" w:cstheme="majorHAnsi"/>
          <w:color w:val="000000"/>
          <w:shd w:val="clear" w:color="auto" w:fill="FFFFFF"/>
        </w:rPr>
        <w:t>illustrate th</w:t>
      </w:r>
      <w:r w:rsidR="00F7726F" w:rsidRPr="00A42498">
        <w:rPr>
          <w:rStyle w:val="eop"/>
          <w:rFonts w:asciiTheme="majorHAnsi" w:hAnsiTheme="majorHAnsi" w:cstheme="majorHAnsi"/>
          <w:color w:val="000000"/>
          <w:shd w:val="clear" w:color="auto" w:fill="FFFFFF"/>
        </w:rPr>
        <w:t xml:space="preserve">at </w:t>
      </w:r>
      <w:r w:rsidR="004F3CCC" w:rsidRPr="00A42498">
        <w:rPr>
          <w:rStyle w:val="eop"/>
          <w:rFonts w:asciiTheme="majorHAnsi" w:hAnsiTheme="majorHAnsi" w:cstheme="majorHAnsi"/>
          <w:color w:val="000000"/>
          <w:shd w:val="clear" w:color="auto" w:fill="FFFFFF"/>
        </w:rPr>
        <w:t>if a</w:t>
      </w:r>
      <w:r w:rsidR="00666A23">
        <w:rPr>
          <w:rStyle w:val="eop"/>
          <w:rFonts w:asciiTheme="majorHAnsi" w:hAnsiTheme="majorHAnsi" w:cstheme="majorHAnsi"/>
          <w:color w:val="000000"/>
          <w:shd w:val="clear" w:color="auto" w:fill="FFFFFF"/>
        </w:rPr>
        <w:t>n</w:t>
      </w:r>
      <w:r w:rsidR="004F3CCC" w:rsidRPr="00A42498">
        <w:rPr>
          <w:rStyle w:val="eop"/>
          <w:rFonts w:asciiTheme="majorHAnsi" w:hAnsiTheme="majorHAnsi" w:cstheme="majorHAnsi"/>
          <w:color w:val="000000"/>
          <w:shd w:val="clear" w:color="auto" w:fill="FFFFFF"/>
        </w:rPr>
        <w:t xml:space="preserve"> </w:t>
      </w:r>
      <w:r w:rsidR="006D2252">
        <w:rPr>
          <w:rStyle w:val="eop"/>
          <w:rFonts w:asciiTheme="majorHAnsi" w:hAnsiTheme="majorHAnsi" w:cstheme="majorHAnsi"/>
          <w:color w:val="000000"/>
          <w:shd w:val="clear" w:color="auto" w:fill="FFFFFF"/>
        </w:rPr>
        <w:t>item</w:t>
      </w:r>
      <w:r w:rsidR="004F3CCC" w:rsidRPr="00A42498">
        <w:rPr>
          <w:rStyle w:val="eop"/>
          <w:rFonts w:asciiTheme="majorHAnsi" w:hAnsiTheme="majorHAnsi" w:cstheme="majorHAnsi"/>
          <w:color w:val="000000"/>
          <w:shd w:val="clear" w:color="auto" w:fill="FFFFFF"/>
        </w:rPr>
        <w:t xml:space="preserve"> is used</w:t>
      </w:r>
      <w:r w:rsidR="004536C1" w:rsidRPr="00A42498">
        <w:rPr>
          <w:rStyle w:val="eop"/>
          <w:rFonts w:asciiTheme="majorHAnsi" w:hAnsiTheme="majorHAnsi" w:cstheme="majorHAnsi"/>
          <w:color w:val="000000"/>
          <w:shd w:val="clear" w:color="auto" w:fill="FFFFFF"/>
        </w:rPr>
        <w:t xml:space="preserve"> </w:t>
      </w:r>
      <w:r w:rsidR="006F1BC3" w:rsidRPr="00A42498">
        <w:rPr>
          <w:rStyle w:val="eop"/>
          <w:rFonts w:asciiTheme="majorHAnsi" w:hAnsiTheme="majorHAnsi" w:cstheme="majorHAnsi"/>
          <w:color w:val="000000"/>
          <w:shd w:val="clear" w:color="auto" w:fill="FFFFFF"/>
        </w:rPr>
        <w:t xml:space="preserve">in </w:t>
      </w:r>
      <w:r w:rsidR="00AA352C" w:rsidRPr="00A42498">
        <w:rPr>
          <w:rStyle w:val="eop"/>
          <w:rFonts w:asciiTheme="majorHAnsi" w:hAnsiTheme="majorHAnsi" w:cstheme="majorHAnsi"/>
          <w:color w:val="000000"/>
          <w:shd w:val="clear" w:color="auto" w:fill="FFFFFF"/>
        </w:rPr>
        <w:t xml:space="preserve">an offence </w:t>
      </w:r>
      <w:r w:rsidR="004536C1" w:rsidRPr="00A42498">
        <w:rPr>
          <w:rStyle w:val="eop"/>
          <w:rFonts w:asciiTheme="majorHAnsi" w:hAnsiTheme="majorHAnsi" w:cstheme="majorHAnsi"/>
          <w:color w:val="000000"/>
          <w:shd w:val="clear" w:color="auto" w:fill="FFFFFF"/>
        </w:rPr>
        <w:t>in Victoria</w:t>
      </w:r>
      <w:r w:rsidR="004F3CCC" w:rsidRPr="00A42498">
        <w:rPr>
          <w:rStyle w:val="eop"/>
          <w:rFonts w:asciiTheme="majorHAnsi" w:hAnsiTheme="majorHAnsi" w:cstheme="majorHAnsi"/>
          <w:color w:val="000000"/>
          <w:shd w:val="clear" w:color="auto" w:fill="FFFFFF"/>
        </w:rPr>
        <w:t xml:space="preserve">, </w:t>
      </w:r>
      <w:r w:rsidR="00AA352C" w:rsidRPr="00A42498">
        <w:rPr>
          <w:rStyle w:val="eop"/>
          <w:rFonts w:asciiTheme="majorHAnsi" w:hAnsiTheme="majorHAnsi" w:cstheme="majorHAnsi"/>
          <w:color w:val="000000"/>
          <w:shd w:val="clear" w:color="auto" w:fill="FFFFFF"/>
        </w:rPr>
        <w:t>it is most likely to be a</w:t>
      </w:r>
      <w:r w:rsidR="004F3CCC" w:rsidRPr="00A42498">
        <w:rPr>
          <w:rStyle w:val="eop"/>
          <w:rFonts w:asciiTheme="majorHAnsi" w:hAnsiTheme="majorHAnsi" w:cstheme="majorHAnsi"/>
          <w:color w:val="000000"/>
          <w:shd w:val="clear" w:color="auto" w:fill="FFFFFF"/>
        </w:rPr>
        <w:t xml:space="preserve"> </w:t>
      </w:r>
      <w:r w:rsidR="006D2252">
        <w:rPr>
          <w:rStyle w:val="eop"/>
          <w:rFonts w:asciiTheme="majorHAnsi" w:hAnsiTheme="majorHAnsi" w:cstheme="majorHAnsi"/>
          <w:color w:val="000000"/>
          <w:shd w:val="clear" w:color="auto" w:fill="FFFFFF"/>
        </w:rPr>
        <w:t>weapon regulated under the Act and Regulations rather than a firearm</w:t>
      </w:r>
      <w:r w:rsidR="007F5031" w:rsidRPr="00A42498">
        <w:rPr>
          <w:rStyle w:val="eop"/>
          <w:rFonts w:asciiTheme="majorHAnsi" w:hAnsiTheme="majorHAnsi" w:cstheme="majorHAnsi"/>
          <w:color w:val="000000"/>
          <w:shd w:val="clear" w:color="auto" w:fill="FFFFFF"/>
        </w:rPr>
        <w:t>.</w:t>
      </w:r>
      <w:r w:rsidR="00AA352C" w:rsidRPr="00A42498">
        <w:rPr>
          <w:rStyle w:val="eop"/>
          <w:rFonts w:asciiTheme="majorHAnsi" w:hAnsiTheme="majorHAnsi" w:cstheme="majorHAnsi"/>
          <w:color w:val="000000"/>
          <w:shd w:val="clear" w:color="auto" w:fill="FFFFFF"/>
        </w:rPr>
        <w:t xml:space="preserve"> In</w:t>
      </w:r>
      <w:r w:rsidR="00F7726F" w:rsidRPr="00A42498">
        <w:rPr>
          <w:rStyle w:val="eop"/>
          <w:rFonts w:asciiTheme="majorHAnsi" w:hAnsiTheme="majorHAnsi" w:cstheme="majorHAnsi"/>
          <w:color w:val="000000"/>
          <w:shd w:val="clear" w:color="auto" w:fill="FFFFFF"/>
        </w:rPr>
        <w:t xml:space="preserve"> the </w:t>
      </w:r>
      <w:r w:rsidR="00AA352C" w:rsidRPr="00A42498">
        <w:rPr>
          <w:rStyle w:val="eop"/>
          <w:rFonts w:asciiTheme="majorHAnsi" w:hAnsiTheme="majorHAnsi" w:cstheme="majorHAnsi"/>
          <w:color w:val="000000"/>
          <w:shd w:val="clear" w:color="auto" w:fill="FFFFFF"/>
        </w:rPr>
        <w:t>absence of the current regulatory framework,</w:t>
      </w:r>
      <w:r w:rsidR="00874812" w:rsidRPr="00A42498">
        <w:rPr>
          <w:rStyle w:val="eop"/>
          <w:rFonts w:asciiTheme="majorHAnsi" w:hAnsiTheme="majorHAnsi" w:cstheme="majorHAnsi"/>
          <w:color w:val="000000"/>
          <w:shd w:val="clear" w:color="auto" w:fill="FFFFFF"/>
        </w:rPr>
        <w:t xml:space="preserve"> it would be easier and less risky for individuals to obtain these weapons, and it is reasonable to assume that there would as a result be a larger number of offences involving these weapons</w:t>
      </w:r>
      <w:r w:rsidR="00D3298D" w:rsidRPr="00A42498">
        <w:rPr>
          <w:rStyle w:val="eop"/>
          <w:rFonts w:asciiTheme="majorHAnsi" w:hAnsiTheme="majorHAnsi" w:cstheme="majorHAnsi"/>
          <w:color w:val="000000"/>
          <w:shd w:val="clear" w:color="auto" w:fill="FFFFFF"/>
        </w:rPr>
        <w:t xml:space="preserve"> that result in significant harms to individuals, their families and the community.</w:t>
      </w:r>
    </w:p>
    <w:p w14:paraId="739555A8" w14:textId="22F4A366" w:rsidR="00D5216B" w:rsidRDefault="00D5216B" w:rsidP="00590970">
      <w:pPr>
        <w:rPr>
          <w:rStyle w:val="eop"/>
          <w:rFonts w:asciiTheme="majorHAnsi" w:hAnsiTheme="majorHAnsi" w:cstheme="majorHAnsi"/>
          <w:color w:val="000000"/>
          <w:shd w:val="clear" w:color="auto" w:fill="FFFFFF"/>
        </w:rPr>
      </w:pPr>
      <w:r w:rsidRPr="00A42498">
        <w:rPr>
          <w:rStyle w:val="eop"/>
        </w:rPr>
        <w:t>Although</w:t>
      </w:r>
      <w:r w:rsidRPr="00A42498">
        <w:rPr>
          <w:rStyle w:val="eop"/>
          <w:rFonts w:asciiTheme="majorHAnsi" w:hAnsiTheme="majorHAnsi" w:cstheme="majorHAnsi"/>
          <w:color w:val="000000"/>
          <w:shd w:val="clear" w:color="auto" w:fill="FFFFFF"/>
        </w:rPr>
        <w:t xml:space="preserve"> the vast majority of Victorian weapon users comply with their responsibilities under the Act, and do not engage in unsafe or criminal activity, the risks and high consequences associated with the unsafe use of weapons requires appropriate controls on access to weapons, and the circumstances in which they are acquired and used</w:t>
      </w:r>
      <w:r w:rsidRPr="2F4437B0">
        <w:rPr>
          <w:rStyle w:val="eop"/>
          <w:rFonts w:asciiTheme="majorHAnsi" w:hAnsiTheme="majorHAnsi" w:cstheme="majorBidi"/>
          <w:color w:val="000000"/>
          <w:shd w:val="clear" w:color="auto" w:fill="FFFFFF"/>
        </w:rPr>
        <w:t>. Restricting access to weapons therefore restricts opportunity for misuse and this provides protection to the community because accidental or intentional misuse</w:t>
      </w:r>
      <w:r w:rsidRPr="00A42498">
        <w:rPr>
          <w:rStyle w:val="eop"/>
          <w:rFonts w:asciiTheme="majorHAnsi" w:hAnsiTheme="majorHAnsi" w:cstheme="majorHAnsi"/>
          <w:color w:val="000000"/>
          <w:shd w:val="clear" w:color="auto" w:fill="FFFFFF"/>
        </w:rPr>
        <w:t xml:space="preserve"> </w:t>
      </w:r>
      <w:r>
        <w:rPr>
          <w:rStyle w:val="eop"/>
          <w:rFonts w:asciiTheme="majorHAnsi" w:hAnsiTheme="majorHAnsi" w:cstheme="majorHAnsi"/>
          <w:color w:val="000000"/>
          <w:shd w:val="clear" w:color="auto" w:fill="FFFFFF"/>
        </w:rPr>
        <w:t>involving a weapon</w:t>
      </w:r>
      <w:r w:rsidRPr="00A42498">
        <w:rPr>
          <w:rStyle w:val="eop"/>
          <w:rFonts w:asciiTheme="majorHAnsi" w:hAnsiTheme="majorHAnsi" w:cstheme="majorHAnsi"/>
          <w:color w:val="000000"/>
          <w:shd w:val="clear" w:color="auto" w:fill="FFFFFF"/>
        </w:rPr>
        <w:t xml:space="preserve"> could not occur in</w:t>
      </w:r>
      <w:r>
        <w:rPr>
          <w:rStyle w:val="eop"/>
          <w:rFonts w:asciiTheme="majorHAnsi" w:hAnsiTheme="majorHAnsi" w:cstheme="majorHAnsi"/>
          <w:color w:val="000000"/>
          <w:shd w:val="clear" w:color="auto" w:fill="FFFFFF"/>
        </w:rPr>
        <w:t xml:space="preserve"> the</w:t>
      </w:r>
      <w:r w:rsidRPr="00A42498">
        <w:rPr>
          <w:rStyle w:val="eop"/>
          <w:rFonts w:asciiTheme="majorHAnsi" w:hAnsiTheme="majorHAnsi" w:cstheme="majorHAnsi"/>
          <w:color w:val="000000"/>
          <w:shd w:val="clear" w:color="auto" w:fill="FFFFFF"/>
        </w:rPr>
        <w:t xml:space="preserve"> absence of a weapon.</w:t>
      </w:r>
      <w:r>
        <w:rPr>
          <w:rStyle w:val="eop"/>
          <w:rFonts w:asciiTheme="majorHAnsi" w:hAnsiTheme="majorHAnsi" w:cstheme="majorHAnsi"/>
          <w:color w:val="000000"/>
          <w:shd w:val="clear" w:color="auto" w:fill="FFFFFF"/>
        </w:rPr>
        <w:t xml:space="preserve"> In cases where individuals deliberately or accidentally cause harm to themselves or others, the severity of the harm they are able to cause will be reduced in the absence of a weapon.</w:t>
      </w:r>
      <w:r w:rsidRPr="00A42498">
        <w:rPr>
          <w:rStyle w:val="eop"/>
          <w:rFonts w:asciiTheme="majorHAnsi" w:hAnsiTheme="majorHAnsi" w:cstheme="majorHAnsi"/>
          <w:color w:val="000000"/>
          <w:shd w:val="clear" w:color="auto" w:fill="FFFFFF"/>
        </w:rPr>
        <w:t xml:space="preserve"> </w:t>
      </w:r>
    </w:p>
    <w:p w14:paraId="594BD094" w14:textId="2DE14CBD" w:rsidR="00DD47A5" w:rsidRPr="00A42498" w:rsidRDefault="00DD47A5" w:rsidP="00DD47A5">
      <w:pPr>
        <w:rPr>
          <w:rStyle w:val="eop"/>
        </w:rPr>
      </w:pPr>
    </w:p>
    <w:p w14:paraId="1D7D7769" w14:textId="6AE16C41" w:rsidR="001F733E" w:rsidRPr="00A42498" w:rsidRDefault="001F733E" w:rsidP="0044467F">
      <w:pPr>
        <w:pStyle w:val="CaptionChart"/>
        <w:rPr>
          <w:rStyle w:val="eop"/>
        </w:rPr>
      </w:pPr>
      <w:r w:rsidRPr="00A42498">
        <w:rPr>
          <w:rStyle w:val="eop"/>
        </w:rPr>
        <w:t xml:space="preserve"> </w:t>
      </w:r>
      <w:bookmarkStart w:id="39" w:name="_Ref69906398"/>
      <w:bookmarkStart w:id="40" w:name="_Toc70066709"/>
      <w:r w:rsidR="005302DA" w:rsidRPr="00A42498">
        <w:rPr>
          <w:rStyle w:val="eop"/>
        </w:rPr>
        <w:t xml:space="preserve">Use of </w:t>
      </w:r>
      <w:r w:rsidR="004F3CCC" w:rsidRPr="00A42498">
        <w:rPr>
          <w:rStyle w:val="eop"/>
        </w:rPr>
        <w:t xml:space="preserve">weapons in the </w:t>
      </w:r>
      <w:r w:rsidR="004B1E2E" w:rsidRPr="00A42498">
        <w:rPr>
          <w:rStyle w:val="eop"/>
        </w:rPr>
        <w:t xml:space="preserve">commission </w:t>
      </w:r>
      <w:r w:rsidR="00B75D67" w:rsidRPr="00A42498">
        <w:rPr>
          <w:rStyle w:val="eop"/>
        </w:rPr>
        <w:t xml:space="preserve">of </w:t>
      </w:r>
      <w:r w:rsidR="005302DA" w:rsidRPr="00A42498">
        <w:rPr>
          <w:rStyle w:val="eop"/>
        </w:rPr>
        <w:t>select offences</w:t>
      </w:r>
      <w:r w:rsidR="005939CF" w:rsidRPr="00A42498">
        <w:rPr>
          <w:rStyle w:val="eop"/>
        </w:rPr>
        <w:t xml:space="preserve"> in Victoria</w:t>
      </w:r>
      <w:r w:rsidR="005302DA" w:rsidRPr="00A42498">
        <w:rPr>
          <w:rStyle w:val="eop"/>
        </w:rPr>
        <w:t>, by percentage</w:t>
      </w:r>
      <w:bookmarkEnd w:id="39"/>
      <w:bookmarkEnd w:id="40"/>
      <w:r w:rsidR="007338EC" w:rsidRPr="00A42498">
        <w:rPr>
          <w:rStyle w:val="eop"/>
        </w:rPr>
        <w:t>, 2019</w:t>
      </w:r>
    </w:p>
    <w:p w14:paraId="5AFA152E" w14:textId="52142A26" w:rsidR="00474797" w:rsidRPr="00A42498" w:rsidRDefault="004A5C1C" w:rsidP="00590970">
      <w:pPr>
        <w:rPr>
          <w:rStyle w:val="eop"/>
        </w:rPr>
      </w:pPr>
      <w:r>
        <w:rPr>
          <w:noProof/>
        </w:rPr>
        <w:drawing>
          <wp:inline distT="0" distB="0" distL="0" distR="0" wp14:anchorId="6AA1E159" wp14:editId="0DBE1DA6">
            <wp:extent cx="5417388" cy="2646045"/>
            <wp:effectExtent l="0" t="0" r="0" b="1905"/>
            <wp:docPr id="4" name="Chart 4">
              <a:extLst xmlns:a="http://schemas.openxmlformats.org/drawingml/2006/main">
                <a:ext uri="{FF2B5EF4-FFF2-40B4-BE49-F238E27FC236}">
                  <a16:creationId xmlns:a16="http://schemas.microsoft.com/office/drawing/2014/main" id="{AF60A175-A5EC-4D7C-96E0-67A6E077F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695726" w14:textId="02AABE19" w:rsidR="00690AA0" w:rsidRPr="00397874" w:rsidRDefault="005302DA" w:rsidP="00134762">
      <w:pPr>
        <w:pStyle w:val="Source"/>
        <w:spacing w:line="240" w:lineRule="auto"/>
        <w:rPr>
          <w:rStyle w:val="eop"/>
          <w:shd w:val="clear" w:color="auto" w:fill="FFFFFF"/>
        </w:rPr>
      </w:pPr>
      <w:r w:rsidRPr="00A42498">
        <w:rPr>
          <w:rStyle w:val="eop"/>
        </w:rPr>
        <w:t>Note:</w:t>
      </w:r>
      <w:r w:rsidR="00044688" w:rsidRPr="00A42498">
        <w:rPr>
          <w:rStyle w:val="eop"/>
        </w:rPr>
        <w:t xml:space="preserve"> </w:t>
      </w:r>
      <w:r w:rsidR="00916895">
        <w:rPr>
          <w:rStyle w:val="eop"/>
        </w:rPr>
        <w:t>N</w:t>
      </w:r>
      <w:r w:rsidR="002F69AC" w:rsidRPr="00A42498">
        <w:rPr>
          <w:rStyle w:val="eop"/>
        </w:rPr>
        <w:t>on-firearms</w:t>
      </w:r>
      <w:r w:rsidR="00DC3B61" w:rsidRPr="00A42498">
        <w:rPr>
          <w:rStyle w:val="eop"/>
          <w:rFonts w:asciiTheme="minorHAnsi" w:hAnsiTheme="minorHAnsi"/>
        </w:rPr>
        <w:t xml:space="preserve"> include</w:t>
      </w:r>
      <w:r w:rsidR="00A71331" w:rsidRPr="00A42498">
        <w:rPr>
          <w:rStyle w:val="eop"/>
          <w:rFonts w:asciiTheme="minorHAnsi" w:hAnsiTheme="minorHAnsi"/>
        </w:rPr>
        <w:t xml:space="preserve"> </w:t>
      </w:r>
      <w:r w:rsidR="00DC3B61" w:rsidRPr="00A42498">
        <w:rPr>
          <w:shd w:val="clear" w:color="auto" w:fill="FFFFFF"/>
        </w:rPr>
        <w:t xml:space="preserve">any instrument other than a firearm </w:t>
      </w:r>
      <w:r w:rsidR="00BF1DDC">
        <w:rPr>
          <w:shd w:val="clear" w:color="auto" w:fill="FFFFFF"/>
        </w:rPr>
        <w:t>or substance (e.g. liquid</w:t>
      </w:r>
      <w:r w:rsidR="001962C8">
        <w:rPr>
          <w:shd w:val="clear" w:color="auto" w:fill="FFFFFF"/>
        </w:rPr>
        <w:t xml:space="preserve">s) </w:t>
      </w:r>
      <w:r w:rsidR="00DC3B61" w:rsidRPr="00A42498">
        <w:rPr>
          <w:shd w:val="clear" w:color="auto" w:fill="FFFFFF"/>
        </w:rPr>
        <w:t>capable of inflicting damage, injury, or death and used in the commission of a crime.</w:t>
      </w:r>
      <w:r w:rsidR="007915EC" w:rsidRPr="00A42498">
        <w:rPr>
          <w:shd w:val="clear" w:color="auto" w:fill="FFFFFF"/>
        </w:rPr>
        <w:t xml:space="preserve"> This includes weapons used or seen but not further defined.</w:t>
      </w:r>
      <w:r w:rsidR="00344E56">
        <w:rPr>
          <w:shd w:val="clear" w:color="auto" w:fill="FFFFFF"/>
        </w:rPr>
        <w:t xml:space="preserve"> Homicide and murder are separate offences because homicide refers to the killing of a person, while murder refers to the killing of a person with malicious intent</w:t>
      </w:r>
      <w:r w:rsidR="00397874">
        <w:rPr>
          <w:shd w:val="clear" w:color="auto" w:fill="FFFFFF"/>
        </w:rPr>
        <w:t>.</w:t>
      </w:r>
      <w:r w:rsidR="00A37AED" w:rsidRPr="00A42498">
        <w:rPr>
          <w:rStyle w:val="eop"/>
        </w:rPr>
        <w:br/>
      </w:r>
      <w:r w:rsidR="00BC68D0" w:rsidRPr="00A42498">
        <w:rPr>
          <w:rStyle w:val="eop"/>
        </w:rPr>
        <w:t>Source: A</w:t>
      </w:r>
      <w:r w:rsidR="00A37AED" w:rsidRPr="00A42498">
        <w:rPr>
          <w:rStyle w:val="eop"/>
        </w:rPr>
        <w:t xml:space="preserve">ustralian </w:t>
      </w:r>
      <w:r w:rsidR="00BC68D0" w:rsidRPr="00A42498">
        <w:rPr>
          <w:rStyle w:val="eop"/>
        </w:rPr>
        <w:t>B</w:t>
      </w:r>
      <w:r w:rsidR="00A37AED" w:rsidRPr="00A42498">
        <w:rPr>
          <w:rStyle w:val="eop"/>
        </w:rPr>
        <w:t xml:space="preserve">ureau of </w:t>
      </w:r>
      <w:r w:rsidR="00BC68D0" w:rsidRPr="00A42498">
        <w:rPr>
          <w:rStyle w:val="eop"/>
        </w:rPr>
        <w:t>S</w:t>
      </w:r>
      <w:r w:rsidR="00A37AED" w:rsidRPr="00A42498">
        <w:rPr>
          <w:rStyle w:val="eop"/>
        </w:rPr>
        <w:t>tatistics</w:t>
      </w:r>
      <w:r w:rsidR="00BC68D0" w:rsidRPr="00A42498">
        <w:rPr>
          <w:rStyle w:val="eop"/>
        </w:rPr>
        <w:t xml:space="preserve">, </w:t>
      </w:r>
      <w:r w:rsidR="005939CF" w:rsidRPr="00A42498">
        <w:rPr>
          <w:rStyle w:val="eop"/>
        </w:rPr>
        <w:t xml:space="preserve">Catalogue 4510.0 Recorded Crime, </w:t>
      </w:r>
      <w:r w:rsidR="00BC68D0" w:rsidRPr="00A42498">
        <w:rPr>
          <w:rStyle w:val="eop"/>
        </w:rPr>
        <w:t>2019</w:t>
      </w:r>
    </w:p>
    <w:p w14:paraId="1CCB3DA0" w14:textId="724B1316" w:rsidR="00FD6093" w:rsidRPr="00A42498" w:rsidRDefault="00311E37" w:rsidP="00FD6093">
      <w:pPr>
        <w:pStyle w:val="Heading3"/>
        <w:rPr>
          <w:shd w:val="clear" w:color="auto" w:fill="FFFFFF"/>
        </w:rPr>
      </w:pPr>
      <w:r w:rsidRPr="00A42498">
        <w:rPr>
          <w:rStyle w:val="eop"/>
          <w:rFonts w:asciiTheme="majorHAnsi" w:hAnsiTheme="majorHAnsi" w:cstheme="majorHAnsi"/>
          <w:shd w:val="clear" w:color="auto" w:fill="FFFFFF"/>
        </w:rPr>
        <w:t xml:space="preserve">A </w:t>
      </w:r>
      <w:r w:rsidR="00416B6D" w:rsidRPr="00A42498">
        <w:rPr>
          <w:rStyle w:val="eop"/>
          <w:rFonts w:asciiTheme="majorHAnsi" w:hAnsiTheme="majorHAnsi" w:cstheme="majorHAnsi"/>
          <w:shd w:val="clear" w:color="auto" w:fill="FFFFFF"/>
        </w:rPr>
        <w:t>lac</w:t>
      </w:r>
      <w:r w:rsidR="001116DC" w:rsidRPr="00A42498">
        <w:rPr>
          <w:rStyle w:val="eop"/>
          <w:rFonts w:asciiTheme="majorHAnsi" w:hAnsiTheme="majorHAnsi" w:cstheme="majorHAnsi"/>
          <w:shd w:val="clear" w:color="auto" w:fill="FFFFFF"/>
        </w:rPr>
        <w:t xml:space="preserve">k of regulation </w:t>
      </w:r>
      <w:r w:rsidRPr="00A42498">
        <w:rPr>
          <w:rStyle w:val="eop"/>
          <w:rFonts w:asciiTheme="majorHAnsi" w:hAnsiTheme="majorHAnsi" w:cstheme="majorHAnsi"/>
          <w:shd w:val="clear" w:color="auto" w:fill="FFFFFF"/>
        </w:rPr>
        <w:t xml:space="preserve">may increase the </w:t>
      </w:r>
      <w:r w:rsidR="001116DC" w:rsidRPr="00A42498">
        <w:rPr>
          <w:rStyle w:val="eop"/>
          <w:rFonts w:asciiTheme="majorHAnsi" w:hAnsiTheme="majorHAnsi" w:cstheme="majorHAnsi"/>
          <w:shd w:val="clear" w:color="auto" w:fill="FFFFFF"/>
        </w:rPr>
        <w:t>frequency and severity of</w:t>
      </w:r>
      <w:r w:rsidR="00F455E9" w:rsidRPr="00A42498">
        <w:rPr>
          <w:rStyle w:val="eop"/>
          <w:rFonts w:asciiTheme="majorHAnsi" w:hAnsiTheme="majorHAnsi" w:cstheme="majorHAnsi"/>
          <w:shd w:val="clear" w:color="auto" w:fill="FFFFFF"/>
        </w:rPr>
        <w:t xml:space="preserve"> </w:t>
      </w:r>
      <w:r w:rsidRPr="00A42498">
        <w:rPr>
          <w:rStyle w:val="eop"/>
          <w:rFonts w:asciiTheme="majorHAnsi" w:hAnsiTheme="majorHAnsi" w:cstheme="majorHAnsi"/>
          <w:shd w:val="clear" w:color="auto" w:fill="FFFFFF"/>
        </w:rPr>
        <w:t>harm</w:t>
      </w:r>
    </w:p>
    <w:p w14:paraId="0C6A422C" w14:textId="6F1E4A8C" w:rsidR="0060274A" w:rsidRDefault="00A604F3" w:rsidP="009D2ACF">
      <w:pPr>
        <w:rPr>
          <w:rStyle w:val="eop"/>
        </w:rPr>
      </w:pPr>
      <w:r w:rsidRPr="00A42498">
        <w:t xml:space="preserve">As discussed in Chapter 1, Victoria currently uses a legislative approach to manage access to </w:t>
      </w:r>
      <w:r w:rsidRPr="00A42498">
        <w:rPr>
          <w:rStyle w:val="eop"/>
        </w:rPr>
        <w:t xml:space="preserve">weapons, thereby decreasing the risks of crime and injury due to misuse. </w:t>
      </w:r>
      <w:r w:rsidR="004A71DC">
        <w:rPr>
          <w:rStyle w:val="eop"/>
        </w:rPr>
        <w:t xml:space="preserve">DJCS </w:t>
      </w:r>
      <w:r w:rsidRPr="00A42498">
        <w:rPr>
          <w:rStyle w:val="eop"/>
        </w:rPr>
        <w:t xml:space="preserve">and Victoria Police note that this is complemented by other interventions aimed </w:t>
      </w:r>
      <w:r w:rsidR="0007116D">
        <w:rPr>
          <w:rStyle w:val="eop"/>
        </w:rPr>
        <w:t>at</w:t>
      </w:r>
      <w:r w:rsidRPr="00A42498">
        <w:rPr>
          <w:rStyle w:val="eop"/>
        </w:rPr>
        <w:t xml:space="preserve"> reduc</w:t>
      </w:r>
      <w:r w:rsidR="0007116D">
        <w:rPr>
          <w:rStyle w:val="eop"/>
        </w:rPr>
        <w:t>ing</w:t>
      </w:r>
      <w:r w:rsidRPr="00A42498">
        <w:rPr>
          <w:rStyle w:val="eop"/>
        </w:rPr>
        <w:t xml:space="preserve"> the likelihood of deliberate misuse of weapons, including crime prevention activities and campaigns, </w:t>
      </w:r>
      <w:r w:rsidR="008A1510" w:rsidRPr="00A42498">
        <w:rPr>
          <w:rStyle w:val="eop"/>
        </w:rPr>
        <w:t xml:space="preserve">such as </w:t>
      </w:r>
      <w:r w:rsidRPr="00A42498">
        <w:rPr>
          <w:rStyle w:val="eop"/>
        </w:rPr>
        <w:t>anti-extremist programs.</w:t>
      </w:r>
      <w:r w:rsidR="007D1BA9" w:rsidRPr="00A42498">
        <w:rPr>
          <w:rStyle w:val="eop"/>
        </w:rPr>
        <w:t xml:space="preserve"> </w:t>
      </w:r>
    </w:p>
    <w:p w14:paraId="770AD9D0" w14:textId="34C88209" w:rsidR="003003ED" w:rsidRPr="00A42498" w:rsidRDefault="00662EF3" w:rsidP="00154C23">
      <w:pPr>
        <w:rPr>
          <w:rStyle w:val="eop"/>
        </w:rPr>
      </w:pPr>
      <w:r>
        <w:rPr>
          <w:rStyle w:val="eop"/>
        </w:rPr>
        <w:t>In line with research into ac</w:t>
      </w:r>
      <w:r w:rsidR="00843748">
        <w:rPr>
          <w:rStyle w:val="eop"/>
        </w:rPr>
        <w:t xml:space="preserve">cess to weapons noted above, increased access to weapons due to reduced control of weapons </w:t>
      </w:r>
      <w:r w:rsidR="00DC571A">
        <w:rPr>
          <w:rStyle w:val="eop"/>
        </w:rPr>
        <w:t xml:space="preserve">will mean </w:t>
      </w:r>
      <w:r w:rsidR="00843748">
        <w:rPr>
          <w:rStyle w:val="eop"/>
        </w:rPr>
        <w:t xml:space="preserve">that crimes of opportunity using those weapons are more likely to occur, </w:t>
      </w:r>
      <w:r w:rsidR="006810CD">
        <w:rPr>
          <w:rStyle w:val="eop"/>
        </w:rPr>
        <w:t xml:space="preserve">and that </w:t>
      </w:r>
      <w:r w:rsidR="00154C23">
        <w:rPr>
          <w:rStyle w:val="eop"/>
        </w:rPr>
        <w:t>criminal activity that would already be undertaken is more likely to use a weapon and so incur more severe harm.</w:t>
      </w:r>
    </w:p>
    <w:p w14:paraId="5F074540" w14:textId="523ECA21" w:rsidR="0060274A" w:rsidRPr="00A42498" w:rsidRDefault="0062013E" w:rsidP="006A3489">
      <w:pPr>
        <w:rPr>
          <w:rStyle w:val="eop"/>
        </w:rPr>
      </w:pPr>
      <w:r w:rsidRPr="00A42498">
        <w:rPr>
          <w:rStyle w:val="eop"/>
        </w:rPr>
        <w:t>The</w:t>
      </w:r>
      <w:r w:rsidR="00ED0202" w:rsidRPr="00A42498">
        <w:rPr>
          <w:rStyle w:val="eop"/>
        </w:rPr>
        <w:t xml:space="preserve"> Regulations</w:t>
      </w:r>
      <w:r w:rsidR="0017053F" w:rsidRPr="00A42498">
        <w:rPr>
          <w:rStyle w:val="eop"/>
        </w:rPr>
        <w:t xml:space="preserve"> target the availability of </w:t>
      </w:r>
      <w:r w:rsidR="00ED0202" w:rsidRPr="00A42498">
        <w:rPr>
          <w:rStyle w:val="eop"/>
        </w:rPr>
        <w:t xml:space="preserve">and access </w:t>
      </w:r>
      <w:r w:rsidR="009D2ACF" w:rsidRPr="00A42498">
        <w:rPr>
          <w:rStyle w:val="eop"/>
        </w:rPr>
        <w:t>to</w:t>
      </w:r>
      <w:r w:rsidR="00ED0202" w:rsidRPr="00A42498">
        <w:rPr>
          <w:rStyle w:val="eop"/>
        </w:rPr>
        <w:t xml:space="preserve"> </w:t>
      </w:r>
      <w:r w:rsidR="0017053F" w:rsidRPr="00A42498">
        <w:rPr>
          <w:rStyle w:val="eop"/>
        </w:rPr>
        <w:t>these weapons as a simpler and more enforceable point of intervention to address the underlying risk of harm.</w:t>
      </w:r>
      <w:r w:rsidR="006A3489" w:rsidRPr="00A42498">
        <w:rPr>
          <w:rStyle w:val="eop"/>
        </w:rPr>
        <w:t xml:space="preserve"> </w:t>
      </w:r>
      <w:r w:rsidRPr="00A42498">
        <w:rPr>
          <w:rStyle w:val="eop"/>
        </w:rPr>
        <w:t>These</w:t>
      </w:r>
      <w:r w:rsidR="006A3489" w:rsidRPr="00A42498">
        <w:rPr>
          <w:rStyle w:val="eop"/>
        </w:rPr>
        <w:t xml:space="preserve"> Regulations </w:t>
      </w:r>
      <w:r w:rsidR="00504419" w:rsidRPr="00A42498">
        <w:rPr>
          <w:rStyle w:val="eop"/>
        </w:rPr>
        <w:t xml:space="preserve">are set to sunset </w:t>
      </w:r>
      <w:r w:rsidR="00502C2C" w:rsidRPr="00A42498">
        <w:rPr>
          <w:rStyle w:val="eop"/>
        </w:rPr>
        <w:t xml:space="preserve">on 29 </w:t>
      </w:r>
      <w:r w:rsidR="00262E5C" w:rsidRPr="00A42498">
        <w:rPr>
          <w:rStyle w:val="eop"/>
        </w:rPr>
        <w:t>November</w:t>
      </w:r>
      <w:r w:rsidR="00504419" w:rsidRPr="00A42498">
        <w:rPr>
          <w:rStyle w:val="eop"/>
        </w:rPr>
        <w:t xml:space="preserve"> 2021. In the absence of new </w:t>
      </w:r>
      <w:r w:rsidR="00FD6256">
        <w:rPr>
          <w:rStyle w:val="eop"/>
        </w:rPr>
        <w:t>R</w:t>
      </w:r>
      <w:r w:rsidR="00504419" w:rsidRPr="00A42498">
        <w:rPr>
          <w:rStyle w:val="eop"/>
        </w:rPr>
        <w:t xml:space="preserve">egulations, the Act’s regulatory controls would only apply to the </w:t>
      </w:r>
      <w:r w:rsidR="00E85298" w:rsidRPr="00A42498">
        <w:rPr>
          <w:rStyle w:val="eop"/>
        </w:rPr>
        <w:t>items</w:t>
      </w:r>
      <w:r w:rsidR="00504419" w:rsidRPr="00A42498" w:rsidDel="00E85298">
        <w:rPr>
          <w:rStyle w:val="eop"/>
        </w:rPr>
        <w:t xml:space="preserve"> </w:t>
      </w:r>
      <w:r w:rsidR="00E85298" w:rsidRPr="00A42498">
        <w:rPr>
          <w:rStyle w:val="eop"/>
        </w:rPr>
        <w:t xml:space="preserve">prescribed </w:t>
      </w:r>
      <w:r w:rsidR="00504419" w:rsidRPr="00A42498">
        <w:rPr>
          <w:rStyle w:val="eop"/>
        </w:rPr>
        <w:t>in the Act itself including dangerous articles, knives</w:t>
      </w:r>
      <w:r w:rsidR="0024498A" w:rsidRPr="00A42498">
        <w:rPr>
          <w:rStyle w:val="eop"/>
        </w:rPr>
        <w:t>,</w:t>
      </w:r>
      <w:r w:rsidR="00504419" w:rsidRPr="00A42498">
        <w:rPr>
          <w:rStyle w:val="eop"/>
        </w:rPr>
        <w:t xml:space="preserve"> </w:t>
      </w:r>
      <w:r w:rsidR="00FB347B">
        <w:rPr>
          <w:rStyle w:val="eop"/>
        </w:rPr>
        <w:t xml:space="preserve">and </w:t>
      </w:r>
      <w:r w:rsidR="00504419" w:rsidRPr="00A42498">
        <w:rPr>
          <w:rStyle w:val="eop"/>
        </w:rPr>
        <w:t xml:space="preserve">imitation </w:t>
      </w:r>
      <w:r w:rsidR="009450F4" w:rsidRPr="00A42498">
        <w:rPr>
          <w:rStyle w:val="eop"/>
        </w:rPr>
        <w:t>firearms</w:t>
      </w:r>
      <w:r w:rsidR="00504419" w:rsidRPr="00A42498">
        <w:rPr>
          <w:rStyle w:val="eop"/>
        </w:rPr>
        <w:t xml:space="preserve">. All other items prescribed by the </w:t>
      </w:r>
      <w:r w:rsidR="00FD6256">
        <w:rPr>
          <w:rStyle w:val="eop"/>
        </w:rPr>
        <w:t>R</w:t>
      </w:r>
      <w:r w:rsidR="00504419" w:rsidRPr="00A42498">
        <w:rPr>
          <w:rStyle w:val="eop"/>
        </w:rPr>
        <w:t>egulations as</w:t>
      </w:r>
      <w:r w:rsidR="00CB7D09">
        <w:rPr>
          <w:rStyle w:val="eop"/>
        </w:rPr>
        <w:t xml:space="preserve"> body armour,</w:t>
      </w:r>
      <w:r w:rsidR="00504419" w:rsidRPr="00A42498">
        <w:rPr>
          <w:rStyle w:val="eop"/>
        </w:rPr>
        <w:t xml:space="preserve"> controlled weapons or prohibited weapons would cease to be regulated.</w:t>
      </w:r>
    </w:p>
    <w:p w14:paraId="5D9B56C3" w14:textId="4DDD3279" w:rsidR="009D55D1" w:rsidRPr="00A42498" w:rsidRDefault="0010688E" w:rsidP="009D2ACF">
      <w:pPr>
        <w:rPr>
          <w:rStyle w:val="eop"/>
          <w:rFonts w:asciiTheme="majorHAnsi" w:hAnsiTheme="majorHAnsi" w:cstheme="majorHAnsi"/>
          <w:color w:val="000000"/>
          <w:shd w:val="clear" w:color="auto" w:fill="FFFFFF"/>
        </w:rPr>
      </w:pPr>
      <w:r w:rsidRPr="00A42498">
        <w:rPr>
          <w:rStyle w:val="eop"/>
        </w:rPr>
        <w:t xml:space="preserve">In the years following the introduction of the Regulations in 2011, the </w:t>
      </w:r>
      <w:r w:rsidR="00173016">
        <w:rPr>
          <w:rStyle w:val="eop"/>
        </w:rPr>
        <w:t>annual</w:t>
      </w:r>
      <w:r w:rsidR="00173016" w:rsidRPr="00A42498">
        <w:rPr>
          <w:rStyle w:val="eop"/>
        </w:rPr>
        <w:t xml:space="preserve"> </w:t>
      </w:r>
      <w:r w:rsidRPr="00A42498">
        <w:rPr>
          <w:rStyle w:val="eop"/>
        </w:rPr>
        <w:t>number of weapons offences increased</w:t>
      </w:r>
      <w:r w:rsidR="000D4EC7" w:rsidRPr="00A42498">
        <w:rPr>
          <w:rStyle w:val="eop"/>
        </w:rPr>
        <w:t xml:space="preserve"> </w:t>
      </w:r>
      <w:r w:rsidR="00FC1391" w:rsidRPr="00A42498">
        <w:rPr>
          <w:rStyle w:val="eop"/>
        </w:rPr>
        <w:t xml:space="preserve">from around 4,000 to almost 10,000 </w:t>
      </w:r>
      <w:r w:rsidR="002B016D" w:rsidRPr="00A42498">
        <w:rPr>
          <w:rStyle w:val="eop"/>
        </w:rPr>
        <w:t>in 2016</w:t>
      </w:r>
      <w:r w:rsidR="001C3080">
        <w:rPr>
          <w:rStyle w:val="eop"/>
        </w:rPr>
        <w:t xml:space="preserve"> </w:t>
      </w:r>
      <w:r w:rsidR="000D4EC7" w:rsidRPr="00A42498">
        <w:rPr>
          <w:rStyle w:val="eop"/>
        </w:rPr>
        <w:t>(</w:t>
      </w:r>
      <w:r w:rsidR="000D4EC7" w:rsidRPr="00A42498">
        <w:rPr>
          <w:rStyle w:val="eop"/>
        </w:rPr>
        <w:fldChar w:fldCharType="begin"/>
      </w:r>
      <w:r w:rsidR="000D4EC7" w:rsidRPr="00A42498">
        <w:rPr>
          <w:rStyle w:val="eop"/>
        </w:rPr>
        <w:instrText xml:space="preserve"> REF _Ref69913243 \r \h </w:instrText>
      </w:r>
      <w:r w:rsidR="009D2ACF" w:rsidRPr="00A42498">
        <w:rPr>
          <w:rStyle w:val="eop"/>
        </w:rPr>
        <w:instrText xml:space="preserve"> \* MERGEFORMAT </w:instrText>
      </w:r>
      <w:r w:rsidR="000D4EC7" w:rsidRPr="00A42498">
        <w:rPr>
          <w:rStyle w:val="eop"/>
        </w:rPr>
      </w:r>
      <w:r w:rsidR="000D4EC7" w:rsidRPr="00A42498">
        <w:rPr>
          <w:rStyle w:val="eop"/>
        </w:rPr>
        <w:fldChar w:fldCharType="separate"/>
      </w:r>
      <w:r w:rsidR="008C066F">
        <w:rPr>
          <w:rStyle w:val="eop"/>
        </w:rPr>
        <w:t>Chart 2.3</w:t>
      </w:r>
      <w:r w:rsidR="000D4EC7" w:rsidRPr="00A42498">
        <w:rPr>
          <w:rStyle w:val="eop"/>
        </w:rPr>
        <w:fldChar w:fldCharType="end"/>
      </w:r>
      <w:r w:rsidR="000D4EC7" w:rsidRPr="00A42498">
        <w:rPr>
          <w:rStyle w:val="eop"/>
        </w:rPr>
        <w:t>)</w:t>
      </w:r>
      <w:r w:rsidRPr="00A42498">
        <w:rPr>
          <w:rStyle w:val="eop"/>
        </w:rPr>
        <w:t>.</w:t>
      </w:r>
      <w:r w:rsidR="008E5CB0" w:rsidRPr="00A42498">
        <w:rPr>
          <w:rStyle w:val="FootnoteReference"/>
        </w:rPr>
        <w:footnoteReference w:id="5"/>
      </w:r>
      <w:r w:rsidR="00CA25D0" w:rsidRPr="00A42498">
        <w:rPr>
          <w:rStyle w:val="eop"/>
        </w:rPr>
        <w:t xml:space="preserve"> </w:t>
      </w:r>
      <w:r w:rsidR="008F080E" w:rsidRPr="00A42498">
        <w:rPr>
          <w:rStyle w:val="eop"/>
          <w:rFonts w:asciiTheme="majorHAnsi" w:hAnsiTheme="majorHAnsi" w:cstheme="majorHAnsi"/>
          <w:color w:val="000000"/>
          <w:shd w:val="clear" w:color="auto" w:fill="FFFFFF"/>
        </w:rPr>
        <w:t xml:space="preserve">However, </w:t>
      </w:r>
      <w:r w:rsidR="004D05C2" w:rsidRPr="00A42498">
        <w:rPr>
          <w:rStyle w:val="eop"/>
          <w:rFonts w:asciiTheme="majorHAnsi" w:hAnsiTheme="majorHAnsi" w:cstheme="majorHAnsi"/>
          <w:color w:val="000000"/>
          <w:shd w:val="clear" w:color="auto" w:fill="FFFFFF"/>
        </w:rPr>
        <w:t xml:space="preserve">after </w:t>
      </w:r>
      <w:r w:rsidR="00574D01" w:rsidRPr="00A42498">
        <w:rPr>
          <w:rStyle w:val="eop"/>
          <w:rFonts w:asciiTheme="majorHAnsi" w:hAnsiTheme="majorHAnsi" w:cstheme="majorHAnsi"/>
          <w:color w:val="000000"/>
          <w:shd w:val="clear" w:color="auto" w:fill="FFFFFF"/>
        </w:rPr>
        <w:t>201</w:t>
      </w:r>
      <w:r w:rsidR="002B016D" w:rsidRPr="00A42498">
        <w:rPr>
          <w:rStyle w:val="eop"/>
          <w:rFonts w:asciiTheme="majorHAnsi" w:hAnsiTheme="majorHAnsi" w:cstheme="majorHAnsi"/>
          <w:color w:val="000000"/>
          <w:shd w:val="clear" w:color="auto" w:fill="FFFFFF"/>
        </w:rPr>
        <w:t>6</w:t>
      </w:r>
      <w:r w:rsidR="00574D01" w:rsidRPr="00A42498">
        <w:rPr>
          <w:rStyle w:val="eop"/>
          <w:rFonts w:asciiTheme="majorHAnsi" w:hAnsiTheme="majorHAnsi" w:cstheme="majorHAnsi"/>
          <w:color w:val="000000"/>
          <w:shd w:val="clear" w:color="auto" w:fill="FFFFFF"/>
        </w:rPr>
        <w:t xml:space="preserve"> </w:t>
      </w:r>
      <w:r w:rsidR="00CA25D0" w:rsidRPr="00A42498">
        <w:rPr>
          <w:rStyle w:val="eop"/>
          <w:rFonts w:asciiTheme="majorHAnsi" w:hAnsiTheme="majorHAnsi" w:cstheme="majorHAnsi"/>
          <w:color w:val="000000"/>
          <w:shd w:val="clear" w:color="auto" w:fill="FFFFFF"/>
        </w:rPr>
        <w:t xml:space="preserve">the number of yearly </w:t>
      </w:r>
      <w:r w:rsidR="005D5DEE" w:rsidRPr="00A42498">
        <w:rPr>
          <w:rStyle w:val="eop"/>
          <w:rFonts w:asciiTheme="majorHAnsi" w:hAnsiTheme="majorHAnsi" w:cstheme="majorHAnsi"/>
          <w:color w:val="000000"/>
          <w:shd w:val="clear" w:color="auto" w:fill="FFFFFF"/>
        </w:rPr>
        <w:t>weapons offen</w:t>
      </w:r>
      <w:r w:rsidR="00A717E1">
        <w:rPr>
          <w:rStyle w:val="eop"/>
          <w:rFonts w:asciiTheme="majorHAnsi" w:hAnsiTheme="majorHAnsi" w:cstheme="majorHAnsi"/>
          <w:color w:val="000000"/>
          <w:shd w:val="clear" w:color="auto" w:fill="FFFFFF"/>
        </w:rPr>
        <w:t>c</w:t>
      </w:r>
      <w:r w:rsidR="005D5DEE" w:rsidRPr="00A42498">
        <w:rPr>
          <w:rStyle w:val="eop"/>
          <w:rFonts w:asciiTheme="majorHAnsi" w:hAnsiTheme="majorHAnsi" w:cstheme="majorHAnsi"/>
          <w:color w:val="000000"/>
          <w:shd w:val="clear" w:color="auto" w:fill="FFFFFF"/>
        </w:rPr>
        <w:t>es</w:t>
      </w:r>
      <w:r w:rsidR="00CA25D0" w:rsidRPr="00A42498">
        <w:rPr>
          <w:rStyle w:val="eop"/>
          <w:rFonts w:asciiTheme="majorHAnsi" w:hAnsiTheme="majorHAnsi" w:cstheme="majorHAnsi"/>
          <w:color w:val="000000"/>
          <w:shd w:val="clear" w:color="auto" w:fill="FFFFFF"/>
        </w:rPr>
        <w:t xml:space="preserve"> stabilised</w:t>
      </w:r>
      <w:r w:rsidR="002B016D" w:rsidRPr="00A42498">
        <w:rPr>
          <w:rStyle w:val="eop"/>
          <w:rFonts w:asciiTheme="majorHAnsi" w:hAnsiTheme="majorHAnsi" w:cstheme="majorHAnsi"/>
          <w:color w:val="000000"/>
          <w:shd w:val="clear" w:color="auto" w:fill="FFFFFF"/>
        </w:rPr>
        <w:t xml:space="preserve"> at around 10,000.</w:t>
      </w:r>
    </w:p>
    <w:p w14:paraId="7FA18AC0" w14:textId="0BE01F03" w:rsidR="0010688E" w:rsidRPr="00A42498" w:rsidRDefault="0010688E" w:rsidP="0010688E">
      <w:pPr>
        <w:pStyle w:val="CaptionChart"/>
        <w:rPr>
          <w:rStyle w:val="eop"/>
        </w:rPr>
      </w:pPr>
      <w:r w:rsidRPr="00A42498" w:rsidDel="001E1B57">
        <w:rPr>
          <w:rStyle w:val="eop"/>
        </w:rPr>
        <w:t xml:space="preserve"> </w:t>
      </w:r>
      <w:bookmarkStart w:id="41" w:name="_Ref69913243"/>
      <w:bookmarkStart w:id="42" w:name="_Toc70066710"/>
      <w:r w:rsidRPr="00A42498">
        <w:rPr>
          <w:rStyle w:val="eop"/>
        </w:rPr>
        <w:t>Total number of weapons offences committed in Victoria, 2011-2020</w:t>
      </w:r>
      <w:bookmarkEnd w:id="41"/>
      <w:bookmarkEnd w:id="42"/>
    </w:p>
    <w:p w14:paraId="7354F776" w14:textId="55AF0838" w:rsidR="0010688E" w:rsidRPr="00A42498" w:rsidRDefault="00C76D28" w:rsidP="00590970">
      <w:pPr>
        <w:pStyle w:val="ListParagraph"/>
        <w:rPr>
          <w:rStyle w:val="eop"/>
          <w:rFonts w:asciiTheme="majorHAnsi" w:hAnsiTheme="majorHAnsi" w:cstheme="majorHAnsi"/>
          <w:color w:val="000000"/>
          <w:shd w:val="clear" w:color="auto" w:fill="FFFFFF"/>
        </w:rPr>
      </w:pPr>
      <w:r w:rsidRPr="00A42498">
        <w:rPr>
          <w:rStyle w:val="eop"/>
          <w:noProof/>
        </w:rPr>
        <w:drawing>
          <wp:inline distT="0" distB="0" distL="0" distR="0" wp14:anchorId="697FFB9C" wp14:editId="0C4DABE3">
            <wp:extent cx="4991100" cy="29988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98840" cy="3003462"/>
                    </a:xfrm>
                    <a:prstGeom prst="rect">
                      <a:avLst/>
                    </a:prstGeom>
                    <a:noFill/>
                    <a:ln>
                      <a:noFill/>
                    </a:ln>
                  </pic:spPr>
                </pic:pic>
              </a:graphicData>
            </a:graphic>
          </wp:inline>
        </w:drawing>
      </w:r>
    </w:p>
    <w:p w14:paraId="4D620477" w14:textId="01B816B9" w:rsidR="004154D5" w:rsidRPr="00A42498" w:rsidRDefault="0010688E" w:rsidP="0010688E">
      <w:pPr>
        <w:pStyle w:val="Source"/>
      </w:pPr>
      <w:r w:rsidRPr="00A42498">
        <w:rPr>
          <w:rStyle w:val="eop"/>
        </w:rPr>
        <w:t>Source: Crime Statistics Agency, Recorded Offences (2020)</w:t>
      </w:r>
    </w:p>
    <w:p w14:paraId="40A9832D" w14:textId="4B1A6ADE" w:rsidR="0060274A" w:rsidRPr="00A42498" w:rsidRDefault="0060274A" w:rsidP="0060274A">
      <w:r w:rsidRPr="00A42498">
        <w:rPr>
          <w:rStyle w:val="eop"/>
          <w:rFonts w:asciiTheme="majorHAnsi" w:hAnsiTheme="majorHAnsi" w:cstheme="majorHAnsi"/>
          <w:color w:val="000000"/>
          <w:shd w:val="clear" w:color="auto" w:fill="FFFFFF"/>
        </w:rPr>
        <w:t xml:space="preserve">Unrestricted access to weapons </w:t>
      </w:r>
      <w:r w:rsidR="00BC196C">
        <w:rPr>
          <w:rStyle w:val="eop"/>
          <w:rFonts w:asciiTheme="majorHAnsi" w:hAnsiTheme="majorHAnsi" w:cstheme="majorHAnsi"/>
          <w:color w:val="000000"/>
          <w:shd w:val="clear" w:color="auto" w:fill="FFFFFF"/>
        </w:rPr>
        <w:t>increases</w:t>
      </w:r>
      <w:r w:rsidRPr="00A42498">
        <w:rPr>
          <w:rStyle w:val="eop"/>
          <w:rFonts w:asciiTheme="majorHAnsi" w:hAnsiTheme="majorHAnsi" w:cstheme="majorHAnsi"/>
          <w:color w:val="000000"/>
          <w:shd w:val="clear" w:color="auto" w:fill="FFFFFF"/>
        </w:rPr>
        <w:t xml:space="preserve"> the risk of unintentional and intentional harm being inflicted upon individuals. </w:t>
      </w:r>
      <w:r w:rsidR="005F6C41" w:rsidRPr="00A42498">
        <w:rPr>
          <w:rStyle w:val="eop"/>
          <w:rFonts w:asciiTheme="majorHAnsi" w:hAnsiTheme="majorHAnsi" w:cstheme="majorHAnsi"/>
          <w:color w:val="000000"/>
          <w:shd w:val="clear" w:color="auto" w:fill="FFFFFF"/>
        </w:rPr>
        <w:t>It</w:t>
      </w:r>
      <w:r w:rsidRPr="00A42498">
        <w:rPr>
          <w:rStyle w:val="eop"/>
          <w:rFonts w:asciiTheme="majorHAnsi" w:hAnsiTheme="majorHAnsi" w:cstheme="majorHAnsi"/>
          <w:color w:val="000000"/>
          <w:shd w:val="clear" w:color="auto" w:fill="FFFFFF"/>
        </w:rPr>
        <w:t xml:space="preserve"> is likely that incidents of </w:t>
      </w:r>
      <w:r w:rsidR="00FD6256">
        <w:rPr>
          <w:rStyle w:val="eop"/>
          <w:rFonts w:asciiTheme="majorHAnsi" w:hAnsiTheme="majorHAnsi" w:cstheme="majorHAnsi"/>
          <w:color w:val="000000"/>
          <w:shd w:val="clear" w:color="auto" w:fill="FFFFFF"/>
        </w:rPr>
        <w:t>weapons</w:t>
      </w:r>
      <w:r w:rsidRPr="00A42498">
        <w:rPr>
          <w:rStyle w:val="eop"/>
          <w:rFonts w:asciiTheme="majorHAnsi" w:hAnsiTheme="majorHAnsi" w:cstheme="majorHAnsi"/>
          <w:color w:val="000000"/>
          <w:shd w:val="clear" w:color="auto" w:fill="FFFFFF"/>
        </w:rPr>
        <w:t>-based harm would be more frequent and severe in Victoria in the absence of any form of regulation</w:t>
      </w:r>
      <w:r w:rsidRPr="00A42498">
        <w:rPr>
          <w:rStyle w:val="eop"/>
        </w:rPr>
        <w:t>.</w:t>
      </w:r>
      <w:r w:rsidR="003003ED">
        <w:rPr>
          <w:rStyle w:val="eop"/>
        </w:rPr>
        <w:t xml:space="preserve"> </w:t>
      </w:r>
    </w:p>
    <w:p w14:paraId="713BDA96" w14:textId="01DF9344" w:rsidR="000E745F" w:rsidRPr="00A42498" w:rsidRDefault="000E745F" w:rsidP="000E745F">
      <w:pPr>
        <w:pStyle w:val="Heading2"/>
        <w:rPr>
          <w:rStyle w:val="eop"/>
        </w:rPr>
      </w:pPr>
      <w:bookmarkStart w:id="43" w:name="_Toc79397203"/>
      <w:r w:rsidRPr="00A42498">
        <w:rPr>
          <w:rStyle w:val="eop"/>
        </w:rPr>
        <w:t xml:space="preserve">The misuse of weapons </w:t>
      </w:r>
      <w:r w:rsidR="007240B3" w:rsidRPr="00A42498">
        <w:rPr>
          <w:rStyle w:val="eop"/>
        </w:rPr>
        <w:t>carries social and economic costs</w:t>
      </w:r>
      <w:bookmarkEnd w:id="43"/>
    </w:p>
    <w:p w14:paraId="2222E787" w14:textId="5FCAEBFA" w:rsidR="000E745F" w:rsidRPr="00A42498" w:rsidRDefault="000E745F" w:rsidP="00D5216B">
      <w:pPr>
        <w:spacing w:after="60"/>
      </w:pPr>
      <w:r w:rsidRPr="00A42498">
        <w:t>There are numerous social and economic costs associated with the misuse</w:t>
      </w:r>
      <w:r w:rsidR="00BC196C">
        <w:t xml:space="preserve"> or</w:t>
      </w:r>
      <w:r w:rsidRPr="00A42498">
        <w:t xml:space="preserve"> illegal use, of weapons:</w:t>
      </w:r>
    </w:p>
    <w:p w14:paraId="3018D88C" w14:textId="29842D50" w:rsidR="000E745F" w:rsidRPr="00A42498" w:rsidRDefault="000E745F" w:rsidP="00D5216B">
      <w:pPr>
        <w:pStyle w:val="ListParagraph"/>
        <w:numPr>
          <w:ilvl w:val="0"/>
          <w:numId w:val="18"/>
        </w:numPr>
        <w:spacing w:after="60"/>
        <w:ind w:left="357" w:hanging="357"/>
        <w:contextualSpacing w:val="0"/>
      </w:pPr>
      <w:r w:rsidRPr="00A42498">
        <w:t>injury and/or loss of life sustained by victims of weapons</w:t>
      </w:r>
    </w:p>
    <w:p w14:paraId="443836AB" w14:textId="1AA37DEF" w:rsidR="000E745F" w:rsidRPr="00A42498" w:rsidRDefault="000E745F" w:rsidP="00D5216B">
      <w:pPr>
        <w:pStyle w:val="ListParagraph"/>
        <w:numPr>
          <w:ilvl w:val="0"/>
          <w:numId w:val="18"/>
        </w:numPr>
        <w:spacing w:after="60"/>
        <w:ind w:left="357" w:hanging="357"/>
        <w:contextualSpacing w:val="0"/>
      </w:pPr>
      <w:r w:rsidRPr="00A42498">
        <w:t>individual economic and health costs associated with any injuries/loss of life (injury, pain, suffering, medical expenses, loss of employment)</w:t>
      </w:r>
    </w:p>
    <w:p w14:paraId="3B9626B9" w14:textId="4ECB2DA7" w:rsidR="000E745F" w:rsidRPr="00A42498" w:rsidRDefault="000E745F" w:rsidP="00D5216B">
      <w:pPr>
        <w:pStyle w:val="ListParagraph"/>
        <w:numPr>
          <w:ilvl w:val="0"/>
          <w:numId w:val="18"/>
        </w:numPr>
        <w:spacing w:after="60"/>
        <w:ind w:left="357" w:hanging="357"/>
        <w:contextualSpacing w:val="0"/>
      </w:pPr>
      <w:r w:rsidRPr="00A42498">
        <w:t>distress or public alarm due to the threat of violence using weapons, particularly imitation firearms</w:t>
      </w:r>
    </w:p>
    <w:p w14:paraId="0A585091" w14:textId="147720CA" w:rsidR="000E745F" w:rsidRPr="00A42498" w:rsidRDefault="000E745F" w:rsidP="00D5216B">
      <w:pPr>
        <w:pStyle w:val="ListParagraph"/>
        <w:numPr>
          <w:ilvl w:val="0"/>
          <w:numId w:val="18"/>
        </w:numPr>
        <w:spacing w:after="60"/>
        <w:ind w:left="357" w:hanging="357"/>
        <w:contextualSpacing w:val="0"/>
      </w:pPr>
      <w:r w:rsidRPr="00A42498">
        <w:t>economic cost for governments (police action, investigation, judicial processes, incarceration)</w:t>
      </w:r>
      <w:r w:rsidR="00B37B6B" w:rsidRPr="00A42498">
        <w:t xml:space="preserve"> and</w:t>
      </w:r>
    </w:p>
    <w:p w14:paraId="6ECB4330" w14:textId="268F59E3" w:rsidR="000E745F" w:rsidRPr="00A42498" w:rsidRDefault="000E745F" w:rsidP="00C87DAA">
      <w:pPr>
        <w:pStyle w:val="ListParagraph"/>
        <w:numPr>
          <w:ilvl w:val="0"/>
          <w:numId w:val="18"/>
        </w:numPr>
        <w:spacing w:after="120"/>
        <w:ind w:left="357" w:hanging="357"/>
        <w:contextualSpacing w:val="0"/>
        <w:rPr>
          <w:rStyle w:val="eop"/>
          <w:rFonts w:asciiTheme="majorHAnsi" w:eastAsia="Times New Roman" w:hAnsiTheme="majorHAnsi" w:cstheme="majorHAnsi"/>
        </w:rPr>
      </w:pPr>
      <w:r w:rsidRPr="00A42498">
        <w:t>economic and social costs for community (fear of crime, avoidance</w:t>
      </w:r>
      <w:r w:rsidR="00BF66F8" w:rsidRPr="00A42498">
        <w:t xml:space="preserve"> of certain </w:t>
      </w:r>
      <w:r w:rsidR="00770EDB" w:rsidRPr="00A42498">
        <w:t xml:space="preserve">social and economic </w:t>
      </w:r>
      <w:r w:rsidR="00BF66F8" w:rsidRPr="00A42498">
        <w:t>activities</w:t>
      </w:r>
      <w:r w:rsidRPr="00A42498">
        <w:t xml:space="preserve">, security costs). </w:t>
      </w:r>
      <w:r w:rsidRPr="00A42498">
        <w:rPr>
          <w:rStyle w:val="eop"/>
          <w:rFonts w:asciiTheme="majorHAnsi" w:hAnsiTheme="majorHAnsi" w:cstheme="majorHAnsi"/>
          <w:color w:val="000000"/>
          <w:shd w:val="clear" w:color="auto" w:fill="FFFFFF"/>
        </w:rPr>
        <w:t xml:space="preserve"> </w:t>
      </w:r>
    </w:p>
    <w:p w14:paraId="5EB67F79" w14:textId="27200CA8" w:rsidR="00131107" w:rsidRPr="00A42498" w:rsidRDefault="00131107" w:rsidP="00F1014D">
      <w:r w:rsidRPr="00A42498">
        <w:rPr>
          <w:rStyle w:val="eop"/>
          <w:rFonts w:asciiTheme="majorHAnsi" w:hAnsiTheme="majorHAnsi" w:cstheme="majorHAnsi"/>
          <w:color w:val="000000"/>
          <w:shd w:val="clear" w:color="auto" w:fill="FFFFFF"/>
        </w:rPr>
        <w:t xml:space="preserve">There are also costs imposed on the wider Victorian community. Increased cases of injury caused by weapons leads to higher rates of hospitalisation, increased </w:t>
      </w:r>
      <w:r w:rsidRPr="00A42498">
        <w:t xml:space="preserve">demand for ambulance services and a general strain on the healthcare system. Increased crime related to weapons misuse also </w:t>
      </w:r>
      <w:r w:rsidR="000142B0">
        <w:t>im</w:t>
      </w:r>
      <w:r w:rsidRPr="00A42498">
        <w:t xml:space="preserve">poses </w:t>
      </w:r>
      <w:r w:rsidR="000142B0">
        <w:t xml:space="preserve">costs </w:t>
      </w:r>
      <w:r w:rsidRPr="00A42498">
        <w:t xml:space="preserve">on the Victorian law enforcement and legal system. There are costs related to policing and investigation, legal representation, court administration and criminal sanctions. Injury caused by weapons misuse also </w:t>
      </w:r>
      <w:r w:rsidR="000142B0">
        <w:t xml:space="preserve">reduces </w:t>
      </w:r>
      <w:r w:rsidRPr="00A42498">
        <w:t>productivity</w:t>
      </w:r>
      <w:r w:rsidR="000142B0">
        <w:t>: individuals</w:t>
      </w:r>
      <w:r w:rsidRPr="00A42498">
        <w:t xml:space="preserve"> incapacitated due to injury </w:t>
      </w:r>
      <w:r w:rsidR="000142B0">
        <w:t>face</w:t>
      </w:r>
      <w:r w:rsidRPr="00A42498">
        <w:t xml:space="preserve"> time losses on employment, domestic activity, voluntary work</w:t>
      </w:r>
      <w:r w:rsidR="00DE59FB">
        <w:t xml:space="preserve"> and</w:t>
      </w:r>
      <w:r w:rsidRPr="00A42498">
        <w:t xml:space="preserve"> caregiving.</w:t>
      </w:r>
    </w:p>
    <w:p w14:paraId="00E8E5FA" w14:textId="5C21C93F" w:rsidR="004754BD" w:rsidRPr="00A42498" w:rsidRDefault="00131107" w:rsidP="00FE7573">
      <w:r w:rsidRPr="00A42498">
        <w:t xml:space="preserve">The burden of these costs on society is </w:t>
      </w:r>
      <w:r w:rsidR="0018324A">
        <w:t>significant</w:t>
      </w:r>
      <w:r w:rsidRPr="00A42498">
        <w:t>.</w:t>
      </w:r>
      <w:r w:rsidR="00CC13CA" w:rsidRPr="00CC13CA">
        <w:rPr>
          <w:rStyle w:val="eop"/>
          <w:rFonts w:asciiTheme="majorHAnsi" w:hAnsiTheme="majorHAnsi" w:cstheme="majorHAnsi"/>
          <w:color w:val="000000"/>
          <w:shd w:val="clear" w:color="auto" w:fill="FFFFFF"/>
        </w:rPr>
        <w:t xml:space="preserve"> </w:t>
      </w:r>
      <w:r w:rsidR="000C5B0B">
        <w:rPr>
          <w:rStyle w:val="eop"/>
          <w:rFonts w:asciiTheme="majorHAnsi" w:hAnsiTheme="majorHAnsi" w:cstheme="majorHAnsi"/>
          <w:color w:val="000000"/>
          <w:shd w:val="clear" w:color="auto" w:fill="FFFFFF"/>
        </w:rPr>
        <w:t>The</w:t>
      </w:r>
      <w:r w:rsidR="00CC13CA" w:rsidRPr="00A42498">
        <w:rPr>
          <w:rStyle w:val="eop"/>
          <w:rFonts w:asciiTheme="majorHAnsi" w:hAnsiTheme="majorHAnsi" w:cstheme="majorHAnsi"/>
          <w:color w:val="000000"/>
          <w:shd w:val="clear" w:color="auto" w:fill="FFFFFF"/>
        </w:rPr>
        <w:t xml:space="preserve"> previously mentioned risk</w:t>
      </w:r>
      <w:r w:rsidR="007A50CD">
        <w:rPr>
          <w:rStyle w:val="eop"/>
          <w:rFonts w:asciiTheme="majorHAnsi" w:hAnsiTheme="majorHAnsi" w:cstheme="majorHAnsi"/>
          <w:color w:val="000000"/>
          <w:shd w:val="clear" w:color="auto" w:fill="FFFFFF"/>
        </w:rPr>
        <w:t>s</w:t>
      </w:r>
      <w:r w:rsidR="00CC13CA" w:rsidRPr="00A42498">
        <w:rPr>
          <w:rStyle w:val="eop"/>
          <w:rFonts w:asciiTheme="majorHAnsi" w:hAnsiTheme="majorHAnsi" w:cstheme="majorHAnsi"/>
          <w:color w:val="000000"/>
          <w:shd w:val="clear" w:color="auto" w:fill="FFFFFF"/>
        </w:rPr>
        <w:t xml:space="preserve"> and costs occur even with the Regulations. In the absence of the Regulations, these risk</w:t>
      </w:r>
      <w:r w:rsidR="00CC13CA">
        <w:rPr>
          <w:rStyle w:val="eop"/>
          <w:rFonts w:asciiTheme="majorHAnsi" w:hAnsiTheme="majorHAnsi" w:cstheme="majorHAnsi"/>
          <w:color w:val="000000"/>
          <w:shd w:val="clear" w:color="auto" w:fill="FFFFFF"/>
        </w:rPr>
        <w:t>s</w:t>
      </w:r>
      <w:r w:rsidR="00CC13CA" w:rsidRPr="00A42498">
        <w:rPr>
          <w:rStyle w:val="eop"/>
          <w:rFonts w:asciiTheme="majorHAnsi" w:hAnsiTheme="majorHAnsi" w:cstheme="majorHAnsi"/>
          <w:color w:val="000000"/>
          <w:shd w:val="clear" w:color="auto" w:fill="FFFFFF"/>
        </w:rPr>
        <w:t xml:space="preserve"> and costs would increase.</w:t>
      </w:r>
      <w:r w:rsidRPr="00A42498">
        <w:t xml:space="preserve"> The estimated cost of weapons-related crime in Victoria was $2</w:t>
      </w:r>
      <w:r w:rsidR="007B4C0A">
        <w:t>81</w:t>
      </w:r>
      <w:r w:rsidRPr="00A42498">
        <w:t xml:space="preserve"> million per annum based on </w:t>
      </w:r>
      <w:r w:rsidR="005A48DE">
        <w:t>2019</w:t>
      </w:r>
      <w:r w:rsidRPr="00A42498">
        <w:t xml:space="preserve"> data.</w:t>
      </w:r>
      <w:r w:rsidR="00BC196C">
        <w:rPr>
          <w:rStyle w:val="FootnoteReference"/>
        </w:rPr>
        <w:footnoteReference w:id="6"/>
      </w:r>
      <w:r w:rsidRPr="00A42498">
        <w:t xml:space="preserve"> By contrast, </w:t>
      </w:r>
      <w:r w:rsidR="002A276F" w:rsidRPr="00A42498">
        <w:t>the</w:t>
      </w:r>
      <w:r w:rsidRPr="00A42498">
        <w:t xml:space="preserve"> estimated</w:t>
      </w:r>
      <w:r w:rsidRPr="00A42498">
        <w:rPr>
          <w:rStyle w:val="eop"/>
          <w:rFonts w:asciiTheme="majorHAnsi" w:hAnsiTheme="majorHAnsi" w:cstheme="majorHAnsi"/>
          <w:color w:val="000000"/>
          <w:shd w:val="clear" w:color="auto" w:fill="FFFFFF"/>
        </w:rPr>
        <w:t xml:space="preserve"> impacts of </w:t>
      </w:r>
      <w:r w:rsidR="002A276F" w:rsidRPr="00A42498">
        <w:rPr>
          <w:rStyle w:val="eop"/>
          <w:rFonts w:asciiTheme="majorHAnsi" w:hAnsiTheme="majorHAnsi" w:cstheme="majorHAnsi"/>
          <w:color w:val="000000"/>
          <w:shd w:val="clear" w:color="auto" w:fill="FFFFFF"/>
        </w:rPr>
        <w:t>the R</w:t>
      </w:r>
      <w:r w:rsidRPr="00A42498">
        <w:rPr>
          <w:rStyle w:val="eop"/>
          <w:rFonts w:asciiTheme="majorHAnsi" w:hAnsiTheme="majorHAnsi" w:cstheme="majorHAnsi"/>
          <w:color w:val="000000"/>
          <w:shd w:val="clear" w:color="auto" w:fill="FFFFFF"/>
        </w:rPr>
        <w:t>egulations amount</w:t>
      </w:r>
      <w:r w:rsidR="00614B51">
        <w:rPr>
          <w:rStyle w:val="eop"/>
          <w:rFonts w:asciiTheme="majorHAnsi" w:hAnsiTheme="majorHAnsi" w:cstheme="majorHAnsi"/>
          <w:color w:val="000000"/>
          <w:shd w:val="clear" w:color="auto" w:fill="FFFFFF"/>
        </w:rPr>
        <w:t xml:space="preserve"> to $</w:t>
      </w:r>
      <w:r w:rsidR="001455B3">
        <w:rPr>
          <w:rStyle w:val="eop"/>
          <w:rFonts w:asciiTheme="majorHAnsi" w:hAnsiTheme="majorHAnsi" w:cstheme="majorHAnsi"/>
          <w:color w:val="000000"/>
          <w:shd w:val="clear" w:color="auto" w:fill="FFFFFF"/>
        </w:rPr>
        <w:t>1,</w:t>
      </w:r>
      <w:r w:rsidR="002C177D">
        <w:rPr>
          <w:rStyle w:val="eop"/>
          <w:rFonts w:asciiTheme="majorHAnsi" w:hAnsiTheme="majorHAnsi" w:cstheme="majorHAnsi"/>
          <w:color w:val="000000"/>
          <w:shd w:val="clear" w:color="auto" w:fill="FFFFFF"/>
        </w:rPr>
        <w:t>143,279</w:t>
      </w:r>
      <w:r w:rsidR="00794B65">
        <w:rPr>
          <w:rStyle w:val="eop"/>
          <w:rFonts w:asciiTheme="majorHAnsi" w:hAnsiTheme="majorHAnsi" w:cstheme="majorHAnsi"/>
          <w:color w:val="000000"/>
          <w:shd w:val="clear" w:color="auto" w:fill="FFFFFF"/>
        </w:rPr>
        <w:t xml:space="preserve"> per annum</w:t>
      </w:r>
      <w:r w:rsidR="00A03431">
        <w:rPr>
          <w:rStyle w:val="eop"/>
          <w:rFonts w:asciiTheme="majorHAnsi" w:hAnsiTheme="majorHAnsi" w:cstheme="majorHAnsi"/>
          <w:color w:val="000000"/>
          <w:shd w:val="clear" w:color="auto" w:fill="FFFFFF"/>
        </w:rPr>
        <w:t xml:space="preserve"> in compliance costs and </w:t>
      </w:r>
      <w:r w:rsidR="00656DD4">
        <w:rPr>
          <w:rStyle w:val="eop"/>
          <w:rFonts w:asciiTheme="majorHAnsi" w:hAnsiTheme="majorHAnsi" w:cstheme="majorHAnsi"/>
          <w:color w:val="000000"/>
          <w:shd w:val="clear" w:color="auto" w:fill="FFFFFF"/>
        </w:rPr>
        <w:t xml:space="preserve">up to </w:t>
      </w:r>
      <w:r w:rsidR="002B2660">
        <w:rPr>
          <w:rStyle w:val="eop"/>
          <w:rFonts w:asciiTheme="majorHAnsi" w:hAnsiTheme="majorHAnsi" w:cstheme="majorHAnsi"/>
          <w:color w:val="000000"/>
          <w:shd w:val="clear" w:color="auto" w:fill="FFFFFF"/>
        </w:rPr>
        <w:t xml:space="preserve">an </w:t>
      </w:r>
      <w:r w:rsidR="00A03431">
        <w:rPr>
          <w:rStyle w:val="eop"/>
          <w:rFonts w:asciiTheme="majorHAnsi" w:hAnsiTheme="majorHAnsi" w:cstheme="majorHAnsi"/>
          <w:color w:val="000000"/>
          <w:shd w:val="clear" w:color="auto" w:fill="FFFFFF"/>
        </w:rPr>
        <w:t xml:space="preserve">additional </w:t>
      </w:r>
      <w:r w:rsidR="00656DD4">
        <w:rPr>
          <w:rStyle w:val="eop"/>
          <w:rFonts w:asciiTheme="majorHAnsi" w:hAnsiTheme="majorHAnsi" w:cstheme="majorHAnsi"/>
          <w:color w:val="000000"/>
          <w:shd w:val="clear" w:color="auto" w:fill="FFFFFF"/>
        </w:rPr>
        <w:t>$6</w:t>
      </w:r>
      <w:r w:rsidR="006701F0">
        <w:rPr>
          <w:rStyle w:val="eop"/>
          <w:rFonts w:asciiTheme="majorHAnsi" w:hAnsiTheme="majorHAnsi" w:cstheme="majorHAnsi"/>
          <w:color w:val="000000"/>
          <w:shd w:val="clear" w:color="auto" w:fill="FFFFFF"/>
        </w:rPr>
        <w:t>3</w:t>
      </w:r>
      <w:r w:rsidR="00656DD4">
        <w:rPr>
          <w:rStyle w:val="eop"/>
          <w:rFonts w:asciiTheme="majorHAnsi" w:hAnsiTheme="majorHAnsi" w:cstheme="majorHAnsi"/>
          <w:color w:val="000000"/>
          <w:shd w:val="clear" w:color="auto" w:fill="FFFFFF"/>
        </w:rPr>
        <w:t>,</w:t>
      </w:r>
      <w:r w:rsidR="002B2660">
        <w:rPr>
          <w:rStyle w:val="eop"/>
          <w:rFonts w:asciiTheme="majorHAnsi" w:hAnsiTheme="majorHAnsi" w:cstheme="majorHAnsi"/>
          <w:color w:val="000000"/>
          <w:shd w:val="clear" w:color="auto" w:fill="FFFFFF"/>
        </w:rPr>
        <w:t>500</w:t>
      </w:r>
      <w:r w:rsidR="00250E4C">
        <w:rPr>
          <w:rStyle w:val="eop"/>
          <w:rFonts w:asciiTheme="majorHAnsi" w:hAnsiTheme="majorHAnsi" w:cstheme="majorHAnsi"/>
          <w:color w:val="000000"/>
          <w:shd w:val="clear" w:color="auto" w:fill="FFFFFF"/>
        </w:rPr>
        <w:t xml:space="preserve"> in</w:t>
      </w:r>
      <w:r w:rsidR="005B6CE7">
        <w:rPr>
          <w:rStyle w:val="eop"/>
          <w:rFonts w:asciiTheme="majorHAnsi" w:hAnsiTheme="majorHAnsi" w:cstheme="majorHAnsi"/>
          <w:color w:val="000000"/>
          <w:shd w:val="clear" w:color="auto" w:fill="FFFFFF"/>
        </w:rPr>
        <w:t xml:space="preserve"> fees </w:t>
      </w:r>
      <w:r w:rsidR="006701F0">
        <w:rPr>
          <w:rStyle w:val="eop"/>
          <w:rFonts w:asciiTheme="majorHAnsi" w:hAnsiTheme="majorHAnsi" w:cstheme="majorHAnsi"/>
          <w:color w:val="000000"/>
          <w:shd w:val="clear" w:color="auto" w:fill="FFFFFF"/>
        </w:rPr>
        <w:t xml:space="preserve">charge for applications for approval  or use a </w:t>
      </w:r>
      <w:r w:rsidR="006701F0" w:rsidRPr="00FE7573">
        <w:t>prohibited</w:t>
      </w:r>
      <w:r w:rsidR="006701F0">
        <w:rPr>
          <w:rStyle w:val="eop"/>
          <w:rFonts w:asciiTheme="majorHAnsi" w:hAnsiTheme="majorHAnsi" w:cstheme="majorHAnsi"/>
          <w:color w:val="000000"/>
          <w:shd w:val="clear" w:color="auto" w:fill="FFFFFF"/>
        </w:rPr>
        <w:t xml:space="preserve"> weapon</w:t>
      </w:r>
      <w:r w:rsidR="002B2660">
        <w:rPr>
          <w:rStyle w:val="eop"/>
          <w:rFonts w:asciiTheme="majorHAnsi" w:hAnsiTheme="majorHAnsi" w:cstheme="majorHAnsi"/>
          <w:color w:val="000000"/>
          <w:shd w:val="clear" w:color="auto" w:fill="FFFFFF"/>
        </w:rPr>
        <w:t>, with a total estimated impact of $1</w:t>
      </w:r>
      <w:r w:rsidR="004754BD" w:rsidRPr="00A42498">
        <w:t>er sets out the approach used in this RIS to asses</w:t>
      </w:r>
      <w:r w:rsidR="009D3F4F" w:rsidRPr="00A42498">
        <w:t xml:space="preserve">s broad options for </w:t>
      </w:r>
      <w:r w:rsidR="002F40E5" w:rsidRPr="00A42498">
        <w:t>Victoria’s approach to controlling weapons,</w:t>
      </w:r>
      <w:r w:rsidR="004754BD" w:rsidRPr="00A42498">
        <w:t xml:space="preserve"> </w:t>
      </w:r>
      <w:r w:rsidR="00B47B9B" w:rsidRPr="00A42498">
        <w:t>before analysing</w:t>
      </w:r>
      <w:r w:rsidR="00EA10F5" w:rsidRPr="00A42498">
        <w:t xml:space="preserve"> the </w:t>
      </w:r>
      <w:r w:rsidR="00242A2C" w:rsidRPr="00A42498">
        <w:t>impact</w:t>
      </w:r>
      <w:r w:rsidR="00B47B9B" w:rsidRPr="00A42498">
        <w:t>s</w:t>
      </w:r>
      <w:r w:rsidR="004754BD" w:rsidRPr="00A42498">
        <w:t xml:space="preserve"> of </w:t>
      </w:r>
      <w:r w:rsidR="00242A2C" w:rsidRPr="00A42498">
        <w:t>specific changes</w:t>
      </w:r>
      <w:r w:rsidR="004754BD" w:rsidRPr="00A42498">
        <w:t xml:space="preserve"> to </w:t>
      </w:r>
      <w:r w:rsidR="00242A2C" w:rsidRPr="00A42498">
        <w:t>the Regulations</w:t>
      </w:r>
      <w:r w:rsidR="004754BD" w:rsidRPr="00A42498">
        <w:t xml:space="preserve"> in </w:t>
      </w:r>
      <w:r w:rsidR="00242A2C" w:rsidRPr="00A42498">
        <w:t>Chapter 4</w:t>
      </w:r>
      <w:r w:rsidR="004754BD" w:rsidRPr="00A42498">
        <w:t xml:space="preserve">. </w:t>
      </w:r>
    </w:p>
    <w:p w14:paraId="19F4A7A9" w14:textId="1AED31D1" w:rsidR="00FF038E" w:rsidRPr="00A42498" w:rsidRDefault="00FF038E" w:rsidP="00FF038E">
      <w:pPr>
        <w:pStyle w:val="Heading2"/>
      </w:pPr>
      <w:bookmarkStart w:id="44" w:name="_Toc79397204"/>
      <w:r w:rsidRPr="00A42498">
        <w:t>Objectives</w:t>
      </w:r>
      <w:bookmarkEnd w:id="44"/>
    </w:p>
    <w:p w14:paraId="27588576" w14:textId="2AFA7B8D" w:rsidR="00336C32" w:rsidRPr="00A42498" w:rsidRDefault="00BA1781" w:rsidP="00D45A55">
      <w:r w:rsidRPr="00A42498">
        <w:t xml:space="preserve">The objective of regulation under the Act is to protect community safety and to mitigate the risk of </w:t>
      </w:r>
      <w:r w:rsidR="00BF5AFB">
        <w:t xml:space="preserve">prescribed items </w:t>
      </w:r>
      <w:r w:rsidR="005C68F2" w:rsidRPr="00A42498">
        <w:t>being used to commit crim</w:t>
      </w:r>
      <w:r w:rsidR="00764E06" w:rsidRPr="00A42498">
        <w:t>e</w:t>
      </w:r>
      <w:r w:rsidR="005C68F2" w:rsidRPr="00A42498">
        <w:t>s or used in a</w:t>
      </w:r>
      <w:r w:rsidR="00910C04" w:rsidRPr="00A42498">
        <w:t>n</w:t>
      </w:r>
      <w:r w:rsidR="005C68F2" w:rsidRPr="00A42498">
        <w:t xml:space="preserve"> un</w:t>
      </w:r>
      <w:r w:rsidR="00764E06" w:rsidRPr="00A42498">
        <w:t>safe manner that could cause people harm.</w:t>
      </w:r>
      <w:r w:rsidR="00336C32">
        <w:t xml:space="preserve"> The regulation of body armour supports this same objective by preventing criminals from using body armour to protect themselves when perpetrating crimes, which would result in escalation </w:t>
      </w:r>
      <w:r w:rsidR="00776836">
        <w:t>of force by police (who would need to use more extreme measures to combat the armoured offenders) and/or reduce the operational effectiveness of police in general.</w:t>
      </w:r>
      <w:r w:rsidR="00336C32">
        <w:t xml:space="preserve"> </w:t>
      </w:r>
    </w:p>
    <w:p w14:paraId="12B4BC79" w14:textId="1C6A7EB8" w:rsidR="00C60AA8" w:rsidRPr="00A42498" w:rsidRDefault="00BC72AE" w:rsidP="00D45A55">
      <w:r w:rsidRPr="00A42498">
        <w:t xml:space="preserve">Therefore, the proposed </w:t>
      </w:r>
      <w:r w:rsidR="00B32A33" w:rsidRPr="00A42498">
        <w:t>regulatory approaches considered within this RIS</w:t>
      </w:r>
      <w:r w:rsidRPr="00A42498">
        <w:t xml:space="preserve"> aim to:</w:t>
      </w:r>
    </w:p>
    <w:p w14:paraId="0EA86763" w14:textId="5E2B56DF" w:rsidR="00CD4EFD" w:rsidRPr="00ED2086" w:rsidRDefault="002A3B2E" w:rsidP="00C87DAA">
      <w:pPr>
        <w:pStyle w:val="ListParagraph"/>
        <w:numPr>
          <w:ilvl w:val="0"/>
          <w:numId w:val="18"/>
        </w:numPr>
        <w:spacing w:after="120"/>
        <w:ind w:left="357" w:hanging="357"/>
        <w:contextualSpacing w:val="0"/>
      </w:pPr>
      <w:r w:rsidRPr="002A77E5">
        <w:t>i</w:t>
      </w:r>
      <w:r w:rsidR="00CD4EFD" w:rsidRPr="002A77E5">
        <w:t xml:space="preserve">mprove community </w:t>
      </w:r>
      <w:r w:rsidR="00CD4EFD" w:rsidRPr="00ED2086">
        <w:t xml:space="preserve">safety </w:t>
      </w:r>
      <w:r w:rsidR="0050110D">
        <w:t>and perceived safety,</w:t>
      </w:r>
    </w:p>
    <w:p w14:paraId="534EB45A" w14:textId="2C09FD9C" w:rsidR="00F04AFA" w:rsidRDefault="002A3B2E" w:rsidP="00C87DAA">
      <w:pPr>
        <w:pStyle w:val="ListParagraph"/>
        <w:numPr>
          <w:ilvl w:val="0"/>
          <w:numId w:val="18"/>
        </w:numPr>
        <w:spacing w:after="120"/>
        <w:ind w:left="357" w:hanging="357"/>
        <w:contextualSpacing w:val="0"/>
      </w:pPr>
      <w:r w:rsidRPr="00ED2086">
        <w:t>r</w:t>
      </w:r>
      <w:r w:rsidR="00D72C25" w:rsidRPr="00ED2086">
        <w:t>educe the social and economic costs associated with the misuse of weapons</w:t>
      </w:r>
      <w:r w:rsidR="00056A92">
        <w:t xml:space="preserve"> outlined in 2.2 above</w:t>
      </w:r>
      <w:r w:rsidR="00F04AFA">
        <w:t>, and</w:t>
      </w:r>
    </w:p>
    <w:p w14:paraId="316A5634" w14:textId="3FB08D91" w:rsidR="00E01889" w:rsidRPr="00A42498" w:rsidRDefault="00F04AFA" w:rsidP="00C87DAA">
      <w:pPr>
        <w:pStyle w:val="ListParagraph"/>
        <w:numPr>
          <w:ilvl w:val="0"/>
          <w:numId w:val="18"/>
        </w:numPr>
        <w:spacing w:after="120"/>
        <w:ind w:left="357" w:hanging="357"/>
        <w:contextualSpacing w:val="0"/>
      </w:pPr>
      <w:r>
        <w:t>minimise burden on legitimate use of controlled weapons</w:t>
      </w:r>
      <w:r w:rsidR="002A3B2E" w:rsidRPr="00A42498" w:rsidDel="00F04AFA">
        <w:t>.</w:t>
      </w:r>
    </w:p>
    <w:p w14:paraId="61A8E2EE" w14:textId="16C7ECD2" w:rsidR="00D45A55" w:rsidRPr="00A42498" w:rsidRDefault="00896379" w:rsidP="00D45A55">
      <w:pPr>
        <w:pStyle w:val="Heading2"/>
      </w:pPr>
      <w:bookmarkStart w:id="45" w:name="_Toc79397205"/>
      <w:r>
        <w:t>Approach to o</w:t>
      </w:r>
      <w:r w:rsidR="00D45A55" w:rsidRPr="00A42498">
        <w:t>ptions development</w:t>
      </w:r>
      <w:bookmarkEnd w:id="45"/>
    </w:p>
    <w:p w14:paraId="6252A4B3" w14:textId="3583204B" w:rsidR="00AB6FEB" w:rsidRDefault="00AB6FEB" w:rsidP="00AB6FEB">
      <w:r w:rsidRPr="00A42498">
        <w:t xml:space="preserve">As part of the </w:t>
      </w:r>
      <w:r w:rsidR="002A3B2E" w:rsidRPr="00A42498">
        <w:t>RIS</w:t>
      </w:r>
      <w:r w:rsidRPr="00A42498">
        <w:t xml:space="preserve"> process, it is necessary to consider different possible options available to achieve the Victorian Government’s objectives. The </w:t>
      </w:r>
      <w:r w:rsidRPr="00A42498">
        <w:rPr>
          <w:i/>
        </w:rPr>
        <w:t>Subordinate Legislation Act 1994</w:t>
      </w:r>
      <w:r w:rsidRPr="00A42498">
        <w:t xml:space="preserve">, the </w:t>
      </w:r>
      <w:r w:rsidR="00E31932">
        <w:t>Subordinate Legislation Act 1994 Guidelines</w:t>
      </w:r>
      <w:r w:rsidRPr="00A42498">
        <w:rPr>
          <w:i/>
        </w:rPr>
        <w:t>,</w:t>
      </w:r>
      <w:r w:rsidRPr="00A42498">
        <w:rPr>
          <w:vertAlign w:val="superscript"/>
        </w:rPr>
        <w:footnoteReference w:id="7"/>
      </w:r>
      <w:r w:rsidRPr="00A42498">
        <w:t xml:space="preserve"> and the </w:t>
      </w:r>
      <w:r w:rsidRPr="00A42498">
        <w:rPr>
          <w:i/>
        </w:rPr>
        <w:t>Victorian Guide to Regulation</w:t>
      </w:r>
      <w:r w:rsidRPr="00A42498">
        <w:t xml:space="preserve"> recommend that this include considering a range of approaches, including co-regulation and non-regulatory options, and those that reduce the burden imposed on business and/or the community</w:t>
      </w:r>
      <w:r w:rsidR="00B920FF" w:rsidRPr="00A42498">
        <w:t>.</w:t>
      </w:r>
    </w:p>
    <w:p w14:paraId="027AA2DC" w14:textId="69A04DF0" w:rsidR="00244FAC" w:rsidRDefault="00244FAC" w:rsidP="00244FAC">
      <w:pPr>
        <w:pStyle w:val="Heading3"/>
      </w:pPr>
      <w:r>
        <w:t>Feasible options within the scope of the regulation-making powers of the Act</w:t>
      </w:r>
    </w:p>
    <w:p w14:paraId="2AD6BCDF" w14:textId="29758D27" w:rsidR="00810AFD" w:rsidRPr="00810AFD" w:rsidRDefault="00B920FF" w:rsidP="00810AFD">
      <w:r w:rsidRPr="00A42498">
        <w:t xml:space="preserve">The Act does not provide sufficient Regulation-making powers </w:t>
      </w:r>
      <w:r w:rsidR="00EF67A2" w:rsidRPr="00A42498">
        <w:t xml:space="preserve">for this RIS to consider </w:t>
      </w:r>
      <w:r w:rsidR="002E55C9" w:rsidRPr="00A42498">
        <w:t xml:space="preserve">widespread </w:t>
      </w:r>
      <w:r w:rsidR="00EF67A2" w:rsidRPr="00A42498">
        <w:t xml:space="preserve">changes </w:t>
      </w:r>
      <w:r w:rsidR="002E55C9" w:rsidRPr="00A42498">
        <w:t xml:space="preserve">to the regulatory approach </w:t>
      </w:r>
      <w:r w:rsidR="000258F5" w:rsidRPr="00A42498">
        <w:t xml:space="preserve">adopted in the </w:t>
      </w:r>
      <w:r w:rsidR="00EF67A2" w:rsidRPr="00A42498">
        <w:t>Regulation</w:t>
      </w:r>
      <w:r w:rsidR="000258F5" w:rsidRPr="00A42498">
        <w:t>s</w:t>
      </w:r>
      <w:r w:rsidR="00EF67A2" w:rsidRPr="00A42498">
        <w:t xml:space="preserve">. Nevertheless, in keeping with the </w:t>
      </w:r>
      <w:r w:rsidR="004D116B">
        <w:t xml:space="preserve">intent </w:t>
      </w:r>
      <w:r w:rsidR="00EF67A2" w:rsidRPr="00A42498">
        <w:t>of the sunsetting process,</w:t>
      </w:r>
      <w:r w:rsidR="004D116B">
        <w:t xml:space="preserve"> and to outline for stakeholder</w:t>
      </w:r>
      <w:r w:rsidR="003F5FC7">
        <w:t>s</w:t>
      </w:r>
      <w:r w:rsidR="004D116B">
        <w:t xml:space="preserve"> the underlying rationale for preferring a regulatory approach,</w:t>
      </w:r>
      <w:r w:rsidR="00EF67A2" w:rsidRPr="00A42498">
        <w:t xml:space="preserve"> the analysis of options in this RIS </w:t>
      </w:r>
      <w:r w:rsidR="005626AE">
        <w:t>reviews</w:t>
      </w:r>
      <w:r w:rsidR="000011EC">
        <w:t xml:space="preserve"> </w:t>
      </w:r>
      <w:r w:rsidR="009B59FB" w:rsidRPr="00A42498">
        <w:t>the relative merits of the current regulatory framework compared to alternative approaches to managing the risks posed by weapons.</w:t>
      </w:r>
    </w:p>
    <w:p w14:paraId="2469E50C" w14:textId="659E1F76" w:rsidR="00FD50EB" w:rsidRDefault="00FD50EB" w:rsidP="00FD50EB">
      <w:r>
        <w:t xml:space="preserve">These options have been informed by the consultation process, in which several stakeholders provided useful insights into and examples of alternative regulatory arrangements which, while not feasible within the constraints of the Act, warrant noting here. </w:t>
      </w:r>
    </w:p>
    <w:p w14:paraId="4D1B2682" w14:textId="5A7D6BF9" w:rsidR="00C05BF2" w:rsidRDefault="00C05BF2" w:rsidP="00C05BF2">
      <w:r>
        <w:t>The options identified below and their analysis in Chapter 4 are included here to outline for stakeholders the effectiveness of the current regulatory regime and the rationale for continuing with a regulatory approach, subject to any beneficial variations to the status quo. They are not intended to suggest that options such as no regulation, relying solely on information campaigns or requiring industry to lead the regulatory effort</w:t>
      </w:r>
      <w:r w:rsidR="002C65D3">
        <w:t>,</w:t>
      </w:r>
      <w:r>
        <w:t xml:space="preserve"> are </w:t>
      </w:r>
      <w:r w:rsidR="00A86B17">
        <w:t xml:space="preserve">being </w:t>
      </w:r>
      <w:r w:rsidR="001842C6">
        <w:t>contemplated by</w:t>
      </w:r>
      <w:r>
        <w:t xml:space="preserve"> Government.</w:t>
      </w:r>
    </w:p>
    <w:p w14:paraId="6F421636" w14:textId="1FEA111B" w:rsidR="00E009F4" w:rsidRPr="00A42498" w:rsidRDefault="00E009F4" w:rsidP="00E009F4">
      <w:r>
        <w:t xml:space="preserve">The </w:t>
      </w:r>
      <w:r w:rsidR="002E6264">
        <w:t xml:space="preserve">provisions </w:t>
      </w:r>
      <w:r>
        <w:t>in the Act allow for regulations to be made that prescribe matters for the purposes</w:t>
      </w:r>
      <w:r w:rsidRPr="00A42498">
        <w:t xml:space="preserve"> of the Act</w:t>
      </w:r>
      <w:r w:rsidR="00CD656A">
        <w:t>, including, for example</w:t>
      </w:r>
      <w:r>
        <w:t>:</w:t>
      </w:r>
    </w:p>
    <w:p w14:paraId="555AFBAB" w14:textId="6668E598" w:rsidR="00E009F4" w:rsidRDefault="00E009F4" w:rsidP="00C87DAA">
      <w:pPr>
        <w:pStyle w:val="ListParagraph"/>
        <w:numPr>
          <w:ilvl w:val="0"/>
          <w:numId w:val="18"/>
        </w:numPr>
        <w:spacing w:after="120"/>
        <w:ind w:left="357" w:hanging="357"/>
        <w:contextualSpacing w:val="0"/>
      </w:pPr>
      <w:r>
        <w:t xml:space="preserve">what items are body armour </w:t>
      </w:r>
    </w:p>
    <w:p w14:paraId="1E75B83F" w14:textId="77E87D5F" w:rsidR="00E009F4" w:rsidRPr="00A42498" w:rsidRDefault="00E009F4" w:rsidP="00C87DAA">
      <w:pPr>
        <w:pStyle w:val="ListParagraph"/>
        <w:numPr>
          <w:ilvl w:val="0"/>
          <w:numId w:val="18"/>
        </w:numPr>
        <w:spacing w:after="120"/>
        <w:ind w:left="357" w:hanging="357"/>
        <w:contextualSpacing w:val="0"/>
      </w:pPr>
      <w:r w:rsidRPr="00A42498">
        <w:t xml:space="preserve">specific </w:t>
      </w:r>
      <w:r>
        <w:t>articles as a certain class of weapon (e.g. controlled weapon or prohibited weapon), triggering specific regulatory controls under the Act</w:t>
      </w:r>
    </w:p>
    <w:p w14:paraId="252A1CA9" w14:textId="2D1EB081" w:rsidR="00E009F4" w:rsidRPr="00A42498" w:rsidRDefault="00E009F4" w:rsidP="00C87DAA">
      <w:pPr>
        <w:pStyle w:val="ListParagraph"/>
        <w:numPr>
          <w:ilvl w:val="0"/>
          <w:numId w:val="18"/>
        </w:numPr>
        <w:spacing w:after="120"/>
        <w:ind w:left="357" w:hanging="357"/>
        <w:contextualSpacing w:val="0"/>
      </w:pPr>
      <w:r w:rsidRPr="00A42498">
        <w:t>fees for approval</w:t>
      </w:r>
      <w:r>
        <w:t>s</w:t>
      </w:r>
      <w:r w:rsidRPr="00A42498">
        <w:t xml:space="preserve"> </w:t>
      </w:r>
      <w:r>
        <w:t xml:space="preserve">to </w:t>
      </w:r>
      <w:r w:rsidRPr="00A42498">
        <w:t>lawful</w:t>
      </w:r>
      <w:r>
        <w:t>ly</w:t>
      </w:r>
      <w:r w:rsidRPr="00A42498">
        <w:t xml:space="preserve"> use prohibited weapons</w:t>
      </w:r>
    </w:p>
    <w:p w14:paraId="5B9A35B7" w14:textId="3CA7A284" w:rsidR="00E009F4" w:rsidRDefault="00E009F4" w:rsidP="00C87DAA">
      <w:pPr>
        <w:pStyle w:val="ListParagraph"/>
        <w:numPr>
          <w:ilvl w:val="0"/>
          <w:numId w:val="18"/>
        </w:numPr>
        <w:spacing w:after="120"/>
        <w:ind w:left="357" w:hanging="357"/>
        <w:contextualSpacing w:val="0"/>
      </w:pPr>
      <w:r w:rsidRPr="00A42498">
        <w:t xml:space="preserve">requirements for record keeping and identification in transactions of </w:t>
      </w:r>
      <w:r w:rsidR="00255C51">
        <w:t xml:space="preserve">prohibited </w:t>
      </w:r>
      <w:r w:rsidRPr="00A42498">
        <w:t>weapons</w:t>
      </w:r>
      <w:r>
        <w:t>, and</w:t>
      </w:r>
    </w:p>
    <w:p w14:paraId="70DDEA6E" w14:textId="77777777" w:rsidR="00122966" w:rsidRDefault="00E009F4" w:rsidP="00C87DAA">
      <w:pPr>
        <w:pStyle w:val="ListParagraph"/>
        <w:numPr>
          <w:ilvl w:val="0"/>
          <w:numId w:val="18"/>
        </w:numPr>
        <w:spacing w:after="120"/>
        <w:ind w:left="357" w:hanging="357"/>
        <w:contextualSpacing w:val="0"/>
      </w:pPr>
      <w:r>
        <w:t>record keeping requirements for police and protective services officers exercising powers under the Act</w:t>
      </w:r>
      <w:r w:rsidRPr="00A42498">
        <w:t>.</w:t>
      </w:r>
    </w:p>
    <w:p w14:paraId="5B7C3D07" w14:textId="0901E5CB" w:rsidR="000C4874" w:rsidRPr="00AC5702" w:rsidRDefault="000C4874" w:rsidP="000C4874">
      <w:pPr>
        <w:pStyle w:val="Heading3"/>
      </w:pPr>
      <w:bookmarkStart w:id="46" w:name="_Ref73106367"/>
      <w:r>
        <w:t>Variations between the status quo and the proposed Regulations</w:t>
      </w:r>
      <w:bookmarkEnd w:id="46"/>
    </w:p>
    <w:p w14:paraId="6DC93892" w14:textId="32E45EB2" w:rsidR="003A15B8" w:rsidRDefault="000C4874" w:rsidP="00205553">
      <w:r>
        <w:t xml:space="preserve">Stakeholder consultation (including with those affected by the </w:t>
      </w:r>
      <w:r w:rsidR="00FD6256">
        <w:t>R</w:t>
      </w:r>
      <w:r>
        <w:t xml:space="preserve">egulations and with Victoria Police) </w:t>
      </w:r>
      <w:r w:rsidR="009D7204">
        <w:t xml:space="preserve">uncovered no specific proposed changes to the lists of prescribed or controlled weapons in the current Regulations. </w:t>
      </w:r>
      <w:r w:rsidR="0047228F">
        <w:t>Stakeholders noted that a nationally harmonised set of prohibited or controlled weapons would be beneficial. While the Regulations could be amended to align with any national list of prescribed items, this would first require a commitment and consensus between jurisdiction</w:t>
      </w:r>
      <w:r w:rsidR="00FD6256">
        <w:t>s</w:t>
      </w:r>
      <w:r w:rsidR="0047228F">
        <w:t xml:space="preserve"> to align their weapons control schemes.</w:t>
      </w:r>
    </w:p>
    <w:p w14:paraId="381AF4EA" w14:textId="562F4079" w:rsidR="00205553" w:rsidRDefault="00205553" w:rsidP="00205553">
      <w:r>
        <w:t>Several stakeholders provided feedback on their experience with police when searched or spoken to in the course of police verifying the legitimacy of their use of weapons prohibited or controlled by the Regulations. None proposed any need for additional requirements to be imposed on police or protective services officers when exercising powers under the Act.</w:t>
      </w:r>
    </w:p>
    <w:p w14:paraId="3E98C0D6" w14:textId="18A417C3" w:rsidR="00535B69" w:rsidRDefault="009D7204" w:rsidP="00FD50EB">
      <w:r>
        <w:t xml:space="preserve">A number of suggested improvements </w:t>
      </w:r>
      <w:r w:rsidR="0047228F">
        <w:t xml:space="preserve">regarding </w:t>
      </w:r>
      <w:r w:rsidR="00DA7BA7">
        <w:t xml:space="preserve">the way the </w:t>
      </w:r>
      <w:r w:rsidR="00BB4AD9">
        <w:t xml:space="preserve">framework was administered or operated were proposed, but these were </w:t>
      </w:r>
      <w:r w:rsidR="00154A68">
        <w:t xml:space="preserve">all </w:t>
      </w:r>
      <w:r w:rsidR="00BB4AD9">
        <w:t xml:space="preserve">outside </w:t>
      </w:r>
      <w:r w:rsidR="00A627BA">
        <w:t xml:space="preserve">the scope, </w:t>
      </w:r>
      <w:r w:rsidR="00BB4AD9">
        <w:t xml:space="preserve">or did not propose </w:t>
      </w:r>
      <w:r w:rsidR="00535B69">
        <w:t xml:space="preserve">to use </w:t>
      </w:r>
      <w:r w:rsidR="00BB4AD9">
        <w:t>the regulation-making powers</w:t>
      </w:r>
      <w:r w:rsidR="00CF1F04">
        <w:t>,</w:t>
      </w:r>
      <w:r w:rsidR="00BB4AD9">
        <w:t xml:space="preserve"> of the Act. </w:t>
      </w:r>
    </w:p>
    <w:p w14:paraId="7E29F177" w14:textId="78D28081" w:rsidR="00FB1AEB" w:rsidRDefault="00BB4AD9" w:rsidP="00FD50EB">
      <w:r>
        <w:t>Suggestions included, for example</w:t>
      </w:r>
      <w:r w:rsidR="00DA7BA7">
        <w:t>:</w:t>
      </w:r>
    </w:p>
    <w:p w14:paraId="23717E6B" w14:textId="7DE2E5D4" w:rsidR="00DA7BA7" w:rsidRDefault="00DA7BA7" w:rsidP="00D94CDB">
      <w:pPr>
        <w:pStyle w:val="ListParagraph"/>
        <w:numPr>
          <w:ilvl w:val="0"/>
          <w:numId w:val="18"/>
        </w:numPr>
        <w:spacing w:after="120"/>
        <w:ind w:left="357" w:hanging="357"/>
        <w:contextualSpacing w:val="0"/>
      </w:pPr>
      <w:r>
        <w:t xml:space="preserve">more </w:t>
      </w:r>
      <w:r w:rsidR="00EF078A">
        <w:t xml:space="preserve">engagement </w:t>
      </w:r>
      <w:r>
        <w:t xml:space="preserve">and explanation from police about the relative risks posed by different weapons </w:t>
      </w:r>
      <w:r w:rsidR="00EF078A">
        <w:t xml:space="preserve">prescribed as either prohibited or controlled weapons (e.g. communications material outlining the principles </w:t>
      </w:r>
      <w:r w:rsidR="0062105E">
        <w:t>upon which decisions to prescribe specific weapons had been made, to help stakeholders understand the rationale and, in the case of larger organisations, explain it to their members or customers)</w:t>
      </w:r>
      <w:r w:rsidR="00EF078A">
        <w:t xml:space="preserve"> </w:t>
      </w:r>
    </w:p>
    <w:p w14:paraId="71DBA0E2" w14:textId="6A304152" w:rsidR="00EF078A" w:rsidRDefault="00EF078A" w:rsidP="00D94CDB">
      <w:pPr>
        <w:pStyle w:val="ListParagraph"/>
        <w:numPr>
          <w:ilvl w:val="0"/>
          <w:numId w:val="18"/>
        </w:numPr>
        <w:spacing w:after="120"/>
        <w:ind w:left="357" w:hanging="357"/>
        <w:contextualSpacing w:val="0"/>
      </w:pPr>
      <w:r>
        <w:t xml:space="preserve">greater consistency </w:t>
      </w:r>
      <w:r w:rsidR="0062105E">
        <w:t xml:space="preserve">in the prescription of weapons (e.g. examples where one weapon </w:t>
      </w:r>
      <w:r w:rsidR="00DC0102">
        <w:t>was prescribed as prohibited and another as controlled</w:t>
      </w:r>
      <w:r w:rsidR="00F01DE5">
        <w:t>. One</w:t>
      </w:r>
      <w:r w:rsidR="00DC0102">
        <w:t xml:space="preserve"> stakeholder felt that the different prescriptions were inconsistent, but did not propose a preferred prescription)</w:t>
      </w:r>
    </w:p>
    <w:p w14:paraId="690434F5" w14:textId="77777777" w:rsidR="00830982" w:rsidRDefault="00830982" w:rsidP="00D94CDB">
      <w:pPr>
        <w:pStyle w:val="ListParagraph"/>
        <w:numPr>
          <w:ilvl w:val="0"/>
          <w:numId w:val="18"/>
        </w:numPr>
        <w:spacing w:after="120"/>
        <w:ind w:left="357" w:hanging="357"/>
        <w:contextualSpacing w:val="0"/>
      </w:pPr>
      <w:r>
        <w:t>further exemptions made for specific organisations to use prohibited weapons (noting that this is beyond the regulation-making powers outlined in the Act, as such exemptions are made by gazettal)</w:t>
      </w:r>
    </w:p>
    <w:p w14:paraId="4270BF22" w14:textId="6A645172" w:rsidR="00C15DFB" w:rsidRDefault="005F04DD" w:rsidP="00D94CDB">
      <w:pPr>
        <w:pStyle w:val="ListParagraph"/>
        <w:numPr>
          <w:ilvl w:val="0"/>
          <w:numId w:val="18"/>
        </w:numPr>
        <w:spacing w:after="120"/>
        <w:ind w:left="357" w:hanging="357"/>
        <w:contextualSpacing w:val="0"/>
      </w:pPr>
      <w:r>
        <w:t xml:space="preserve">amendments to existing exemptions made by previously gazetted decision (e.g. </w:t>
      </w:r>
      <w:r w:rsidR="00BB4AD9">
        <w:t>the removal of the cooling off period for the purchase of swords)</w:t>
      </w:r>
      <w:r w:rsidR="003C639C">
        <w:t>, and</w:t>
      </w:r>
    </w:p>
    <w:p w14:paraId="6283F402" w14:textId="211804C6" w:rsidR="00C15DFB" w:rsidRDefault="00C15DFB" w:rsidP="00D94CDB">
      <w:pPr>
        <w:pStyle w:val="ListParagraph"/>
        <w:numPr>
          <w:ilvl w:val="0"/>
          <w:numId w:val="18"/>
        </w:numPr>
        <w:spacing w:after="120"/>
        <w:ind w:left="357" w:hanging="357"/>
        <w:contextualSpacing w:val="0"/>
      </w:pPr>
      <w:r>
        <w:t xml:space="preserve">assurances that imitation handguns would continue to be regulated under this regulatory framework and not through the </w:t>
      </w:r>
      <w:r w:rsidRPr="00394B89">
        <w:rPr>
          <w:i/>
          <w:iCs/>
        </w:rPr>
        <w:t>Firearms Act 1996</w:t>
      </w:r>
      <w:r>
        <w:t xml:space="preserve"> and its accompanying subordinate legislative instruments</w:t>
      </w:r>
      <w:r w:rsidR="003C639C">
        <w:t>.</w:t>
      </w:r>
    </w:p>
    <w:p w14:paraId="569D4774" w14:textId="5846CA71" w:rsidR="00FD74A6" w:rsidRDefault="00FD74A6" w:rsidP="006B2507">
      <w:r>
        <w:t>One stakeholder queried the importance of recording the time of sale for imitation firearms, but did not regard the need to do so as posing a cost of any significance.</w:t>
      </w:r>
    </w:p>
    <w:p w14:paraId="75D57FA2" w14:textId="537008C9" w:rsidR="00FC5FE3" w:rsidRDefault="00FC5FE3" w:rsidP="00FC5FE3">
      <w:r>
        <w:t xml:space="preserve">Some stakeholders noted that while they had no specific suggested changes to the items prescribed by the Regulations or the record-keeping requirements, there would be benefit in ensuring police and protective services officers were fully trained in the specifics of the regulatory framework to avoid otherwise avoidable situations in which stakeholders were delayed or detained until the legitimacy of their used could be verified. This is not something that can be </w:t>
      </w:r>
      <w:r w:rsidR="003C13BA">
        <w:t xml:space="preserve">affected </w:t>
      </w:r>
      <w:r>
        <w:t xml:space="preserve">by changing the Regulations, but is noted in the </w:t>
      </w:r>
      <w:r w:rsidR="00F65445">
        <w:t>Chapter 7</w:t>
      </w:r>
      <w:r>
        <w:t xml:space="preserve"> of this RIS. </w:t>
      </w:r>
    </w:p>
    <w:p w14:paraId="02399BAE" w14:textId="05CED127" w:rsidR="003C639C" w:rsidRDefault="00B2674E" w:rsidP="00FD3285">
      <w:r>
        <w:t xml:space="preserve">Stakeholders indicated no preference for </w:t>
      </w:r>
      <w:r w:rsidR="001766B5">
        <w:t xml:space="preserve">specific </w:t>
      </w:r>
      <w:r>
        <w:t xml:space="preserve">changes to the </w:t>
      </w:r>
      <w:r w:rsidR="001766B5">
        <w:t xml:space="preserve">items prescribed in </w:t>
      </w:r>
      <w:r w:rsidR="00FD6256">
        <w:t>R</w:t>
      </w:r>
      <w:r>
        <w:t>egulations beyond noting that</w:t>
      </w:r>
      <w:r w:rsidR="00B13373">
        <w:t>,</w:t>
      </w:r>
      <w:r>
        <w:t xml:space="preserve"> ideally</w:t>
      </w:r>
      <w:r w:rsidR="00B13373">
        <w:t>,</w:t>
      </w:r>
      <w:r>
        <w:t xml:space="preserve"> </w:t>
      </w:r>
      <w:r w:rsidR="005D3B68">
        <w:t>prescribed items</w:t>
      </w:r>
      <w:r w:rsidR="00342235">
        <w:t xml:space="preserve"> would align with </w:t>
      </w:r>
      <w:r>
        <w:t>other jurisdictions. Any</w:t>
      </w:r>
      <w:r w:rsidR="005D3B68">
        <w:t xml:space="preserve"> potential</w:t>
      </w:r>
      <w:r>
        <w:t xml:space="preserve"> harmonisation is a policy decision to be made jointly with other jurisdictions. In the even</w:t>
      </w:r>
      <w:r w:rsidR="00C357E6">
        <w:t>t</w:t>
      </w:r>
      <w:r>
        <w:t xml:space="preserve"> that such a policy decision </w:t>
      </w:r>
      <w:r w:rsidR="00B13373">
        <w:t>is</w:t>
      </w:r>
      <w:r>
        <w:t xml:space="preserve"> made, the </w:t>
      </w:r>
      <w:r w:rsidR="00FD6256">
        <w:t>R</w:t>
      </w:r>
      <w:r>
        <w:t xml:space="preserve">egulations would be able to be amended to reflect a new, nationally harmonised </w:t>
      </w:r>
      <w:r w:rsidR="00241D1C">
        <w:t>list of prohibited and controlled weapons.</w:t>
      </w:r>
    </w:p>
    <w:p w14:paraId="1573B150" w14:textId="2CBFD7F6" w:rsidR="003C639C" w:rsidRDefault="003C639C" w:rsidP="003C639C">
      <w:r>
        <w:t xml:space="preserve">These </w:t>
      </w:r>
      <w:r w:rsidR="00FB3DD8">
        <w:t xml:space="preserve">suggestions </w:t>
      </w:r>
      <w:r>
        <w:t xml:space="preserve">have been </w:t>
      </w:r>
      <w:r w:rsidR="00601C4F">
        <w:t xml:space="preserve">conveyed </w:t>
      </w:r>
      <w:r>
        <w:t xml:space="preserve">to DJCS </w:t>
      </w:r>
      <w:r w:rsidR="0048721B">
        <w:t xml:space="preserve">through </w:t>
      </w:r>
      <w:r>
        <w:t>the pre-RIS consultation process.</w:t>
      </w:r>
    </w:p>
    <w:p w14:paraId="72BE04B5" w14:textId="191C9AC3" w:rsidR="003C639C" w:rsidRDefault="00FF627D" w:rsidP="00FF627D">
      <w:r>
        <w:t>A small number of minor adjustments to the status quo have been identified for the proposed Regulations</w:t>
      </w:r>
      <w:r w:rsidR="00073CC5">
        <w:t xml:space="preserve">, aimed at better reflecting the way the </w:t>
      </w:r>
      <w:r w:rsidR="001E3701">
        <w:t>framework is administered in practice and streamlining implementation and enforcement</w:t>
      </w:r>
      <w:r>
        <w:t xml:space="preserve">. </w:t>
      </w:r>
    </w:p>
    <w:p w14:paraId="5564C5B1" w14:textId="41EA55DE" w:rsidR="00FF627D" w:rsidRDefault="00FF627D" w:rsidP="00FF627D">
      <w:r>
        <w:t>Among these adjustments are:</w:t>
      </w:r>
    </w:p>
    <w:p w14:paraId="1600EDEC" w14:textId="111D4CDD" w:rsidR="00FF627D" w:rsidRDefault="00FF627D" w:rsidP="00D94CDB">
      <w:pPr>
        <w:pStyle w:val="ListParagraph"/>
        <w:numPr>
          <w:ilvl w:val="0"/>
          <w:numId w:val="18"/>
        </w:numPr>
        <w:spacing w:after="120"/>
        <w:ind w:left="357" w:hanging="357"/>
        <w:contextualSpacing w:val="0"/>
      </w:pPr>
      <w:r>
        <w:t>redefining body armour to explicitly exclude a helmet or article used to protect the face, eyes or ears</w:t>
      </w:r>
      <w:r w:rsidR="003C639C">
        <w:t>,</w:t>
      </w:r>
      <w:r w:rsidR="00165AF4">
        <w:t xml:space="preserve"> </w:t>
      </w:r>
      <w:r w:rsidR="00264B5F">
        <w:t>(</w:t>
      </w:r>
      <w:r w:rsidR="003C639C">
        <w:t>to increase consistency with other jurisdictions and better reflect how the framework is currently administered</w:t>
      </w:r>
      <w:r w:rsidR="00264B5F">
        <w:t>)</w:t>
      </w:r>
    </w:p>
    <w:p w14:paraId="3CB42950" w14:textId="6A3A7D96" w:rsidR="00FF627D" w:rsidRDefault="00293D94" w:rsidP="00D94CDB">
      <w:pPr>
        <w:pStyle w:val="ListParagraph"/>
        <w:numPr>
          <w:ilvl w:val="0"/>
          <w:numId w:val="18"/>
        </w:numPr>
        <w:spacing w:after="120"/>
        <w:ind w:left="357" w:hanging="357"/>
        <w:contextualSpacing w:val="0"/>
      </w:pPr>
      <w:r>
        <w:t xml:space="preserve">requiring </w:t>
      </w:r>
      <w:r w:rsidR="003C639C">
        <w:t xml:space="preserve">sellers of </w:t>
      </w:r>
      <w:r w:rsidR="00FF627D">
        <w:t>prohibited weapon</w:t>
      </w:r>
      <w:r w:rsidR="003C639C">
        <w:t>s</w:t>
      </w:r>
      <w:r w:rsidR="00FF627D">
        <w:t xml:space="preserve"> to record the ABN/ACN/ARBN/IAN (as applicable) of the purchaser</w:t>
      </w:r>
      <w:r w:rsidR="003C639C">
        <w:t xml:space="preserve"> of a prohibited weapon</w:t>
      </w:r>
      <w:r w:rsidR="00264B5F">
        <w:t xml:space="preserve"> (</w:t>
      </w:r>
      <w:r w:rsidR="00B5085F">
        <w:t>which</w:t>
      </w:r>
      <w:r w:rsidR="00B31AEF">
        <w:t xml:space="preserve"> is</w:t>
      </w:r>
      <w:r w:rsidR="00B5085F">
        <w:t xml:space="preserve"> </w:t>
      </w:r>
      <w:r w:rsidR="00264B5F">
        <w:t xml:space="preserve">already done as standard practice in many cases, but </w:t>
      </w:r>
      <w:r w:rsidR="00B5085F">
        <w:t xml:space="preserve">is </w:t>
      </w:r>
      <w:r w:rsidR="00264B5F">
        <w:t>not currently a regulatory requirement)</w:t>
      </w:r>
    </w:p>
    <w:p w14:paraId="3677539A" w14:textId="77777777" w:rsidR="001D1876" w:rsidRDefault="00FF627D" w:rsidP="001D1876">
      <w:pPr>
        <w:pStyle w:val="ListParagraph"/>
        <w:numPr>
          <w:ilvl w:val="0"/>
          <w:numId w:val="18"/>
        </w:numPr>
        <w:spacing w:after="120"/>
        <w:ind w:left="357" w:hanging="357"/>
        <w:contextualSpacing w:val="0"/>
      </w:pPr>
      <w:r>
        <w:t>expand</w:t>
      </w:r>
      <w:r w:rsidR="00293D94">
        <w:t>ing</w:t>
      </w:r>
      <w:r>
        <w:t xml:space="preserve"> the list of valid documents to prove </w:t>
      </w:r>
      <w:r w:rsidR="00C35DC8" w:rsidRPr="00C35DC8">
        <w:t>one’s identity to a seller of a prohibited weapon</w:t>
      </w:r>
      <w:r w:rsidR="00264B5F">
        <w:t xml:space="preserve"> (</w:t>
      </w:r>
      <w:r w:rsidR="001533CC">
        <w:t>prescribed for the purposes of section 5A(1) of the Act</w:t>
      </w:r>
      <w:r w:rsidR="00753E04">
        <w:t>) and</w:t>
      </w:r>
    </w:p>
    <w:p w14:paraId="1BF0F8FE" w14:textId="64233A10" w:rsidR="001D1876" w:rsidRDefault="00A13B48" w:rsidP="005723C1">
      <w:pPr>
        <w:pStyle w:val="ListParagraph"/>
        <w:numPr>
          <w:ilvl w:val="0"/>
          <w:numId w:val="18"/>
        </w:numPr>
        <w:spacing w:after="0"/>
        <w:ind w:left="357" w:hanging="357"/>
        <w:contextualSpacing w:val="0"/>
      </w:pPr>
      <w:r>
        <w:t xml:space="preserve">updating police record search requirements to </w:t>
      </w:r>
      <w:r w:rsidR="00E55437">
        <w:t>clarify their alignment with powers under the Act.</w:t>
      </w:r>
      <w:r w:rsidR="00956B9A">
        <w:rPr>
          <w:rStyle w:val="FootnoteReference"/>
        </w:rPr>
        <w:footnoteReference w:id="8"/>
      </w:r>
    </w:p>
    <w:p w14:paraId="719EFC2B" w14:textId="068CE6C4" w:rsidR="000C5B0B" w:rsidRDefault="000C5B0B">
      <w:pPr>
        <w:spacing w:after="0"/>
      </w:pPr>
    </w:p>
    <w:p w14:paraId="7B445C5C" w14:textId="07F0C358" w:rsidR="00A30E06" w:rsidRDefault="00A30E06" w:rsidP="00A30E06">
      <w:pPr>
        <w:pStyle w:val="Heading4"/>
      </w:pPr>
      <w:bookmarkStart w:id="47" w:name="_Ref72762398"/>
      <w:r>
        <w:t xml:space="preserve">Limited benefits of increasing </w:t>
      </w:r>
      <w:r w:rsidR="002E6264">
        <w:t>regulatory requirements</w:t>
      </w:r>
      <w:bookmarkEnd w:id="47"/>
    </w:p>
    <w:p w14:paraId="089831BB" w14:textId="551AAD70" w:rsidR="00A30E06" w:rsidRDefault="00A30E06" w:rsidP="00A30E06">
      <w:pPr>
        <w:spacing w:after="120"/>
      </w:pPr>
      <w:r>
        <w:t xml:space="preserve">The main benefits of the Regulations (see Chapter 4) derive from their effectiveness in </w:t>
      </w:r>
      <w:r w:rsidR="00E63F3A">
        <w:t xml:space="preserve">preventing </w:t>
      </w:r>
      <w:r>
        <w:t xml:space="preserve">illegitimate access to weapons. Record keeping requirements provide a basis for police investigation in the event that enforcement is </w:t>
      </w:r>
      <w:r w:rsidR="00C86E73">
        <w:t>required</w:t>
      </w:r>
      <w:r>
        <w:t>.</w:t>
      </w:r>
    </w:p>
    <w:p w14:paraId="355128C5" w14:textId="613D348E" w:rsidR="00E63F3A" w:rsidRDefault="00E63F3A" w:rsidP="00A30E06">
      <w:pPr>
        <w:spacing w:after="120"/>
      </w:pPr>
      <w:r>
        <w:t>The Regulations are not able to prescribe the conditions under which legitimate use is permitted, as the Act prescribes that this is at the discretion of the Chief Commissioner of Police</w:t>
      </w:r>
      <w:r w:rsidR="00E321AC">
        <w:t xml:space="preserve"> </w:t>
      </w:r>
      <w:r w:rsidR="00667A9C">
        <w:t xml:space="preserve">and </w:t>
      </w:r>
      <w:r w:rsidR="00E321AC">
        <w:t>the Governor in Council.</w:t>
      </w:r>
    </w:p>
    <w:p w14:paraId="0D360E19" w14:textId="5DD4E182" w:rsidR="00D44BE4" w:rsidRDefault="00A30E06" w:rsidP="00E63F3A">
      <w:pPr>
        <w:spacing w:after="120"/>
      </w:pPr>
      <w:r>
        <w:t xml:space="preserve">Victoria Police </w:t>
      </w:r>
      <w:r w:rsidR="00CA2CFE">
        <w:t>regard</w:t>
      </w:r>
      <w:r>
        <w:t xml:space="preserve"> the information currently </w:t>
      </w:r>
      <w:r w:rsidR="00732491">
        <w:t xml:space="preserve">required </w:t>
      </w:r>
      <w:r w:rsidR="00CA2CFE">
        <w:t xml:space="preserve">by the Regulations as sufficient </w:t>
      </w:r>
      <w:r>
        <w:t xml:space="preserve">for </w:t>
      </w:r>
      <w:r w:rsidR="00CA2CFE">
        <w:t>their enforcement needs</w:t>
      </w:r>
      <w:r w:rsidR="00622B0B">
        <w:t xml:space="preserve"> with one exception</w:t>
      </w:r>
      <w:r w:rsidR="00CA2CFE">
        <w:t>.</w:t>
      </w:r>
      <w:r w:rsidR="00622B0B">
        <w:t xml:space="preserve"> </w:t>
      </w:r>
      <w:r w:rsidR="00562769">
        <w:t xml:space="preserve">Record-keeping requirements </w:t>
      </w:r>
      <w:r w:rsidR="00124EEF">
        <w:t xml:space="preserve">are proposed </w:t>
      </w:r>
      <w:r w:rsidR="00667A9C">
        <w:t xml:space="preserve">to </w:t>
      </w:r>
      <w:r w:rsidR="00562769">
        <w:t>be amended to require the seller of a prohibited weapon to record the ABN/ACN/ARBN/IAN (as applicable) of the purchaser</w:t>
      </w:r>
      <w:r w:rsidR="00D44BE4">
        <w:t xml:space="preserve">, noting </w:t>
      </w:r>
      <w:r w:rsidR="00874C86">
        <w:t xml:space="preserve">that </w:t>
      </w:r>
      <w:r w:rsidR="00D44BE4">
        <w:t>this is information that sellers</w:t>
      </w:r>
      <w:r w:rsidR="00C8397B">
        <w:t xml:space="preserve"> usually record as standard practice</w:t>
      </w:r>
      <w:r w:rsidR="00562769">
        <w:t>.</w:t>
      </w:r>
      <w:r w:rsidR="0032342C">
        <w:t xml:space="preserve"> </w:t>
      </w:r>
      <w:r w:rsidR="004A1D1A">
        <w:t>This amendment aims</w:t>
      </w:r>
      <w:r w:rsidR="00E34012">
        <w:t xml:space="preserve"> to </w:t>
      </w:r>
      <w:r w:rsidR="00C8397B">
        <w:t xml:space="preserve">ensure that, in cases where a purchaser is exercising </w:t>
      </w:r>
      <w:r w:rsidR="0029224B">
        <w:t>a Governor in Council exemption</w:t>
      </w:r>
      <w:r w:rsidR="00C8397B">
        <w:t xml:space="preserve">, </w:t>
      </w:r>
      <w:r w:rsidR="0029224B">
        <w:t xml:space="preserve">Victoria Police have a record of the corporate entity on whose behalf </w:t>
      </w:r>
      <w:r w:rsidR="00874C86">
        <w:t xml:space="preserve">a </w:t>
      </w:r>
      <w:r w:rsidR="0029224B">
        <w:t xml:space="preserve">prohibited weapon is purchased. </w:t>
      </w:r>
    </w:p>
    <w:p w14:paraId="51B89399" w14:textId="16281286" w:rsidR="00A30E06" w:rsidRDefault="00921202" w:rsidP="00E63F3A">
      <w:pPr>
        <w:spacing w:after="120"/>
      </w:pPr>
      <w:r>
        <w:t xml:space="preserve">The reason only </w:t>
      </w:r>
      <w:r w:rsidR="00D44BE4">
        <w:t xml:space="preserve">this </w:t>
      </w:r>
      <w:r>
        <w:t>minor change is necessary</w:t>
      </w:r>
      <w:r w:rsidR="00A30E06">
        <w:t xml:space="preserve"> is due both to Victoria Police’s ability to effectively investigate based on the key information already required to be recorded, and because these records most often serve to support investigation by police in the event of </w:t>
      </w:r>
      <w:r w:rsidR="00FC5C5A">
        <w:t>the illegitimate use of weapons</w:t>
      </w:r>
      <w:r w:rsidR="00A30E06">
        <w:t xml:space="preserve">, rather than forming part of a real-time monitoring system. For these reasons, </w:t>
      </w:r>
      <w:r>
        <w:t xml:space="preserve">substantially </w:t>
      </w:r>
      <w:r w:rsidR="00DA5A74">
        <w:t xml:space="preserve">increasing the record-keeping requirements </w:t>
      </w:r>
      <w:r w:rsidR="00190C3E">
        <w:t xml:space="preserve">beyond the proposed minor change </w:t>
      </w:r>
      <w:r w:rsidR="00A30E06">
        <w:t xml:space="preserve">would not assist with the police investigation. </w:t>
      </w:r>
    </w:p>
    <w:p w14:paraId="60B16712" w14:textId="3A82C622" w:rsidR="00A30E06" w:rsidRDefault="00A30E06" w:rsidP="00A30E06">
      <w:pPr>
        <w:pStyle w:val="Heading4"/>
      </w:pPr>
      <w:r>
        <w:t xml:space="preserve">Increased costs associated with increasing </w:t>
      </w:r>
      <w:r w:rsidR="002E6264">
        <w:t xml:space="preserve">regulatory requirements </w:t>
      </w:r>
    </w:p>
    <w:p w14:paraId="3E7C8268" w14:textId="77777777" w:rsidR="00190C3E" w:rsidRDefault="00580E4B" w:rsidP="00F00E07">
      <w:pPr>
        <w:spacing w:after="120"/>
      </w:pPr>
      <w:r w:rsidRPr="00F00E07">
        <w:t>While s</w:t>
      </w:r>
      <w:r w:rsidR="001D3677" w:rsidRPr="00F00E07">
        <w:t>takeholders have advised that the record-keeping requirements pose a relatively low quantifiable</w:t>
      </w:r>
      <w:r w:rsidR="00F00E07">
        <w:t xml:space="preserve"> </w:t>
      </w:r>
      <w:r w:rsidR="001D3677" w:rsidRPr="00F00E07">
        <w:t xml:space="preserve">regulatory burden on their activities, </w:t>
      </w:r>
      <w:r w:rsidR="00B72ADE" w:rsidRPr="00425619">
        <w:t xml:space="preserve">they also suggested that </w:t>
      </w:r>
      <w:r w:rsidRPr="00FC5FE3">
        <w:t xml:space="preserve">any increase in costs associated with changes that provided little or no material additional benefits would be unwarranted. </w:t>
      </w:r>
    </w:p>
    <w:p w14:paraId="79785A61" w14:textId="50503D3E" w:rsidR="00190C3E" w:rsidRDefault="00CA49C8" w:rsidP="00F00E07">
      <w:pPr>
        <w:spacing w:after="120"/>
      </w:pPr>
      <w:r>
        <w:t xml:space="preserve">The increased costs associated with the minor amendment to record-keeping requirements are expected to be </w:t>
      </w:r>
      <w:r w:rsidR="00167304">
        <w:t>marginal</w:t>
      </w:r>
      <w:r>
        <w:t>.</w:t>
      </w:r>
      <w:r w:rsidR="00167304">
        <w:t xml:space="preserve"> </w:t>
      </w:r>
      <w:r w:rsidR="00D318FF">
        <w:t>The additional burden only falls on the seller who now has a statutory</w:t>
      </w:r>
      <w:r>
        <w:t xml:space="preserve"> </w:t>
      </w:r>
      <w:r w:rsidR="00D318FF">
        <w:t xml:space="preserve">obligation to record the </w:t>
      </w:r>
      <w:r w:rsidR="00AA0F2B">
        <w:t xml:space="preserve">relevant </w:t>
      </w:r>
      <w:r w:rsidR="00D318FF">
        <w:t>ABN/ACN/ARBN/IAN.</w:t>
      </w:r>
      <w:r w:rsidR="00AA0F2B">
        <w:t xml:space="preserve"> In practice, the majority of sellers would record that information under the </w:t>
      </w:r>
      <w:r w:rsidR="00AD7F35">
        <w:t>status quo</w:t>
      </w:r>
      <w:r w:rsidR="009B7350">
        <w:t xml:space="preserve"> resulting in negligible additional burden.</w:t>
      </w:r>
      <w:r w:rsidR="005D59AC">
        <w:t xml:space="preserve"> This additional impact is modelled in </w:t>
      </w:r>
      <w:r w:rsidR="005D59AC">
        <w:fldChar w:fldCharType="begin"/>
      </w:r>
      <w:r w:rsidR="005D59AC">
        <w:instrText xml:space="preserve"> REF _Ref72762013 \r \h </w:instrText>
      </w:r>
      <w:r w:rsidR="005D59AC">
        <w:fldChar w:fldCharType="separate"/>
      </w:r>
      <w:r w:rsidR="008C066F">
        <w:t>4.5</w:t>
      </w:r>
      <w:r w:rsidR="005D59AC">
        <w:fldChar w:fldCharType="end"/>
      </w:r>
      <w:r w:rsidR="005D59AC">
        <w:t>.</w:t>
      </w:r>
      <w:r w:rsidR="00D318FF">
        <w:t xml:space="preserve"> </w:t>
      </w:r>
    </w:p>
    <w:p w14:paraId="0F30ABE9" w14:textId="4816383A" w:rsidR="00F00E07" w:rsidRDefault="00580E4B" w:rsidP="00F00E07">
      <w:pPr>
        <w:spacing w:after="120"/>
      </w:pPr>
      <w:r w:rsidRPr="00FC5FE3">
        <w:t xml:space="preserve">Some stakeholders advised that in some cases, </w:t>
      </w:r>
      <w:r w:rsidR="00233345" w:rsidRPr="00FC5FE3">
        <w:t xml:space="preserve">people known to them made use of prohibited weapons for legitimate purposes without going through the required </w:t>
      </w:r>
      <w:r w:rsidR="00233345" w:rsidRPr="00357285">
        <w:t xml:space="preserve">approval channels, because of a lack of understanding or a </w:t>
      </w:r>
      <w:r w:rsidR="00F64DAB" w:rsidRPr="00357285">
        <w:t>scepticism</w:t>
      </w:r>
      <w:r w:rsidR="00233345" w:rsidRPr="00357285">
        <w:t xml:space="preserve"> about the need for the </w:t>
      </w:r>
      <w:r w:rsidR="00FD6256">
        <w:t>R</w:t>
      </w:r>
      <w:r w:rsidR="00233345" w:rsidRPr="00357285">
        <w:t xml:space="preserve">egulations. </w:t>
      </w:r>
      <w:r w:rsidR="00212F33">
        <w:t>There is thus a risk that i</w:t>
      </w:r>
      <w:r w:rsidR="00212F33" w:rsidRPr="00357285">
        <w:t>mposing</w:t>
      </w:r>
      <w:r w:rsidR="00233345" w:rsidRPr="00357285">
        <w:t xml:space="preserve"> additional requirements without a clear and demonstrable </w:t>
      </w:r>
      <w:r w:rsidR="00233345" w:rsidRPr="00205AE3">
        <w:t xml:space="preserve">benefit </w:t>
      </w:r>
      <w:r w:rsidR="00B74A70">
        <w:t xml:space="preserve">could </w:t>
      </w:r>
      <w:r w:rsidR="00233345" w:rsidRPr="00205AE3">
        <w:t xml:space="preserve">increase the likelihood </w:t>
      </w:r>
      <w:r w:rsidR="00233345" w:rsidRPr="00A814E2">
        <w:t xml:space="preserve">that legitimate weapons use </w:t>
      </w:r>
      <w:r w:rsidR="002714FF">
        <w:t xml:space="preserve">is </w:t>
      </w:r>
      <w:r w:rsidR="00233345" w:rsidRPr="00A814E2">
        <w:t>driven underground.</w:t>
      </w:r>
    </w:p>
    <w:p w14:paraId="2D8388F0" w14:textId="01A177E8" w:rsidR="00D45A55" w:rsidRPr="00A42498" w:rsidRDefault="005C71CD" w:rsidP="00D45A55">
      <w:pPr>
        <w:pStyle w:val="Heading2"/>
      </w:pPr>
      <w:bookmarkStart w:id="48" w:name="_Toc79397206"/>
      <w:r>
        <w:t>O</w:t>
      </w:r>
      <w:r w:rsidR="00D45A55" w:rsidRPr="00A42498">
        <w:t>ptions</w:t>
      </w:r>
      <w:bookmarkEnd w:id="48"/>
    </w:p>
    <w:p w14:paraId="354F58DA" w14:textId="0C6DD631" w:rsidR="00D45A55" w:rsidRPr="00A42498" w:rsidRDefault="004F5D63" w:rsidP="00D45A55">
      <w:pPr>
        <w:pStyle w:val="Heading3"/>
      </w:pPr>
      <w:r w:rsidRPr="00A42498">
        <w:t xml:space="preserve">Base Case (regulations sunset on </w:t>
      </w:r>
      <w:r w:rsidR="00090557" w:rsidRPr="00A42498">
        <w:t>29 November 2021</w:t>
      </w:r>
      <w:r w:rsidRPr="00A42498">
        <w:t>)</w:t>
      </w:r>
      <w:r w:rsidR="00D45A55" w:rsidRPr="00A42498">
        <w:t xml:space="preserve"> </w:t>
      </w:r>
    </w:p>
    <w:p w14:paraId="6ACF6692" w14:textId="6B37EE1C" w:rsidR="00011045" w:rsidRPr="00A42498" w:rsidRDefault="00011045" w:rsidP="00D45A55">
      <w:r w:rsidRPr="00A42498">
        <w:t xml:space="preserve">The Base Case is a counter-factual scenario used to provide a common point of comparison for all options. In the context of this analysis, the Base Case represents a situation where the current set of </w:t>
      </w:r>
      <w:r w:rsidR="00FD6256">
        <w:t>R</w:t>
      </w:r>
      <w:r w:rsidRPr="00A42498">
        <w:t xml:space="preserve">egulations </w:t>
      </w:r>
      <w:r w:rsidR="002D1769" w:rsidRPr="00A42498">
        <w:t xml:space="preserve">for the control of weapons sunset on </w:t>
      </w:r>
      <w:r w:rsidR="00427220" w:rsidRPr="00A42498">
        <w:t>29</w:t>
      </w:r>
      <w:r w:rsidR="00427220" w:rsidRPr="00A42498">
        <w:rPr>
          <w:vertAlign w:val="superscript"/>
        </w:rPr>
        <w:t xml:space="preserve"> </w:t>
      </w:r>
      <w:r w:rsidR="00427220" w:rsidRPr="00A42498">
        <w:t>November 2021 and no new approach, either regulatory or non-regulatory, is implemented.</w:t>
      </w:r>
    </w:p>
    <w:p w14:paraId="1B599354" w14:textId="07FC0CEC" w:rsidR="00D45A55" w:rsidRPr="00A42498" w:rsidRDefault="0007358F" w:rsidP="00D45A55">
      <w:r w:rsidRPr="00A42498">
        <w:t xml:space="preserve">In the absence of new </w:t>
      </w:r>
      <w:r w:rsidR="00FD6256">
        <w:t>R</w:t>
      </w:r>
      <w:r w:rsidRPr="00A42498">
        <w:t xml:space="preserve">egulations, the Act’s regulatory controls would only apply to the </w:t>
      </w:r>
      <w:r w:rsidR="00550712" w:rsidRPr="00A42498">
        <w:t xml:space="preserve">items </w:t>
      </w:r>
      <w:r w:rsidRPr="00A42498">
        <w:t xml:space="preserve">defined in the Act itself including dangerous articles, knives </w:t>
      </w:r>
      <w:r w:rsidR="00350C5E">
        <w:t xml:space="preserve">and </w:t>
      </w:r>
      <w:r w:rsidRPr="00A42498">
        <w:t xml:space="preserve">imitation firearms. All other items prescribed by the </w:t>
      </w:r>
      <w:r w:rsidR="00427220" w:rsidRPr="00A42498">
        <w:t xml:space="preserve">current </w:t>
      </w:r>
      <w:r w:rsidR="00FD6256">
        <w:t>R</w:t>
      </w:r>
      <w:r w:rsidRPr="00A42498">
        <w:t>egulations as</w:t>
      </w:r>
      <w:r w:rsidR="00A1432D">
        <w:t xml:space="preserve"> body armour,</w:t>
      </w:r>
      <w:r w:rsidRPr="00A42498">
        <w:t xml:space="preserve"> controlled weapons</w:t>
      </w:r>
      <w:r w:rsidR="00622BD2" w:rsidRPr="00A42498">
        <w:t xml:space="preserve"> (such as spear guns, </w:t>
      </w:r>
      <w:r w:rsidR="00481D14" w:rsidRPr="00A42498">
        <w:t>batons,</w:t>
      </w:r>
      <w:r w:rsidR="00622BD2" w:rsidRPr="00A42498">
        <w:t xml:space="preserve"> and bayonets)</w:t>
      </w:r>
      <w:r w:rsidRPr="00A42498">
        <w:t xml:space="preserve"> or prohibited</w:t>
      </w:r>
      <w:r w:rsidR="00C36AA8">
        <w:t xml:space="preserve"> weapons (such as</w:t>
      </w:r>
      <w:r w:rsidR="00D70406">
        <w:t xml:space="preserve"> </w:t>
      </w:r>
      <w:r w:rsidR="007C2759">
        <w:t xml:space="preserve">certain combat </w:t>
      </w:r>
      <w:r w:rsidR="00481D14" w:rsidRPr="00A42498">
        <w:t>knives,</w:t>
      </w:r>
      <w:r w:rsidR="00622BD2" w:rsidRPr="00A42498">
        <w:t xml:space="preserve"> </w:t>
      </w:r>
      <w:r w:rsidR="008338AC" w:rsidRPr="00A42498">
        <w:t>crossbows</w:t>
      </w:r>
      <w:r w:rsidR="00481D14" w:rsidRPr="00A42498">
        <w:t xml:space="preserve"> and</w:t>
      </w:r>
      <w:r w:rsidR="008338AC" w:rsidRPr="00A42498">
        <w:t xml:space="preserve"> </w:t>
      </w:r>
      <w:r w:rsidR="00BE776C" w:rsidRPr="00A42498">
        <w:t>swo</w:t>
      </w:r>
      <w:r w:rsidR="00481D14" w:rsidRPr="00A42498">
        <w:t xml:space="preserve">rds) </w:t>
      </w:r>
      <w:r w:rsidRPr="00A42498">
        <w:t>would cease to be regulated</w:t>
      </w:r>
      <w:r w:rsidR="00427220" w:rsidRPr="00A42498">
        <w:t>.</w:t>
      </w:r>
    </w:p>
    <w:p w14:paraId="28C2F312" w14:textId="7DCFC575" w:rsidR="00C36AA8" w:rsidRDefault="00EC653E" w:rsidP="00EC653E">
      <w:r>
        <w:t xml:space="preserve">Stakeholder consultation suggests that </w:t>
      </w:r>
      <w:r w:rsidR="00EA31EB">
        <w:t>in the absence of regulation</w:t>
      </w:r>
      <w:r>
        <w:t xml:space="preserve"> some businesses and organisations (including, for example, armorers working in film and television, martial arts clubs and military re-enactment groups) would as part of standard practice still take great care to ensure that their legitimate uses of weapons were undertaken safety, and by screening customers or members of organisations that might use weapons</w:t>
      </w:r>
      <w:r w:rsidR="004F191A">
        <w:t xml:space="preserve"> inappropriately</w:t>
      </w:r>
      <w:r>
        <w:t xml:space="preserve">. </w:t>
      </w:r>
    </w:p>
    <w:p w14:paraId="564D6EC5" w14:textId="655D99D1" w:rsidR="00EC653E" w:rsidRDefault="003179A3" w:rsidP="00EC653E">
      <w:r>
        <w:t>However,</w:t>
      </w:r>
      <w:r w:rsidR="00EC653E">
        <w:t xml:space="preserve"> consultation </w:t>
      </w:r>
      <w:r>
        <w:t>did not indicate</w:t>
      </w:r>
      <w:r w:rsidR="00EC653E">
        <w:t xml:space="preserve"> similar, systematic precautions would be taken in the </w:t>
      </w:r>
      <w:r w:rsidR="00FD6256">
        <w:t>B</w:t>
      </w:r>
      <w:r w:rsidR="00EC653E">
        <w:t xml:space="preserve">ase </w:t>
      </w:r>
      <w:r w:rsidR="00FD6256">
        <w:t>C</w:t>
      </w:r>
      <w:r w:rsidR="00EC653E">
        <w:t>ase by individual weapons users outside of these</w:t>
      </w:r>
      <w:r w:rsidR="00FA4FDC">
        <w:t xml:space="preserve"> organisations</w:t>
      </w:r>
      <w:r w:rsidR="00EC653E">
        <w:t xml:space="preserve">. </w:t>
      </w:r>
      <w:r>
        <w:t xml:space="preserve">Further, in the </w:t>
      </w:r>
      <w:r w:rsidR="00FD6256">
        <w:t>B</w:t>
      </w:r>
      <w:r>
        <w:t xml:space="preserve">ase </w:t>
      </w:r>
      <w:r w:rsidR="00FD6256">
        <w:t>C</w:t>
      </w:r>
      <w:r>
        <w:t>ase, aside</w:t>
      </w:r>
      <w:r w:rsidR="00EC653E">
        <w:t xml:space="preserve"> from those items defined in the Act, any such efforts at self-regulation would be unsupported by Government enforcement.  </w:t>
      </w:r>
    </w:p>
    <w:p w14:paraId="70EC8463" w14:textId="6B861F53" w:rsidR="000E2158" w:rsidRPr="00A42498" w:rsidRDefault="000E2158" w:rsidP="000E2158">
      <w:pPr>
        <w:pStyle w:val="Heading3"/>
      </w:pPr>
      <w:r w:rsidRPr="00A42498">
        <w:t xml:space="preserve">Option 1 – </w:t>
      </w:r>
      <w:r w:rsidR="001A56D4" w:rsidRPr="00A42498">
        <w:t>N</w:t>
      </w:r>
      <w:r w:rsidR="00DE0E45" w:rsidRPr="00A42498">
        <w:t>egative licensing</w:t>
      </w:r>
      <w:r w:rsidR="000C20D9" w:rsidRPr="00A42498">
        <w:t xml:space="preserve"> scheme</w:t>
      </w:r>
      <w:r w:rsidRPr="00A42498">
        <w:t xml:space="preserve"> </w:t>
      </w:r>
    </w:p>
    <w:p w14:paraId="737DCAB1" w14:textId="52E2C52F" w:rsidR="006A7CEB" w:rsidRPr="00A42498" w:rsidRDefault="001A56D4" w:rsidP="00A211EF">
      <w:r w:rsidRPr="00A42498">
        <w:t xml:space="preserve">This option </w:t>
      </w:r>
      <w:r w:rsidR="000C20D9" w:rsidRPr="00A42498">
        <w:t>in</w:t>
      </w:r>
      <w:r w:rsidRPr="00A42498">
        <w:t>vol</w:t>
      </w:r>
      <w:r w:rsidR="000C20D9" w:rsidRPr="00A42498">
        <w:t>v</w:t>
      </w:r>
      <w:r w:rsidRPr="00A42498">
        <w:t xml:space="preserve">es implementing a </w:t>
      </w:r>
      <w:r w:rsidR="000C20D9" w:rsidRPr="00A42498">
        <w:t xml:space="preserve">scheme whereby </w:t>
      </w:r>
      <w:r w:rsidR="007B12BE" w:rsidRPr="00A42498">
        <w:t xml:space="preserve">no weapons are prohibited, but where </w:t>
      </w:r>
      <w:r w:rsidR="003369C1" w:rsidRPr="00A42498">
        <w:t xml:space="preserve">a person who breaches the Regulations </w:t>
      </w:r>
      <w:r w:rsidR="007B12BE" w:rsidRPr="00A42498">
        <w:t xml:space="preserve">or </w:t>
      </w:r>
      <w:r w:rsidR="008255CE" w:rsidRPr="00A42498">
        <w:t xml:space="preserve">commits relevant offences </w:t>
      </w:r>
      <w:r w:rsidR="007A6AAE" w:rsidRPr="00A42498">
        <w:t>could be prohibited from using or gaining access to weapons</w:t>
      </w:r>
      <w:r w:rsidR="00095F0C">
        <w:t xml:space="preserve"> in future</w:t>
      </w:r>
      <w:r w:rsidR="007A6AAE" w:rsidRPr="00A42498">
        <w:t>.</w:t>
      </w:r>
      <w:r w:rsidR="00C118C5" w:rsidRPr="00A42498">
        <w:t xml:space="preserve"> </w:t>
      </w:r>
    </w:p>
    <w:p w14:paraId="52A4E531" w14:textId="516D91C3" w:rsidR="00A211EF" w:rsidRPr="00A42498" w:rsidRDefault="00C118C5" w:rsidP="00D94CDB">
      <w:r w:rsidRPr="00A42498">
        <w:t>Introducin</w:t>
      </w:r>
      <w:r w:rsidR="00603394" w:rsidRPr="00A42498">
        <w:t>g</w:t>
      </w:r>
      <w:r w:rsidRPr="00A42498">
        <w:t xml:space="preserve"> this option would require:</w:t>
      </w:r>
    </w:p>
    <w:p w14:paraId="6A10AEB3" w14:textId="643A52C3" w:rsidR="00C118C5" w:rsidRPr="00A42498" w:rsidRDefault="006B06DB" w:rsidP="00D94CDB">
      <w:pPr>
        <w:pStyle w:val="ListParagraph"/>
        <w:numPr>
          <w:ilvl w:val="0"/>
          <w:numId w:val="22"/>
        </w:numPr>
        <w:spacing w:after="120"/>
        <w:ind w:left="357" w:hanging="357"/>
        <w:contextualSpacing w:val="0"/>
      </w:pPr>
      <w:r>
        <w:t>s</w:t>
      </w:r>
      <w:r w:rsidR="00D805B7" w:rsidRPr="00A42498">
        <w:t xml:space="preserve">etting out the requirements and/or standards that, if breached, could result in </w:t>
      </w:r>
      <w:r w:rsidR="00B81749" w:rsidRPr="00A42498">
        <w:t>a person being issued with a negative licence and</w:t>
      </w:r>
    </w:p>
    <w:p w14:paraId="42A61B7E" w14:textId="1D0026CC" w:rsidR="00D45A55" w:rsidRPr="00A42498" w:rsidRDefault="006B06DB" w:rsidP="00D94CDB">
      <w:pPr>
        <w:pStyle w:val="ListParagraph"/>
        <w:numPr>
          <w:ilvl w:val="0"/>
          <w:numId w:val="22"/>
        </w:numPr>
        <w:spacing w:after="120"/>
        <w:ind w:left="357" w:hanging="357"/>
        <w:contextualSpacing w:val="0"/>
      </w:pPr>
      <w:r>
        <w:t>c</w:t>
      </w:r>
      <w:r w:rsidR="00B81749" w:rsidRPr="00A42498">
        <w:t xml:space="preserve">onditions that a negative license </w:t>
      </w:r>
      <w:r w:rsidR="00BC1660" w:rsidRPr="00A42498">
        <w:t>would impose (such as duration of ban and/or the actions that could be taken by the person for the ban to be revoked)</w:t>
      </w:r>
    </w:p>
    <w:p w14:paraId="59D38D76" w14:textId="564A9EAA" w:rsidR="004571DB" w:rsidRPr="00A42498" w:rsidRDefault="004571DB" w:rsidP="004571DB">
      <w:pPr>
        <w:pStyle w:val="Heading3"/>
      </w:pPr>
      <w:r w:rsidRPr="00A42498">
        <w:t xml:space="preserve">Option 2 – </w:t>
      </w:r>
      <w:r w:rsidR="00794A71">
        <w:t>Industry-led code of conduct with government enforcement</w:t>
      </w:r>
    </w:p>
    <w:p w14:paraId="23E6D8A3" w14:textId="17A1C617" w:rsidR="004571DB" w:rsidRPr="00A42498" w:rsidRDefault="004571DB" w:rsidP="004571DB">
      <w:r w:rsidRPr="00A42498">
        <w:t>Under Option 2, industry would develop and administer its own code of conduct or control scheme for weapons in consultation with the government. This would involve agreeing upon a list of prescribed weapons, record keeping requirements and fee structures.</w:t>
      </w:r>
      <w:r w:rsidR="000966F9">
        <w:t xml:space="preserve"> </w:t>
      </w:r>
      <w:r w:rsidR="009F2F40">
        <w:t>Sophisticated and organised stakeholders expressed their concern for community safety, and also noted the activities undertaken to negate the risks associated with the weapons they use. Given this, it is feasible that those organisations could develop an effective code of conduct specific to their industries.</w:t>
      </w:r>
    </w:p>
    <w:p w14:paraId="6A11A6DA" w14:textId="1F4A79D1" w:rsidR="004571DB" w:rsidRDefault="004571DB" w:rsidP="004571DB">
      <w:r w:rsidRPr="00A42498">
        <w:t>Industry would be the sole or primary administrator of measures to mitigate risks. For example, martial arts schools could take responsibility for screening their students and managing the risks posed by the weapons that they use.</w:t>
      </w:r>
      <w:r w:rsidRPr="00A42498">
        <w:rPr>
          <w:rStyle w:val="FootnoteReference"/>
        </w:rPr>
        <w:footnoteReference w:id="9"/>
      </w:r>
    </w:p>
    <w:p w14:paraId="459970C1" w14:textId="10D09540" w:rsidR="00C4526C" w:rsidRDefault="00C4526C" w:rsidP="00C4526C">
      <w:r>
        <w:t xml:space="preserve">Given the array of different stakeholders with varying uses of weapons it is likely a number of codes would be developed that differ based on stakeholder group. For example, the code of conduct developed by collectors to ensure secure storage of dangerous weapons would likely differ to a code developed to facilitate military re-enactment. It likely that any </w:t>
      </w:r>
      <w:r w:rsidR="00B67429">
        <w:t>privately</w:t>
      </w:r>
      <w:r>
        <w:t xml:space="preserve"> developed codes of conduct would not cover all uses of weapons. This is because stakeholder groups would have a focus on their own specific uses of weapons and may therefore lack broader insight that covers all weapons use across Victoria.</w:t>
      </w:r>
    </w:p>
    <w:p w14:paraId="423AD788" w14:textId="66E5F338" w:rsidR="004571DB" w:rsidRDefault="001225A9" w:rsidP="004571DB">
      <w:r>
        <w:t>This would likely add a layer of complexity to the enforcement of these arrangements compared with a government led regulatory approach. This is because Victoria Police would have to juggle multiple codes of conduct, likely with differing caveats and exceptions, as opposed to one united regulatory framework applicable across all stakeholders.</w:t>
      </w:r>
      <w:r w:rsidR="00EC2C19">
        <w:t xml:space="preserve"> </w:t>
      </w:r>
      <w:r w:rsidR="004571DB" w:rsidRPr="00A42498">
        <w:t>The government would the</w:t>
      </w:r>
      <w:r w:rsidR="004571DB">
        <w:t>n</w:t>
      </w:r>
      <w:r w:rsidR="004571DB" w:rsidRPr="00A42498">
        <w:t xml:space="preserve"> provide legislative backing to allow the industry arrangements to be enforced. In doing so, the government may offer to investigate or enforce non-compliance or delegate this power to industry. For example, the government could </w:t>
      </w:r>
      <w:r w:rsidR="0014115C">
        <w:t>provide DJCS officers</w:t>
      </w:r>
      <w:r w:rsidR="004571DB" w:rsidRPr="00A42498">
        <w:t xml:space="preserve"> with the power to investigate and enforce breaches of the industry code of conduct in response to complaints from employers, employees or consumers. </w:t>
      </w:r>
    </w:p>
    <w:p w14:paraId="5DE8817B" w14:textId="7CB953A8" w:rsidR="004571DB" w:rsidRPr="00A42498" w:rsidRDefault="004571DB" w:rsidP="004571DB">
      <w:pPr>
        <w:pStyle w:val="Heading3"/>
      </w:pPr>
      <w:r w:rsidRPr="00A42498">
        <w:t>Option</w:t>
      </w:r>
      <w:r w:rsidR="006952A3">
        <w:t xml:space="preserve"> </w:t>
      </w:r>
      <w:r>
        <w:t>3</w:t>
      </w:r>
      <w:r w:rsidRPr="00A42498">
        <w:t>: Regulatory approach</w:t>
      </w:r>
    </w:p>
    <w:p w14:paraId="0549F104" w14:textId="45F7E4E9" w:rsidR="00D45D9D" w:rsidRDefault="004571DB" w:rsidP="000B502B">
      <w:r w:rsidRPr="00A42498">
        <w:t xml:space="preserve">Option </w:t>
      </w:r>
      <w:r>
        <w:t>3</w:t>
      </w:r>
      <w:r w:rsidRPr="00A42498">
        <w:t xml:space="preserve"> uses a regulatory approach to the control of weapons, within the constraints of the Act.</w:t>
      </w:r>
      <w:r w:rsidR="00D45D9D">
        <w:t xml:space="preserve"> </w:t>
      </w:r>
      <w:r w:rsidRPr="00A42498">
        <w:t xml:space="preserve">This involves remaking the Regulations, with </w:t>
      </w:r>
      <w:r w:rsidR="00D45D9D">
        <w:t xml:space="preserve">minor changes as outlined in </w:t>
      </w:r>
      <w:r w:rsidR="00073ED2">
        <w:t>3</w:t>
      </w:r>
      <w:r w:rsidR="00D45D9D">
        <w:t xml:space="preserve">.2.2 above. </w:t>
      </w:r>
    </w:p>
    <w:p w14:paraId="752B926C" w14:textId="77777777" w:rsidR="00D45D9D" w:rsidRDefault="002559C4" w:rsidP="000B502B">
      <w:r>
        <w:t xml:space="preserve">Through the process of collecting and analysing a range of data on the misuse of weapons, as well as observing particular offences in practice, a regulatory approach led by Government can and should still incorporate advice from expert stakeholders in this approach. </w:t>
      </w:r>
    </w:p>
    <w:p w14:paraId="6BB55D65" w14:textId="0F3027BB" w:rsidR="00102EF5" w:rsidRDefault="002559C4" w:rsidP="00C33F50">
      <w:r>
        <w:t>For example, stakeholder feedback on the Regulations</w:t>
      </w:r>
      <w:r w:rsidR="006514AA">
        <w:t>’</w:t>
      </w:r>
      <w:r>
        <w:t xml:space="preserve"> effectiveness over the last ten years pointed to multiple examples of active exchanges of information and discussion of relative risk between </w:t>
      </w:r>
      <w:r w:rsidR="00293D94">
        <w:t xml:space="preserve">stakeholders </w:t>
      </w:r>
      <w:r>
        <w:t>and Victoria Police.</w:t>
      </w:r>
    </w:p>
    <w:p w14:paraId="21DEF3EA" w14:textId="77777777" w:rsidR="00102EF5" w:rsidRDefault="00102EF5" w:rsidP="00102EF5">
      <w:pPr>
        <w:pStyle w:val="Heading1"/>
      </w:pPr>
      <w:bookmarkStart w:id="49" w:name="_Toc79397207"/>
      <w:bookmarkStart w:id="50" w:name="_Toc70499799"/>
      <w:r>
        <w:t>Options analysis</w:t>
      </w:r>
      <w:bookmarkEnd w:id="49"/>
    </w:p>
    <w:p w14:paraId="3FA6A48C" w14:textId="56621F30" w:rsidR="00102EF5" w:rsidRDefault="00102EF5" w:rsidP="00102EF5">
      <w:pPr>
        <w:pStyle w:val="Heading2"/>
      </w:pPr>
      <w:bookmarkStart w:id="51" w:name="_Toc70499800"/>
      <w:bookmarkStart w:id="52" w:name="_Toc79397208"/>
      <w:bookmarkEnd w:id="50"/>
      <w:r>
        <w:t>Method of assessment</w:t>
      </w:r>
      <w:r w:rsidR="00FD6256">
        <w:t xml:space="preserve"> -</w:t>
      </w:r>
      <w:r>
        <w:t xml:space="preserve"> </w:t>
      </w:r>
      <w:bookmarkEnd w:id="51"/>
      <w:r>
        <w:t>M</w:t>
      </w:r>
      <w:r w:rsidR="00FD6256">
        <w:t>ulti-</w:t>
      </w:r>
      <w:r>
        <w:t>C</w:t>
      </w:r>
      <w:r w:rsidR="00FD6256">
        <w:t xml:space="preserve">riteria </w:t>
      </w:r>
      <w:r>
        <w:t>A</w:t>
      </w:r>
      <w:r w:rsidR="00FD6256">
        <w:t>nalysis</w:t>
      </w:r>
      <w:bookmarkEnd w:id="52"/>
    </w:p>
    <w:p w14:paraId="2B0DD165" w14:textId="77777777" w:rsidR="000D316E" w:rsidRDefault="000D316E" w:rsidP="000D316E">
      <w:pPr>
        <w:pStyle w:val="BodyText"/>
        <w:spacing w:after="120"/>
        <w:rPr>
          <w:rFonts w:eastAsia="Verdana" w:cs="Times New Roman"/>
        </w:rPr>
      </w:pPr>
      <w:r>
        <w:rPr>
          <w:rFonts w:asciiTheme="minorHAnsi" w:hAnsiTheme="minorHAnsi" w:cstheme="minorHAnsi"/>
        </w:rPr>
        <w:t>The options in this RIS have been assessed using Multi-Criteria Analysis (MCA), which provides a robust, structured and transparent approach to balancing the different impacts given the disparate and qualitative data that are available</w:t>
      </w:r>
      <w:r>
        <w:rPr>
          <w:rFonts w:eastAsia="Verdana" w:cs="Times New Roman"/>
        </w:rPr>
        <w:t xml:space="preserve">. </w:t>
      </w:r>
    </w:p>
    <w:p w14:paraId="4C26CA82" w14:textId="77777777" w:rsidR="000D316E" w:rsidRDefault="000D316E" w:rsidP="000D316E">
      <w:pPr>
        <w:pStyle w:val="BodyText"/>
        <w:spacing w:after="120"/>
        <w:rPr>
          <w:rFonts w:eastAsia="Verdana" w:cs="Times New Roman"/>
        </w:rPr>
      </w:pPr>
      <w:r>
        <w:rPr>
          <w:rFonts w:eastAsia="Verdana" w:cs="Times New Roman"/>
        </w:rPr>
        <w:t>MCA involves:</w:t>
      </w:r>
    </w:p>
    <w:p w14:paraId="0733CD9F" w14:textId="77777777" w:rsidR="000D316E" w:rsidRDefault="000D316E" w:rsidP="00D45D9D">
      <w:pPr>
        <w:pStyle w:val="ListBullet"/>
        <w:spacing w:after="120"/>
        <w:contextualSpacing w:val="0"/>
      </w:pPr>
      <w:r>
        <w:t>specifying several assessment criteria for benefits and costs</w:t>
      </w:r>
    </w:p>
    <w:p w14:paraId="696411EB" w14:textId="77777777" w:rsidR="000D316E" w:rsidRDefault="000D316E" w:rsidP="00D45D9D">
      <w:pPr>
        <w:pStyle w:val="ListBullet"/>
        <w:spacing w:after="120"/>
        <w:contextualSpacing w:val="0"/>
      </w:pPr>
      <w:r>
        <w:t>assigning a weight to each criterion reflecting its relative importance to the policy decision (with the total weight placed on benefit criteria and cost criteria being 50% each, to ensure a balanced assessment)</w:t>
      </w:r>
    </w:p>
    <w:p w14:paraId="3F105750" w14:textId="77777777" w:rsidR="000D316E" w:rsidRDefault="000D316E" w:rsidP="00D45D9D">
      <w:pPr>
        <w:pStyle w:val="ListBullet"/>
        <w:spacing w:after="120"/>
        <w:contextualSpacing w:val="0"/>
      </w:pPr>
      <w:r>
        <w:t>assessing and scoring each option against each criterion based on the available data and any relevant judgements or assumptions, and</w:t>
      </w:r>
    </w:p>
    <w:p w14:paraId="70F263F6" w14:textId="77777777" w:rsidR="000D316E" w:rsidRDefault="000D316E" w:rsidP="00D45D9D">
      <w:pPr>
        <w:pStyle w:val="ListBullet"/>
        <w:spacing w:after="120"/>
        <w:contextualSpacing w:val="0"/>
        <w:rPr>
          <w:b/>
          <w:bCs/>
        </w:rPr>
      </w:pPr>
      <w:r>
        <w:t>calculating a weighted score for each option, with the highest weighted score identifying the preferred option.</w:t>
      </w:r>
    </w:p>
    <w:p w14:paraId="2A48195E" w14:textId="42A07067" w:rsidR="00102EF5" w:rsidRDefault="000D316E" w:rsidP="000D316E">
      <w:pPr>
        <w:spacing w:after="240"/>
      </w:pPr>
      <w:r>
        <w:rPr>
          <w:rFonts w:asciiTheme="minorHAnsi" w:hAnsiTheme="minorHAnsi" w:cstheme="minorHAnsi"/>
        </w:rPr>
        <w:t xml:space="preserve">Each option is scored against each criterion on a scale from –10 to +10, based on an option’s impact on each criterion in comparison to the </w:t>
      </w:r>
      <w:r w:rsidR="00FD6256">
        <w:rPr>
          <w:rFonts w:asciiTheme="minorHAnsi" w:hAnsiTheme="minorHAnsi" w:cstheme="minorHAnsi"/>
          <w:b/>
          <w:bCs/>
        </w:rPr>
        <w:t>B</w:t>
      </w:r>
      <w:r w:rsidRPr="00D95624">
        <w:rPr>
          <w:rFonts w:asciiTheme="minorHAnsi" w:hAnsiTheme="minorHAnsi" w:cstheme="minorHAnsi"/>
          <w:b/>
          <w:bCs/>
        </w:rPr>
        <w:t xml:space="preserve">ase </w:t>
      </w:r>
      <w:r w:rsidR="00FD6256">
        <w:rPr>
          <w:rFonts w:asciiTheme="minorHAnsi" w:hAnsiTheme="minorHAnsi" w:cstheme="minorHAnsi"/>
          <w:b/>
          <w:bCs/>
        </w:rPr>
        <w:t>C</w:t>
      </w:r>
      <w:r w:rsidRPr="00D95624">
        <w:rPr>
          <w:rFonts w:asciiTheme="minorHAnsi" w:hAnsiTheme="minorHAnsi" w:cstheme="minorHAnsi"/>
          <w:b/>
          <w:bCs/>
        </w:rPr>
        <w:t>ase</w:t>
      </w:r>
      <w:r>
        <w:rPr>
          <w:rFonts w:asciiTheme="minorHAnsi" w:hAnsiTheme="minorHAnsi" w:cstheme="minorHAnsi"/>
        </w:rPr>
        <w:t xml:space="preserve"> – the scenario in which the </w:t>
      </w:r>
      <w:r w:rsidR="00FD6256">
        <w:rPr>
          <w:rFonts w:asciiTheme="minorHAnsi" w:hAnsiTheme="minorHAnsi" w:cstheme="minorHAnsi"/>
        </w:rPr>
        <w:t>R</w:t>
      </w:r>
      <w:r w:rsidR="00531FD5">
        <w:rPr>
          <w:rFonts w:asciiTheme="minorHAnsi" w:hAnsiTheme="minorHAnsi" w:cstheme="minorHAnsi"/>
        </w:rPr>
        <w:t>egulations</w:t>
      </w:r>
      <w:r>
        <w:rPr>
          <w:rFonts w:asciiTheme="minorHAnsi" w:hAnsiTheme="minorHAnsi" w:cstheme="minorHAnsi"/>
        </w:rPr>
        <w:t xml:space="preserve"> sunset and are not remade </w:t>
      </w:r>
      <w:r>
        <w:t>and no new approach, either regulatory or non-regulatory, is put into place.</w:t>
      </w:r>
    </w:p>
    <w:p w14:paraId="72FCED14" w14:textId="77777777" w:rsidR="0098592E" w:rsidRDefault="00EE5F7E" w:rsidP="004435ED">
      <w:pPr>
        <w:spacing w:after="120"/>
      </w:pPr>
      <w:r>
        <w:t>Where possible</w:t>
      </w:r>
      <w:r w:rsidR="0098592E">
        <w:t>:</w:t>
      </w:r>
    </w:p>
    <w:p w14:paraId="6C201877" w14:textId="77777777" w:rsidR="004435ED" w:rsidRDefault="004435ED" w:rsidP="00D45D9D">
      <w:pPr>
        <w:pStyle w:val="ListBullet"/>
        <w:spacing w:after="120"/>
        <w:contextualSpacing w:val="0"/>
      </w:pPr>
      <w:r>
        <w:t>scores should reflect the relative size or scale of impact when comparing</w:t>
      </w:r>
    </w:p>
    <w:p w14:paraId="26578558" w14:textId="77777777" w:rsidR="0098592E" w:rsidRDefault="0098592E" w:rsidP="00D45D9D">
      <w:pPr>
        <w:pStyle w:val="ListBullet"/>
        <w:numPr>
          <w:ilvl w:val="1"/>
          <w:numId w:val="13"/>
        </w:numPr>
        <w:spacing w:after="120"/>
        <w:contextualSpacing w:val="0"/>
      </w:pPr>
      <w:r>
        <w:t>impacts of different options against a single criterion</w:t>
      </w:r>
      <w:r w:rsidR="00742F28">
        <w:t>, and</w:t>
      </w:r>
    </w:p>
    <w:p w14:paraId="06A33B0B" w14:textId="77777777" w:rsidR="00742F28" w:rsidRDefault="00742F28" w:rsidP="00D45D9D">
      <w:pPr>
        <w:pStyle w:val="ListBullet"/>
        <w:numPr>
          <w:ilvl w:val="1"/>
          <w:numId w:val="13"/>
        </w:numPr>
        <w:spacing w:after="120"/>
        <w:contextualSpacing w:val="0"/>
      </w:pPr>
      <w:r>
        <w:t xml:space="preserve">different impacts of a single option </w:t>
      </w:r>
      <w:r w:rsidR="008C4FD0">
        <w:t>for all criteria, and</w:t>
      </w:r>
    </w:p>
    <w:p w14:paraId="3F1CBFB5" w14:textId="77777777" w:rsidR="00EE5F7E" w:rsidRPr="000D316E" w:rsidRDefault="008C4FD0" w:rsidP="00D45D9D">
      <w:pPr>
        <w:pStyle w:val="ListBullet"/>
        <w:spacing w:after="120"/>
        <w:contextualSpacing w:val="0"/>
        <w:rPr>
          <w:rFonts w:asciiTheme="minorHAnsi" w:hAnsiTheme="minorHAnsi" w:cstheme="minorHAnsi"/>
        </w:rPr>
      </w:pPr>
      <w:r>
        <w:t>weights should reflect the priority or importance placed upon a particular type of cost or benefit.</w:t>
      </w:r>
    </w:p>
    <w:p w14:paraId="03E8993B" w14:textId="0BF9F387" w:rsidR="00102EF5" w:rsidRPr="003C458E" w:rsidRDefault="00102EF5" w:rsidP="003C458E">
      <w:pPr>
        <w:pStyle w:val="CaptionTable"/>
        <w:rPr>
          <w:lang w:eastAsia="en-AU"/>
        </w:rPr>
      </w:pPr>
      <w:bookmarkStart w:id="53" w:name="_Toc79397163"/>
      <w:r w:rsidRPr="00852E43">
        <w:rPr>
          <w:lang w:eastAsia="en-AU"/>
        </w:rPr>
        <w:t>: MCA scale</w:t>
      </w:r>
      <w:bookmarkEnd w:id="53"/>
      <w:r w:rsidRPr="00852E43">
        <w:rPr>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5100"/>
      </w:tblGrid>
      <w:tr w:rsidR="00102EF5" w:rsidRPr="005458B2" w14:paraId="0CCD476F" w14:textId="77777777" w:rsidTr="00E01FB1">
        <w:tc>
          <w:tcPr>
            <w:tcW w:w="990" w:type="dxa"/>
            <w:tcBorders>
              <w:top w:val="single" w:sz="24" w:space="0" w:color="62B5E5"/>
              <w:left w:val="nil"/>
              <w:bottom w:val="single" w:sz="6" w:space="0" w:color="000000"/>
              <w:right w:val="nil"/>
            </w:tcBorders>
            <w:shd w:val="clear" w:color="auto" w:fill="auto"/>
            <w:hideMark/>
          </w:tcPr>
          <w:p w14:paraId="0D4B0FBA" w14:textId="77777777" w:rsidR="00102EF5" w:rsidRPr="005458B2" w:rsidRDefault="00102EF5" w:rsidP="00E01FB1">
            <w:pPr>
              <w:spacing w:after="0" w:line="240" w:lineRule="auto"/>
              <w:ind w:left="45"/>
              <w:textAlignment w:val="baseline"/>
              <w:rPr>
                <w:rFonts w:ascii="Segoe UI" w:eastAsia="Times New Roman" w:hAnsi="Segoe UI" w:cs="Segoe UI"/>
                <w:lang w:eastAsia="en-AU"/>
              </w:rPr>
            </w:pPr>
            <w:r w:rsidRPr="005458B2">
              <w:rPr>
                <w:rFonts w:eastAsia="Times New Roman" w:cs="Segoe UI"/>
                <w:b/>
                <w:bCs/>
                <w:sz w:val="17"/>
                <w:szCs w:val="17"/>
                <w:lang w:val="en-GB" w:eastAsia="en-AU"/>
              </w:rPr>
              <w:t>Score</w:t>
            </w:r>
            <w:r w:rsidRPr="005458B2">
              <w:rPr>
                <w:rFonts w:eastAsia="Times New Roman" w:cs="Segoe UI"/>
                <w:sz w:val="17"/>
                <w:szCs w:val="17"/>
                <w:lang w:eastAsia="en-AU"/>
              </w:rPr>
              <w:t> </w:t>
            </w:r>
          </w:p>
        </w:tc>
        <w:tc>
          <w:tcPr>
            <w:tcW w:w="5100" w:type="dxa"/>
            <w:tcBorders>
              <w:top w:val="single" w:sz="24" w:space="0" w:color="62B5E5"/>
              <w:left w:val="nil"/>
              <w:bottom w:val="single" w:sz="6" w:space="0" w:color="000000"/>
              <w:right w:val="nil"/>
            </w:tcBorders>
            <w:shd w:val="clear" w:color="auto" w:fill="auto"/>
            <w:hideMark/>
          </w:tcPr>
          <w:p w14:paraId="13A71B41" w14:textId="77777777" w:rsidR="00102EF5" w:rsidRPr="005458B2" w:rsidRDefault="00102EF5" w:rsidP="00E01FB1">
            <w:pPr>
              <w:spacing w:after="0" w:line="240" w:lineRule="auto"/>
              <w:ind w:left="45"/>
              <w:jc w:val="center"/>
              <w:textAlignment w:val="baseline"/>
              <w:rPr>
                <w:rFonts w:ascii="Segoe UI" w:eastAsia="Times New Roman" w:hAnsi="Segoe UI" w:cs="Segoe UI"/>
                <w:lang w:eastAsia="en-AU"/>
              </w:rPr>
            </w:pPr>
            <w:r w:rsidRPr="005458B2">
              <w:rPr>
                <w:rFonts w:eastAsia="Times New Roman" w:cs="Segoe UI"/>
                <w:b/>
                <w:bCs/>
                <w:sz w:val="17"/>
                <w:szCs w:val="17"/>
                <w:lang w:val="en-GB" w:eastAsia="en-AU"/>
              </w:rPr>
              <w:t>Description</w:t>
            </w:r>
            <w:r w:rsidRPr="005458B2">
              <w:rPr>
                <w:rFonts w:eastAsia="Times New Roman" w:cs="Segoe UI"/>
                <w:sz w:val="17"/>
                <w:szCs w:val="17"/>
                <w:lang w:eastAsia="en-AU"/>
              </w:rPr>
              <w:t> </w:t>
            </w:r>
          </w:p>
        </w:tc>
      </w:tr>
      <w:tr w:rsidR="00102EF5" w:rsidRPr="005458B2" w14:paraId="1A6D27EC" w14:textId="77777777" w:rsidTr="00E01FB1">
        <w:tc>
          <w:tcPr>
            <w:tcW w:w="990" w:type="dxa"/>
            <w:tcBorders>
              <w:top w:val="single" w:sz="6" w:space="0" w:color="000000"/>
              <w:left w:val="nil"/>
              <w:bottom w:val="single" w:sz="6" w:space="0" w:color="000000"/>
              <w:right w:val="nil"/>
            </w:tcBorders>
            <w:shd w:val="clear" w:color="auto" w:fill="auto"/>
            <w:hideMark/>
          </w:tcPr>
          <w:p w14:paraId="3A3A375B" w14:textId="77777777" w:rsidR="00102EF5" w:rsidRPr="005458B2" w:rsidRDefault="00102EF5" w:rsidP="00E01FB1">
            <w:pPr>
              <w:spacing w:after="0" w:line="240" w:lineRule="auto"/>
              <w:ind w:left="45" w:right="-255"/>
              <w:jc w:val="both"/>
              <w:textAlignment w:val="baseline"/>
              <w:rPr>
                <w:rFonts w:ascii="Segoe UI" w:eastAsia="Times New Roman" w:hAnsi="Segoe UI" w:cs="Segoe UI"/>
                <w:lang w:eastAsia="en-AU"/>
              </w:rPr>
            </w:pPr>
            <w:r w:rsidRPr="005458B2">
              <w:rPr>
                <w:rFonts w:eastAsia="Times New Roman" w:cs="Segoe UI"/>
                <w:lang w:val="en-GB" w:eastAsia="en-AU"/>
              </w:rPr>
              <w:t>-10</w:t>
            </w:r>
            <w:r w:rsidRPr="005458B2">
              <w:rPr>
                <w:rFonts w:eastAsia="Times New Roman" w:cs="Segoe UI"/>
                <w:lang w:eastAsia="en-AU"/>
              </w:rPr>
              <w:t> </w:t>
            </w:r>
          </w:p>
        </w:tc>
        <w:tc>
          <w:tcPr>
            <w:tcW w:w="5100" w:type="dxa"/>
            <w:tcBorders>
              <w:top w:val="single" w:sz="6" w:space="0" w:color="000000"/>
              <w:left w:val="nil"/>
              <w:bottom w:val="single" w:sz="6" w:space="0" w:color="000000"/>
              <w:right w:val="nil"/>
            </w:tcBorders>
            <w:shd w:val="clear" w:color="auto" w:fill="auto"/>
            <w:hideMark/>
          </w:tcPr>
          <w:p w14:paraId="666A6337" w14:textId="77777777" w:rsidR="00102EF5" w:rsidRPr="005458B2" w:rsidRDefault="00102EF5" w:rsidP="00E01FB1">
            <w:pPr>
              <w:spacing w:after="0" w:line="240" w:lineRule="auto"/>
              <w:ind w:left="1155"/>
              <w:textAlignment w:val="baseline"/>
              <w:rPr>
                <w:rFonts w:ascii="Segoe UI" w:eastAsia="Times New Roman" w:hAnsi="Segoe UI" w:cs="Segoe UI"/>
                <w:lang w:eastAsia="en-AU"/>
              </w:rPr>
            </w:pPr>
            <w:r w:rsidRPr="005458B2">
              <w:rPr>
                <w:rFonts w:eastAsia="Times New Roman" w:cs="Segoe UI"/>
                <w:lang w:val="en-GB" w:eastAsia="en-AU"/>
              </w:rPr>
              <w:t>Much worse than the reference case</w:t>
            </w:r>
            <w:r w:rsidRPr="005458B2">
              <w:rPr>
                <w:rFonts w:eastAsia="Times New Roman" w:cs="Segoe UI"/>
                <w:lang w:eastAsia="en-AU"/>
              </w:rPr>
              <w:t> </w:t>
            </w:r>
          </w:p>
        </w:tc>
      </w:tr>
      <w:tr w:rsidR="00102EF5" w:rsidRPr="005458B2" w14:paraId="6DD589A0" w14:textId="77777777" w:rsidTr="00E01FB1">
        <w:tc>
          <w:tcPr>
            <w:tcW w:w="990" w:type="dxa"/>
            <w:tcBorders>
              <w:top w:val="single" w:sz="6" w:space="0" w:color="000000"/>
              <w:left w:val="nil"/>
              <w:bottom w:val="single" w:sz="6" w:space="0" w:color="000000"/>
              <w:right w:val="nil"/>
            </w:tcBorders>
            <w:shd w:val="clear" w:color="auto" w:fill="auto"/>
            <w:hideMark/>
          </w:tcPr>
          <w:p w14:paraId="68A154A2" w14:textId="77777777" w:rsidR="00102EF5" w:rsidRPr="005458B2" w:rsidRDefault="00102EF5" w:rsidP="00E01FB1">
            <w:pPr>
              <w:spacing w:after="0" w:line="240" w:lineRule="auto"/>
              <w:ind w:left="45" w:right="-255"/>
              <w:jc w:val="both"/>
              <w:textAlignment w:val="baseline"/>
              <w:rPr>
                <w:rFonts w:ascii="Segoe UI" w:eastAsia="Times New Roman" w:hAnsi="Segoe UI" w:cs="Segoe UI"/>
                <w:lang w:eastAsia="en-AU"/>
              </w:rPr>
            </w:pPr>
            <w:r w:rsidRPr="005458B2">
              <w:rPr>
                <w:rFonts w:eastAsia="Times New Roman" w:cs="Segoe UI"/>
                <w:lang w:val="en-GB" w:eastAsia="en-AU"/>
              </w:rPr>
              <w:t>-5</w:t>
            </w:r>
            <w:r w:rsidRPr="005458B2">
              <w:rPr>
                <w:rFonts w:eastAsia="Times New Roman" w:cs="Segoe UI"/>
                <w:lang w:eastAsia="en-AU"/>
              </w:rPr>
              <w:t> </w:t>
            </w:r>
          </w:p>
        </w:tc>
        <w:tc>
          <w:tcPr>
            <w:tcW w:w="5100" w:type="dxa"/>
            <w:tcBorders>
              <w:top w:val="single" w:sz="6" w:space="0" w:color="000000"/>
              <w:left w:val="nil"/>
              <w:bottom w:val="single" w:sz="6" w:space="0" w:color="000000"/>
              <w:right w:val="nil"/>
            </w:tcBorders>
            <w:shd w:val="clear" w:color="auto" w:fill="auto"/>
            <w:hideMark/>
          </w:tcPr>
          <w:p w14:paraId="1038CB22" w14:textId="77777777" w:rsidR="00102EF5" w:rsidRPr="005458B2" w:rsidRDefault="00102EF5" w:rsidP="00E01FB1">
            <w:pPr>
              <w:spacing w:after="0" w:line="240" w:lineRule="auto"/>
              <w:ind w:left="1155"/>
              <w:textAlignment w:val="baseline"/>
              <w:rPr>
                <w:rFonts w:ascii="Segoe UI" w:eastAsia="Times New Roman" w:hAnsi="Segoe UI" w:cs="Segoe UI"/>
                <w:lang w:eastAsia="en-AU"/>
              </w:rPr>
            </w:pPr>
            <w:r w:rsidRPr="005458B2">
              <w:rPr>
                <w:rFonts w:eastAsia="Times New Roman" w:cs="Segoe UI"/>
                <w:lang w:val="en-GB" w:eastAsia="en-AU"/>
              </w:rPr>
              <w:t>Somewhat worse than the reference case</w:t>
            </w:r>
            <w:r w:rsidRPr="005458B2">
              <w:rPr>
                <w:rFonts w:eastAsia="Times New Roman" w:cs="Segoe UI"/>
                <w:lang w:eastAsia="en-AU"/>
              </w:rPr>
              <w:t> </w:t>
            </w:r>
          </w:p>
        </w:tc>
      </w:tr>
      <w:tr w:rsidR="00102EF5" w:rsidRPr="005458B2" w14:paraId="77CB4E3C" w14:textId="77777777" w:rsidTr="00E01FB1">
        <w:tc>
          <w:tcPr>
            <w:tcW w:w="990" w:type="dxa"/>
            <w:tcBorders>
              <w:top w:val="single" w:sz="6" w:space="0" w:color="000000"/>
              <w:left w:val="nil"/>
              <w:bottom w:val="single" w:sz="6" w:space="0" w:color="000000"/>
              <w:right w:val="nil"/>
            </w:tcBorders>
            <w:shd w:val="clear" w:color="auto" w:fill="auto"/>
            <w:hideMark/>
          </w:tcPr>
          <w:p w14:paraId="340DBAC2" w14:textId="77777777" w:rsidR="00102EF5" w:rsidRPr="005458B2" w:rsidRDefault="00102EF5" w:rsidP="00E01FB1">
            <w:pPr>
              <w:spacing w:after="0" w:line="240" w:lineRule="auto"/>
              <w:ind w:left="45" w:right="-255"/>
              <w:jc w:val="both"/>
              <w:textAlignment w:val="baseline"/>
              <w:rPr>
                <w:rFonts w:ascii="Segoe UI" w:eastAsia="Times New Roman" w:hAnsi="Segoe UI" w:cs="Segoe UI"/>
                <w:lang w:eastAsia="en-AU"/>
              </w:rPr>
            </w:pPr>
            <w:r w:rsidRPr="005458B2">
              <w:rPr>
                <w:rFonts w:eastAsia="Times New Roman" w:cs="Segoe UI"/>
                <w:lang w:val="en-GB" w:eastAsia="en-AU"/>
              </w:rPr>
              <w:t>0</w:t>
            </w:r>
            <w:r w:rsidRPr="005458B2">
              <w:rPr>
                <w:rFonts w:eastAsia="Times New Roman" w:cs="Segoe UI"/>
                <w:lang w:eastAsia="en-AU"/>
              </w:rPr>
              <w:t> </w:t>
            </w:r>
          </w:p>
        </w:tc>
        <w:tc>
          <w:tcPr>
            <w:tcW w:w="5100" w:type="dxa"/>
            <w:tcBorders>
              <w:top w:val="single" w:sz="6" w:space="0" w:color="000000"/>
              <w:left w:val="nil"/>
              <w:bottom w:val="single" w:sz="6" w:space="0" w:color="000000"/>
              <w:right w:val="nil"/>
            </w:tcBorders>
            <w:shd w:val="clear" w:color="auto" w:fill="auto"/>
            <w:hideMark/>
          </w:tcPr>
          <w:p w14:paraId="0DC2733B" w14:textId="77777777" w:rsidR="00102EF5" w:rsidRPr="005458B2" w:rsidRDefault="00102EF5" w:rsidP="00E01FB1">
            <w:pPr>
              <w:spacing w:after="0" w:line="240" w:lineRule="auto"/>
              <w:ind w:left="1155"/>
              <w:textAlignment w:val="baseline"/>
              <w:rPr>
                <w:rFonts w:ascii="Segoe UI" w:eastAsia="Times New Roman" w:hAnsi="Segoe UI" w:cs="Segoe UI"/>
                <w:lang w:eastAsia="en-AU"/>
              </w:rPr>
            </w:pPr>
            <w:r w:rsidRPr="005458B2">
              <w:rPr>
                <w:rFonts w:eastAsia="Times New Roman" w:cs="Segoe UI"/>
                <w:lang w:val="en-GB" w:eastAsia="en-AU"/>
              </w:rPr>
              <w:t>No change from the reference case</w:t>
            </w:r>
            <w:r w:rsidRPr="005458B2">
              <w:rPr>
                <w:rFonts w:eastAsia="Times New Roman" w:cs="Segoe UI"/>
                <w:lang w:eastAsia="en-AU"/>
              </w:rPr>
              <w:t> </w:t>
            </w:r>
          </w:p>
        </w:tc>
      </w:tr>
      <w:tr w:rsidR="00102EF5" w:rsidRPr="005458B2" w14:paraId="52966316" w14:textId="77777777" w:rsidTr="00E01FB1">
        <w:tc>
          <w:tcPr>
            <w:tcW w:w="990" w:type="dxa"/>
            <w:tcBorders>
              <w:top w:val="single" w:sz="6" w:space="0" w:color="000000"/>
              <w:left w:val="nil"/>
              <w:bottom w:val="single" w:sz="6" w:space="0" w:color="000000"/>
              <w:right w:val="nil"/>
            </w:tcBorders>
            <w:shd w:val="clear" w:color="auto" w:fill="auto"/>
            <w:hideMark/>
          </w:tcPr>
          <w:p w14:paraId="4D854FA7" w14:textId="77777777" w:rsidR="00102EF5" w:rsidRPr="005458B2" w:rsidRDefault="00102EF5" w:rsidP="00E01FB1">
            <w:pPr>
              <w:spacing w:after="0" w:line="240" w:lineRule="auto"/>
              <w:ind w:left="45" w:right="-255"/>
              <w:jc w:val="both"/>
              <w:textAlignment w:val="baseline"/>
              <w:rPr>
                <w:rFonts w:ascii="Segoe UI" w:eastAsia="Times New Roman" w:hAnsi="Segoe UI" w:cs="Segoe UI"/>
                <w:lang w:eastAsia="en-AU"/>
              </w:rPr>
            </w:pPr>
            <w:r w:rsidRPr="005458B2">
              <w:rPr>
                <w:rFonts w:eastAsia="Times New Roman" w:cs="Segoe UI"/>
                <w:lang w:val="en-GB" w:eastAsia="en-AU"/>
              </w:rPr>
              <w:t>+5</w:t>
            </w:r>
            <w:r w:rsidRPr="005458B2">
              <w:rPr>
                <w:rFonts w:eastAsia="Times New Roman" w:cs="Segoe UI"/>
                <w:lang w:eastAsia="en-AU"/>
              </w:rPr>
              <w:t> </w:t>
            </w:r>
          </w:p>
        </w:tc>
        <w:tc>
          <w:tcPr>
            <w:tcW w:w="5100" w:type="dxa"/>
            <w:tcBorders>
              <w:top w:val="single" w:sz="6" w:space="0" w:color="000000"/>
              <w:left w:val="nil"/>
              <w:bottom w:val="single" w:sz="6" w:space="0" w:color="000000"/>
              <w:right w:val="nil"/>
            </w:tcBorders>
            <w:shd w:val="clear" w:color="auto" w:fill="auto"/>
            <w:hideMark/>
          </w:tcPr>
          <w:p w14:paraId="0E4D9D40" w14:textId="77777777" w:rsidR="00102EF5" w:rsidRPr="005458B2" w:rsidRDefault="00102EF5" w:rsidP="00E01FB1">
            <w:pPr>
              <w:spacing w:after="0" w:line="240" w:lineRule="auto"/>
              <w:ind w:left="1155"/>
              <w:textAlignment w:val="baseline"/>
              <w:rPr>
                <w:rFonts w:ascii="Segoe UI" w:eastAsia="Times New Roman" w:hAnsi="Segoe UI" w:cs="Segoe UI"/>
                <w:lang w:eastAsia="en-AU"/>
              </w:rPr>
            </w:pPr>
            <w:r w:rsidRPr="005458B2">
              <w:rPr>
                <w:rFonts w:eastAsia="Times New Roman" w:cs="Segoe UI"/>
                <w:lang w:val="en-GB" w:eastAsia="en-AU"/>
              </w:rPr>
              <w:t>Somewhat better than the reference case </w:t>
            </w:r>
            <w:r w:rsidRPr="005458B2">
              <w:rPr>
                <w:rFonts w:eastAsia="Times New Roman" w:cs="Segoe UI"/>
                <w:lang w:eastAsia="en-AU"/>
              </w:rPr>
              <w:t> </w:t>
            </w:r>
          </w:p>
        </w:tc>
      </w:tr>
      <w:tr w:rsidR="00102EF5" w:rsidRPr="005458B2" w14:paraId="42F067F3" w14:textId="77777777" w:rsidTr="00E01FB1">
        <w:tc>
          <w:tcPr>
            <w:tcW w:w="990" w:type="dxa"/>
            <w:tcBorders>
              <w:top w:val="single" w:sz="6" w:space="0" w:color="000000"/>
              <w:left w:val="nil"/>
              <w:bottom w:val="single" w:sz="6" w:space="0" w:color="000000"/>
              <w:right w:val="nil"/>
            </w:tcBorders>
            <w:shd w:val="clear" w:color="auto" w:fill="auto"/>
            <w:hideMark/>
          </w:tcPr>
          <w:p w14:paraId="6E641DBA" w14:textId="77777777" w:rsidR="00102EF5" w:rsidRPr="005458B2" w:rsidRDefault="00102EF5" w:rsidP="00E01FB1">
            <w:pPr>
              <w:spacing w:after="0" w:line="240" w:lineRule="auto"/>
              <w:ind w:left="45" w:right="-255"/>
              <w:jc w:val="both"/>
              <w:textAlignment w:val="baseline"/>
              <w:rPr>
                <w:rFonts w:ascii="Segoe UI" w:eastAsia="Times New Roman" w:hAnsi="Segoe UI" w:cs="Segoe UI"/>
                <w:lang w:eastAsia="en-AU"/>
              </w:rPr>
            </w:pPr>
            <w:r w:rsidRPr="005458B2">
              <w:rPr>
                <w:rFonts w:eastAsia="Times New Roman" w:cs="Segoe UI"/>
                <w:lang w:val="en-GB" w:eastAsia="en-AU"/>
              </w:rPr>
              <w:t>+10</w:t>
            </w:r>
            <w:r w:rsidRPr="005458B2">
              <w:rPr>
                <w:rFonts w:eastAsia="Times New Roman" w:cs="Segoe UI"/>
                <w:lang w:eastAsia="en-AU"/>
              </w:rPr>
              <w:t> </w:t>
            </w:r>
          </w:p>
        </w:tc>
        <w:tc>
          <w:tcPr>
            <w:tcW w:w="5100" w:type="dxa"/>
            <w:tcBorders>
              <w:top w:val="single" w:sz="6" w:space="0" w:color="000000"/>
              <w:left w:val="nil"/>
              <w:bottom w:val="single" w:sz="6" w:space="0" w:color="000000"/>
              <w:right w:val="nil"/>
            </w:tcBorders>
            <w:shd w:val="clear" w:color="auto" w:fill="auto"/>
            <w:hideMark/>
          </w:tcPr>
          <w:p w14:paraId="11D56781" w14:textId="77777777" w:rsidR="00102EF5" w:rsidRPr="005458B2" w:rsidRDefault="00102EF5" w:rsidP="00E01FB1">
            <w:pPr>
              <w:spacing w:after="0" w:line="240" w:lineRule="auto"/>
              <w:ind w:left="1155"/>
              <w:textAlignment w:val="baseline"/>
              <w:rPr>
                <w:rFonts w:ascii="Segoe UI" w:eastAsia="Times New Roman" w:hAnsi="Segoe UI" w:cs="Segoe UI"/>
                <w:lang w:eastAsia="en-AU"/>
              </w:rPr>
            </w:pPr>
            <w:r w:rsidRPr="005458B2">
              <w:rPr>
                <w:rFonts w:eastAsia="Times New Roman" w:cs="Segoe UI"/>
                <w:lang w:val="en-GB" w:eastAsia="en-AU"/>
              </w:rPr>
              <w:t>Much better than the reference case </w:t>
            </w:r>
            <w:r w:rsidRPr="005458B2">
              <w:rPr>
                <w:rFonts w:eastAsia="Times New Roman" w:cs="Segoe UI"/>
                <w:lang w:eastAsia="en-AU"/>
              </w:rPr>
              <w:t> </w:t>
            </w:r>
          </w:p>
        </w:tc>
      </w:tr>
    </w:tbl>
    <w:p w14:paraId="30E077CE" w14:textId="250319CC" w:rsidR="00102EF5" w:rsidRDefault="00102EF5" w:rsidP="00102EF5">
      <w:pPr>
        <w:pStyle w:val="Heading2"/>
      </w:pPr>
      <w:bookmarkStart w:id="54" w:name="_Toc79397209"/>
      <w:r>
        <w:t>Criteria</w:t>
      </w:r>
      <w:bookmarkEnd w:id="54"/>
    </w:p>
    <w:p w14:paraId="405F2606" w14:textId="77777777" w:rsidR="00102EF5" w:rsidRDefault="00102EF5" w:rsidP="00102EF5">
      <w:r>
        <w:t>The options have been assessed against a framework that considers the following criteria:</w:t>
      </w:r>
    </w:p>
    <w:p w14:paraId="1D429D62" w14:textId="77777777" w:rsidR="00102EF5" w:rsidRPr="007C0E40" w:rsidRDefault="00102EF5" w:rsidP="00102EF5">
      <w:pPr>
        <w:pStyle w:val="CaptionTable"/>
      </w:pPr>
      <w:bookmarkStart w:id="55" w:name="_Toc79397164"/>
      <w:r>
        <w:t>: Criteria</w:t>
      </w:r>
      <w:bookmarkEnd w:id="55"/>
    </w:p>
    <w:tbl>
      <w:tblPr>
        <w:tblW w:w="595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5"/>
        <w:gridCol w:w="1559"/>
      </w:tblGrid>
      <w:tr w:rsidR="00AD10CC" w:rsidRPr="007C0E40" w14:paraId="55A92344" w14:textId="77777777" w:rsidTr="002D30B4">
        <w:trPr>
          <w:trHeight w:val="300"/>
        </w:trPr>
        <w:tc>
          <w:tcPr>
            <w:tcW w:w="4395" w:type="dxa"/>
            <w:tcBorders>
              <w:top w:val="single" w:sz="24" w:space="0" w:color="62B5E5"/>
              <w:left w:val="nil"/>
              <w:bottom w:val="single" w:sz="6" w:space="0" w:color="000000"/>
              <w:right w:val="nil"/>
            </w:tcBorders>
            <w:shd w:val="clear" w:color="auto" w:fill="auto"/>
            <w:hideMark/>
          </w:tcPr>
          <w:p w14:paraId="1F9C6CFB" w14:textId="77777777" w:rsidR="00AD10CC" w:rsidRPr="007C0E40" w:rsidRDefault="00AD10CC" w:rsidP="002D30B4">
            <w:pPr>
              <w:spacing w:after="0" w:line="240" w:lineRule="auto"/>
              <w:ind w:left="45"/>
              <w:textAlignment w:val="baseline"/>
              <w:rPr>
                <w:rFonts w:ascii="Segoe UI" w:eastAsia="Times New Roman" w:hAnsi="Segoe UI" w:cs="Segoe UI"/>
                <w:lang w:eastAsia="en-AU"/>
              </w:rPr>
            </w:pPr>
            <w:r w:rsidRPr="007C0E40">
              <w:rPr>
                <w:rFonts w:eastAsia="Times New Roman" w:cs="Segoe UI"/>
                <w:b/>
                <w:bCs/>
                <w:color w:val="000000"/>
                <w:sz w:val="16"/>
                <w:szCs w:val="16"/>
                <w:lang w:val="en-GB" w:eastAsia="en-AU"/>
              </w:rPr>
              <w:t>Benefit criteria</w:t>
            </w:r>
            <w:r w:rsidRPr="007C0E40">
              <w:rPr>
                <w:rFonts w:eastAsia="Times New Roman" w:cs="Segoe UI"/>
                <w:color w:val="000000"/>
                <w:sz w:val="16"/>
                <w:szCs w:val="16"/>
                <w:lang w:eastAsia="en-AU"/>
              </w:rPr>
              <w:t> </w:t>
            </w:r>
          </w:p>
        </w:tc>
        <w:tc>
          <w:tcPr>
            <w:tcW w:w="1559" w:type="dxa"/>
            <w:tcBorders>
              <w:top w:val="single" w:sz="24" w:space="0" w:color="62B5E5"/>
              <w:left w:val="nil"/>
              <w:bottom w:val="single" w:sz="6" w:space="0" w:color="000000"/>
              <w:right w:val="nil"/>
            </w:tcBorders>
            <w:shd w:val="clear" w:color="auto" w:fill="auto"/>
            <w:vAlign w:val="center"/>
            <w:hideMark/>
          </w:tcPr>
          <w:p w14:paraId="4F0D8B63" w14:textId="77777777" w:rsidR="00AD10CC" w:rsidRPr="007C0E40" w:rsidRDefault="00AD10CC" w:rsidP="002D30B4">
            <w:pPr>
              <w:spacing w:after="0" w:line="240" w:lineRule="auto"/>
              <w:ind w:left="45"/>
              <w:textAlignment w:val="baseline"/>
              <w:rPr>
                <w:rFonts w:ascii="Segoe UI" w:eastAsia="Times New Roman" w:hAnsi="Segoe UI" w:cs="Segoe UI"/>
                <w:lang w:eastAsia="en-AU"/>
              </w:rPr>
            </w:pPr>
            <w:r w:rsidRPr="007C0E40">
              <w:rPr>
                <w:rFonts w:eastAsia="Times New Roman" w:cs="Segoe UI"/>
                <w:b/>
                <w:bCs/>
                <w:color w:val="000000"/>
                <w:sz w:val="16"/>
                <w:szCs w:val="16"/>
                <w:lang w:val="en-GB" w:eastAsia="en-AU"/>
              </w:rPr>
              <w:t>Weighting</w:t>
            </w:r>
            <w:r w:rsidRPr="007C0E40">
              <w:rPr>
                <w:rFonts w:eastAsia="Times New Roman" w:cs="Segoe UI"/>
                <w:color w:val="000000"/>
                <w:sz w:val="16"/>
                <w:szCs w:val="16"/>
                <w:lang w:eastAsia="en-AU"/>
              </w:rPr>
              <w:t> </w:t>
            </w:r>
          </w:p>
        </w:tc>
      </w:tr>
      <w:tr w:rsidR="00AD10CC" w:rsidRPr="007C0E40" w14:paraId="6EEDD665" w14:textId="77777777" w:rsidTr="002D30B4">
        <w:trPr>
          <w:trHeight w:val="300"/>
        </w:trPr>
        <w:tc>
          <w:tcPr>
            <w:tcW w:w="4395" w:type="dxa"/>
            <w:tcBorders>
              <w:top w:val="single" w:sz="6" w:space="0" w:color="000000"/>
              <w:left w:val="nil"/>
              <w:bottom w:val="single" w:sz="6" w:space="0" w:color="000000"/>
              <w:right w:val="nil"/>
            </w:tcBorders>
            <w:shd w:val="clear" w:color="auto" w:fill="auto"/>
            <w:vAlign w:val="center"/>
            <w:hideMark/>
          </w:tcPr>
          <w:p w14:paraId="54BABA6C" w14:textId="62A5C4FB" w:rsidR="00AD10CC" w:rsidRPr="007C0E40" w:rsidRDefault="00AD10CC" w:rsidP="002D30B4">
            <w:pPr>
              <w:spacing w:after="0" w:line="240" w:lineRule="auto"/>
              <w:ind w:left="45"/>
              <w:textAlignment w:val="baseline"/>
              <w:rPr>
                <w:rFonts w:ascii="Segoe UI" w:eastAsia="Times New Roman" w:hAnsi="Segoe UI" w:cs="Segoe UI"/>
                <w:lang w:eastAsia="en-AU"/>
              </w:rPr>
            </w:pPr>
            <w:r>
              <w:rPr>
                <w:rFonts w:eastAsia="Times New Roman" w:cs="Segoe UI"/>
                <w:color w:val="000000"/>
                <w:sz w:val="16"/>
                <w:szCs w:val="16"/>
                <w:lang w:val="en-GB" w:eastAsia="en-AU"/>
              </w:rPr>
              <w:t xml:space="preserve">Reduce deliberate or accidental weapon-related harm and </w:t>
            </w:r>
            <w:r>
              <w:rPr>
                <w:rFonts w:eastAsia="Times New Roman" w:cs="Segoe UI"/>
                <w:color w:val="000000"/>
                <w:sz w:val="16"/>
                <w:szCs w:val="16"/>
                <w:lang w:eastAsia="en-AU"/>
              </w:rPr>
              <w:t>promote sense of publi</w:t>
            </w:r>
            <w:r w:rsidR="005A04FC">
              <w:rPr>
                <w:rFonts w:eastAsia="Times New Roman" w:cs="Segoe UI"/>
                <w:color w:val="000000"/>
                <w:sz w:val="16"/>
                <w:szCs w:val="16"/>
                <w:lang w:eastAsia="en-AU"/>
              </w:rPr>
              <w:t>c safety</w:t>
            </w:r>
          </w:p>
        </w:tc>
        <w:tc>
          <w:tcPr>
            <w:tcW w:w="1559" w:type="dxa"/>
            <w:tcBorders>
              <w:top w:val="single" w:sz="6" w:space="0" w:color="000000"/>
              <w:left w:val="nil"/>
              <w:bottom w:val="single" w:sz="6" w:space="0" w:color="000000"/>
              <w:right w:val="nil"/>
            </w:tcBorders>
            <w:shd w:val="clear" w:color="auto" w:fill="auto"/>
            <w:vAlign w:val="center"/>
            <w:hideMark/>
          </w:tcPr>
          <w:p w14:paraId="1A8EAF75" w14:textId="77777777" w:rsidR="00AD10CC" w:rsidRPr="00D3268E" w:rsidRDefault="00AD10CC" w:rsidP="002D30B4">
            <w:pPr>
              <w:spacing w:after="0" w:line="240" w:lineRule="auto"/>
              <w:ind w:left="45"/>
              <w:jc w:val="center"/>
              <w:textAlignment w:val="baseline"/>
              <w:rPr>
                <w:rFonts w:eastAsia="Times New Roman" w:cs="Segoe UI"/>
                <w:color w:val="000000"/>
                <w:sz w:val="16"/>
                <w:szCs w:val="16"/>
                <w:lang w:val="en-GB" w:eastAsia="en-AU"/>
              </w:rPr>
            </w:pPr>
            <w:r w:rsidRPr="00D3268E">
              <w:rPr>
                <w:rFonts w:eastAsia="Times New Roman" w:cs="Segoe UI"/>
                <w:color w:val="000000"/>
                <w:sz w:val="16"/>
                <w:szCs w:val="16"/>
                <w:lang w:val="en-GB" w:eastAsia="en-AU"/>
              </w:rPr>
              <w:t>50% </w:t>
            </w:r>
          </w:p>
        </w:tc>
      </w:tr>
      <w:tr w:rsidR="00AD10CC" w:rsidRPr="007C0E40" w14:paraId="6DED4272" w14:textId="77777777" w:rsidTr="002D30B4">
        <w:trPr>
          <w:trHeight w:val="315"/>
        </w:trPr>
        <w:tc>
          <w:tcPr>
            <w:tcW w:w="4395" w:type="dxa"/>
            <w:tcBorders>
              <w:top w:val="single" w:sz="6" w:space="0" w:color="000000"/>
              <w:left w:val="nil"/>
              <w:bottom w:val="single" w:sz="6" w:space="0" w:color="000000"/>
              <w:right w:val="nil"/>
            </w:tcBorders>
            <w:shd w:val="clear" w:color="auto" w:fill="auto"/>
            <w:vAlign w:val="center"/>
            <w:hideMark/>
          </w:tcPr>
          <w:p w14:paraId="3546D80E" w14:textId="77777777" w:rsidR="00AD10CC" w:rsidRPr="007C0E40" w:rsidRDefault="00AD10CC" w:rsidP="002D30B4">
            <w:pPr>
              <w:spacing w:after="0" w:line="240" w:lineRule="auto"/>
              <w:ind w:left="45"/>
              <w:textAlignment w:val="baseline"/>
              <w:rPr>
                <w:rFonts w:ascii="Segoe UI" w:eastAsia="Times New Roman" w:hAnsi="Segoe UI" w:cs="Segoe UI"/>
                <w:lang w:eastAsia="en-AU"/>
              </w:rPr>
            </w:pPr>
            <w:r w:rsidRPr="007C0E40">
              <w:rPr>
                <w:rFonts w:eastAsia="Times New Roman" w:cs="Segoe UI"/>
                <w:b/>
                <w:bCs/>
                <w:color w:val="000000"/>
                <w:sz w:val="16"/>
                <w:szCs w:val="16"/>
                <w:lang w:val="en-GB" w:eastAsia="en-AU"/>
              </w:rPr>
              <w:t>Cost criteria</w:t>
            </w:r>
            <w:r w:rsidRPr="007C0E40">
              <w:rPr>
                <w:rFonts w:eastAsia="Times New Roman" w:cs="Segoe UI"/>
                <w:color w:val="000000"/>
                <w:sz w:val="16"/>
                <w:szCs w:val="16"/>
                <w:lang w:eastAsia="en-AU"/>
              </w:rPr>
              <w:t> </w:t>
            </w:r>
          </w:p>
        </w:tc>
        <w:tc>
          <w:tcPr>
            <w:tcW w:w="1559" w:type="dxa"/>
            <w:tcBorders>
              <w:top w:val="single" w:sz="6" w:space="0" w:color="000000"/>
              <w:left w:val="nil"/>
              <w:bottom w:val="single" w:sz="6" w:space="0" w:color="000000"/>
              <w:right w:val="nil"/>
            </w:tcBorders>
            <w:shd w:val="clear" w:color="auto" w:fill="auto"/>
            <w:vAlign w:val="center"/>
            <w:hideMark/>
          </w:tcPr>
          <w:p w14:paraId="79DB5232" w14:textId="77777777" w:rsidR="00AD10CC" w:rsidRPr="00D3268E" w:rsidRDefault="00AD10CC" w:rsidP="002D30B4">
            <w:pPr>
              <w:spacing w:after="0" w:line="240" w:lineRule="auto"/>
              <w:ind w:left="45"/>
              <w:jc w:val="center"/>
              <w:textAlignment w:val="baseline"/>
              <w:rPr>
                <w:rFonts w:eastAsia="Times New Roman" w:cs="Segoe UI"/>
                <w:color w:val="000000"/>
                <w:sz w:val="16"/>
                <w:szCs w:val="16"/>
                <w:lang w:val="en-GB" w:eastAsia="en-AU"/>
              </w:rPr>
            </w:pPr>
            <w:r w:rsidRPr="00D3268E">
              <w:rPr>
                <w:rFonts w:eastAsia="Times New Roman" w:cs="Segoe UI"/>
                <w:color w:val="000000"/>
                <w:sz w:val="16"/>
                <w:szCs w:val="16"/>
                <w:lang w:val="en-GB" w:eastAsia="en-AU"/>
              </w:rPr>
              <w:t>- </w:t>
            </w:r>
          </w:p>
        </w:tc>
      </w:tr>
      <w:tr w:rsidR="00AD10CC" w:rsidRPr="007C0E40" w14:paraId="65493549" w14:textId="77777777" w:rsidTr="002D30B4">
        <w:trPr>
          <w:trHeight w:val="315"/>
        </w:trPr>
        <w:tc>
          <w:tcPr>
            <w:tcW w:w="4395" w:type="dxa"/>
            <w:tcBorders>
              <w:top w:val="single" w:sz="6" w:space="0" w:color="000000"/>
              <w:left w:val="nil"/>
              <w:bottom w:val="single" w:sz="6" w:space="0" w:color="000000"/>
              <w:right w:val="nil"/>
            </w:tcBorders>
            <w:shd w:val="clear" w:color="auto" w:fill="auto"/>
            <w:vAlign w:val="center"/>
            <w:hideMark/>
          </w:tcPr>
          <w:p w14:paraId="421AFA0A" w14:textId="23174413" w:rsidR="00AD10CC" w:rsidRPr="007C0E40" w:rsidRDefault="00AD10CC" w:rsidP="002D30B4">
            <w:pPr>
              <w:spacing w:after="0" w:line="240" w:lineRule="auto"/>
              <w:ind w:left="45"/>
              <w:textAlignment w:val="baseline"/>
              <w:rPr>
                <w:rFonts w:ascii="Segoe UI" w:eastAsia="Times New Roman" w:hAnsi="Segoe UI" w:cs="Segoe UI"/>
                <w:lang w:eastAsia="en-AU"/>
              </w:rPr>
            </w:pPr>
            <w:r w:rsidRPr="007C0E40">
              <w:rPr>
                <w:rFonts w:eastAsia="Times New Roman" w:cs="Segoe UI"/>
                <w:color w:val="000000"/>
                <w:sz w:val="16"/>
                <w:szCs w:val="16"/>
                <w:lang w:val="en-GB" w:eastAsia="en-AU"/>
              </w:rPr>
              <w:t>Cost</w:t>
            </w:r>
            <w:r w:rsidR="00472E97">
              <w:rPr>
                <w:rFonts w:eastAsia="Times New Roman" w:cs="Segoe UI"/>
                <w:color w:val="000000"/>
                <w:sz w:val="16"/>
                <w:szCs w:val="16"/>
                <w:lang w:val="en-GB" w:eastAsia="en-AU"/>
              </w:rPr>
              <w:t>s</w:t>
            </w:r>
            <w:r w:rsidRPr="007C0E40">
              <w:rPr>
                <w:rFonts w:eastAsia="Times New Roman" w:cs="Segoe UI"/>
                <w:color w:val="000000"/>
                <w:sz w:val="16"/>
                <w:szCs w:val="16"/>
                <w:lang w:val="en-GB" w:eastAsia="en-AU"/>
              </w:rPr>
              <w:t xml:space="preserve"> </w:t>
            </w:r>
            <w:r w:rsidR="00FA4FDC">
              <w:rPr>
                <w:rFonts w:eastAsia="Times New Roman" w:cs="Segoe UI"/>
                <w:color w:val="000000"/>
                <w:sz w:val="16"/>
                <w:szCs w:val="16"/>
                <w:lang w:val="en-GB" w:eastAsia="en-AU"/>
              </w:rPr>
              <w:t xml:space="preserve">to government </w:t>
            </w:r>
            <w:r w:rsidR="000D7BB4">
              <w:rPr>
                <w:rFonts w:eastAsia="Times New Roman" w:cs="Segoe UI"/>
                <w:color w:val="000000"/>
                <w:sz w:val="16"/>
                <w:szCs w:val="16"/>
                <w:lang w:val="en-GB" w:eastAsia="en-AU"/>
              </w:rPr>
              <w:t>in</w:t>
            </w:r>
            <w:r>
              <w:rPr>
                <w:rFonts w:eastAsia="Times New Roman" w:cs="Segoe UI"/>
                <w:color w:val="000000"/>
                <w:sz w:val="16"/>
                <w:szCs w:val="16"/>
                <w:lang w:val="en-GB" w:eastAsia="en-AU"/>
              </w:rPr>
              <w:t xml:space="preserve"> enforcement</w:t>
            </w:r>
            <w:r w:rsidRPr="007C0E40">
              <w:rPr>
                <w:rFonts w:eastAsia="Times New Roman" w:cs="Segoe UI"/>
                <w:color w:val="000000"/>
                <w:sz w:val="16"/>
                <w:szCs w:val="16"/>
                <w:lang w:eastAsia="en-AU"/>
              </w:rPr>
              <w:t> </w:t>
            </w:r>
            <w:r>
              <w:rPr>
                <w:rFonts w:eastAsia="Times New Roman" w:cs="Segoe UI"/>
                <w:color w:val="000000"/>
                <w:sz w:val="16"/>
                <w:szCs w:val="16"/>
                <w:lang w:eastAsia="en-AU"/>
              </w:rPr>
              <w:t>and</w:t>
            </w:r>
            <w:r w:rsidR="000D7BB4">
              <w:rPr>
                <w:rFonts w:eastAsia="Times New Roman" w:cs="Segoe UI"/>
                <w:color w:val="000000"/>
                <w:sz w:val="16"/>
                <w:szCs w:val="16"/>
                <w:lang w:eastAsia="en-AU"/>
              </w:rPr>
              <w:t xml:space="preserve"> industry in</w:t>
            </w:r>
            <w:r>
              <w:rPr>
                <w:rFonts w:eastAsia="Times New Roman" w:cs="Segoe UI"/>
                <w:color w:val="000000"/>
                <w:sz w:val="16"/>
                <w:szCs w:val="16"/>
                <w:lang w:eastAsia="en-AU"/>
              </w:rPr>
              <w:t xml:space="preserve"> compliance</w:t>
            </w:r>
          </w:p>
        </w:tc>
        <w:tc>
          <w:tcPr>
            <w:tcW w:w="1559" w:type="dxa"/>
            <w:tcBorders>
              <w:top w:val="single" w:sz="6" w:space="0" w:color="000000"/>
              <w:left w:val="nil"/>
              <w:bottom w:val="single" w:sz="6" w:space="0" w:color="000000"/>
              <w:right w:val="nil"/>
            </w:tcBorders>
            <w:shd w:val="clear" w:color="auto" w:fill="auto"/>
            <w:vAlign w:val="center"/>
            <w:hideMark/>
          </w:tcPr>
          <w:p w14:paraId="1FF71765" w14:textId="77777777" w:rsidR="00AD10CC" w:rsidRPr="00D3268E" w:rsidRDefault="00AD10CC" w:rsidP="002D30B4">
            <w:pPr>
              <w:spacing w:after="0" w:line="240" w:lineRule="auto"/>
              <w:ind w:left="45"/>
              <w:jc w:val="center"/>
              <w:textAlignment w:val="baseline"/>
              <w:rPr>
                <w:rFonts w:eastAsia="Times New Roman" w:cs="Segoe UI"/>
                <w:color w:val="000000"/>
                <w:sz w:val="16"/>
                <w:szCs w:val="16"/>
                <w:lang w:val="en-GB" w:eastAsia="en-AU"/>
              </w:rPr>
            </w:pPr>
            <w:r>
              <w:rPr>
                <w:rFonts w:eastAsia="Times New Roman" w:cs="Segoe UI"/>
                <w:color w:val="000000"/>
                <w:sz w:val="16"/>
                <w:szCs w:val="16"/>
                <w:lang w:val="en-GB" w:eastAsia="en-AU"/>
              </w:rPr>
              <w:t>40</w:t>
            </w:r>
            <w:r w:rsidRPr="007C0E40">
              <w:rPr>
                <w:rFonts w:eastAsia="Times New Roman" w:cs="Segoe UI"/>
                <w:color w:val="000000"/>
                <w:sz w:val="16"/>
                <w:szCs w:val="16"/>
                <w:lang w:val="en-GB" w:eastAsia="en-AU"/>
              </w:rPr>
              <w:t>%</w:t>
            </w:r>
            <w:r w:rsidRPr="00D3268E">
              <w:rPr>
                <w:rFonts w:eastAsia="Times New Roman" w:cs="Segoe UI"/>
                <w:color w:val="000000"/>
                <w:sz w:val="16"/>
                <w:szCs w:val="16"/>
                <w:lang w:val="en-GB" w:eastAsia="en-AU"/>
              </w:rPr>
              <w:t> </w:t>
            </w:r>
          </w:p>
        </w:tc>
      </w:tr>
      <w:tr w:rsidR="00AD10CC" w:rsidRPr="007C0E40" w14:paraId="3EDB0498" w14:textId="77777777" w:rsidTr="002D30B4">
        <w:trPr>
          <w:trHeight w:val="315"/>
        </w:trPr>
        <w:tc>
          <w:tcPr>
            <w:tcW w:w="4395" w:type="dxa"/>
            <w:tcBorders>
              <w:top w:val="single" w:sz="6" w:space="0" w:color="000000"/>
              <w:left w:val="nil"/>
              <w:bottom w:val="single" w:sz="6" w:space="0" w:color="000000"/>
              <w:right w:val="nil"/>
            </w:tcBorders>
            <w:shd w:val="clear" w:color="auto" w:fill="auto"/>
            <w:vAlign w:val="center"/>
            <w:hideMark/>
          </w:tcPr>
          <w:p w14:paraId="448E292E" w14:textId="77777777" w:rsidR="00AD10CC" w:rsidRPr="007C0E40" w:rsidRDefault="00AD10CC" w:rsidP="002D30B4">
            <w:pPr>
              <w:spacing w:after="0" w:line="240" w:lineRule="auto"/>
              <w:ind w:left="45"/>
              <w:textAlignment w:val="baseline"/>
              <w:rPr>
                <w:rFonts w:ascii="Segoe UI" w:eastAsia="Times New Roman" w:hAnsi="Segoe UI" w:cs="Segoe UI"/>
                <w:lang w:eastAsia="en-AU"/>
              </w:rPr>
            </w:pPr>
            <w:r>
              <w:rPr>
                <w:rFonts w:eastAsia="Times New Roman" w:cs="Segoe UI"/>
                <w:color w:val="000000"/>
                <w:sz w:val="16"/>
                <w:szCs w:val="16"/>
                <w:lang w:val="en-GB" w:eastAsia="en-AU"/>
              </w:rPr>
              <w:t>Discouragement of legitimate use</w:t>
            </w:r>
          </w:p>
        </w:tc>
        <w:tc>
          <w:tcPr>
            <w:tcW w:w="1559" w:type="dxa"/>
            <w:tcBorders>
              <w:top w:val="single" w:sz="6" w:space="0" w:color="000000"/>
              <w:left w:val="nil"/>
              <w:bottom w:val="single" w:sz="6" w:space="0" w:color="000000"/>
              <w:right w:val="nil"/>
            </w:tcBorders>
            <w:shd w:val="clear" w:color="auto" w:fill="auto"/>
            <w:vAlign w:val="center"/>
            <w:hideMark/>
          </w:tcPr>
          <w:p w14:paraId="1CCEA6A0" w14:textId="77777777" w:rsidR="00AD10CC" w:rsidRPr="00D3268E" w:rsidRDefault="00AD10CC" w:rsidP="002D30B4">
            <w:pPr>
              <w:spacing w:after="0" w:line="240" w:lineRule="auto"/>
              <w:ind w:left="45"/>
              <w:jc w:val="center"/>
              <w:textAlignment w:val="baseline"/>
              <w:rPr>
                <w:rFonts w:eastAsia="Times New Roman" w:cs="Segoe UI"/>
                <w:color w:val="000000"/>
                <w:sz w:val="16"/>
                <w:szCs w:val="16"/>
                <w:lang w:val="en-GB" w:eastAsia="en-AU"/>
              </w:rPr>
            </w:pPr>
            <w:r w:rsidRPr="00D3268E">
              <w:rPr>
                <w:rFonts w:eastAsia="Times New Roman" w:cs="Segoe UI"/>
                <w:color w:val="000000"/>
                <w:sz w:val="16"/>
                <w:szCs w:val="16"/>
                <w:lang w:val="en-GB" w:eastAsia="en-AU"/>
              </w:rPr>
              <w:t>10%</w:t>
            </w:r>
          </w:p>
        </w:tc>
      </w:tr>
    </w:tbl>
    <w:p w14:paraId="734C0518" w14:textId="77777777" w:rsidR="00102EF5" w:rsidRDefault="00102EF5" w:rsidP="00102EF5"/>
    <w:p w14:paraId="466C6DAB" w14:textId="102F0595" w:rsidR="009806E5" w:rsidRDefault="00E42745" w:rsidP="00BD481A">
      <w:r>
        <w:t xml:space="preserve">The sole benefit criterion </w:t>
      </w:r>
      <w:r w:rsidR="009806E5">
        <w:t>includes benefit</w:t>
      </w:r>
      <w:r w:rsidR="00293D94">
        <w:t>s in three areas</w:t>
      </w:r>
      <w:r w:rsidR="009806E5">
        <w:t xml:space="preserve"> (</w:t>
      </w:r>
      <w:r w:rsidR="00090683">
        <w:t>deliberate weapons-related harm, accidental weapons-related harm</w:t>
      </w:r>
      <w:r w:rsidR="00233C9A">
        <w:t>, and public s</w:t>
      </w:r>
      <w:r w:rsidR="00FD6256">
        <w:t>afety</w:t>
      </w:r>
      <w:r w:rsidR="00233C9A">
        <w:t>)</w:t>
      </w:r>
      <w:r w:rsidR="001E2A33">
        <w:t>. While each option has a materially different impact on these benefits,</w:t>
      </w:r>
      <w:r w:rsidR="0042636A">
        <w:t xml:space="preserve"> separating these types of benefits into their own criteria adds little value to the analysis because the impact of each option on any one of these three benefits is the same as that option’s impact on the others</w:t>
      </w:r>
      <w:r w:rsidR="00AD10CC">
        <w:t>.</w:t>
      </w:r>
      <w:r w:rsidR="0042636A">
        <w:t xml:space="preserve"> Furthermore, equal weight would be placed on each type of harm. As a result, </w:t>
      </w:r>
      <w:r w:rsidR="00BE57E4">
        <w:t>for simplicity and clarity these three types of benefit have been consolidated into a single criterion, which receives the entirety of the benefit weighting (50%).</w:t>
      </w:r>
    </w:p>
    <w:p w14:paraId="48B80E04" w14:textId="4E181838" w:rsidR="00637BDE" w:rsidRDefault="0096777F" w:rsidP="00102EF5">
      <w:r>
        <w:t xml:space="preserve">The cost of enforcement and compliance is where the </w:t>
      </w:r>
      <w:r w:rsidR="0098432D">
        <w:t>majority of weighting</w:t>
      </w:r>
      <w:r w:rsidR="00F222BB">
        <w:t xml:space="preserve"> lies</w:t>
      </w:r>
      <w:r w:rsidR="0098432D">
        <w:t xml:space="preserve"> </w:t>
      </w:r>
      <w:r w:rsidR="00727F88">
        <w:t>at 40 per cent</w:t>
      </w:r>
      <w:r w:rsidR="008C3CD8">
        <w:t>. This is because</w:t>
      </w:r>
      <w:r w:rsidR="009C7874">
        <w:t xml:space="preserve"> minimisation </w:t>
      </w:r>
      <w:r w:rsidR="00727F88">
        <w:t xml:space="preserve">of </w:t>
      </w:r>
      <w:r w:rsidR="008C3CD8">
        <w:t xml:space="preserve">direct </w:t>
      </w:r>
      <w:r w:rsidR="009C7874">
        <w:t xml:space="preserve">regulatory burden </w:t>
      </w:r>
      <w:r w:rsidR="008126F4">
        <w:t xml:space="preserve">is a key objective </w:t>
      </w:r>
      <w:r w:rsidR="00FE6DB2">
        <w:t xml:space="preserve">of </w:t>
      </w:r>
      <w:r w:rsidR="00736A9F">
        <w:t xml:space="preserve">the </w:t>
      </w:r>
      <w:r w:rsidR="00FD6256">
        <w:t>R</w:t>
      </w:r>
      <w:r w:rsidR="00736A9F">
        <w:t xml:space="preserve">egulations. Discouragement of legitimate use </w:t>
      </w:r>
      <w:r w:rsidR="00BC26CC">
        <w:t xml:space="preserve">refers to instances </w:t>
      </w:r>
      <w:r w:rsidR="00E51B6D">
        <w:t xml:space="preserve">where </w:t>
      </w:r>
      <w:r w:rsidR="00BC26CC">
        <w:t xml:space="preserve">stakeholders </w:t>
      </w:r>
      <w:r w:rsidR="00E51B6D">
        <w:t>refrain</w:t>
      </w:r>
      <w:r w:rsidR="00EE6C59">
        <w:t xml:space="preserve"> </w:t>
      </w:r>
      <w:r w:rsidR="00532FEE">
        <w:t xml:space="preserve">from </w:t>
      </w:r>
      <w:r w:rsidR="00EE6C59">
        <w:t xml:space="preserve">participating in a legitimate activity involving a weapon </w:t>
      </w:r>
      <w:r w:rsidR="00C1656E">
        <w:t>either because they are unsure i</w:t>
      </w:r>
      <w:r w:rsidR="005E2A4A">
        <w:t>f</w:t>
      </w:r>
      <w:r w:rsidR="00C1656E">
        <w:t xml:space="preserve"> the activity is legal (due to </w:t>
      </w:r>
      <w:r w:rsidR="00B80B68">
        <w:t>lack</w:t>
      </w:r>
      <w:r w:rsidR="00C1656E">
        <w:t xml:space="preserve"> of </w:t>
      </w:r>
      <w:r w:rsidR="00B80B68">
        <w:t xml:space="preserve">knowledge of the </w:t>
      </w:r>
      <w:r w:rsidR="005A04FC">
        <w:t>Re</w:t>
      </w:r>
      <w:r w:rsidR="00B80B68">
        <w:t>gulations</w:t>
      </w:r>
      <w:r w:rsidR="00C1656E">
        <w:t>) or because they believe it is too costly</w:t>
      </w:r>
      <w:r w:rsidR="006C10C1">
        <w:t xml:space="preserve"> or time consuming to acquire approval or exemption.</w:t>
      </w:r>
      <w:r w:rsidR="005E2A4A">
        <w:t xml:space="preserve"> </w:t>
      </w:r>
      <w:r w:rsidR="006C10C1">
        <w:t xml:space="preserve">Discouragement of legitimate use </w:t>
      </w:r>
      <w:r w:rsidR="000442E5">
        <w:t xml:space="preserve">receives a lower weighting at ten per cent. This is because the allowance of </w:t>
      </w:r>
      <w:r w:rsidR="001D2918">
        <w:t xml:space="preserve">legitimates uses is seen as a </w:t>
      </w:r>
      <w:r w:rsidR="00F16C08">
        <w:t xml:space="preserve">secondary objective of the </w:t>
      </w:r>
      <w:r w:rsidR="00FD6256">
        <w:t>R</w:t>
      </w:r>
      <w:r w:rsidR="00F16C08">
        <w:t xml:space="preserve">egulations in comparison to such objectives as </w:t>
      </w:r>
      <w:r w:rsidR="00E6756C">
        <w:t xml:space="preserve">reducing the harm weapons cause. </w:t>
      </w:r>
    </w:p>
    <w:p w14:paraId="0525B639" w14:textId="19F9EEA8" w:rsidR="00102EF5" w:rsidRDefault="00102EF5" w:rsidP="00102EF5">
      <w:pPr>
        <w:pStyle w:val="Heading2"/>
      </w:pPr>
      <w:bookmarkStart w:id="56" w:name="_Toc79397210"/>
      <w:r>
        <w:t>MCA Scoring</w:t>
      </w:r>
      <w:bookmarkEnd w:id="56"/>
    </w:p>
    <w:p w14:paraId="12CC499B" w14:textId="3F209DB0" w:rsidR="00102EF5" w:rsidRPr="00306FDA" w:rsidRDefault="007E4B71" w:rsidP="00102EF5">
      <w:pPr>
        <w:spacing w:after="120" w:line="240" w:lineRule="auto"/>
      </w:pPr>
      <w:r>
        <w:t>The table below</w:t>
      </w:r>
      <w:r w:rsidR="00102EF5">
        <w:t xml:space="preserve"> presents the results of the MCA. As per the Better Regulation Victoria Guidance Note</w:t>
      </w:r>
      <w:r w:rsidR="00102EF5">
        <w:rPr>
          <w:rStyle w:val="FootnoteReference"/>
        </w:rPr>
        <w:footnoteReference w:id="10"/>
      </w:r>
      <w:r w:rsidR="00102EF5">
        <w:t xml:space="preserve">, an option that is more costly than the base case should receive a negative score. As such, a higher score for costs indicates a lower cost to industry or the Government (relative to the Base Case). </w:t>
      </w:r>
    </w:p>
    <w:p w14:paraId="36194960" w14:textId="0D38E007" w:rsidR="0021018F" w:rsidRPr="00C33F50" w:rsidRDefault="007E4B71" w:rsidP="00C33F50">
      <w:pPr>
        <w:spacing w:after="120" w:line="240" w:lineRule="auto"/>
      </w:pPr>
      <w:r>
        <w:t>The</w:t>
      </w:r>
      <w:r w:rsidR="00E271C7" w:rsidRPr="00E271C7">
        <w:t xml:space="preserve"> regulatory approach outlined under </w:t>
      </w:r>
      <w:r w:rsidR="00102EF5" w:rsidRPr="00E271C7">
        <w:t xml:space="preserve">Option </w:t>
      </w:r>
      <w:r w:rsidR="0004394D">
        <w:t>3</w:t>
      </w:r>
      <w:r w:rsidR="00102EF5" w:rsidRPr="00306FDA">
        <w:t xml:space="preserve"> </w:t>
      </w:r>
      <w:r w:rsidR="00E271C7" w:rsidRPr="00E271C7">
        <w:t>achieves</w:t>
      </w:r>
      <w:r w:rsidR="00102EF5" w:rsidRPr="00306FDA">
        <w:t xml:space="preserve"> the highest weighted score, and therefore is the preferred option.</w:t>
      </w:r>
      <w:bookmarkStart w:id="57" w:name="_Ref69831998"/>
    </w:p>
    <w:p w14:paraId="56320BE4" w14:textId="73DB109D" w:rsidR="00102EF5" w:rsidRDefault="00102EF5" w:rsidP="00102EF5">
      <w:pPr>
        <w:pStyle w:val="CaptionTable"/>
      </w:pPr>
      <w:bookmarkStart w:id="58" w:name="_Toc79397165"/>
      <w:r>
        <w:t xml:space="preserve">: MCA </w:t>
      </w:r>
      <w:r w:rsidRPr="00E17B3B">
        <w:t>scoring</w:t>
      </w:r>
      <w:bookmarkEnd w:id="57"/>
      <w:bookmarkEnd w:id="58"/>
    </w:p>
    <w:tbl>
      <w:tblPr>
        <w:tblStyle w:val="Deloittetable"/>
        <w:tblW w:w="5000" w:type="pct"/>
        <w:tblLook w:val="04A0" w:firstRow="1" w:lastRow="0" w:firstColumn="1" w:lastColumn="0" w:noHBand="0" w:noVBand="1"/>
      </w:tblPr>
      <w:tblGrid>
        <w:gridCol w:w="3141"/>
        <w:gridCol w:w="2784"/>
        <w:gridCol w:w="1483"/>
        <w:gridCol w:w="1483"/>
        <w:gridCol w:w="1481"/>
      </w:tblGrid>
      <w:tr w:rsidR="00221122" w14:paraId="51B0C81F" w14:textId="77777777" w:rsidTr="0021018F">
        <w:trPr>
          <w:cnfStyle w:val="100000000000" w:firstRow="1" w:lastRow="0" w:firstColumn="0" w:lastColumn="0" w:oddVBand="0" w:evenVBand="0" w:oddHBand="0" w:evenHBand="0" w:firstRowFirstColumn="0" w:firstRowLastColumn="0" w:lastRowFirstColumn="0" w:lastRowLastColumn="0"/>
          <w:trHeight w:val="300"/>
          <w:tblHeader/>
        </w:trPr>
        <w:tc>
          <w:tcPr>
            <w:tcW w:w="2856" w:type="pct"/>
            <w:gridSpan w:val="2"/>
            <w:tcBorders>
              <w:top w:val="single" w:sz="4" w:space="0" w:color="62B5E5" w:themeColor="accent3"/>
              <w:left w:val="single" w:sz="4" w:space="0" w:color="FFFFFF" w:themeColor="background1"/>
              <w:bottom w:val="single" w:sz="4" w:space="0" w:color="000000" w:themeColor="text1"/>
              <w:right w:val="nil"/>
            </w:tcBorders>
            <w:hideMark/>
          </w:tcPr>
          <w:p w14:paraId="58FF0E3B" w14:textId="77777777" w:rsidR="008C3CD8" w:rsidRDefault="008C3CD8" w:rsidP="006C29F3">
            <w:pPr>
              <w:spacing w:after="0" w:line="240" w:lineRule="auto"/>
              <w:rPr>
                <w:rFonts w:asciiTheme="minorHAnsi" w:eastAsia="Times New Roman" w:hAnsiTheme="minorHAnsi" w:cs="Calibri"/>
                <w:b/>
                <w:bCs/>
                <w:color w:val="000000"/>
                <w:sz w:val="16"/>
                <w:szCs w:val="16"/>
                <w:lang w:val="en-GB" w:eastAsia="en-AU"/>
              </w:rPr>
            </w:pPr>
            <w:r>
              <w:rPr>
                <w:rFonts w:asciiTheme="minorHAnsi" w:eastAsia="Times New Roman" w:hAnsiTheme="minorHAnsi" w:cs="Calibri"/>
                <w:b/>
                <w:bCs/>
                <w:color w:val="000000"/>
                <w:sz w:val="16"/>
                <w:szCs w:val="16"/>
                <w:lang w:val="en-GB" w:eastAsia="en-AU"/>
              </w:rPr>
              <w:t>Criteria</w:t>
            </w:r>
          </w:p>
        </w:tc>
        <w:tc>
          <w:tcPr>
            <w:tcW w:w="715" w:type="pct"/>
            <w:tcBorders>
              <w:top w:val="single" w:sz="4" w:space="0" w:color="62B5E5" w:themeColor="accent3"/>
              <w:left w:val="nil"/>
              <w:bottom w:val="single" w:sz="4" w:space="0" w:color="000000" w:themeColor="text1"/>
              <w:right w:val="nil"/>
            </w:tcBorders>
            <w:hideMark/>
          </w:tcPr>
          <w:p w14:paraId="4C20FFB8" w14:textId="77777777" w:rsidR="008C3CD8" w:rsidRDefault="008C3CD8" w:rsidP="00E01FB1">
            <w:pPr>
              <w:spacing w:after="0" w:line="240" w:lineRule="auto"/>
              <w:jc w:val="center"/>
              <w:rPr>
                <w:rFonts w:asciiTheme="minorHAnsi" w:eastAsia="Times New Roman" w:hAnsiTheme="minorHAnsi" w:cs="Calibri"/>
                <w:color w:val="000000"/>
                <w:sz w:val="16"/>
                <w:szCs w:val="16"/>
                <w:lang w:val="en-GB" w:eastAsia="en-AU"/>
              </w:rPr>
            </w:pPr>
            <w:r>
              <w:rPr>
                <w:rFonts w:eastAsia="Times New Roman" w:cs="Times New Roman"/>
                <w:b/>
                <w:bCs/>
                <w:color w:val="000000"/>
                <w:sz w:val="16"/>
                <w:szCs w:val="16"/>
                <w:lang w:val="en-GB" w:eastAsia="en-AU"/>
              </w:rPr>
              <w:t>Option 1</w:t>
            </w:r>
          </w:p>
        </w:tc>
        <w:tc>
          <w:tcPr>
            <w:tcW w:w="715" w:type="pct"/>
            <w:tcBorders>
              <w:top w:val="single" w:sz="4" w:space="0" w:color="62B5E5" w:themeColor="accent3"/>
              <w:left w:val="nil"/>
              <w:bottom w:val="single" w:sz="4" w:space="0" w:color="000000" w:themeColor="text1"/>
              <w:right w:val="nil"/>
            </w:tcBorders>
            <w:hideMark/>
          </w:tcPr>
          <w:p w14:paraId="28FF1288" w14:textId="77777777" w:rsidR="008C3CD8" w:rsidRDefault="008C3CD8" w:rsidP="00E01FB1">
            <w:pPr>
              <w:spacing w:after="0" w:line="240" w:lineRule="auto"/>
              <w:ind w:left="0"/>
              <w:jc w:val="center"/>
              <w:rPr>
                <w:rFonts w:eastAsia="Times New Roman" w:cs="Times New Roman"/>
                <w:b/>
                <w:bCs/>
                <w:color w:val="000000"/>
                <w:sz w:val="16"/>
                <w:szCs w:val="16"/>
                <w:lang w:val="en-GB" w:eastAsia="en-AU"/>
              </w:rPr>
            </w:pPr>
            <w:r>
              <w:rPr>
                <w:rFonts w:eastAsia="Times New Roman" w:cs="Times New Roman"/>
                <w:b/>
                <w:bCs/>
                <w:color w:val="000000"/>
                <w:sz w:val="16"/>
                <w:szCs w:val="16"/>
                <w:lang w:val="en-GB" w:eastAsia="en-AU"/>
              </w:rPr>
              <w:t>Option 2</w:t>
            </w:r>
          </w:p>
        </w:tc>
        <w:tc>
          <w:tcPr>
            <w:tcW w:w="714" w:type="pct"/>
            <w:tcBorders>
              <w:top w:val="single" w:sz="4" w:space="0" w:color="62B5E5" w:themeColor="accent3"/>
              <w:left w:val="nil"/>
              <w:bottom w:val="single" w:sz="4" w:space="0" w:color="000000" w:themeColor="text1"/>
              <w:right w:val="nil"/>
            </w:tcBorders>
            <w:hideMark/>
          </w:tcPr>
          <w:p w14:paraId="5C76B955" w14:textId="77777777" w:rsidR="008C3CD8" w:rsidRDefault="008C3CD8" w:rsidP="00E01FB1">
            <w:pPr>
              <w:spacing w:after="0" w:line="240" w:lineRule="auto"/>
              <w:jc w:val="center"/>
              <w:rPr>
                <w:rFonts w:eastAsia="Times New Roman" w:cs="Times New Roman"/>
                <w:b/>
                <w:bCs/>
                <w:color w:val="000000"/>
                <w:sz w:val="16"/>
                <w:szCs w:val="16"/>
                <w:lang w:val="en-GB" w:eastAsia="en-AU"/>
              </w:rPr>
            </w:pPr>
            <w:r>
              <w:rPr>
                <w:rFonts w:eastAsia="Times New Roman" w:cs="Times New Roman"/>
                <w:b/>
                <w:bCs/>
                <w:color w:val="000000"/>
                <w:sz w:val="16"/>
                <w:szCs w:val="16"/>
                <w:lang w:val="en-GB" w:eastAsia="en-AU"/>
              </w:rPr>
              <w:t>Option 3</w:t>
            </w:r>
          </w:p>
        </w:tc>
      </w:tr>
      <w:tr w:rsidR="00221122" w14:paraId="691F7D97" w14:textId="77777777" w:rsidTr="0021018F">
        <w:trPr>
          <w:trHeight w:val="253"/>
        </w:trPr>
        <w:tc>
          <w:tcPr>
            <w:tcW w:w="2856" w:type="pct"/>
            <w:gridSpan w:val="2"/>
            <w:tcBorders>
              <w:top w:val="single" w:sz="4" w:space="0" w:color="000000" w:themeColor="text1"/>
              <w:left w:val="single" w:sz="4" w:space="0" w:color="FFFFFF" w:themeColor="background1"/>
              <w:bottom w:val="single" w:sz="4" w:space="0" w:color="000000" w:themeColor="text1"/>
              <w:right w:val="nil"/>
            </w:tcBorders>
            <w:vAlign w:val="center"/>
            <w:hideMark/>
          </w:tcPr>
          <w:p w14:paraId="0048F6FC" w14:textId="77777777" w:rsidR="008C3CD8" w:rsidRDefault="008C3CD8" w:rsidP="00F249FA">
            <w:pPr>
              <w:spacing w:after="0" w:line="240" w:lineRule="auto"/>
              <w:rPr>
                <w:rFonts w:eastAsia="Times New Roman" w:cs="Times New Roman"/>
                <w:b/>
                <w:bCs/>
                <w:color w:val="000000"/>
                <w:sz w:val="16"/>
                <w:szCs w:val="16"/>
                <w:lang w:val="en-GB" w:eastAsia="en-AU"/>
              </w:rPr>
            </w:pPr>
            <w:r>
              <w:rPr>
                <w:rFonts w:eastAsia="Times New Roman" w:cs="Times New Roman"/>
                <w:b/>
                <w:bCs/>
                <w:color w:val="000000"/>
                <w:sz w:val="16"/>
                <w:szCs w:val="16"/>
                <w:lang w:val="en-GB" w:eastAsia="en-AU"/>
              </w:rPr>
              <w:t>Benefits</w:t>
            </w:r>
          </w:p>
        </w:tc>
        <w:tc>
          <w:tcPr>
            <w:tcW w:w="715" w:type="pct"/>
            <w:tcBorders>
              <w:top w:val="single" w:sz="4" w:space="0" w:color="000000" w:themeColor="text1"/>
              <w:left w:val="nil"/>
              <w:bottom w:val="single" w:sz="4" w:space="0" w:color="000000" w:themeColor="text1"/>
              <w:right w:val="nil"/>
            </w:tcBorders>
            <w:vAlign w:val="center"/>
          </w:tcPr>
          <w:p w14:paraId="1AF138FC" w14:textId="77777777" w:rsidR="008C3CD8" w:rsidRDefault="008C3CD8" w:rsidP="00F249FA">
            <w:pPr>
              <w:spacing w:after="0" w:line="240" w:lineRule="auto"/>
              <w:rPr>
                <w:rFonts w:eastAsia="Times New Roman" w:cs="Times New Roman"/>
                <w:b/>
                <w:color w:val="000000"/>
                <w:sz w:val="16"/>
                <w:szCs w:val="16"/>
                <w:lang w:val="en-GB" w:eastAsia="en-AU"/>
              </w:rPr>
            </w:pPr>
          </w:p>
        </w:tc>
        <w:tc>
          <w:tcPr>
            <w:tcW w:w="715" w:type="pct"/>
            <w:tcBorders>
              <w:top w:val="single" w:sz="4" w:space="0" w:color="000000" w:themeColor="text1"/>
              <w:left w:val="nil"/>
              <w:bottom w:val="single" w:sz="4" w:space="0" w:color="000000" w:themeColor="text1"/>
              <w:right w:val="nil"/>
            </w:tcBorders>
            <w:vAlign w:val="center"/>
          </w:tcPr>
          <w:p w14:paraId="3323E112" w14:textId="77777777" w:rsidR="008C3CD8" w:rsidRDefault="008C3CD8" w:rsidP="00F249FA">
            <w:pPr>
              <w:spacing w:after="0" w:line="240" w:lineRule="auto"/>
              <w:rPr>
                <w:rFonts w:eastAsia="Times New Roman" w:cs="Times New Roman"/>
                <w:b/>
                <w:color w:val="000000"/>
                <w:sz w:val="16"/>
                <w:szCs w:val="16"/>
                <w:lang w:val="en-GB" w:eastAsia="en-AU"/>
              </w:rPr>
            </w:pPr>
          </w:p>
        </w:tc>
        <w:tc>
          <w:tcPr>
            <w:tcW w:w="714" w:type="pct"/>
            <w:tcBorders>
              <w:top w:val="single" w:sz="4" w:space="0" w:color="000000" w:themeColor="text1"/>
              <w:left w:val="nil"/>
              <w:bottom w:val="single" w:sz="4" w:space="0" w:color="000000" w:themeColor="text1"/>
              <w:right w:val="nil"/>
            </w:tcBorders>
            <w:vAlign w:val="center"/>
          </w:tcPr>
          <w:p w14:paraId="05FA29BA" w14:textId="66059C45" w:rsidR="008C3CD8" w:rsidRDefault="008C3CD8" w:rsidP="00E01FB1">
            <w:pPr>
              <w:spacing w:after="0" w:line="240" w:lineRule="auto"/>
              <w:rPr>
                <w:rFonts w:eastAsia="Times New Roman" w:cs="Times New Roman"/>
                <w:b/>
                <w:color w:val="000000"/>
                <w:sz w:val="16"/>
                <w:szCs w:val="16"/>
                <w:lang w:val="en-GB" w:eastAsia="en-AU"/>
              </w:rPr>
            </w:pPr>
          </w:p>
        </w:tc>
      </w:tr>
      <w:tr w:rsidR="00221122" w14:paraId="06FD1CCC" w14:textId="77777777" w:rsidTr="006C29F3">
        <w:trPr>
          <w:trHeight w:val="420"/>
        </w:trPr>
        <w:tc>
          <w:tcPr>
            <w:tcW w:w="2856" w:type="pct"/>
            <w:gridSpan w:val="2"/>
            <w:tcBorders>
              <w:top w:val="single" w:sz="4" w:space="0" w:color="000000" w:themeColor="text1"/>
              <w:left w:val="single" w:sz="4" w:space="0" w:color="FFFFFF" w:themeColor="background1"/>
              <w:bottom w:val="single" w:sz="4" w:space="0" w:color="000000" w:themeColor="text1"/>
              <w:right w:val="nil"/>
            </w:tcBorders>
            <w:vAlign w:val="center"/>
          </w:tcPr>
          <w:p w14:paraId="7821EC75" w14:textId="582D1DD9" w:rsidR="008C3CD8" w:rsidRDefault="008C3CD8" w:rsidP="00E01FB1">
            <w:pPr>
              <w:spacing w:after="0" w:line="240" w:lineRule="auto"/>
              <w:rPr>
                <w:rFonts w:eastAsia="Times New Roman" w:cs="Times New Roman"/>
                <w:color w:val="000000"/>
                <w:sz w:val="16"/>
                <w:szCs w:val="16"/>
                <w:lang w:val="en-GB" w:eastAsia="en-AU"/>
              </w:rPr>
            </w:pPr>
            <w:r>
              <w:rPr>
                <w:rFonts w:eastAsia="Times New Roman" w:cs="Times New Roman"/>
                <w:color w:val="000000"/>
                <w:sz w:val="16"/>
                <w:szCs w:val="16"/>
                <w:lang w:val="en-GB" w:eastAsia="en-AU"/>
              </w:rPr>
              <w:t xml:space="preserve">Reduce </w:t>
            </w:r>
            <w:r w:rsidR="006B06DB" w:rsidRPr="006B06DB">
              <w:rPr>
                <w:rFonts w:eastAsia="Times New Roman" w:cs="Times New Roman"/>
                <w:color w:val="000000"/>
                <w:sz w:val="16"/>
                <w:szCs w:val="16"/>
                <w:lang w:val="en-GB" w:eastAsia="en-AU"/>
              </w:rPr>
              <w:t>deliberate or</w:t>
            </w:r>
            <w:r w:rsidR="00F5507B">
              <w:rPr>
                <w:rFonts w:eastAsia="Times New Roman" w:cs="Times New Roman"/>
                <w:color w:val="000000"/>
                <w:sz w:val="16"/>
                <w:szCs w:val="16"/>
                <w:lang w:val="en-GB" w:eastAsia="en-AU"/>
              </w:rPr>
              <w:t xml:space="preserve"> accidental </w:t>
            </w:r>
            <w:r w:rsidR="006B06DB" w:rsidRPr="006B06DB">
              <w:rPr>
                <w:rFonts w:eastAsia="Times New Roman" w:cs="Times New Roman"/>
                <w:color w:val="000000"/>
                <w:sz w:val="16"/>
                <w:szCs w:val="16"/>
                <w:lang w:val="en-GB" w:eastAsia="en-AU"/>
              </w:rPr>
              <w:t>weapon-related harm</w:t>
            </w:r>
            <w:r>
              <w:rPr>
                <w:rFonts w:eastAsia="Times New Roman" w:cs="Times New Roman"/>
                <w:color w:val="000000"/>
                <w:sz w:val="16"/>
                <w:szCs w:val="16"/>
                <w:lang w:val="en-GB" w:eastAsia="en-AU"/>
              </w:rPr>
              <w:t xml:space="preserve"> and </w:t>
            </w:r>
            <w:r w:rsidR="00C469D5">
              <w:rPr>
                <w:rFonts w:eastAsia="Times New Roman" w:cs="Times New Roman"/>
                <w:color w:val="000000"/>
                <w:sz w:val="16"/>
                <w:szCs w:val="16"/>
                <w:lang w:val="en-GB" w:eastAsia="en-AU"/>
              </w:rPr>
              <w:t xml:space="preserve">public distress </w:t>
            </w:r>
          </w:p>
        </w:tc>
        <w:tc>
          <w:tcPr>
            <w:tcW w:w="715" w:type="pct"/>
            <w:tcBorders>
              <w:top w:val="single" w:sz="4" w:space="0" w:color="000000" w:themeColor="text1"/>
              <w:left w:val="nil"/>
              <w:bottom w:val="single" w:sz="4" w:space="0" w:color="000000" w:themeColor="text1"/>
              <w:right w:val="nil"/>
            </w:tcBorders>
          </w:tcPr>
          <w:p w14:paraId="6F8722E9" w14:textId="670AFFA0" w:rsidR="008C3CD8" w:rsidRDefault="00D3268E"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1</w:t>
            </w:r>
          </w:p>
        </w:tc>
        <w:tc>
          <w:tcPr>
            <w:tcW w:w="715" w:type="pct"/>
            <w:tcBorders>
              <w:top w:val="single" w:sz="4" w:space="0" w:color="000000" w:themeColor="text1"/>
              <w:left w:val="nil"/>
              <w:bottom w:val="single" w:sz="4" w:space="0" w:color="000000" w:themeColor="text1"/>
              <w:right w:val="nil"/>
            </w:tcBorders>
          </w:tcPr>
          <w:p w14:paraId="2E5345AC" w14:textId="731D1A13" w:rsidR="008C3CD8" w:rsidRDefault="00A3287A"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4</w:t>
            </w:r>
          </w:p>
        </w:tc>
        <w:tc>
          <w:tcPr>
            <w:tcW w:w="714" w:type="pct"/>
            <w:tcBorders>
              <w:top w:val="single" w:sz="4" w:space="0" w:color="000000" w:themeColor="text1"/>
              <w:left w:val="nil"/>
              <w:bottom w:val="single" w:sz="4" w:space="0" w:color="000000" w:themeColor="text1"/>
              <w:right w:val="nil"/>
            </w:tcBorders>
          </w:tcPr>
          <w:p w14:paraId="4BA4A93B" w14:textId="3E7E457C" w:rsidR="008C3CD8" w:rsidRDefault="004F4E54"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8</w:t>
            </w:r>
          </w:p>
        </w:tc>
      </w:tr>
      <w:tr w:rsidR="00221122" w14:paraId="64818F43" w14:textId="77777777" w:rsidTr="0021018F">
        <w:trPr>
          <w:trHeight w:val="354"/>
        </w:trPr>
        <w:tc>
          <w:tcPr>
            <w:tcW w:w="1514" w:type="pct"/>
            <w:tcBorders>
              <w:top w:val="single" w:sz="4" w:space="0" w:color="000000" w:themeColor="text1"/>
              <w:left w:val="single" w:sz="4" w:space="0" w:color="FFFFFF" w:themeColor="background1"/>
              <w:bottom w:val="single" w:sz="4" w:space="0" w:color="000000" w:themeColor="text1"/>
              <w:right w:val="single" w:sz="4" w:space="0" w:color="FFFFFF" w:themeColor="background1"/>
            </w:tcBorders>
            <w:vAlign w:val="center"/>
            <w:hideMark/>
          </w:tcPr>
          <w:p w14:paraId="0832B72C" w14:textId="77777777" w:rsidR="008C3CD8" w:rsidRDefault="008C3CD8" w:rsidP="00F249FA">
            <w:pPr>
              <w:spacing w:after="0" w:line="240" w:lineRule="auto"/>
              <w:rPr>
                <w:rFonts w:eastAsia="Times New Roman" w:cs="Times New Roman"/>
                <w:b/>
                <w:bCs/>
                <w:color w:val="000000"/>
                <w:sz w:val="16"/>
                <w:szCs w:val="16"/>
                <w:lang w:val="en-GB" w:eastAsia="en-AU"/>
              </w:rPr>
            </w:pPr>
            <w:r>
              <w:rPr>
                <w:rFonts w:eastAsia="Times New Roman" w:cs="Times New Roman"/>
                <w:b/>
                <w:bCs/>
                <w:color w:val="000000"/>
                <w:sz w:val="16"/>
                <w:szCs w:val="16"/>
                <w:lang w:val="en-GB" w:eastAsia="en-AU"/>
              </w:rPr>
              <w:t>Costs</w:t>
            </w:r>
          </w:p>
        </w:tc>
        <w:tc>
          <w:tcPr>
            <w:tcW w:w="1341" w:type="pct"/>
            <w:tcBorders>
              <w:top w:val="single" w:sz="4" w:space="0" w:color="000000" w:themeColor="text1"/>
              <w:left w:val="single" w:sz="4" w:space="0" w:color="FFFFFF" w:themeColor="background1"/>
              <w:bottom w:val="single" w:sz="4" w:space="0" w:color="000000" w:themeColor="text1"/>
              <w:right w:val="single" w:sz="4" w:space="0" w:color="FFFFFF" w:themeColor="background1"/>
            </w:tcBorders>
            <w:vAlign w:val="center"/>
          </w:tcPr>
          <w:p w14:paraId="146529B8" w14:textId="77777777" w:rsidR="008C3CD8" w:rsidRDefault="008C3CD8" w:rsidP="00F249FA">
            <w:pPr>
              <w:spacing w:after="0" w:line="240" w:lineRule="auto"/>
              <w:rPr>
                <w:rFonts w:eastAsia="Times New Roman" w:cs="Times New Roman"/>
                <w:b/>
                <w:color w:val="000000"/>
                <w:sz w:val="16"/>
                <w:szCs w:val="16"/>
                <w:lang w:val="en-GB" w:eastAsia="en-AU"/>
              </w:rPr>
            </w:pPr>
          </w:p>
        </w:tc>
        <w:tc>
          <w:tcPr>
            <w:tcW w:w="715" w:type="pct"/>
            <w:tcBorders>
              <w:top w:val="single" w:sz="4" w:space="0" w:color="000000" w:themeColor="text1"/>
              <w:left w:val="single" w:sz="4" w:space="0" w:color="FFFFFF" w:themeColor="background1"/>
              <w:bottom w:val="single" w:sz="4" w:space="0" w:color="000000" w:themeColor="text1"/>
              <w:right w:val="single" w:sz="4" w:space="0" w:color="FFFFFF" w:themeColor="background1"/>
            </w:tcBorders>
            <w:vAlign w:val="center"/>
          </w:tcPr>
          <w:p w14:paraId="6FDEF57E" w14:textId="77777777" w:rsidR="00D3268E" w:rsidRDefault="00D3268E" w:rsidP="00E271C7">
            <w:pPr>
              <w:spacing w:after="0" w:line="240" w:lineRule="auto"/>
              <w:rPr>
                <w:rFonts w:eastAsia="Times New Roman" w:cs="Times New Roman"/>
                <w:b/>
                <w:color w:val="000000"/>
                <w:sz w:val="16"/>
                <w:szCs w:val="16"/>
                <w:lang w:val="en-GB" w:eastAsia="en-AU"/>
              </w:rPr>
            </w:pPr>
          </w:p>
        </w:tc>
        <w:tc>
          <w:tcPr>
            <w:tcW w:w="715" w:type="pct"/>
            <w:tcBorders>
              <w:top w:val="single" w:sz="4" w:space="0" w:color="000000" w:themeColor="text1"/>
              <w:left w:val="single" w:sz="4" w:space="0" w:color="FFFFFF" w:themeColor="background1"/>
              <w:bottom w:val="single" w:sz="4" w:space="0" w:color="000000" w:themeColor="text1"/>
              <w:right w:val="nil"/>
            </w:tcBorders>
            <w:vAlign w:val="center"/>
          </w:tcPr>
          <w:p w14:paraId="577CDAA8" w14:textId="77777777" w:rsidR="00D3268E" w:rsidRDefault="00D3268E" w:rsidP="00E271C7">
            <w:pPr>
              <w:spacing w:after="0" w:line="240" w:lineRule="auto"/>
              <w:rPr>
                <w:rFonts w:eastAsia="Times New Roman" w:cs="Times New Roman"/>
                <w:b/>
                <w:color w:val="000000"/>
                <w:sz w:val="16"/>
                <w:szCs w:val="16"/>
                <w:lang w:val="en-GB" w:eastAsia="en-AU"/>
              </w:rPr>
            </w:pPr>
          </w:p>
        </w:tc>
        <w:tc>
          <w:tcPr>
            <w:tcW w:w="714" w:type="pct"/>
            <w:tcBorders>
              <w:top w:val="single" w:sz="4" w:space="0" w:color="000000" w:themeColor="text1"/>
              <w:left w:val="nil"/>
              <w:bottom w:val="single" w:sz="4" w:space="0" w:color="000000" w:themeColor="text1"/>
              <w:right w:val="nil"/>
            </w:tcBorders>
            <w:vAlign w:val="center"/>
          </w:tcPr>
          <w:p w14:paraId="3E73333D" w14:textId="36AF8FF7" w:rsidR="008C3CD8" w:rsidRDefault="008C3CD8" w:rsidP="00E01FB1">
            <w:pPr>
              <w:spacing w:after="0" w:line="240" w:lineRule="auto"/>
              <w:rPr>
                <w:rFonts w:eastAsia="Times New Roman" w:cs="Times New Roman"/>
                <w:b/>
                <w:color w:val="000000"/>
                <w:sz w:val="16"/>
                <w:szCs w:val="16"/>
                <w:lang w:val="en-GB" w:eastAsia="en-AU"/>
              </w:rPr>
            </w:pPr>
          </w:p>
        </w:tc>
      </w:tr>
      <w:tr w:rsidR="00221122" w14:paraId="2FA3DA7C" w14:textId="77777777" w:rsidTr="0021018F">
        <w:trPr>
          <w:trHeight w:val="354"/>
        </w:trPr>
        <w:tc>
          <w:tcPr>
            <w:tcW w:w="2856" w:type="pct"/>
            <w:gridSpan w:val="2"/>
            <w:tcBorders>
              <w:top w:val="single" w:sz="4" w:space="0" w:color="000000" w:themeColor="text1"/>
              <w:left w:val="single" w:sz="4" w:space="0" w:color="FFFFFF" w:themeColor="background1"/>
              <w:bottom w:val="single" w:sz="4" w:space="0" w:color="000000" w:themeColor="text1"/>
              <w:right w:val="nil"/>
            </w:tcBorders>
            <w:vAlign w:val="center"/>
            <w:hideMark/>
          </w:tcPr>
          <w:p w14:paraId="5961F0F4" w14:textId="02B3C2C1" w:rsidR="008C3CD8" w:rsidRDefault="008C3CD8" w:rsidP="00E01FB1">
            <w:pPr>
              <w:spacing w:after="0" w:line="240" w:lineRule="auto"/>
              <w:rPr>
                <w:rFonts w:eastAsia="Times New Roman" w:cs="Times New Roman"/>
                <w:color w:val="000000"/>
                <w:sz w:val="16"/>
                <w:szCs w:val="16"/>
                <w:lang w:val="en-GB" w:eastAsia="en-AU"/>
              </w:rPr>
            </w:pPr>
            <w:r>
              <w:rPr>
                <w:rFonts w:eastAsia="Times New Roman" w:cs="Times New Roman"/>
                <w:color w:val="000000"/>
                <w:sz w:val="16"/>
                <w:szCs w:val="16"/>
                <w:lang w:val="en-GB" w:eastAsia="en-AU"/>
              </w:rPr>
              <w:t>Cost</w:t>
            </w:r>
            <w:r w:rsidR="00B251A5">
              <w:rPr>
                <w:rFonts w:eastAsia="Times New Roman" w:cs="Times New Roman"/>
                <w:color w:val="000000"/>
                <w:sz w:val="16"/>
                <w:szCs w:val="16"/>
                <w:lang w:val="en-GB" w:eastAsia="en-AU"/>
              </w:rPr>
              <w:t>s</w:t>
            </w:r>
            <w:r>
              <w:rPr>
                <w:rFonts w:eastAsia="Times New Roman" w:cs="Times New Roman"/>
                <w:color w:val="000000"/>
                <w:sz w:val="16"/>
                <w:szCs w:val="16"/>
                <w:lang w:val="en-GB" w:eastAsia="en-AU"/>
              </w:rPr>
              <w:t xml:space="preserve"> </w:t>
            </w:r>
            <w:r w:rsidR="00B251A5">
              <w:rPr>
                <w:rFonts w:eastAsia="Times New Roman" w:cs="Times New Roman"/>
                <w:color w:val="000000"/>
                <w:sz w:val="16"/>
                <w:szCs w:val="16"/>
                <w:lang w:val="en-GB" w:eastAsia="en-AU"/>
              </w:rPr>
              <w:t>to government in</w:t>
            </w:r>
            <w:r>
              <w:rPr>
                <w:rFonts w:eastAsia="Times New Roman" w:cs="Times New Roman"/>
                <w:color w:val="000000"/>
                <w:sz w:val="16"/>
                <w:szCs w:val="16"/>
                <w:lang w:val="en-GB" w:eastAsia="en-AU"/>
              </w:rPr>
              <w:t xml:space="preserve"> enforcement and</w:t>
            </w:r>
            <w:r w:rsidR="00B251A5">
              <w:rPr>
                <w:rFonts w:eastAsia="Times New Roman" w:cs="Times New Roman"/>
                <w:color w:val="000000"/>
                <w:sz w:val="16"/>
                <w:szCs w:val="16"/>
                <w:lang w:val="en-GB" w:eastAsia="en-AU"/>
              </w:rPr>
              <w:t xml:space="preserve"> industry in</w:t>
            </w:r>
            <w:r>
              <w:rPr>
                <w:rFonts w:eastAsia="Times New Roman" w:cs="Times New Roman"/>
                <w:color w:val="000000"/>
                <w:sz w:val="16"/>
                <w:szCs w:val="16"/>
                <w:lang w:val="en-GB" w:eastAsia="en-AU"/>
              </w:rPr>
              <w:t xml:space="preserve"> compliance</w:t>
            </w:r>
          </w:p>
        </w:tc>
        <w:tc>
          <w:tcPr>
            <w:tcW w:w="715" w:type="pct"/>
            <w:tcBorders>
              <w:top w:val="single" w:sz="4" w:space="0" w:color="000000" w:themeColor="text1"/>
              <w:left w:val="nil"/>
              <w:bottom w:val="single" w:sz="4" w:space="0" w:color="000000" w:themeColor="text1"/>
              <w:right w:val="nil"/>
            </w:tcBorders>
          </w:tcPr>
          <w:p w14:paraId="5F73C061" w14:textId="2FA743C0" w:rsidR="008C3CD8" w:rsidRDefault="0047791B"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w:t>
            </w:r>
            <w:r w:rsidR="00271451">
              <w:rPr>
                <w:rFonts w:eastAsia="Times New Roman" w:cs="Times New Roman"/>
                <w:color w:val="000000"/>
                <w:sz w:val="16"/>
                <w:szCs w:val="16"/>
                <w:lang w:val="en-GB" w:eastAsia="en-AU"/>
              </w:rPr>
              <w:t>1</w:t>
            </w:r>
          </w:p>
        </w:tc>
        <w:tc>
          <w:tcPr>
            <w:tcW w:w="715" w:type="pct"/>
            <w:tcBorders>
              <w:top w:val="single" w:sz="4" w:space="0" w:color="000000" w:themeColor="text1"/>
              <w:left w:val="nil"/>
              <w:bottom w:val="single" w:sz="4" w:space="0" w:color="000000" w:themeColor="text1"/>
              <w:right w:val="nil"/>
            </w:tcBorders>
          </w:tcPr>
          <w:p w14:paraId="76A8253F" w14:textId="7BC1BC1D" w:rsidR="008C3CD8" w:rsidRDefault="0047791B"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-4</w:t>
            </w:r>
          </w:p>
        </w:tc>
        <w:tc>
          <w:tcPr>
            <w:tcW w:w="714" w:type="pct"/>
            <w:tcBorders>
              <w:top w:val="single" w:sz="4" w:space="0" w:color="000000" w:themeColor="text1"/>
              <w:left w:val="nil"/>
              <w:bottom w:val="single" w:sz="4" w:space="0" w:color="000000" w:themeColor="text1"/>
              <w:right w:val="nil"/>
            </w:tcBorders>
          </w:tcPr>
          <w:p w14:paraId="2BA9E430" w14:textId="2FCBDD1C" w:rsidR="008C3CD8" w:rsidRDefault="0047791B"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w:t>
            </w:r>
            <w:r w:rsidR="00D3268E">
              <w:rPr>
                <w:rFonts w:eastAsia="Times New Roman" w:cs="Times New Roman"/>
                <w:color w:val="000000"/>
                <w:sz w:val="16"/>
                <w:szCs w:val="16"/>
                <w:lang w:val="en-GB" w:eastAsia="en-AU"/>
              </w:rPr>
              <w:t>5</w:t>
            </w:r>
          </w:p>
        </w:tc>
      </w:tr>
      <w:tr w:rsidR="00221122" w14:paraId="46F07C4C" w14:textId="77777777" w:rsidTr="0021018F">
        <w:trPr>
          <w:trHeight w:val="354"/>
        </w:trPr>
        <w:tc>
          <w:tcPr>
            <w:tcW w:w="2856" w:type="pct"/>
            <w:gridSpan w:val="2"/>
            <w:tcBorders>
              <w:top w:val="single" w:sz="4" w:space="0" w:color="000000" w:themeColor="text1"/>
              <w:left w:val="single" w:sz="4" w:space="0" w:color="FFFFFF" w:themeColor="background1"/>
              <w:bottom w:val="single" w:sz="4" w:space="0" w:color="000000" w:themeColor="text1"/>
              <w:right w:val="nil"/>
            </w:tcBorders>
            <w:vAlign w:val="center"/>
          </w:tcPr>
          <w:p w14:paraId="3C0180BE" w14:textId="20F0E478" w:rsidR="008C3CD8" w:rsidRDefault="008C3CD8" w:rsidP="00E01FB1">
            <w:pPr>
              <w:spacing w:after="0" w:line="240" w:lineRule="auto"/>
              <w:rPr>
                <w:rFonts w:eastAsia="Times New Roman" w:cs="Times New Roman"/>
                <w:color w:val="000000"/>
                <w:sz w:val="16"/>
                <w:szCs w:val="16"/>
                <w:lang w:val="en-GB" w:eastAsia="en-AU"/>
              </w:rPr>
            </w:pPr>
            <w:r>
              <w:rPr>
                <w:rFonts w:eastAsia="Times New Roman" w:cs="Times New Roman"/>
                <w:color w:val="000000"/>
                <w:sz w:val="16"/>
                <w:szCs w:val="16"/>
                <w:lang w:val="en-GB" w:eastAsia="en-AU"/>
              </w:rPr>
              <w:t>Discouragement of legitimate use</w:t>
            </w:r>
          </w:p>
        </w:tc>
        <w:tc>
          <w:tcPr>
            <w:tcW w:w="715" w:type="pct"/>
            <w:tcBorders>
              <w:top w:val="single" w:sz="4" w:space="0" w:color="000000" w:themeColor="text1"/>
              <w:left w:val="nil"/>
              <w:bottom w:val="single" w:sz="4" w:space="0" w:color="000000" w:themeColor="text1"/>
              <w:right w:val="nil"/>
            </w:tcBorders>
          </w:tcPr>
          <w:p w14:paraId="53410302" w14:textId="004DF0A3" w:rsidR="008C3CD8" w:rsidRDefault="00D3268E"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0</w:t>
            </w:r>
          </w:p>
        </w:tc>
        <w:tc>
          <w:tcPr>
            <w:tcW w:w="715" w:type="pct"/>
            <w:tcBorders>
              <w:top w:val="single" w:sz="4" w:space="0" w:color="000000" w:themeColor="text1"/>
              <w:left w:val="nil"/>
              <w:bottom w:val="single" w:sz="4" w:space="0" w:color="000000" w:themeColor="text1"/>
              <w:right w:val="nil"/>
            </w:tcBorders>
          </w:tcPr>
          <w:p w14:paraId="001D510D" w14:textId="0B590883" w:rsidR="008C3CD8" w:rsidRDefault="0047791B"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w:t>
            </w:r>
            <w:r w:rsidR="00271451">
              <w:rPr>
                <w:rFonts w:eastAsia="Times New Roman" w:cs="Times New Roman"/>
                <w:color w:val="000000"/>
                <w:sz w:val="16"/>
                <w:szCs w:val="16"/>
                <w:lang w:val="en-GB" w:eastAsia="en-AU"/>
              </w:rPr>
              <w:t>2</w:t>
            </w:r>
          </w:p>
        </w:tc>
        <w:tc>
          <w:tcPr>
            <w:tcW w:w="714" w:type="pct"/>
            <w:tcBorders>
              <w:top w:val="single" w:sz="4" w:space="0" w:color="000000" w:themeColor="text1"/>
              <w:left w:val="nil"/>
              <w:bottom w:val="single" w:sz="4" w:space="0" w:color="000000" w:themeColor="text1"/>
              <w:right w:val="nil"/>
            </w:tcBorders>
          </w:tcPr>
          <w:p w14:paraId="7FBB13B8" w14:textId="2B1E7137" w:rsidR="008C3CD8" w:rsidRDefault="00D3268E" w:rsidP="00E01FB1">
            <w:pPr>
              <w:spacing w:after="0" w:line="240" w:lineRule="auto"/>
              <w:jc w:val="center"/>
              <w:rPr>
                <w:rFonts w:eastAsia="Times New Roman" w:cs="Times New Roman"/>
                <w:color w:val="000000"/>
                <w:sz w:val="16"/>
                <w:szCs w:val="16"/>
                <w:lang w:val="en-GB" w:eastAsia="en-AU"/>
              </w:rPr>
            </w:pPr>
            <w:r>
              <w:rPr>
                <w:rFonts w:eastAsia="Times New Roman" w:cs="Times New Roman"/>
                <w:color w:val="000000"/>
                <w:sz w:val="16"/>
                <w:szCs w:val="16"/>
                <w:lang w:val="en-GB" w:eastAsia="en-AU"/>
              </w:rPr>
              <w:t>-4</w:t>
            </w:r>
          </w:p>
        </w:tc>
      </w:tr>
      <w:tr w:rsidR="00221122" w14:paraId="763BA911" w14:textId="77777777" w:rsidTr="0021018F">
        <w:trPr>
          <w:trHeight w:val="354"/>
        </w:trPr>
        <w:tc>
          <w:tcPr>
            <w:tcW w:w="2856" w:type="pct"/>
            <w:gridSpan w:val="2"/>
            <w:tcBorders>
              <w:top w:val="single" w:sz="4" w:space="0" w:color="000000" w:themeColor="text1"/>
              <w:left w:val="single" w:sz="4" w:space="0" w:color="FFFFFF" w:themeColor="background1"/>
              <w:bottom w:val="single" w:sz="4" w:space="0" w:color="000000" w:themeColor="text1"/>
              <w:right w:val="nil"/>
            </w:tcBorders>
            <w:vAlign w:val="center"/>
            <w:hideMark/>
          </w:tcPr>
          <w:p w14:paraId="12DD3A9E" w14:textId="77777777" w:rsidR="008C3CD8" w:rsidRDefault="008C3CD8" w:rsidP="00E01FB1">
            <w:pPr>
              <w:spacing w:after="0" w:line="240" w:lineRule="auto"/>
              <w:rPr>
                <w:rFonts w:eastAsia="Times New Roman" w:cs="Times New Roman"/>
                <w:b/>
                <w:bCs/>
                <w:color w:val="000000"/>
                <w:sz w:val="16"/>
                <w:szCs w:val="16"/>
                <w:lang w:val="en-GB" w:eastAsia="en-AU"/>
              </w:rPr>
            </w:pPr>
            <w:r>
              <w:rPr>
                <w:rFonts w:eastAsia="Times New Roman" w:cs="Times New Roman"/>
                <w:b/>
                <w:bCs/>
                <w:color w:val="000000"/>
                <w:sz w:val="16"/>
                <w:szCs w:val="16"/>
                <w:lang w:val="en-GB" w:eastAsia="en-AU"/>
              </w:rPr>
              <w:t>Weighted score</w:t>
            </w:r>
          </w:p>
        </w:tc>
        <w:tc>
          <w:tcPr>
            <w:tcW w:w="715" w:type="pct"/>
            <w:tcBorders>
              <w:top w:val="single" w:sz="4" w:space="0" w:color="000000" w:themeColor="text1"/>
              <w:left w:val="nil"/>
              <w:bottom w:val="single" w:sz="4" w:space="0" w:color="000000" w:themeColor="text1"/>
              <w:right w:val="nil"/>
            </w:tcBorders>
            <w:vAlign w:val="center"/>
          </w:tcPr>
          <w:p w14:paraId="462438D1" w14:textId="4BB6B34F" w:rsidR="008C3CD8" w:rsidRDefault="00D3268E" w:rsidP="00E01FB1">
            <w:pPr>
              <w:spacing w:after="0" w:line="240" w:lineRule="auto"/>
              <w:jc w:val="center"/>
              <w:rPr>
                <w:rFonts w:eastAsia="Times New Roman" w:cs="Times New Roman"/>
                <w:b/>
                <w:color w:val="000000"/>
                <w:sz w:val="16"/>
                <w:szCs w:val="16"/>
                <w:lang w:val="en-GB" w:eastAsia="en-AU"/>
              </w:rPr>
            </w:pPr>
            <w:r>
              <w:rPr>
                <w:rFonts w:eastAsia="Times New Roman" w:cs="Times New Roman"/>
                <w:b/>
                <w:color w:val="000000"/>
                <w:sz w:val="16"/>
                <w:szCs w:val="16"/>
                <w:lang w:val="en-GB" w:eastAsia="en-AU"/>
              </w:rPr>
              <w:t>0.</w:t>
            </w:r>
            <w:r w:rsidR="00E16D27">
              <w:rPr>
                <w:rFonts w:eastAsia="Times New Roman" w:cs="Times New Roman"/>
                <w:b/>
                <w:color w:val="000000"/>
                <w:sz w:val="16"/>
                <w:szCs w:val="16"/>
                <w:lang w:val="en-GB" w:eastAsia="en-AU"/>
              </w:rPr>
              <w:t>1</w:t>
            </w:r>
          </w:p>
        </w:tc>
        <w:tc>
          <w:tcPr>
            <w:tcW w:w="715" w:type="pct"/>
            <w:tcBorders>
              <w:top w:val="single" w:sz="4" w:space="0" w:color="000000" w:themeColor="text1"/>
              <w:left w:val="nil"/>
              <w:bottom w:val="single" w:sz="4" w:space="0" w:color="000000" w:themeColor="text1"/>
              <w:right w:val="nil"/>
            </w:tcBorders>
            <w:vAlign w:val="center"/>
          </w:tcPr>
          <w:p w14:paraId="76A47AB2" w14:textId="5E15032E" w:rsidR="008C3CD8" w:rsidRDefault="008D2FEF" w:rsidP="00E01FB1">
            <w:pPr>
              <w:spacing w:after="0" w:line="240" w:lineRule="auto"/>
              <w:jc w:val="center"/>
              <w:rPr>
                <w:rFonts w:eastAsia="Times New Roman" w:cs="Times New Roman"/>
                <w:b/>
                <w:color w:val="000000"/>
                <w:sz w:val="16"/>
                <w:szCs w:val="16"/>
                <w:lang w:val="en-GB" w:eastAsia="en-AU"/>
              </w:rPr>
            </w:pPr>
            <w:r>
              <w:rPr>
                <w:rFonts w:eastAsia="Times New Roman" w:cs="Times New Roman"/>
                <w:b/>
                <w:color w:val="000000"/>
                <w:sz w:val="16"/>
                <w:szCs w:val="16"/>
                <w:lang w:val="en-GB" w:eastAsia="en-AU"/>
              </w:rPr>
              <w:t>0.2</w:t>
            </w:r>
          </w:p>
        </w:tc>
        <w:tc>
          <w:tcPr>
            <w:tcW w:w="714" w:type="pct"/>
            <w:tcBorders>
              <w:top w:val="single" w:sz="4" w:space="0" w:color="000000" w:themeColor="text1"/>
              <w:left w:val="nil"/>
              <w:bottom w:val="single" w:sz="4" w:space="0" w:color="000000" w:themeColor="text1"/>
              <w:right w:val="nil"/>
            </w:tcBorders>
            <w:vAlign w:val="center"/>
          </w:tcPr>
          <w:p w14:paraId="1F03F787" w14:textId="2C3FE9FB" w:rsidR="008C3CD8" w:rsidRDefault="008D2FEF" w:rsidP="00E01FB1">
            <w:pPr>
              <w:spacing w:after="0" w:line="240" w:lineRule="auto"/>
              <w:jc w:val="center"/>
              <w:rPr>
                <w:rFonts w:eastAsia="Times New Roman" w:cs="Times New Roman"/>
                <w:b/>
                <w:color w:val="000000"/>
                <w:sz w:val="16"/>
                <w:szCs w:val="16"/>
                <w:lang w:val="en-GB" w:eastAsia="en-AU"/>
              </w:rPr>
            </w:pPr>
            <w:r>
              <w:rPr>
                <w:rFonts w:eastAsia="Times New Roman" w:cs="Times New Roman"/>
                <w:b/>
                <w:color w:val="000000"/>
                <w:sz w:val="16"/>
                <w:szCs w:val="16"/>
                <w:lang w:val="en-GB" w:eastAsia="en-AU"/>
              </w:rPr>
              <w:t>1</w:t>
            </w:r>
            <w:r w:rsidR="00E16D27">
              <w:rPr>
                <w:rFonts w:eastAsia="Times New Roman" w:cs="Times New Roman"/>
                <w:b/>
                <w:color w:val="000000"/>
                <w:sz w:val="16"/>
                <w:szCs w:val="16"/>
                <w:lang w:val="en-GB" w:eastAsia="en-AU"/>
              </w:rPr>
              <w:t>.6</w:t>
            </w:r>
          </w:p>
        </w:tc>
      </w:tr>
    </w:tbl>
    <w:p w14:paraId="34685BF5" w14:textId="77777777" w:rsidR="00102EF5" w:rsidRDefault="00102EF5" w:rsidP="00102EF5">
      <w:pPr>
        <w:pStyle w:val="Heading2"/>
      </w:pPr>
      <w:bookmarkStart w:id="59" w:name="_Toc79397211"/>
      <w:r>
        <w:t>Analysis of options</w:t>
      </w:r>
      <w:bookmarkEnd w:id="59"/>
    </w:p>
    <w:p w14:paraId="229C91FC" w14:textId="77777777" w:rsidR="00102EF5" w:rsidRPr="00565B31" w:rsidRDefault="00102EF5" w:rsidP="00102EF5">
      <w:pPr>
        <w:pStyle w:val="Heading3"/>
      </w:pPr>
      <w:r>
        <w:t>Analysis of benefits</w:t>
      </w:r>
    </w:p>
    <w:p w14:paraId="3ABC319B" w14:textId="53922EFC" w:rsidR="00C469D5" w:rsidRDefault="00C469D5" w:rsidP="00102EF5">
      <w:pPr>
        <w:pStyle w:val="Heading4"/>
      </w:pPr>
      <w:r w:rsidRPr="00C469D5">
        <w:t xml:space="preserve">Reduce deliberate or accidental weapon-related harm and public distress </w:t>
      </w:r>
    </w:p>
    <w:p w14:paraId="6E15FFB1" w14:textId="376CEAB9" w:rsidR="00102EF5" w:rsidRDefault="00102EF5" w:rsidP="00102EF5">
      <w:r>
        <w:t xml:space="preserve">Relative to the </w:t>
      </w:r>
      <w:r w:rsidR="00FD6256">
        <w:t>B</w:t>
      </w:r>
      <w:r>
        <w:t xml:space="preserve">ase </w:t>
      </w:r>
      <w:r w:rsidR="00FD6256">
        <w:t>C</w:t>
      </w:r>
      <w:r>
        <w:t xml:space="preserve">ase, </w:t>
      </w:r>
      <w:r w:rsidR="00672FCE" w:rsidRPr="005200DE">
        <w:rPr>
          <w:b/>
        </w:rPr>
        <w:t>negative licensing under Option 1</w:t>
      </w:r>
      <w:r w:rsidR="00672FCE">
        <w:t xml:space="preserve"> would provide </w:t>
      </w:r>
      <w:r>
        <w:t xml:space="preserve">some incentive not to misuse a weapon as a negative licence can be issued. However, this is a likely </w:t>
      </w:r>
      <w:r w:rsidR="00594691">
        <w:t>to be</w:t>
      </w:r>
      <w:r>
        <w:t xml:space="preserve"> a relatively small disincentive </w:t>
      </w:r>
      <w:r w:rsidR="00594691">
        <w:t xml:space="preserve">for </w:t>
      </w:r>
      <w:r>
        <w:t>those who wish to cause harm</w:t>
      </w:r>
      <w:r w:rsidR="007B2C33">
        <w:t>, and poses no upfront barrier to individua</w:t>
      </w:r>
      <w:r w:rsidR="00A92398">
        <w:t>ls acquiring</w:t>
      </w:r>
      <w:r w:rsidR="007B2C33">
        <w:t xml:space="preserve"> weapons and deliberately or accidentally causing harm or public distress.</w:t>
      </w:r>
      <w:r w:rsidR="00594691">
        <w:t xml:space="preserve"> </w:t>
      </w:r>
      <w:r>
        <w:t xml:space="preserve">Option </w:t>
      </w:r>
      <w:r w:rsidR="007B0084">
        <w:t>1</w:t>
      </w:r>
      <w:r>
        <w:t xml:space="preserve"> thus receives a relatively low score of 1 in </w:t>
      </w:r>
      <w:r w:rsidR="00EC350A">
        <w:t>terms of</w:t>
      </w:r>
      <w:r w:rsidR="00BD7F1F">
        <w:t xml:space="preserve"> </w:t>
      </w:r>
      <w:r w:rsidR="00EC350A">
        <w:t xml:space="preserve">benefits, reflecting that it would be marginally better than the </w:t>
      </w:r>
      <w:r w:rsidR="00B008C7">
        <w:t>B</w:t>
      </w:r>
      <w:r w:rsidR="00EC350A">
        <w:t xml:space="preserve">ase </w:t>
      </w:r>
      <w:r w:rsidR="00B008C7">
        <w:t>C</w:t>
      </w:r>
      <w:r w:rsidR="00EC350A">
        <w:t>ase but not as effective as Options 2 or 3</w:t>
      </w:r>
      <w:r>
        <w:t xml:space="preserve">. </w:t>
      </w:r>
    </w:p>
    <w:p w14:paraId="7713952F" w14:textId="77777777" w:rsidR="001225A9" w:rsidRDefault="00A01BFC" w:rsidP="004768C3">
      <w:r w:rsidRPr="005200DE">
        <w:rPr>
          <w:b/>
        </w:rPr>
        <w:t>A</w:t>
      </w:r>
      <w:r w:rsidR="00794A71">
        <w:rPr>
          <w:b/>
        </w:rPr>
        <w:t xml:space="preserve">n industry-led code of conduct with government enforcement (Option </w:t>
      </w:r>
      <w:r w:rsidR="00102EF5" w:rsidRPr="005200DE">
        <w:rPr>
          <w:b/>
        </w:rPr>
        <w:t>2</w:t>
      </w:r>
      <w:r w:rsidR="00794A71">
        <w:rPr>
          <w:b/>
        </w:rPr>
        <w:t>)</w:t>
      </w:r>
      <w:r w:rsidR="00102EF5">
        <w:t xml:space="preserve"> would entail </w:t>
      </w:r>
      <w:r w:rsidR="00BD33AD">
        <w:t>greater</w:t>
      </w:r>
      <w:r w:rsidR="00102EF5">
        <w:t xml:space="preserve"> restriction on access to dangerous weapons than Option </w:t>
      </w:r>
      <w:r w:rsidR="007B0084">
        <w:t>1</w:t>
      </w:r>
      <w:r w:rsidR="00102EF5">
        <w:t xml:space="preserve">.  This is because </w:t>
      </w:r>
      <w:r>
        <w:t xml:space="preserve">under Option 2, businesses and organisations with a </w:t>
      </w:r>
      <w:r w:rsidR="00DC3020">
        <w:t xml:space="preserve">comprehensive </w:t>
      </w:r>
      <w:r>
        <w:t xml:space="preserve">understanding of some of the risks posed by weapons could design an industry-led </w:t>
      </w:r>
      <w:r w:rsidR="00E16532">
        <w:t>set of weapons and corresponding controls</w:t>
      </w:r>
      <w:r w:rsidR="00EC5E6C">
        <w:t xml:space="preserve">, which would then be enforced by Government. </w:t>
      </w:r>
      <w:r w:rsidR="00CF4330">
        <w:t xml:space="preserve">Such a code would likely be an effective tool in managing risks for those businesses and organisations </w:t>
      </w:r>
      <w:r w:rsidR="00522A3C">
        <w:t>able to design and administer such a voluntary code</w:t>
      </w:r>
      <w:r w:rsidR="001E11A2">
        <w:t xml:space="preserve">, which would reduce and more safely manage access to weapons </w:t>
      </w:r>
      <w:r w:rsidR="00923EBE">
        <w:t xml:space="preserve">by their customers or members than a negative licensing regime. </w:t>
      </w:r>
    </w:p>
    <w:p w14:paraId="0B859334" w14:textId="4FB53DE0" w:rsidR="00DC3020" w:rsidRDefault="00923EBE" w:rsidP="004768C3">
      <w:r>
        <w:t>This approach, however, would not be likely to provide the same benefits in cases where individuals sought access to weapons outside of those businesses or organisation</w:t>
      </w:r>
      <w:r w:rsidR="000011EC">
        <w:t>s</w:t>
      </w:r>
      <w:r>
        <w:t xml:space="preserve">. </w:t>
      </w:r>
      <w:r w:rsidR="00DC3020">
        <w:t xml:space="preserve">Stakeholder consultation also suggested that while some sophisticated and established businesses and organisations might be well placed to develop a code relevant to weapons used by their customers or members, there was less capacity for </w:t>
      </w:r>
      <w:r w:rsidR="00B2792A">
        <w:t>smaller</w:t>
      </w:r>
      <w:r w:rsidR="00DC3020">
        <w:t xml:space="preserve"> groups to develop a code that applied to weapons across their different business and recreational interests.</w:t>
      </w:r>
    </w:p>
    <w:p w14:paraId="39B47E98" w14:textId="5B839083" w:rsidR="001225A9" w:rsidRDefault="001225A9" w:rsidP="004768C3">
      <w:r>
        <w:t>This would likely add a layer of complexity to the enforcement of these arrangements compared with a government led regulatory approach. This is because Victoria Police would have to juggle multiple codes of conduct, likely with differing caveats and exceptions, as opposed to one united regulatory framework applicable across all stakeholders.</w:t>
      </w:r>
    </w:p>
    <w:p w14:paraId="5CFF254E" w14:textId="5C3F12AD" w:rsidR="00102EF5" w:rsidRDefault="00923EBE" w:rsidP="004768C3">
      <w:r>
        <w:t xml:space="preserve">Option 2 therefore receives a score of </w:t>
      </w:r>
      <w:r w:rsidR="000D7BB4">
        <w:t>4</w:t>
      </w:r>
      <w:r>
        <w:t xml:space="preserve"> reflecting that it would be more effective than a negative licensing scheme, </w:t>
      </w:r>
      <w:r w:rsidR="0003300A">
        <w:t xml:space="preserve">but </w:t>
      </w:r>
      <w:r w:rsidR="00940D12">
        <w:t>not as effective as Option 3.</w:t>
      </w:r>
      <w:r w:rsidR="00102EF5">
        <w:t xml:space="preserve"> </w:t>
      </w:r>
    </w:p>
    <w:p w14:paraId="2B6F9944" w14:textId="424A1B05" w:rsidR="008A4DF2" w:rsidRDefault="00940D12" w:rsidP="008A4DF2">
      <w:r w:rsidRPr="005200DE">
        <w:rPr>
          <w:b/>
        </w:rPr>
        <w:t xml:space="preserve">A regulatory approach under </w:t>
      </w:r>
      <w:r w:rsidR="00102EF5" w:rsidRPr="005200DE">
        <w:rPr>
          <w:b/>
        </w:rPr>
        <w:t xml:space="preserve">Option </w:t>
      </w:r>
      <w:r w:rsidR="007B0084" w:rsidRPr="005200DE">
        <w:rPr>
          <w:b/>
        </w:rPr>
        <w:t>3</w:t>
      </w:r>
      <w:r w:rsidR="00102EF5">
        <w:t xml:space="preserve"> </w:t>
      </w:r>
      <w:r w:rsidR="000D38F5">
        <w:t>provides</w:t>
      </w:r>
      <w:r w:rsidR="00102EF5">
        <w:t xml:space="preserve"> the greatest </w:t>
      </w:r>
      <w:r w:rsidR="00BC6BBB">
        <w:t xml:space="preserve">reduction </w:t>
      </w:r>
      <w:r w:rsidR="005659F7">
        <w:t xml:space="preserve">of deliberate and accidental harm caused by weapons </w:t>
      </w:r>
      <w:r w:rsidR="00F11829">
        <w:t xml:space="preserve">as well as </w:t>
      </w:r>
      <w:r w:rsidR="00FD1E8F">
        <w:t>promotion of a sense of public safety</w:t>
      </w:r>
      <w:r w:rsidR="000D38F5">
        <w:t xml:space="preserve"> because it is able to incorporate the benefits of the </w:t>
      </w:r>
      <w:r w:rsidR="00205AE3">
        <w:t>industry-led code in Option 2</w:t>
      </w:r>
      <w:r w:rsidR="000D38F5">
        <w:t>, while also reducing risks among weapons users outside of sophisticated stakeholder organisations.</w:t>
      </w:r>
      <w:r w:rsidR="00C615B1">
        <w:t xml:space="preserve"> The benefits of Option 3 are also greater than Option 2 because </w:t>
      </w:r>
      <w:r w:rsidR="00C309AD">
        <w:t>this approach is able to better</w:t>
      </w:r>
      <w:r w:rsidR="00B55E2D">
        <w:t xml:space="preserve"> </w:t>
      </w:r>
      <w:r w:rsidR="001E0DF7">
        <w:t xml:space="preserve">tailor the prescribed weapons to risks and concerns that are known to Victoria Police, and </w:t>
      </w:r>
      <w:r w:rsidR="008A4DF2">
        <w:t>provides a higher-profile and more credible deterrent.</w:t>
      </w:r>
      <w:r w:rsidR="00FD1E8F">
        <w:t xml:space="preserve"> </w:t>
      </w:r>
    </w:p>
    <w:p w14:paraId="321852F2" w14:textId="68758456" w:rsidR="002F3097" w:rsidRDefault="00C23FC8" w:rsidP="008A4DF2">
      <w:r>
        <w:t>W</w:t>
      </w:r>
      <w:r w:rsidR="00EB09D0">
        <w:t>hile</w:t>
      </w:r>
      <w:r w:rsidR="00EB09D0" w:rsidDel="00504441">
        <w:t xml:space="preserve"> </w:t>
      </w:r>
      <w:r w:rsidR="00FF690D">
        <w:t>sophisticated stakeholders know</w:t>
      </w:r>
      <w:r w:rsidR="00EB09D0">
        <w:t xml:space="preserve"> how to ensure safety in their own practices </w:t>
      </w:r>
      <w:r>
        <w:t>and can achieve this through co-regulation</w:t>
      </w:r>
      <w:r w:rsidR="00EB09D0">
        <w:t xml:space="preserve">, </w:t>
      </w:r>
      <w:r w:rsidR="008A4DF2">
        <w:t>G</w:t>
      </w:r>
      <w:r w:rsidR="00EC0DB9">
        <w:t xml:space="preserve">overnment </w:t>
      </w:r>
      <w:r w:rsidR="008A4DF2">
        <w:t>bring</w:t>
      </w:r>
      <w:r w:rsidR="00F82E90">
        <w:t>s</w:t>
      </w:r>
      <w:r w:rsidR="008A4DF2">
        <w:t xml:space="preserve"> a broader </w:t>
      </w:r>
      <w:r w:rsidR="00EC0DB9">
        <w:t>perspective</w:t>
      </w:r>
      <w:r w:rsidR="001D23A4">
        <w:t xml:space="preserve"> to the question of </w:t>
      </w:r>
      <w:r w:rsidR="00621CF9">
        <w:t>the relative harms attributable to particular weapon</w:t>
      </w:r>
      <w:r w:rsidR="00B9465A">
        <w:t>s</w:t>
      </w:r>
      <w:r w:rsidR="00E62CE1">
        <w:t>.</w:t>
      </w:r>
      <w:r w:rsidR="00B9465A">
        <w:t xml:space="preserve"> The broad and uniform application of a </w:t>
      </w:r>
      <w:r w:rsidR="00E37AD7">
        <w:t xml:space="preserve">formal regulatory framework can </w:t>
      </w:r>
      <w:r w:rsidR="00552B0E">
        <w:t xml:space="preserve">therefore </w:t>
      </w:r>
      <w:r w:rsidR="00B9465A">
        <w:t xml:space="preserve">deliver better </w:t>
      </w:r>
      <w:r w:rsidR="00A04C09">
        <w:t>overall communit</w:t>
      </w:r>
      <w:r w:rsidR="00386756">
        <w:t xml:space="preserve">y </w:t>
      </w:r>
      <w:r w:rsidR="00AE6081">
        <w:t>safety</w:t>
      </w:r>
      <w:r w:rsidR="00387CBB">
        <w:t xml:space="preserve"> </w:t>
      </w:r>
      <w:r w:rsidR="00B9465A">
        <w:t xml:space="preserve">outcomes – </w:t>
      </w:r>
      <w:r w:rsidR="00387CBB">
        <w:t xml:space="preserve">which is the primary objective of these </w:t>
      </w:r>
      <w:r w:rsidR="00B008C7">
        <w:t>R</w:t>
      </w:r>
      <w:r w:rsidR="00387CBB">
        <w:t xml:space="preserve">egulations. </w:t>
      </w:r>
    </w:p>
    <w:p w14:paraId="434712DA" w14:textId="7F62BBDE" w:rsidR="00102EF5" w:rsidRDefault="00A54DFD" w:rsidP="004768C3">
      <w:r>
        <w:t xml:space="preserve">Under Option 3, then, </w:t>
      </w:r>
      <w:r w:rsidR="00610D68">
        <w:t xml:space="preserve">there is likely to be a broader range of weapons restricted and risks being managed than through </w:t>
      </w:r>
      <w:r w:rsidR="000C75E9">
        <w:t>an industry-led code under Option 2</w:t>
      </w:r>
      <w:r w:rsidR="00610D68">
        <w:t xml:space="preserve">. </w:t>
      </w:r>
      <w:r w:rsidR="002C0ED3">
        <w:t xml:space="preserve">Further, </w:t>
      </w:r>
      <w:r w:rsidR="00141344">
        <w:t>laws</w:t>
      </w:r>
      <w:r w:rsidR="009538B8">
        <w:t xml:space="preserve"> imposed by regulatory approach</w:t>
      </w:r>
      <w:r w:rsidR="00E47554">
        <w:t>es</w:t>
      </w:r>
      <w:r w:rsidR="009538B8">
        <w:t xml:space="preserve"> </w:t>
      </w:r>
      <w:r w:rsidR="00E47554">
        <w:t xml:space="preserve">carry </w:t>
      </w:r>
      <w:r w:rsidR="00272530">
        <w:t xml:space="preserve">more </w:t>
      </w:r>
      <w:r w:rsidR="00DD4FBB">
        <w:t xml:space="preserve">legal </w:t>
      </w:r>
      <w:r w:rsidR="00272530">
        <w:t xml:space="preserve">weight than </w:t>
      </w:r>
      <w:r w:rsidR="00141344">
        <w:t>a</w:t>
      </w:r>
      <w:r w:rsidR="00E47554">
        <w:t xml:space="preserve">n industry-led </w:t>
      </w:r>
      <w:r w:rsidR="00141344">
        <w:t>code</w:t>
      </w:r>
      <w:r w:rsidR="005B2724">
        <w:t xml:space="preserve"> </w:t>
      </w:r>
      <w:r w:rsidR="00141344">
        <w:t>of</w:t>
      </w:r>
      <w:r w:rsidR="005B2724">
        <w:t xml:space="preserve"> </w:t>
      </w:r>
      <w:r w:rsidR="00141344">
        <w:t>conduct</w:t>
      </w:r>
      <w:r w:rsidR="002041B6">
        <w:t xml:space="preserve">. </w:t>
      </w:r>
      <w:r w:rsidR="0095123F">
        <w:t xml:space="preserve">Consultation with recreational organisations and businesses subject to the </w:t>
      </w:r>
      <w:r w:rsidR="00B008C7">
        <w:t>R</w:t>
      </w:r>
      <w:r w:rsidR="0095123F">
        <w:t xml:space="preserve">egulations </w:t>
      </w:r>
      <w:r w:rsidR="00046E28">
        <w:t xml:space="preserve">suggested that being able to refer </w:t>
      </w:r>
      <w:r w:rsidR="00063F09">
        <w:t xml:space="preserve">specifically to </w:t>
      </w:r>
      <w:r w:rsidR="00E47554">
        <w:t xml:space="preserve">the regulatory framework and its requirements assists these stakeholders in </w:t>
      </w:r>
      <w:r w:rsidR="00EB016C">
        <w:t>promoting compliance</w:t>
      </w:r>
      <w:r w:rsidR="00E47554">
        <w:t xml:space="preserve"> among their members and customers</w:t>
      </w:r>
      <w:r w:rsidR="00EB016C">
        <w:t xml:space="preserve">. </w:t>
      </w:r>
      <w:r w:rsidR="00C1531D">
        <w:t xml:space="preserve">For these reasons, Option </w:t>
      </w:r>
      <w:r w:rsidR="007B0084">
        <w:t>3</w:t>
      </w:r>
      <w:r w:rsidR="00C1531D">
        <w:t xml:space="preserve"> receives </w:t>
      </w:r>
      <w:r w:rsidR="00C621DF">
        <w:t xml:space="preserve">a score of </w:t>
      </w:r>
      <w:r w:rsidR="000D7BB4">
        <w:t>8</w:t>
      </w:r>
      <w:r w:rsidR="00C1531D">
        <w:t xml:space="preserve"> the highest score </w:t>
      </w:r>
      <w:r w:rsidR="00C621DF">
        <w:t>for this criterion</w:t>
      </w:r>
      <w:r w:rsidR="00245A9C">
        <w:t>.</w:t>
      </w:r>
      <w:r w:rsidR="00C1531D">
        <w:t xml:space="preserve"> </w:t>
      </w:r>
    </w:p>
    <w:p w14:paraId="4A58201A" w14:textId="77777777" w:rsidR="00102EF5" w:rsidRPr="00A26A5F" w:rsidRDefault="00102EF5" w:rsidP="00102EF5">
      <w:pPr>
        <w:pStyle w:val="Heading3"/>
      </w:pPr>
      <w:r>
        <w:t>Analysis of costs</w:t>
      </w:r>
    </w:p>
    <w:p w14:paraId="31D45099" w14:textId="036C4032" w:rsidR="00102EF5" w:rsidRDefault="00102EF5" w:rsidP="00102EF5">
      <w:pPr>
        <w:pStyle w:val="Heading4"/>
      </w:pPr>
      <w:r>
        <w:t xml:space="preserve">Costs </w:t>
      </w:r>
      <w:r w:rsidR="00B251A5">
        <w:t xml:space="preserve">to government in </w:t>
      </w:r>
      <w:r>
        <w:t xml:space="preserve">enforcement and </w:t>
      </w:r>
      <w:r w:rsidR="00B251A5">
        <w:t xml:space="preserve">industry in </w:t>
      </w:r>
      <w:r>
        <w:t>compliance</w:t>
      </w:r>
    </w:p>
    <w:p w14:paraId="46674195" w14:textId="4654A7C4" w:rsidR="00793AC8" w:rsidRDefault="007A4FDF" w:rsidP="00102EF5">
      <w:pPr>
        <w:tabs>
          <w:tab w:val="left" w:pos="6165"/>
        </w:tabs>
      </w:pPr>
      <w:r>
        <w:t xml:space="preserve">Compared to the </w:t>
      </w:r>
      <w:r w:rsidR="00B008C7">
        <w:t>B</w:t>
      </w:r>
      <w:r>
        <w:t xml:space="preserve">ase </w:t>
      </w:r>
      <w:r w:rsidR="00B008C7">
        <w:t>C</w:t>
      </w:r>
      <w:r>
        <w:t xml:space="preserve">ase, </w:t>
      </w:r>
      <w:r w:rsidR="00102EF5">
        <w:t xml:space="preserve">Option </w:t>
      </w:r>
      <w:r w:rsidR="007B0084">
        <w:t>1</w:t>
      </w:r>
      <w:r w:rsidR="00102EF5">
        <w:t xml:space="preserve"> would </w:t>
      </w:r>
      <w:r w:rsidR="002403B0">
        <w:t>impose some compliance costs</w:t>
      </w:r>
      <w:r w:rsidR="00793AC8">
        <w:t xml:space="preserve"> on stakeholders</w:t>
      </w:r>
      <w:r w:rsidR="000B7525">
        <w:t xml:space="preserve">. </w:t>
      </w:r>
      <w:r w:rsidR="00885DC0">
        <w:t xml:space="preserve">Because a </w:t>
      </w:r>
      <w:r w:rsidR="00102EF5">
        <w:t xml:space="preserve">negative licensing scheme would only </w:t>
      </w:r>
      <w:r w:rsidR="00E469FD">
        <w:t>involve taking</w:t>
      </w:r>
      <w:r w:rsidR="00102EF5">
        <w:t xml:space="preserve"> </w:t>
      </w:r>
      <w:r w:rsidR="001373DE">
        <w:t xml:space="preserve">action </w:t>
      </w:r>
      <w:r w:rsidR="00102EF5">
        <w:t xml:space="preserve">after </w:t>
      </w:r>
      <w:r w:rsidR="00885DC0">
        <w:t xml:space="preserve">an offence or breach had taken place, </w:t>
      </w:r>
      <w:r w:rsidR="001373DE">
        <w:t>these compliance costs would only be imposed in cases where individuals had accidentally or deliberate misused a weapon</w:t>
      </w:r>
      <w:r w:rsidR="00B72667">
        <w:t xml:space="preserve">, and so would be lower than </w:t>
      </w:r>
      <w:r w:rsidR="000F0B0D">
        <w:t>with proactive enforcement (as in Options 2 and 3).</w:t>
      </w:r>
      <w:r w:rsidR="008F2145">
        <w:t xml:space="preserve"> </w:t>
      </w:r>
    </w:p>
    <w:p w14:paraId="074285F8" w14:textId="77F1A154" w:rsidR="000B6448" w:rsidRDefault="007B68E5" w:rsidP="000B6448">
      <w:pPr>
        <w:tabs>
          <w:tab w:val="left" w:pos="6165"/>
        </w:tabs>
      </w:pPr>
      <w:r>
        <w:t xml:space="preserve">In the </w:t>
      </w:r>
      <w:r w:rsidR="00B008C7">
        <w:t>B</w:t>
      </w:r>
      <w:r>
        <w:t xml:space="preserve">ase </w:t>
      </w:r>
      <w:r w:rsidR="00B008C7">
        <w:t>C</w:t>
      </w:r>
      <w:r>
        <w:t>ase,</w:t>
      </w:r>
      <w:r w:rsidR="00610151">
        <w:t xml:space="preserve"> there would be no administration or </w:t>
      </w:r>
      <w:r w:rsidR="008F2145">
        <w:t xml:space="preserve">enforcement costs </w:t>
      </w:r>
      <w:r>
        <w:t>associated with any weapons licensing regime or approvals processes because none would exist. By comparison, Option 1 would involve some administration and enforcement of negative licencing, and so a</w:t>
      </w:r>
      <w:r w:rsidR="008F2145">
        <w:t xml:space="preserve">dministrative and enforcement costs </w:t>
      </w:r>
      <w:r w:rsidR="009E1293">
        <w:t xml:space="preserve">for Government </w:t>
      </w:r>
      <w:r w:rsidR="008F2145">
        <w:t xml:space="preserve">would be greater </w:t>
      </w:r>
      <w:r>
        <w:t xml:space="preserve">in Option 1 </w:t>
      </w:r>
      <w:r w:rsidR="008F2145">
        <w:t xml:space="preserve">than the </w:t>
      </w:r>
      <w:r w:rsidR="000A7D18">
        <w:t>Base Case</w:t>
      </w:r>
      <w:r w:rsidR="009176EF">
        <w:t xml:space="preserve">. Because the negative licencing activity would likely be </w:t>
      </w:r>
      <w:r w:rsidR="003E1EAA">
        <w:t xml:space="preserve">ad hoc and driven by offences they would be lower </w:t>
      </w:r>
      <w:r w:rsidR="004B25B9">
        <w:t xml:space="preserve">in aggregate </w:t>
      </w:r>
      <w:r w:rsidR="004B7323">
        <w:t xml:space="preserve">than </w:t>
      </w:r>
      <w:r w:rsidR="004B25B9">
        <w:t xml:space="preserve">the administrative costs associated with </w:t>
      </w:r>
      <w:r w:rsidR="00994CA4">
        <w:t xml:space="preserve">either an industry-led control scheme (Option 2) or </w:t>
      </w:r>
      <w:r w:rsidR="00B72FDA">
        <w:t>the regulatory approach under Option 3.</w:t>
      </w:r>
      <w:r w:rsidR="00717F94">
        <w:t xml:space="preserve"> Under those alternative options, administrative and enforcement costs would be imposed for all uses of prescribed weapons rather than being exclusive to specific cases of misuse. </w:t>
      </w:r>
      <w:r w:rsidR="00345499">
        <w:t xml:space="preserve">Option 1 therefore receives a small negative score of </w:t>
      </w:r>
      <w:r w:rsidR="00102EF5">
        <w:t>-</w:t>
      </w:r>
      <w:r w:rsidR="00C432D8">
        <w:t>1</w:t>
      </w:r>
      <w:r w:rsidR="00102EF5">
        <w:t xml:space="preserve"> for this criteri</w:t>
      </w:r>
      <w:r w:rsidR="00B4372E">
        <w:t>on</w:t>
      </w:r>
      <w:r w:rsidR="006C6168">
        <w:t xml:space="preserve">, </w:t>
      </w:r>
      <w:r w:rsidR="000B6448">
        <w:t>compared to the Base Case where there are no costs of compliance and enforcement.</w:t>
      </w:r>
    </w:p>
    <w:p w14:paraId="567A2F9F" w14:textId="57205DAE" w:rsidR="00102EF5" w:rsidRDefault="00102EF5" w:rsidP="00102EF5">
      <w:pPr>
        <w:tabs>
          <w:tab w:val="left" w:pos="6165"/>
        </w:tabs>
      </w:pPr>
      <w:r>
        <w:t xml:space="preserve">By comparison, Option 2 would be accompanied by </w:t>
      </w:r>
      <w:r w:rsidR="00345499">
        <w:t>much greater</w:t>
      </w:r>
      <w:r>
        <w:t xml:space="preserve"> compliance costs as individuals and businesses </w:t>
      </w:r>
      <w:r w:rsidR="00C73A85">
        <w:t xml:space="preserve">would be </w:t>
      </w:r>
      <w:r>
        <w:t xml:space="preserve">expected to complete an approval/exemption process </w:t>
      </w:r>
      <w:r w:rsidR="00C73A85">
        <w:t xml:space="preserve">to meet the standards of an industry-led code or control scheme. These costs would be </w:t>
      </w:r>
      <w:r>
        <w:t xml:space="preserve">larger than </w:t>
      </w:r>
      <w:r w:rsidR="00C73A85">
        <w:t>those</w:t>
      </w:r>
      <w:r>
        <w:t xml:space="preserve"> of negative licensing</w:t>
      </w:r>
      <w:r w:rsidR="00C73A85">
        <w:t>, because they would not be limited to specific cases of misuse.</w:t>
      </w:r>
      <w:r w:rsidR="00FC7E6A">
        <w:t xml:space="preserve"> </w:t>
      </w:r>
      <w:r w:rsidR="00C432D8">
        <w:t>Option 2 therefore receives a score of -4, to show that it would be substantially more costly than Option 1.</w:t>
      </w:r>
    </w:p>
    <w:p w14:paraId="138793FA" w14:textId="3D36621C" w:rsidR="00102EF5" w:rsidRPr="00F860BB" w:rsidRDefault="00476AC8" w:rsidP="00102EF5">
      <w:pPr>
        <w:tabs>
          <w:tab w:val="left" w:pos="6165"/>
        </w:tabs>
      </w:pPr>
      <w:r>
        <w:t>O</w:t>
      </w:r>
      <w:r w:rsidR="00102EF5">
        <w:t xml:space="preserve">ption </w:t>
      </w:r>
      <w:r w:rsidR="000D7BB4">
        <w:t>3</w:t>
      </w:r>
      <w:r w:rsidR="00102EF5">
        <w:t xml:space="preserve"> receives a score of -5. The reason Option</w:t>
      </w:r>
      <w:r w:rsidR="00102EF5" w:rsidDel="000D7BB4">
        <w:t xml:space="preserve"> </w:t>
      </w:r>
      <w:r w:rsidR="000D7BB4">
        <w:t xml:space="preserve">3 </w:t>
      </w:r>
      <w:r w:rsidR="00102EF5">
        <w:t xml:space="preserve">only scores slightly below Option 2 in this category is the costs of compliance in terms of time spent and fees have been generally reported in stakeholder consultation as negligible </w:t>
      </w:r>
      <w:r w:rsidR="00385FF9">
        <w:t>compared to what many businesses and organisations would do anyway</w:t>
      </w:r>
      <w:r w:rsidR="00102EF5">
        <w:t xml:space="preserve">. </w:t>
      </w:r>
      <w:r w:rsidR="00385FF9">
        <w:t>The</w:t>
      </w:r>
      <w:r w:rsidR="003E6C5F">
        <w:t xml:space="preserve"> difference in </w:t>
      </w:r>
      <w:r w:rsidR="0097571B">
        <w:t xml:space="preserve">compliance </w:t>
      </w:r>
      <w:r w:rsidR="00385FF9">
        <w:t>costs between Options 2 and 3</w:t>
      </w:r>
      <w:r w:rsidR="003E6C5F">
        <w:t xml:space="preserve"> is </w:t>
      </w:r>
      <w:r w:rsidR="00385FF9">
        <w:t>instead</w:t>
      </w:r>
      <w:r w:rsidR="003E6C5F">
        <w:t xml:space="preserve"> derived from</w:t>
      </w:r>
      <w:r w:rsidR="00202596">
        <w:t xml:space="preserve"> </w:t>
      </w:r>
      <w:r w:rsidR="0097571B">
        <w:t xml:space="preserve">wider coverage of restricted weapons </w:t>
      </w:r>
      <w:r w:rsidR="00385FF9">
        <w:t>under a Government-led regulatory approach</w:t>
      </w:r>
      <w:r w:rsidR="005D4950">
        <w:t>, rather than due</w:t>
      </w:r>
      <w:r w:rsidR="0097571B">
        <w:t xml:space="preserve"> to </w:t>
      </w:r>
      <w:r w:rsidR="005D4950">
        <w:t>any substantial</w:t>
      </w:r>
      <w:r w:rsidR="0097571B">
        <w:t xml:space="preserve"> </w:t>
      </w:r>
      <w:r w:rsidR="004F67E8">
        <w:t xml:space="preserve">variation in </w:t>
      </w:r>
      <w:r w:rsidR="00995DC6">
        <w:t>the compliance requirements themselves (i.e. extent of record keeping).</w:t>
      </w:r>
      <w:r w:rsidR="0097571B">
        <w:t xml:space="preserve"> </w:t>
      </w:r>
      <w:r w:rsidR="00102EF5">
        <w:t xml:space="preserve"> </w:t>
      </w:r>
      <w:r w:rsidR="009A1483">
        <w:t>A wider range of weapons being controlled under this Option compared to Option 2 also means that</w:t>
      </w:r>
      <w:r w:rsidR="00102EF5">
        <w:t xml:space="preserve"> enforcement costs are likely to be </w:t>
      </w:r>
      <w:r w:rsidR="009A1483">
        <w:t>greater</w:t>
      </w:r>
      <w:r w:rsidR="00102EF5">
        <w:t>. This difference will again not be large as regulations around approval/exemption will still need to be enforced in both cases.</w:t>
      </w:r>
    </w:p>
    <w:p w14:paraId="53448DEC" w14:textId="77777777" w:rsidR="00102EF5" w:rsidRPr="004E79A7" w:rsidRDefault="00102EF5" w:rsidP="00102EF5">
      <w:pPr>
        <w:pStyle w:val="Heading4"/>
      </w:pPr>
      <w:r>
        <w:t xml:space="preserve">Discouragement of legitimate use </w:t>
      </w:r>
    </w:p>
    <w:p w14:paraId="0805881B" w14:textId="49AC6E70" w:rsidR="00102EF5" w:rsidRDefault="00102EF5" w:rsidP="00102EF5">
      <w:r>
        <w:t xml:space="preserve">Option </w:t>
      </w:r>
      <w:r w:rsidR="007B0084">
        <w:t>1</w:t>
      </w:r>
      <w:r>
        <w:t xml:space="preserve"> scores the highest in this category with a score of 0 in comparison to the </w:t>
      </w:r>
      <w:r w:rsidR="00B008C7">
        <w:t>B</w:t>
      </w:r>
      <w:r>
        <w:t xml:space="preserve">ase </w:t>
      </w:r>
      <w:r w:rsidR="00B008C7">
        <w:t>C</w:t>
      </w:r>
      <w:r>
        <w:t xml:space="preserve">ase. This is because a negative licensing scheme does not impede an individual or business from using a weapon for </w:t>
      </w:r>
      <w:r w:rsidR="000011EC">
        <w:t xml:space="preserve">a </w:t>
      </w:r>
      <w:r>
        <w:t xml:space="preserve">legitimate </w:t>
      </w:r>
      <w:r w:rsidR="000011EC">
        <w:t>purpose</w:t>
      </w:r>
      <w:r>
        <w:t xml:space="preserve">. </w:t>
      </w:r>
    </w:p>
    <w:p w14:paraId="73FDBA14" w14:textId="0693723F" w:rsidR="00353B3C" w:rsidRDefault="00102EF5" w:rsidP="00102EF5">
      <w:r>
        <w:t xml:space="preserve">Option 2 scores lower than Option </w:t>
      </w:r>
      <w:r w:rsidR="007B0084">
        <w:t>1</w:t>
      </w:r>
      <w:r>
        <w:t xml:space="preserve"> in terms of discouragement of legitimate use as costs involved in obtaining approval/exemption as well as other compliance </w:t>
      </w:r>
      <w:r w:rsidR="00DD2D66">
        <w:t>may</w:t>
      </w:r>
      <w:r>
        <w:t xml:space="preserve"> deter certain individuals/businesses from engaging in legitimate use. </w:t>
      </w:r>
      <w:r w:rsidR="00353B3C">
        <w:t>H</w:t>
      </w:r>
      <w:r>
        <w:t xml:space="preserve">owever, </w:t>
      </w:r>
      <w:r w:rsidR="00353B3C">
        <w:t xml:space="preserve">the </w:t>
      </w:r>
      <w:r w:rsidR="000C75E9">
        <w:t xml:space="preserve">development of an industry-led code </w:t>
      </w:r>
      <w:r w:rsidR="00353B3C">
        <w:t xml:space="preserve">would likely </w:t>
      </w:r>
      <w:r>
        <w:t xml:space="preserve">lead to a framework which is as facilitative of legitimate use as feasible given </w:t>
      </w:r>
      <w:r w:rsidR="00353B3C">
        <w:t>that it would be industry-led</w:t>
      </w:r>
      <w:r>
        <w:t>.</w:t>
      </w:r>
      <w:r w:rsidR="00353B3C">
        <w:t xml:space="preserve"> Option 2 therefore receives a score of -2.</w:t>
      </w:r>
    </w:p>
    <w:p w14:paraId="14C97BC1" w14:textId="771597A0" w:rsidR="00074371" w:rsidRDefault="00102EF5" w:rsidP="00074371">
      <w:r>
        <w:t xml:space="preserve">Option </w:t>
      </w:r>
      <w:r w:rsidR="00DA5B4F">
        <w:t>3</w:t>
      </w:r>
      <w:r>
        <w:t xml:space="preserve"> imposes the largest cost under this criteria</w:t>
      </w:r>
      <w:r w:rsidR="00995EEC">
        <w:t xml:space="preserve">. Government-led regulation will, as discussed above, incorporate the best available information about risks to society from </w:t>
      </w:r>
      <w:r w:rsidR="00691802">
        <w:t>the deliberate or accidental misuse of different types of weapons. This</w:t>
      </w:r>
      <w:r w:rsidR="006D2305">
        <w:t xml:space="preserve"> is expected to also impose costs on those who might wish to use those weapons for legitimate uses. </w:t>
      </w:r>
      <w:r w:rsidR="008C0CBE">
        <w:t xml:space="preserve">This incremental impact is likely slight, given that stakeholder feedback suggests the compliance costs in general under the </w:t>
      </w:r>
      <w:r w:rsidR="00364DD0">
        <w:t>R</w:t>
      </w:r>
      <w:r w:rsidR="008C0CBE">
        <w:t>egulation</w:t>
      </w:r>
      <w:r w:rsidR="003C0879">
        <w:t>s</w:t>
      </w:r>
      <w:r w:rsidR="008C0CBE">
        <w:t xml:space="preserve"> are relatively low. However, some stakeholders have also pointed to </w:t>
      </w:r>
      <w:r w:rsidR="00074371">
        <w:t xml:space="preserve">some specific cases of </w:t>
      </w:r>
      <w:r w:rsidR="00074371" w:rsidRPr="00074371">
        <w:t xml:space="preserve">activities that </w:t>
      </w:r>
      <w:r w:rsidR="00074371">
        <w:t xml:space="preserve">were </w:t>
      </w:r>
      <w:r w:rsidR="008D0098" w:rsidRPr="00074371">
        <w:t xml:space="preserve">difficult to </w:t>
      </w:r>
      <w:r w:rsidR="00056DF8" w:rsidRPr="00074371">
        <w:t>participate in</w:t>
      </w:r>
      <w:r w:rsidR="00DF7C41" w:rsidRPr="00074371">
        <w:t xml:space="preserve"> under the status quo.</w:t>
      </w:r>
      <w:r w:rsidRPr="00074371">
        <w:t xml:space="preserve"> </w:t>
      </w:r>
    </w:p>
    <w:p w14:paraId="79819D5B" w14:textId="1266C645" w:rsidR="009D73DA" w:rsidRDefault="00074371" w:rsidP="009D73DA">
      <w:r>
        <w:t xml:space="preserve">In some cases this was due to </w:t>
      </w:r>
      <w:r w:rsidR="003C4104">
        <w:t xml:space="preserve">perceived </w:t>
      </w:r>
      <w:r w:rsidR="00102EF5">
        <w:t xml:space="preserve">ambiguity of </w:t>
      </w:r>
      <w:r w:rsidR="00364DD0">
        <w:t>R</w:t>
      </w:r>
      <w:r w:rsidR="00102EF5">
        <w:t xml:space="preserve">egulations </w:t>
      </w:r>
      <w:r w:rsidR="003C4104">
        <w:t xml:space="preserve">rather than </w:t>
      </w:r>
      <w:r w:rsidR="008622F7">
        <w:t>the barrier of compliance itself.</w:t>
      </w:r>
      <w:r w:rsidR="00102EF5">
        <w:t xml:space="preserve"> </w:t>
      </w:r>
      <w:r w:rsidR="003C4104">
        <w:t xml:space="preserve">Some individuals were reported to have ‘given up’ on </w:t>
      </w:r>
      <w:r w:rsidR="00102EF5">
        <w:t>certain legitimate uses</w:t>
      </w:r>
      <w:r w:rsidR="003C4104">
        <w:t xml:space="preserve"> (e.g. the collection or use of certain weapons for historical purposes, or learning the martial traditions of specific cultures </w:t>
      </w:r>
      <w:r w:rsidR="00C461A1">
        <w:t>where a particular style might involve one or more prohibited weapons).</w:t>
      </w:r>
      <w:r w:rsidR="006E08C6">
        <w:t xml:space="preserve"> Some stakeholders noted foregone recreational or business activities that were attributable to other parts of the regulatory framework, but which were not within scope of the regulation making powers of the Act (e.g. </w:t>
      </w:r>
      <w:r w:rsidR="00195129">
        <w:t>a 28 day-cooling off period for the purchase of swords to</w:t>
      </w:r>
      <w:r w:rsidR="00E6597D">
        <w:t xml:space="preserve"> newly joine</w:t>
      </w:r>
      <w:r w:rsidR="009543AA">
        <w:t>d</w:t>
      </w:r>
      <w:r w:rsidR="00A0551E">
        <w:t xml:space="preserve"> </w:t>
      </w:r>
      <w:r w:rsidR="00D66F94">
        <w:t>re-enactors</w:t>
      </w:r>
      <w:r w:rsidR="00195129">
        <w:t xml:space="preserve"> or collectors having a substantial impact on sales revenue)</w:t>
      </w:r>
      <w:r w:rsidR="00EC4D2C">
        <w:t>.</w:t>
      </w:r>
    </w:p>
    <w:p w14:paraId="682EFD66" w14:textId="0BD10356" w:rsidR="00C07DF1" w:rsidRDefault="009D73DA" w:rsidP="00C07DF1">
      <w:r>
        <w:t>While these impacts or restrictions on legitimate use were rare, difficult to quantify or</w:t>
      </w:r>
      <w:r w:rsidR="0061178B">
        <w:t xml:space="preserve"> due to factors beyond the scope of the </w:t>
      </w:r>
      <w:r w:rsidR="00364DD0">
        <w:t>R</w:t>
      </w:r>
      <w:r w:rsidR="0061178B">
        <w:t>egulations proposed in this RIS,</w:t>
      </w:r>
      <w:r w:rsidR="001A0694">
        <w:t xml:space="preserve"> the regulatory approach under Option 3 has nonetheless been given a score of -4 to reflect that some imposition on legitimate use occurs under this approach when compared to an industry-led</w:t>
      </w:r>
      <w:r w:rsidR="000C75E9">
        <w:t xml:space="preserve"> code developed</w:t>
      </w:r>
      <w:r w:rsidR="00C07DF1">
        <w:t xml:space="preserve"> under Option 2.</w:t>
      </w:r>
    </w:p>
    <w:p w14:paraId="24EFCEC2" w14:textId="55DBD0CB" w:rsidR="003C1DF5" w:rsidRDefault="00A9729B" w:rsidP="00A9729B">
      <w:pPr>
        <w:pStyle w:val="Heading2"/>
      </w:pPr>
      <w:bookmarkStart w:id="60" w:name="_Ref72762013"/>
      <w:bookmarkStart w:id="61" w:name="_Toc79397212"/>
      <w:r>
        <w:t>Impact Analysis of preferred option (</w:t>
      </w:r>
      <w:r w:rsidR="00F510A9">
        <w:t>re-making the R</w:t>
      </w:r>
      <w:r>
        <w:t>egulation</w:t>
      </w:r>
      <w:r w:rsidR="00F510A9">
        <w:t>s</w:t>
      </w:r>
      <w:r w:rsidR="00F50DCA">
        <w:t xml:space="preserve"> with minimal changes</w:t>
      </w:r>
      <w:r>
        <w:t>)</w:t>
      </w:r>
      <w:bookmarkEnd w:id="60"/>
      <w:bookmarkEnd w:id="61"/>
    </w:p>
    <w:p w14:paraId="4CD3B855" w14:textId="3DBCAB93" w:rsidR="00A9729B" w:rsidRDefault="00F21F5F" w:rsidP="00A9729B">
      <w:r>
        <w:t xml:space="preserve">Stakeholder consultation has </w:t>
      </w:r>
      <w:r w:rsidR="00C07DF1">
        <w:t>found</w:t>
      </w:r>
      <w:r>
        <w:t xml:space="preserve"> that the </w:t>
      </w:r>
      <w:r w:rsidR="00726249">
        <w:t>quantifiable costs</w:t>
      </w:r>
      <w:r w:rsidR="002E4875">
        <w:t xml:space="preserve"> imposed by the Regulations</w:t>
      </w:r>
      <w:r w:rsidR="00726249">
        <w:t xml:space="preserve"> in terms of both time and finances </w:t>
      </w:r>
      <w:r w:rsidR="008D3C3F">
        <w:t xml:space="preserve">are relatively insubstantial at both the individual and business level. </w:t>
      </w:r>
    </w:p>
    <w:p w14:paraId="2D097E2A" w14:textId="6C79AB8B" w:rsidR="008D1488" w:rsidRDefault="003450F5" w:rsidP="00A9729B">
      <w:r>
        <w:t xml:space="preserve">Specifically, </w:t>
      </w:r>
      <w:r w:rsidR="00720CD2">
        <w:t xml:space="preserve">stakeholders suggested that </w:t>
      </w:r>
      <w:r w:rsidR="00BA3E9F">
        <w:t xml:space="preserve">a </w:t>
      </w:r>
      <w:r w:rsidR="00BA498E">
        <w:t xml:space="preserve">bigger impact of </w:t>
      </w:r>
      <w:r w:rsidR="00720CD2">
        <w:t xml:space="preserve">the </w:t>
      </w:r>
      <w:r w:rsidR="002E4875">
        <w:t xml:space="preserve">Regulations </w:t>
      </w:r>
      <w:r w:rsidR="00BA498E">
        <w:t xml:space="preserve">is on </w:t>
      </w:r>
      <w:r w:rsidR="00DD0CFD">
        <w:t xml:space="preserve">the </w:t>
      </w:r>
      <w:r w:rsidR="000F7D46">
        <w:t>range</w:t>
      </w:r>
      <w:r w:rsidR="00617279">
        <w:t xml:space="preserve"> </w:t>
      </w:r>
      <w:r w:rsidR="003F1421">
        <w:t xml:space="preserve">of </w:t>
      </w:r>
      <w:r w:rsidR="00617279">
        <w:t xml:space="preserve">activities they </w:t>
      </w:r>
      <w:r w:rsidR="00311EDE">
        <w:t>permit</w:t>
      </w:r>
      <w:r w:rsidR="000F7D46">
        <w:t xml:space="preserve">, or in ambiguity surrounding the implementation of the </w:t>
      </w:r>
      <w:r w:rsidR="00364DD0">
        <w:t>R</w:t>
      </w:r>
      <w:r w:rsidR="000F7D46">
        <w:t>egulations,</w:t>
      </w:r>
      <w:r w:rsidR="00144D65">
        <w:t xml:space="preserve"> rather than </w:t>
      </w:r>
      <w:r w:rsidR="005368CB">
        <w:t>fees and compliance requirements.</w:t>
      </w:r>
      <w:r w:rsidR="00E77F28">
        <w:t xml:space="preserve"> </w:t>
      </w:r>
      <w:r w:rsidR="009B752D">
        <w:t xml:space="preserve">Namely, </w:t>
      </w:r>
      <w:r w:rsidR="006A52BF">
        <w:t xml:space="preserve">they do not feel as though the </w:t>
      </w:r>
      <w:r w:rsidR="00C64739">
        <w:t xml:space="preserve">compliance requirements place any </w:t>
      </w:r>
      <w:r w:rsidR="00BB66BC">
        <w:t>severe burden on day to day life or business activities.</w:t>
      </w:r>
    </w:p>
    <w:p w14:paraId="2E82AE8E" w14:textId="2A94DB31" w:rsidR="005368CB" w:rsidRDefault="005368CB" w:rsidP="00A9729B">
      <w:r>
        <w:t xml:space="preserve">Regardless, </w:t>
      </w:r>
      <w:r w:rsidR="003E51CB">
        <w:t xml:space="preserve">the Regulations do entail </w:t>
      </w:r>
      <w:r w:rsidR="00C03DD8">
        <w:t xml:space="preserve">significant </w:t>
      </w:r>
      <w:r w:rsidR="003E51CB">
        <w:t xml:space="preserve">upfront costs </w:t>
      </w:r>
      <w:r w:rsidR="00A56418">
        <w:t>for individuals or businesses</w:t>
      </w:r>
      <w:r w:rsidR="00A15093">
        <w:t>.</w:t>
      </w:r>
    </w:p>
    <w:p w14:paraId="18CB2EA6" w14:textId="12B6E145" w:rsidR="00997FA6" w:rsidRDefault="00C840DE" w:rsidP="00A9729B">
      <w:r>
        <w:t xml:space="preserve">The Regulations </w:t>
      </w:r>
      <w:r w:rsidR="00067D4D">
        <w:t xml:space="preserve">present a cost to the individual </w:t>
      </w:r>
      <w:r w:rsidR="00FC2C55">
        <w:t xml:space="preserve">and business </w:t>
      </w:r>
      <w:r w:rsidR="00067D4D">
        <w:t xml:space="preserve">wishing to use a prohibited weapon as </w:t>
      </w:r>
      <w:r w:rsidR="00876CFF">
        <w:t>completing the approval application takes time</w:t>
      </w:r>
      <w:r w:rsidR="009518C3">
        <w:t xml:space="preserve"> and thus forgoes leisure or </w:t>
      </w:r>
      <w:r w:rsidR="0071011F">
        <w:t xml:space="preserve">otherwise productive activities. </w:t>
      </w:r>
      <w:r w:rsidR="002C75AF">
        <w:t xml:space="preserve">Businesses </w:t>
      </w:r>
      <w:r w:rsidR="00364DD0">
        <w:t>that</w:t>
      </w:r>
      <w:r w:rsidR="002C75AF">
        <w:t xml:space="preserve"> wish to sell a prohibited weapon </w:t>
      </w:r>
      <w:r w:rsidR="00DA2C06">
        <w:t xml:space="preserve">must also not only complete an approval application but </w:t>
      </w:r>
      <w:r w:rsidR="00160B0C">
        <w:t xml:space="preserve">also </w:t>
      </w:r>
      <w:r w:rsidR="00DA2C06">
        <w:t xml:space="preserve">make record </w:t>
      </w:r>
      <w:r w:rsidR="00E041F0">
        <w:t>of each sale</w:t>
      </w:r>
      <w:r w:rsidR="008A2BAF">
        <w:t xml:space="preserve">, which again takes time. </w:t>
      </w:r>
    </w:p>
    <w:p w14:paraId="381F5990" w14:textId="5E253879" w:rsidR="006051FB" w:rsidRDefault="002F5215" w:rsidP="00A9729B">
      <w:r>
        <w:t xml:space="preserve">Costs to government </w:t>
      </w:r>
      <w:r w:rsidR="003B0F63">
        <w:t xml:space="preserve">are comprised of the </w:t>
      </w:r>
      <w:r w:rsidR="00FF5893">
        <w:t>time Victoria Police spend</w:t>
      </w:r>
      <w:r w:rsidR="00BA7741">
        <w:t>s</w:t>
      </w:r>
      <w:r w:rsidR="007E3112">
        <w:t xml:space="preserve"> assessing approval applications, </w:t>
      </w:r>
      <w:r w:rsidR="00156ABC">
        <w:t xml:space="preserve">educating </w:t>
      </w:r>
      <w:r w:rsidR="00B12F05">
        <w:t>members of Victoria Police personnel,</w:t>
      </w:r>
      <w:r w:rsidR="00DE588C">
        <w:t xml:space="preserve"> communicating with the public </w:t>
      </w:r>
      <w:r w:rsidR="008A1E27">
        <w:t>and ensuring there is widespread compliance with the Regulations</w:t>
      </w:r>
      <w:r w:rsidR="006060D5">
        <w:t>.</w:t>
      </w:r>
    </w:p>
    <w:p w14:paraId="069598A2" w14:textId="5258ABE5" w:rsidR="00644FAC" w:rsidRDefault="00A50A7C" w:rsidP="00A9729B">
      <w:r>
        <w:t xml:space="preserve">This RIS provides an estimate of these costs </w:t>
      </w:r>
      <w:r w:rsidR="007316D3">
        <w:t xml:space="preserve">on a yearly basis </w:t>
      </w:r>
      <w:r w:rsidR="005F2840">
        <w:t xml:space="preserve">based on </w:t>
      </w:r>
      <w:r w:rsidR="00096B6A">
        <w:t>the best available</w:t>
      </w:r>
      <w:r w:rsidR="005F2840">
        <w:t xml:space="preserve"> data</w:t>
      </w:r>
      <w:r w:rsidR="00096B6A">
        <w:t xml:space="preserve"> and </w:t>
      </w:r>
      <w:r w:rsidR="008A2825">
        <w:t xml:space="preserve">a range of </w:t>
      </w:r>
      <w:r w:rsidR="00096B6A">
        <w:t>credible assumptions</w:t>
      </w:r>
    </w:p>
    <w:p w14:paraId="195FCEA2" w14:textId="1F299826" w:rsidR="00794E5D" w:rsidRDefault="00794E5D" w:rsidP="00794E5D">
      <w:pPr>
        <w:pStyle w:val="Heading3"/>
      </w:pPr>
      <w:r>
        <w:t xml:space="preserve">Estimates of </w:t>
      </w:r>
      <w:r w:rsidR="003D4CF3">
        <w:t>impact</w:t>
      </w:r>
    </w:p>
    <w:p w14:paraId="3B158AE7" w14:textId="14BEC2B5" w:rsidR="00FF7AEE" w:rsidRPr="00FF7AEE" w:rsidRDefault="00ED1904" w:rsidP="00ED1904">
      <w:pPr>
        <w:pStyle w:val="Heading4"/>
      </w:pPr>
      <w:r>
        <w:t>Impact on individuals and businesses</w:t>
      </w:r>
    </w:p>
    <w:p w14:paraId="035D8D63" w14:textId="0CECCB97" w:rsidR="00A1581B" w:rsidRDefault="00A62602" w:rsidP="003D4CF3">
      <w:r>
        <w:t xml:space="preserve">Quantifiable impacts on individuals and businesses attributable to the proposed </w:t>
      </w:r>
      <w:r w:rsidR="00364DD0">
        <w:t>R</w:t>
      </w:r>
      <w:r>
        <w:t xml:space="preserve">egulations </w:t>
      </w:r>
      <w:r w:rsidR="007625F6">
        <w:t xml:space="preserve">are the costs associated with applying for approval to use or sell a prohibited weapon and, in the case of businesses, the cost of </w:t>
      </w:r>
      <w:r w:rsidR="000F3F12">
        <w:t>recording prescribed information associated with a transaction.</w:t>
      </w:r>
      <w:r w:rsidR="004B7414">
        <w:rPr>
          <w:rStyle w:val="FootnoteReference"/>
        </w:rPr>
        <w:footnoteReference w:id="11"/>
      </w:r>
      <w:r w:rsidR="00AD5FB1">
        <w:t xml:space="preserve"> </w:t>
      </w:r>
    </w:p>
    <w:p w14:paraId="0CB4AD3E" w14:textId="255721D4" w:rsidR="00A1581B" w:rsidRDefault="00A1581B" w:rsidP="003D4CF3">
      <w:r>
        <w:t>The analysis in this RIS estimates that these costs are around $1,</w:t>
      </w:r>
      <w:r w:rsidR="001455B3">
        <w:t>1</w:t>
      </w:r>
      <w:r w:rsidR="00DF64A9">
        <w:t>43,279</w:t>
      </w:r>
      <w:r>
        <w:t xml:space="preserve">, noting </w:t>
      </w:r>
      <w:r w:rsidR="00795E62">
        <w:t xml:space="preserve">this </w:t>
      </w:r>
      <w:r>
        <w:t xml:space="preserve">is </w:t>
      </w:r>
      <w:r w:rsidR="00AD5FB1">
        <w:t xml:space="preserve">based </w:t>
      </w:r>
      <w:r w:rsidR="00AB59BC">
        <w:t xml:space="preserve">in part </w:t>
      </w:r>
      <w:r w:rsidR="00AD5FB1">
        <w:t>on several credible and conservative assumptions</w:t>
      </w:r>
      <w:r w:rsidR="00795E62">
        <w:t xml:space="preserve"> outlined below.</w:t>
      </w:r>
    </w:p>
    <w:p w14:paraId="655E2DB1" w14:textId="13B98F6A" w:rsidR="007D272E" w:rsidRPr="00852CB6" w:rsidRDefault="00281C99" w:rsidP="00281C99">
      <w:pPr>
        <w:pStyle w:val="Heading4"/>
      </w:pPr>
      <w:r w:rsidRPr="00852CB6">
        <w:t>Cost to individuals of applying for approvals</w:t>
      </w:r>
    </w:p>
    <w:p w14:paraId="7B2E573F" w14:textId="54F46DA5" w:rsidR="0056070C" w:rsidRDefault="000F3F12" w:rsidP="003D4CF3">
      <w:r>
        <w:t xml:space="preserve">Victoria </w:t>
      </w:r>
      <w:r w:rsidR="00315C3A">
        <w:t xml:space="preserve">Police </w:t>
      </w:r>
      <w:r>
        <w:t>data suggest there are an average of 2</w:t>
      </w:r>
      <w:r w:rsidR="00311EDE">
        <w:t>70</w:t>
      </w:r>
      <w:r w:rsidR="00912FC1">
        <w:t xml:space="preserve"> </w:t>
      </w:r>
      <w:r>
        <w:t xml:space="preserve">applications </w:t>
      </w:r>
      <w:r w:rsidR="00E868CB">
        <w:t>for approvals from individuals each year.</w:t>
      </w:r>
      <w:r w:rsidR="00E868CB">
        <w:rPr>
          <w:rStyle w:val="FootnoteReference"/>
        </w:rPr>
        <w:footnoteReference w:id="12"/>
      </w:r>
      <w:r w:rsidR="0056070C">
        <w:t xml:space="preserve"> </w:t>
      </w:r>
      <w:r w:rsidR="00FF7AEE">
        <w:t xml:space="preserve">Stakeholder feedback suggested </w:t>
      </w:r>
      <w:r w:rsidR="00574BA2">
        <w:t xml:space="preserve">that it </w:t>
      </w:r>
      <w:r w:rsidR="00762AB7">
        <w:t>rarely took more than</w:t>
      </w:r>
      <w:r w:rsidR="00FF7AEE">
        <w:t xml:space="preserve"> </w:t>
      </w:r>
      <w:r w:rsidR="00F750B9">
        <w:t xml:space="preserve">half an hour </w:t>
      </w:r>
      <w:r w:rsidR="00574BA2">
        <w:t xml:space="preserve">for an individual </w:t>
      </w:r>
      <w:r w:rsidR="00FF7AEE">
        <w:t xml:space="preserve">to </w:t>
      </w:r>
      <w:r w:rsidR="00A3173A">
        <w:t>complete an application</w:t>
      </w:r>
      <w:r w:rsidR="009A274C">
        <w:t xml:space="preserve">. </w:t>
      </w:r>
    </w:p>
    <w:p w14:paraId="1F5B0BEE" w14:textId="77777777" w:rsidR="0056070C" w:rsidRDefault="00F750B9" w:rsidP="003D4CF3">
      <w:r>
        <w:t xml:space="preserve">The analysis in this RIS </w:t>
      </w:r>
      <w:r w:rsidR="009A274C">
        <w:t>assumes that</w:t>
      </w:r>
      <w:r w:rsidR="0056070C">
        <w:t>:</w:t>
      </w:r>
    </w:p>
    <w:p w14:paraId="44E2C222" w14:textId="5924731A" w:rsidR="006A2A2F" w:rsidRDefault="009A274C" w:rsidP="003B4B20">
      <w:pPr>
        <w:pStyle w:val="ListParagraph"/>
        <w:numPr>
          <w:ilvl w:val="0"/>
          <w:numId w:val="32"/>
        </w:numPr>
      </w:pPr>
      <w:r>
        <w:t>it can take up to two hours to complete an application</w:t>
      </w:r>
      <w:r w:rsidR="0056070C">
        <w:t xml:space="preserve"> (</w:t>
      </w:r>
      <w:r>
        <w:t>a conservative estimate that can account for cases in which individuals may require additional time to find relevant documentation associated with their application</w:t>
      </w:r>
      <w:r w:rsidR="0056070C">
        <w:t>), and</w:t>
      </w:r>
    </w:p>
    <w:p w14:paraId="2017EFAD" w14:textId="2B785743" w:rsidR="0056070C" w:rsidRDefault="00AD5FB1" w:rsidP="003B4B20">
      <w:pPr>
        <w:pStyle w:val="ListParagraph"/>
        <w:numPr>
          <w:ilvl w:val="0"/>
          <w:numId w:val="32"/>
        </w:numPr>
      </w:pPr>
      <w:r>
        <w:t>the value of a private individuals’ time is $43 per hour.</w:t>
      </w:r>
      <w:r>
        <w:rPr>
          <w:rStyle w:val="FootnoteReference"/>
        </w:rPr>
        <w:footnoteReference w:id="13"/>
      </w:r>
    </w:p>
    <w:p w14:paraId="64F021A7" w14:textId="0A028069" w:rsidR="00EC6628" w:rsidRDefault="00EC6628" w:rsidP="00EC6628">
      <w:r>
        <w:fldChar w:fldCharType="begin"/>
      </w:r>
      <w:r>
        <w:instrText xml:space="preserve"> REF _Ref71733754 \r \h </w:instrText>
      </w:r>
      <w:r>
        <w:fldChar w:fldCharType="separate"/>
      </w:r>
      <w:r w:rsidR="008C066F">
        <w:t>Table 4.4</w:t>
      </w:r>
      <w:r>
        <w:fldChar w:fldCharType="end"/>
      </w:r>
      <w:r>
        <w:t xml:space="preserve"> shows the estimated total cost to individuals per annum is $23,</w:t>
      </w:r>
      <w:r w:rsidR="0091158B">
        <w:t>254</w:t>
      </w:r>
    </w:p>
    <w:p w14:paraId="6B47FCAD" w14:textId="77777777" w:rsidR="00EC6628" w:rsidRDefault="00EC6628" w:rsidP="00852CB6">
      <w:pPr>
        <w:pStyle w:val="CaptionTable"/>
        <w:spacing w:after="60"/>
      </w:pPr>
      <w:bookmarkStart w:id="62" w:name="_Ref71733754"/>
      <w:bookmarkStart w:id="63" w:name="_Toc79397166"/>
      <w:r>
        <w:t>: Estimated costs to individuals</w:t>
      </w:r>
      <w:bookmarkEnd w:id="62"/>
      <w:bookmarkEnd w:id="63"/>
    </w:p>
    <w:p w14:paraId="43B56019" w14:textId="77777777" w:rsidR="00EC6628" w:rsidRDefault="00EC6628" w:rsidP="00EC6628">
      <w:pPr>
        <w:pStyle w:val="TableHeadingLeft"/>
      </w:pPr>
      <w:r>
        <w:t>Estimated costs to individuals</w:t>
      </w:r>
    </w:p>
    <w:tbl>
      <w:tblPr>
        <w:tblStyle w:val="Deloittetable"/>
        <w:tblW w:w="0" w:type="auto"/>
        <w:tblLook w:val="04A0" w:firstRow="1" w:lastRow="0" w:firstColumn="1" w:lastColumn="0" w:noHBand="0" w:noVBand="1"/>
      </w:tblPr>
      <w:tblGrid>
        <w:gridCol w:w="2551"/>
        <w:gridCol w:w="2552"/>
        <w:gridCol w:w="2551"/>
        <w:gridCol w:w="2552"/>
      </w:tblGrid>
      <w:tr w:rsidR="007A411D" w14:paraId="455538EF" w14:textId="77777777" w:rsidTr="00926DFD">
        <w:trPr>
          <w:cnfStyle w:val="100000000000" w:firstRow="1" w:lastRow="0" w:firstColumn="0" w:lastColumn="0" w:oddVBand="0" w:evenVBand="0" w:oddHBand="0" w:evenHBand="0" w:firstRowFirstColumn="0" w:firstRowLastColumn="0" w:lastRowFirstColumn="0" w:lastRowLastColumn="0"/>
          <w:trHeight w:val="470"/>
        </w:trPr>
        <w:tc>
          <w:tcPr>
            <w:tcW w:w="2551" w:type="dxa"/>
          </w:tcPr>
          <w:p w14:paraId="2034849D" w14:textId="77777777" w:rsidR="007A411D" w:rsidRPr="00F26721" w:rsidRDefault="007A411D" w:rsidP="00852CB6">
            <w:pPr>
              <w:spacing w:after="60"/>
              <w:rPr>
                <w:b/>
                <w:bCs/>
              </w:rPr>
            </w:pPr>
            <w:r>
              <w:rPr>
                <w:b/>
                <w:bCs/>
              </w:rPr>
              <w:t>Approvals per annum</w:t>
            </w:r>
          </w:p>
        </w:tc>
        <w:tc>
          <w:tcPr>
            <w:tcW w:w="2552" w:type="dxa"/>
          </w:tcPr>
          <w:p w14:paraId="19D0333C" w14:textId="77777777" w:rsidR="007A411D" w:rsidRPr="00194D35" w:rsidRDefault="007A411D" w:rsidP="00852CB6">
            <w:pPr>
              <w:spacing w:after="60"/>
              <w:rPr>
                <w:b/>
                <w:bCs/>
              </w:rPr>
            </w:pPr>
            <w:r>
              <w:rPr>
                <w:b/>
                <w:bCs/>
              </w:rPr>
              <w:t>Estimated time to complete application</w:t>
            </w:r>
          </w:p>
        </w:tc>
        <w:tc>
          <w:tcPr>
            <w:tcW w:w="2551" w:type="dxa"/>
          </w:tcPr>
          <w:p w14:paraId="634A411D" w14:textId="77777777" w:rsidR="007A411D" w:rsidRPr="00B7416F" w:rsidRDefault="007A411D" w:rsidP="00852CB6">
            <w:pPr>
              <w:spacing w:after="60"/>
              <w:rPr>
                <w:b/>
                <w:bCs/>
              </w:rPr>
            </w:pPr>
            <w:r>
              <w:rPr>
                <w:b/>
                <w:bCs/>
              </w:rPr>
              <w:t>Value of applicant’s time (per hour)</w:t>
            </w:r>
          </w:p>
        </w:tc>
        <w:tc>
          <w:tcPr>
            <w:tcW w:w="2552" w:type="dxa"/>
          </w:tcPr>
          <w:p w14:paraId="32B0D7D8" w14:textId="7B58ED92" w:rsidR="007A411D" w:rsidRPr="00FF7AEE" w:rsidRDefault="007A411D" w:rsidP="00852CB6">
            <w:pPr>
              <w:spacing w:after="60"/>
              <w:rPr>
                <w:b/>
                <w:bCs/>
              </w:rPr>
            </w:pPr>
            <w:r>
              <w:rPr>
                <w:b/>
                <w:bCs/>
              </w:rPr>
              <w:t>Estimated total annual cost</w:t>
            </w:r>
          </w:p>
        </w:tc>
      </w:tr>
      <w:tr w:rsidR="00EC6628" w14:paraId="46E483F7" w14:textId="77777777" w:rsidTr="00926DFD">
        <w:trPr>
          <w:trHeight w:val="120"/>
        </w:trPr>
        <w:tc>
          <w:tcPr>
            <w:tcW w:w="2551" w:type="dxa"/>
          </w:tcPr>
          <w:p w14:paraId="7175FCE4" w14:textId="26FF5131" w:rsidR="00EC6628" w:rsidRDefault="00EC6628" w:rsidP="00852CB6">
            <w:pPr>
              <w:spacing w:after="60"/>
            </w:pPr>
            <w:r>
              <w:t>2</w:t>
            </w:r>
            <w:r w:rsidR="0091158B">
              <w:t>70</w:t>
            </w:r>
          </w:p>
        </w:tc>
        <w:tc>
          <w:tcPr>
            <w:tcW w:w="2552" w:type="dxa"/>
          </w:tcPr>
          <w:p w14:paraId="5673AF63" w14:textId="77777777" w:rsidR="00EC6628" w:rsidRDefault="00EC6628" w:rsidP="00852CB6">
            <w:pPr>
              <w:spacing w:after="60"/>
            </w:pPr>
            <w:r>
              <w:t>2 hours</w:t>
            </w:r>
          </w:p>
        </w:tc>
        <w:tc>
          <w:tcPr>
            <w:tcW w:w="2551" w:type="dxa"/>
          </w:tcPr>
          <w:p w14:paraId="2F1C4CD8" w14:textId="77777777" w:rsidR="00EC6628" w:rsidRDefault="00EC6628" w:rsidP="00852CB6">
            <w:pPr>
              <w:spacing w:after="60"/>
            </w:pPr>
            <w:r>
              <w:t>$43</w:t>
            </w:r>
          </w:p>
        </w:tc>
        <w:tc>
          <w:tcPr>
            <w:tcW w:w="2552" w:type="dxa"/>
          </w:tcPr>
          <w:p w14:paraId="6BBCD92D" w14:textId="2BDA7FB2" w:rsidR="00EC6628" w:rsidRPr="00655022" w:rsidRDefault="00EC6628" w:rsidP="00852CB6">
            <w:pPr>
              <w:spacing w:after="60"/>
              <w:rPr>
                <w:highlight w:val="yellow"/>
              </w:rPr>
            </w:pPr>
            <w:r>
              <w:t>$23</w:t>
            </w:r>
            <w:r w:rsidR="0091158B">
              <w:t>254</w:t>
            </w:r>
          </w:p>
        </w:tc>
      </w:tr>
    </w:tbl>
    <w:p w14:paraId="2A408BE3" w14:textId="77777777" w:rsidR="006764DC" w:rsidRDefault="006764DC" w:rsidP="006764DC">
      <w:pPr>
        <w:pStyle w:val="Heading4"/>
        <w:numPr>
          <w:ilvl w:val="0"/>
          <w:numId w:val="0"/>
        </w:numPr>
        <w:rPr>
          <w:b w:val="0"/>
          <w:bCs w:val="0"/>
          <w:i/>
          <w:iCs w:val="0"/>
        </w:rPr>
      </w:pPr>
    </w:p>
    <w:p w14:paraId="1020C6CC" w14:textId="0F2C1C26" w:rsidR="000F3F12" w:rsidRPr="00852CB6" w:rsidRDefault="000F3F12" w:rsidP="000F3F12">
      <w:pPr>
        <w:pStyle w:val="Heading4"/>
      </w:pPr>
      <w:r w:rsidRPr="00852CB6">
        <w:t>Cost to businesses of applying for approvals</w:t>
      </w:r>
    </w:p>
    <w:p w14:paraId="462CA09B" w14:textId="160ADFBE" w:rsidR="00AD5FB1" w:rsidRDefault="00B31638" w:rsidP="00B6521C">
      <w:r>
        <w:t xml:space="preserve">Victoria </w:t>
      </w:r>
      <w:r w:rsidR="002E6A43">
        <w:t>P</w:t>
      </w:r>
      <w:r>
        <w:t>olice data suggest there are an average of 43 applications for approvals from businesses each</w:t>
      </w:r>
      <w:r w:rsidR="00364DD0">
        <w:t xml:space="preserve"> year</w:t>
      </w:r>
      <w:r>
        <w:t>.</w:t>
      </w:r>
      <w:r>
        <w:rPr>
          <w:rStyle w:val="FootnoteReference"/>
        </w:rPr>
        <w:footnoteReference w:id="14"/>
      </w:r>
      <w:r w:rsidR="00AD5FB1">
        <w:t xml:space="preserve"> </w:t>
      </w:r>
      <w:r w:rsidR="00B6521C">
        <w:t xml:space="preserve">Stakeholder feedback suggested that it rarely took more than half an hour for a business to complete an application. </w:t>
      </w:r>
    </w:p>
    <w:p w14:paraId="7EBC3C8B" w14:textId="77777777" w:rsidR="00AD5FB1" w:rsidRDefault="00B6521C" w:rsidP="00852CB6">
      <w:pPr>
        <w:spacing w:afterLines="60" w:after="144"/>
      </w:pPr>
      <w:r>
        <w:t>The analysis in this RIS assumes that</w:t>
      </w:r>
      <w:r w:rsidR="00AD5FB1">
        <w:t>:</w:t>
      </w:r>
    </w:p>
    <w:p w14:paraId="4453216F" w14:textId="6BA7ED8B" w:rsidR="00B6521C" w:rsidRDefault="00B6521C" w:rsidP="00852CB6">
      <w:pPr>
        <w:pStyle w:val="ListParagraph"/>
        <w:numPr>
          <w:ilvl w:val="0"/>
          <w:numId w:val="33"/>
        </w:numPr>
        <w:spacing w:afterLines="60" w:after="144"/>
        <w:contextualSpacing w:val="0"/>
      </w:pPr>
      <w:r>
        <w:t xml:space="preserve">it can take up to two hours to complete an </w:t>
      </w:r>
      <w:r w:rsidR="00AD5FB1">
        <w:t xml:space="preserve">application (providing </w:t>
      </w:r>
      <w:r>
        <w:t>a conservative estimate that can account for cases in which businesses may require additional time to find relevant documentation associated with their application</w:t>
      </w:r>
      <w:r w:rsidR="00AD5FB1">
        <w:t>), and</w:t>
      </w:r>
    </w:p>
    <w:p w14:paraId="2CA30580" w14:textId="7E57F8A5" w:rsidR="00AD5FB1" w:rsidRDefault="00AD5FB1" w:rsidP="003B4B20">
      <w:pPr>
        <w:pStyle w:val="ListParagraph"/>
        <w:numPr>
          <w:ilvl w:val="0"/>
          <w:numId w:val="33"/>
        </w:numPr>
      </w:pPr>
      <w:r>
        <w:t>t</w:t>
      </w:r>
      <w:r w:rsidR="00B6521C">
        <w:t>he value of a business owner or employee’s time</w:t>
      </w:r>
      <w:r w:rsidR="00741B6C">
        <w:t xml:space="preserve"> (including on-costs and overheads)</w:t>
      </w:r>
      <w:r w:rsidR="00B6521C">
        <w:t xml:space="preserve"> is </w:t>
      </w:r>
      <w:r>
        <w:t>$98 per hour</w:t>
      </w:r>
      <w:r w:rsidR="00F63497">
        <w:t>.</w:t>
      </w:r>
      <w:r w:rsidR="00C006EB">
        <w:rPr>
          <w:rStyle w:val="FootnoteReference"/>
        </w:rPr>
        <w:footnoteReference w:id="15"/>
      </w:r>
    </w:p>
    <w:p w14:paraId="36D32077" w14:textId="13EE10FF" w:rsidR="00B6521C" w:rsidRDefault="00B6521C" w:rsidP="00AD5FB1">
      <w:r>
        <w:t>Table 4.5 shows the estimated cost to businesses is $8,</w:t>
      </w:r>
      <w:r w:rsidR="009013F8">
        <w:t>358</w:t>
      </w:r>
    </w:p>
    <w:p w14:paraId="5C914421" w14:textId="77777777" w:rsidR="00B6521C" w:rsidRDefault="00B6521C" w:rsidP="00852CB6">
      <w:pPr>
        <w:pStyle w:val="CaptionTable"/>
        <w:spacing w:after="60"/>
      </w:pPr>
      <w:bookmarkStart w:id="64" w:name="_Toc79397167"/>
      <w:r>
        <w:t>: Estimated costs to businesses associated with approval applications</w:t>
      </w:r>
      <w:bookmarkEnd w:id="64"/>
    </w:p>
    <w:p w14:paraId="4BEF8A18" w14:textId="77777777" w:rsidR="00B6521C" w:rsidRDefault="00B6521C" w:rsidP="00B6521C">
      <w:pPr>
        <w:pStyle w:val="TableHeadingLeft"/>
      </w:pPr>
      <w:r>
        <w:t>Estimated costs to businesses associated with approval applications</w:t>
      </w:r>
    </w:p>
    <w:tbl>
      <w:tblPr>
        <w:tblStyle w:val="Deloittetable"/>
        <w:tblW w:w="0" w:type="auto"/>
        <w:tblLook w:val="04A0" w:firstRow="1" w:lastRow="0" w:firstColumn="1" w:lastColumn="0" w:noHBand="0" w:noVBand="1"/>
      </w:tblPr>
      <w:tblGrid>
        <w:gridCol w:w="2551"/>
        <w:gridCol w:w="2552"/>
        <w:gridCol w:w="2551"/>
        <w:gridCol w:w="2552"/>
      </w:tblGrid>
      <w:tr w:rsidR="00B6521C" w14:paraId="00C6CA75" w14:textId="77777777" w:rsidTr="00852CB6">
        <w:trPr>
          <w:cnfStyle w:val="100000000000" w:firstRow="1" w:lastRow="0" w:firstColumn="0" w:lastColumn="0" w:oddVBand="0" w:evenVBand="0" w:oddHBand="0" w:evenHBand="0" w:firstRowFirstColumn="0" w:firstRowLastColumn="0" w:lastRowFirstColumn="0" w:lastRowLastColumn="0"/>
          <w:trHeight w:val="547"/>
        </w:trPr>
        <w:tc>
          <w:tcPr>
            <w:tcW w:w="2551" w:type="dxa"/>
          </w:tcPr>
          <w:p w14:paraId="3F9187F8" w14:textId="77777777" w:rsidR="00B6521C" w:rsidRPr="00F26721" w:rsidRDefault="00B6521C" w:rsidP="00852CB6">
            <w:pPr>
              <w:spacing w:after="60"/>
              <w:rPr>
                <w:b/>
                <w:bCs/>
              </w:rPr>
            </w:pPr>
            <w:r>
              <w:rPr>
                <w:b/>
                <w:bCs/>
              </w:rPr>
              <w:t>Approvals per annum</w:t>
            </w:r>
          </w:p>
        </w:tc>
        <w:tc>
          <w:tcPr>
            <w:tcW w:w="2552" w:type="dxa"/>
          </w:tcPr>
          <w:p w14:paraId="4D1A1959" w14:textId="77777777" w:rsidR="00B6521C" w:rsidRPr="00194D35" w:rsidRDefault="00B6521C" w:rsidP="00852CB6">
            <w:pPr>
              <w:spacing w:after="60"/>
              <w:rPr>
                <w:b/>
                <w:bCs/>
              </w:rPr>
            </w:pPr>
            <w:r>
              <w:rPr>
                <w:b/>
                <w:bCs/>
              </w:rPr>
              <w:t>Estimated time to complete application</w:t>
            </w:r>
          </w:p>
        </w:tc>
        <w:tc>
          <w:tcPr>
            <w:tcW w:w="2551" w:type="dxa"/>
          </w:tcPr>
          <w:p w14:paraId="7D4B4684" w14:textId="77777777" w:rsidR="00B6521C" w:rsidRPr="00B7416F" w:rsidRDefault="00B6521C" w:rsidP="00852CB6">
            <w:pPr>
              <w:spacing w:after="60"/>
              <w:rPr>
                <w:b/>
                <w:bCs/>
              </w:rPr>
            </w:pPr>
            <w:r>
              <w:rPr>
                <w:b/>
                <w:bCs/>
              </w:rPr>
              <w:t>Value of applicant’s time (per hour)</w:t>
            </w:r>
          </w:p>
        </w:tc>
        <w:tc>
          <w:tcPr>
            <w:tcW w:w="2552" w:type="dxa"/>
          </w:tcPr>
          <w:p w14:paraId="4BDD3854" w14:textId="75E90F5D" w:rsidR="00B6521C" w:rsidRPr="00FF7AEE" w:rsidRDefault="007A411D" w:rsidP="00852CB6">
            <w:pPr>
              <w:spacing w:after="60"/>
              <w:rPr>
                <w:b/>
                <w:bCs/>
              </w:rPr>
            </w:pPr>
            <w:r>
              <w:rPr>
                <w:b/>
                <w:bCs/>
              </w:rPr>
              <w:t>Estimated total annual cost</w:t>
            </w:r>
          </w:p>
        </w:tc>
      </w:tr>
      <w:tr w:rsidR="00B6521C" w14:paraId="2CA4DFE7" w14:textId="77777777" w:rsidTr="00852CB6">
        <w:trPr>
          <w:trHeight w:val="154"/>
        </w:trPr>
        <w:tc>
          <w:tcPr>
            <w:tcW w:w="2551" w:type="dxa"/>
          </w:tcPr>
          <w:p w14:paraId="6551991B" w14:textId="77777777" w:rsidR="00B6521C" w:rsidRDefault="00B6521C" w:rsidP="00852CB6">
            <w:pPr>
              <w:spacing w:after="60"/>
            </w:pPr>
            <w:r>
              <w:t>43</w:t>
            </w:r>
          </w:p>
        </w:tc>
        <w:tc>
          <w:tcPr>
            <w:tcW w:w="2552" w:type="dxa"/>
          </w:tcPr>
          <w:p w14:paraId="066BA044" w14:textId="77777777" w:rsidR="00B6521C" w:rsidRDefault="00B6521C" w:rsidP="00852CB6">
            <w:pPr>
              <w:spacing w:after="60"/>
            </w:pPr>
            <w:r>
              <w:t>2 hours</w:t>
            </w:r>
          </w:p>
        </w:tc>
        <w:tc>
          <w:tcPr>
            <w:tcW w:w="2551" w:type="dxa"/>
          </w:tcPr>
          <w:p w14:paraId="69F00E84" w14:textId="77777777" w:rsidR="00B6521C" w:rsidRDefault="00B6521C" w:rsidP="00852CB6">
            <w:pPr>
              <w:spacing w:after="60"/>
            </w:pPr>
            <w:r>
              <w:t>$98</w:t>
            </w:r>
          </w:p>
        </w:tc>
        <w:tc>
          <w:tcPr>
            <w:tcW w:w="2552" w:type="dxa"/>
          </w:tcPr>
          <w:p w14:paraId="3969D889" w14:textId="2F0ED3D0" w:rsidR="00B6521C" w:rsidRDefault="00B6521C" w:rsidP="00852CB6">
            <w:pPr>
              <w:spacing w:after="60"/>
            </w:pPr>
            <w:r>
              <w:t>$8,</w:t>
            </w:r>
            <w:r w:rsidR="009013F8">
              <w:t>358</w:t>
            </w:r>
          </w:p>
        </w:tc>
      </w:tr>
    </w:tbl>
    <w:p w14:paraId="4C2E7C7B" w14:textId="77777777" w:rsidR="00B6521C" w:rsidRDefault="00B6521C" w:rsidP="00B6521C"/>
    <w:p w14:paraId="075DEE92" w14:textId="6AB1D687" w:rsidR="00B6521C" w:rsidRPr="00852CB6" w:rsidRDefault="00B6521C" w:rsidP="00B6521C">
      <w:pPr>
        <w:pStyle w:val="Heading4"/>
      </w:pPr>
      <w:r w:rsidRPr="00852CB6">
        <w:t>Cost to businesses of keeping records</w:t>
      </w:r>
    </w:p>
    <w:p w14:paraId="574DA224" w14:textId="0E9C4B3E" w:rsidR="00186C92" w:rsidRDefault="00432807" w:rsidP="003D4CF3">
      <w:r>
        <w:t xml:space="preserve">Victoria Police data suggest that there are currently 94 business approved to sell prohibited weapons. </w:t>
      </w:r>
      <w:r w:rsidR="007B53B4">
        <w:t>I</w:t>
      </w:r>
      <w:r>
        <w:t xml:space="preserve">n the absence of data on the volume of business activity </w:t>
      </w:r>
      <w:r w:rsidR="0064627B">
        <w:t xml:space="preserve">in this sector, the analysis in this RIS assumes that all </w:t>
      </w:r>
      <w:r>
        <w:t>94 businesses are all active</w:t>
      </w:r>
      <w:r w:rsidR="00ED4D84">
        <w:t xml:space="preserve"> and </w:t>
      </w:r>
      <w:r w:rsidR="00B14604">
        <w:t xml:space="preserve">sell, on average, up </w:t>
      </w:r>
      <w:r w:rsidR="007B53B4">
        <w:t xml:space="preserve">to </w:t>
      </w:r>
      <w:r w:rsidR="00B319A7">
        <w:t>2</w:t>
      </w:r>
      <w:r w:rsidR="00B14604">
        <w:t>00</w:t>
      </w:r>
      <w:r w:rsidR="007B53B4">
        <w:t xml:space="preserve"> prohibited weapons per year</w:t>
      </w:r>
      <w:r w:rsidR="00B319A7">
        <w:t>.</w:t>
      </w:r>
      <w:r w:rsidR="00E40082">
        <w:rPr>
          <w:rStyle w:val="FootnoteReference"/>
        </w:rPr>
        <w:footnoteReference w:id="16"/>
      </w:r>
      <w:r w:rsidR="00B319A7">
        <w:t xml:space="preserve"> </w:t>
      </w:r>
      <w:r w:rsidR="00574BA2">
        <w:t xml:space="preserve">Stakeholder feedback suggested that </w:t>
      </w:r>
      <w:r w:rsidR="00CA6344">
        <w:t xml:space="preserve">for most sellers, </w:t>
      </w:r>
      <w:r w:rsidR="00DF660E">
        <w:t xml:space="preserve">recording the prescribed details for the transaction of a prohibited weapon posed negligible cost </w:t>
      </w:r>
      <w:r w:rsidR="00B6521C">
        <w:t xml:space="preserve">to them in </w:t>
      </w:r>
      <w:r w:rsidR="00DF660E">
        <w:t>time</w:t>
      </w:r>
      <w:r w:rsidR="00B6521C">
        <w:t xml:space="preserve"> and effort</w:t>
      </w:r>
      <w:r w:rsidR="00DF660E">
        <w:t>.</w:t>
      </w:r>
      <w:r w:rsidR="009D3040">
        <w:t xml:space="preserve"> </w:t>
      </w:r>
      <w:r w:rsidR="00186C92">
        <w:t xml:space="preserve">While the Regulations also prescribe the form of record (e.g. a bound logbook or digital system), stakeholders noted no incremental costs to their business </w:t>
      </w:r>
      <w:r w:rsidR="0055564D">
        <w:t>associated with obtaining or maintaining a prescribed form of record</w:t>
      </w:r>
      <w:r w:rsidR="00186C92">
        <w:t>.</w:t>
      </w:r>
    </w:p>
    <w:p w14:paraId="1B341402" w14:textId="26B86C7E" w:rsidR="0056070C" w:rsidRDefault="009D3040" w:rsidP="00852CB6">
      <w:pPr>
        <w:spacing w:after="60"/>
      </w:pPr>
      <w:r>
        <w:t>The analysis in this RIS assumes that</w:t>
      </w:r>
      <w:r w:rsidR="0056070C">
        <w:t>:</w:t>
      </w:r>
    </w:p>
    <w:p w14:paraId="2EAC1D2E" w14:textId="365D3766" w:rsidR="005766C1" w:rsidRDefault="009D3040" w:rsidP="00852CB6">
      <w:pPr>
        <w:pStyle w:val="ListBullet"/>
        <w:spacing w:after="60"/>
        <w:contextualSpacing w:val="0"/>
      </w:pPr>
      <w:r>
        <w:t xml:space="preserve">it </w:t>
      </w:r>
      <w:r w:rsidR="009747C7">
        <w:t>takes</w:t>
      </w:r>
      <w:r>
        <w:t xml:space="preserve"> up to </w:t>
      </w:r>
      <w:r w:rsidR="00D43890">
        <w:t>30</w:t>
      </w:r>
      <w:r>
        <w:t xml:space="preserve"> minutes </w:t>
      </w:r>
      <w:r w:rsidR="0055564D">
        <w:t xml:space="preserve">(in the status quo) </w:t>
      </w:r>
      <w:r>
        <w:t>for a seller of prohibited weapons to record the prescribed details</w:t>
      </w:r>
      <w:r w:rsidR="0056070C">
        <w:t xml:space="preserve"> (</w:t>
      </w:r>
      <w:r>
        <w:t>a conservative estimate</w:t>
      </w:r>
      <w:r w:rsidR="0056070C">
        <w:t>)</w:t>
      </w:r>
    </w:p>
    <w:p w14:paraId="67886CA3" w14:textId="4D449AB2" w:rsidR="0056070C" w:rsidRDefault="0056070C" w:rsidP="00852CB6">
      <w:pPr>
        <w:pStyle w:val="ListBullet"/>
        <w:spacing w:after="60"/>
        <w:contextualSpacing w:val="0"/>
      </w:pPr>
      <w:r>
        <w:t>the additional requirement in the proposed Regulations to record</w:t>
      </w:r>
      <w:r w:rsidRPr="0056070C">
        <w:t xml:space="preserve"> </w:t>
      </w:r>
      <w:r>
        <w:t xml:space="preserve">the ABN/ACN/ARBN/IAN (as applicable) of the purchaser of a prohibited weapon could add an additional 5 minutes to the process (noting that this information </w:t>
      </w:r>
      <w:r w:rsidR="0055564D">
        <w:t>is not</w:t>
      </w:r>
      <w:r>
        <w:t xml:space="preserve"> relevant to all transactions and many sellers record this information already)</w:t>
      </w:r>
      <w:r w:rsidR="0055564D">
        <w:t>, and</w:t>
      </w:r>
    </w:p>
    <w:p w14:paraId="0D5639E2" w14:textId="3414FA50" w:rsidR="004E1D14" w:rsidRDefault="004E1D14" w:rsidP="00D45D9D">
      <w:pPr>
        <w:pStyle w:val="ListBullet"/>
        <w:spacing w:after="120"/>
        <w:contextualSpacing w:val="0"/>
      </w:pPr>
      <w:r>
        <w:t>each of the 94 businesses currently approved to sell weapons may need to spend up to $500 per year to obtain or maintain a prescribed form of record.</w:t>
      </w:r>
    </w:p>
    <w:p w14:paraId="6B395534" w14:textId="3FCBDA68" w:rsidR="00B463ED" w:rsidRDefault="00B463ED" w:rsidP="003F344F">
      <w:r>
        <w:fldChar w:fldCharType="begin"/>
      </w:r>
      <w:r>
        <w:instrText xml:space="preserve"> REF _Ref72762289 \r \h </w:instrText>
      </w:r>
      <w:r>
        <w:fldChar w:fldCharType="separate"/>
      </w:r>
      <w:r w:rsidR="008C066F">
        <w:t>Table 4.6</w:t>
      </w:r>
      <w:r>
        <w:fldChar w:fldCharType="end"/>
      </w:r>
      <w:r>
        <w:t xml:space="preserve"> shows the estimated cost to businesses </w:t>
      </w:r>
      <w:r w:rsidR="000775A8">
        <w:t xml:space="preserve">per annum </w:t>
      </w:r>
      <w:r>
        <w:t>associated with recording sales is $</w:t>
      </w:r>
      <w:r w:rsidR="001B4C7C">
        <w:t>1,</w:t>
      </w:r>
      <w:r w:rsidR="00612A65">
        <w:t>111</w:t>
      </w:r>
      <w:r w:rsidR="001B4C7C">
        <w:t>,667</w:t>
      </w:r>
      <w:r>
        <w:t xml:space="preserve">. </w:t>
      </w:r>
      <w:r w:rsidR="00DE6053">
        <w:t xml:space="preserve">This estimate includes the </w:t>
      </w:r>
      <w:r w:rsidR="002B1BE3">
        <w:t xml:space="preserve">additional record keeping requirements as outlined in </w:t>
      </w:r>
      <w:r w:rsidR="002B1BE3">
        <w:fldChar w:fldCharType="begin"/>
      </w:r>
      <w:r w:rsidR="002B1BE3">
        <w:instrText xml:space="preserve"> REF _Ref72762398 \r \h </w:instrText>
      </w:r>
      <w:r w:rsidR="002B1BE3">
        <w:fldChar w:fldCharType="separate"/>
      </w:r>
      <w:r w:rsidR="008C066F">
        <w:t>3.2.2.1</w:t>
      </w:r>
      <w:r w:rsidR="002B1BE3">
        <w:fldChar w:fldCharType="end"/>
      </w:r>
      <w:r w:rsidR="002B1BE3">
        <w:t>.</w:t>
      </w:r>
      <w:r w:rsidR="00E61D3B">
        <w:t xml:space="preserve"> While this additional burden is likely to be negligible, </w:t>
      </w:r>
      <w:r w:rsidR="00C45C07">
        <w:t xml:space="preserve">in an effort to be conservative </w:t>
      </w:r>
      <w:r w:rsidR="00870292">
        <w:t>it is assumed the additional requirement will increase the time it takes to make record</w:t>
      </w:r>
      <w:r w:rsidR="007D29A1">
        <w:t xml:space="preserve"> of a sale by ten per cent.</w:t>
      </w:r>
    </w:p>
    <w:p w14:paraId="43BA32FF" w14:textId="0AFF3A7E" w:rsidR="00655022" w:rsidRDefault="00655022" w:rsidP="00852CB6">
      <w:pPr>
        <w:pStyle w:val="CaptionTable"/>
        <w:spacing w:after="60"/>
      </w:pPr>
      <w:bookmarkStart w:id="65" w:name="_Ref72762289"/>
      <w:bookmarkStart w:id="66" w:name="_Toc79397168"/>
      <w:r>
        <w:t>: Estimated costs to businesses associated with recording sales</w:t>
      </w:r>
      <w:bookmarkEnd w:id="65"/>
      <w:bookmarkEnd w:id="66"/>
      <w:r>
        <w:t xml:space="preserve"> </w:t>
      </w:r>
    </w:p>
    <w:p w14:paraId="2EB5FD67" w14:textId="16FCC45E" w:rsidR="003F344F" w:rsidRDefault="003F344F" w:rsidP="003F344F">
      <w:pPr>
        <w:pStyle w:val="TableHeadingLeft"/>
      </w:pPr>
      <w:r>
        <w:t xml:space="preserve">Estimated </w:t>
      </w:r>
      <w:r w:rsidR="00E81A13">
        <w:t xml:space="preserve">annual </w:t>
      </w:r>
      <w:r>
        <w:t>costs to businesses associated with recording sales</w:t>
      </w:r>
    </w:p>
    <w:tbl>
      <w:tblPr>
        <w:tblStyle w:val="Deloittetable"/>
        <w:tblW w:w="0" w:type="auto"/>
        <w:tblLook w:val="04A0" w:firstRow="1" w:lastRow="0" w:firstColumn="1" w:lastColumn="0" w:noHBand="0" w:noVBand="1"/>
      </w:tblPr>
      <w:tblGrid>
        <w:gridCol w:w="1276"/>
        <w:gridCol w:w="1418"/>
        <w:gridCol w:w="1701"/>
        <w:gridCol w:w="1559"/>
        <w:gridCol w:w="2268"/>
        <w:gridCol w:w="2155"/>
      </w:tblGrid>
      <w:tr w:rsidR="001B4C7C" w14:paraId="1683F54F" w14:textId="77777777" w:rsidTr="00852CB6">
        <w:trPr>
          <w:cnfStyle w:val="100000000000" w:firstRow="1" w:lastRow="0" w:firstColumn="0" w:lastColumn="0" w:oddVBand="0" w:evenVBand="0" w:oddHBand="0" w:evenHBand="0" w:firstRowFirstColumn="0" w:firstRowLastColumn="0" w:lastRowFirstColumn="0" w:lastRowLastColumn="0"/>
          <w:trHeight w:val="603"/>
        </w:trPr>
        <w:tc>
          <w:tcPr>
            <w:tcW w:w="1276" w:type="dxa"/>
          </w:tcPr>
          <w:p w14:paraId="16C7340F" w14:textId="3123041F" w:rsidR="001B4C7C" w:rsidRPr="00F26721" w:rsidRDefault="001B4C7C" w:rsidP="00852CB6">
            <w:pPr>
              <w:spacing w:after="60"/>
              <w:rPr>
                <w:b/>
                <w:bCs/>
              </w:rPr>
            </w:pPr>
            <w:r>
              <w:rPr>
                <w:b/>
                <w:bCs/>
              </w:rPr>
              <w:t>Number of business</w:t>
            </w:r>
          </w:p>
        </w:tc>
        <w:tc>
          <w:tcPr>
            <w:tcW w:w="1418" w:type="dxa"/>
          </w:tcPr>
          <w:p w14:paraId="7CF64C19" w14:textId="2761D85A" w:rsidR="001B4C7C" w:rsidRDefault="001B4C7C" w:rsidP="00852CB6">
            <w:pPr>
              <w:spacing w:after="60"/>
              <w:rPr>
                <w:b/>
                <w:bCs/>
              </w:rPr>
            </w:pPr>
            <w:r>
              <w:rPr>
                <w:b/>
                <w:bCs/>
              </w:rPr>
              <w:t>Estimated annual sales</w:t>
            </w:r>
          </w:p>
        </w:tc>
        <w:tc>
          <w:tcPr>
            <w:tcW w:w="1701" w:type="dxa"/>
          </w:tcPr>
          <w:p w14:paraId="7324DC8B" w14:textId="4A922612" w:rsidR="001B4C7C" w:rsidRPr="00194D35" w:rsidRDefault="001B4C7C" w:rsidP="00852CB6">
            <w:pPr>
              <w:spacing w:after="60"/>
              <w:rPr>
                <w:b/>
                <w:bCs/>
              </w:rPr>
            </w:pPr>
            <w:r>
              <w:rPr>
                <w:b/>
                <w:bCs/>
              </w:rPr>
              <w:t>Estimated time to record sale</w:t>
            </w:r>
          </w:p>
        </w:tc>
        <w:tc>
          <w:tcPr>
            <w:tcW w:w="1559" w:type="dxa"/>
          </w:tcPr>
          <w:p w14:paraId="682DAA11" w14:textId="1E0572B9" w:rsidR="001B4C7C" w:rsidRPr="00B7416F" w:rsidRDefault="00E81A13" w:rsidP="00852CB6">
            <w:pPr>
              <w:spacing w:after="60"/>
              <w:rPr>
                <w:b/>
                <w:bCs/>
              </w:rPr>
            </w:pPr>
            <w:r>
              <w:rPr>
                <w:b/>
                <w:bCs/>
              </w:rPr>
              <w:t>Hourly v</w:t>
            </w:r>
            <w:r w:rsidR="001B4C7C">
              <w:rPr>
                <w:b/>
                <w:bCs/>
              </w:rPr>
              <w:t>alue of time</w:t>
            </w:r>
            <w:r w:rsidR="008527E4">
              <w:rPr>
                <w:b/>
                <w:bCs/>
              </w:rPr>
              <w:t xml:space="preserve"> </w:t>
            </w:r>
          </w:p>
        </w:tc>
        <w:tc>
          <w:tcPr>
            <w:tcW w:w="2268" w:type="dxa"/>
          </w:tcPr>
          <w:p w14:paraId="00F9F5C2" w14:textId="1F663286" w:rsidR="001B4C7C" w:rsidRDefault="00E81A13" w:rsidP="00852CB6">
            <w:pPr>
              <w:spacing w:after="60"/>
              <w:rPr>
                <w:b/>
                <w:bCs/>
              </w:rPr>
            </w:pPr>
            <w:r>
              <w:rPr>
                <w:b/>
                <w:bCs/>
              </w:rPr>
              <w:t xml:space="preserve">Cost of </w:t>
            </w:r>
            <w:r w:rsidR="009747C7">
              <w:rPr>
                <w:b/>
                <w:bCs/>
              </w:rPr>
              <w:t xml:space="preserve">form of </w:t>
            </w:r>
            <w:r w:rsidR="003F4EBA">
              <w:rPr>
                <w:b/>
                <w:bCs/>
              </w:rPr>
              <w:t xml:space="preserve">record </w:t>
            </w:r>
            <w:r w:rsidR="008527E4">
              <w:rPr>
                <w:b/>
                <w:bCs/>
              </w:rPr>
              <w:t>(per business)</w:t>
            </w:r>
          </w:p>
        </w:tc>
        <w:tc>
          <w:tcPr>
            <w:tcW w:w="2155" w:type="dxa"/>
          </w:tcPr>
          <w:p w14:paraId="3AE24BD5" w14:textId="2EACF933" w:rsidR="001B4C7C" w:rsidRPr="00FF7AEE" w:rsidRDefault="001B4C7C" w:rsidP="00852CB6">
            <w:pPr>
              <w:spacing w:after="60"/>
              <w:rPr>
                <w:b/>
                <w:bCs/>
              </w:rPr>
            </w:pPr>
            <w:r>
              <w:rPr>
                <w:b/>
                <w:bCs/>
              </w:rPr>
              <w:t>Estimated total cost</w:t>
            </w:r>
          </w:p>
        </w:tc>
      </w:tr>
      <w:tr w:rsidR="001B4C7C" w14:paraId="7741DA69" w14:textId="77777777" w:rsidTr="00852CB6">
        <w:trPr>
          <w:trHeight w:val="69"/>
        </w:trPr>
        <w:tc>
          <w:tcPr>
            <w:tcW w:w="1276" w:type="dxa"/>
          </w:tcPr>
          <w:p w14:paraId="5F66A3C0" w14:textId="05554979" w:rsidR="001B4C7C" w:rsidRDefault="001B4C7C" w:rsidP="00852CB6">
            <w:pPr>
              <w:spacing w:after="60"/>
            </w:pPr>
            <w:r>
              <w:t>94</w:t>
            </w:r>
          </w:p>
        </w:tc>
        <w:tc>
          <w:tcPr>
            <w:tcW w:w="1418" w:type="dxa"/>
          </w:tcPr>
          <w:p w14:paraId="3140DDC7" w14:textId="46C2C44E" w:rsidR="001B4C7C" w:rsidRDefault="001B4C7C" w:rsidP="00852CB6">
            <w:pPr>
              <w:spacing w:after="60"/>
            </w:pPr>
            <w:r>
              <w:t>200</w:t>
            </w:r>
          </w:p>
        </w:tc>
        <w:tc>
          <w:tcPr>
            <w:tcW w:w="1701" w:type="dxa"/>
          </w:tcPr>
          <w:p w14:paraId="7FA4E499" w14:textId="32208CCD" w:rsidR="001B4C7C" w:rsidRDefault="001B4C7C" w:rsidP="00852CB6">
            <w:pPr>
              <w:spacing w:after="60"/>
            </w:pPr>
            <w:r>
              <w:t>35 minutes</w:t>
            </w:r>
          </w:p>
        </w:tc>
        <w:tc>
          <w:tcPr>
            <w:tcW w:w="1559" w:type="dxa"/>
          </w:tcPr>
          <w:p w14:paraId="73E2B857" w14:textId="1137207D" w:rsidR="001B4C7C" w:rsidRDefault="001B4C7C" w:rsidP="00852CB6">
            <w:pPr>
              <w:spacing w:after="60"/>
            </w:pPr>
            <w:r>
              <w:t>$98</w:t>
            </w:r>
          </w:p>
        </w:tc>
        <w:tc>
          <w:tcPr>
            <w:tcW w:w="2268" w:type="dxa"/>
          </w:tcPr>
          <w:p w14:paraId="05B541F9" w14:textId="41BA1106" w:rsidR="001B4C7C" w:rsidRDefault="008527E4" w:rsidP="00852CB6">
            <w:pPr>
              <w:spacing w:after="60"/>
            </w:pPr>
            <w:r>
              <w:t>$500</w:t>
            </w:r>
          </w:p>
        </w:tc>
        <w:tc>
          <w:tcPr>
            <w:tcW w:w="2155" w:type="dxa"/>
          </w:tcPr>
          <w:p w14:paraId="5BC6DE0F" w14:textId="10315FE0" w:rsidR="001B4C7C" w:rsidRDefault="001B4C7C" w:rsidP="00852CB6">
            <w:pPr>
              <w:spacing w:after="60"/>
            </w:pPr>
            <w:r>
              <w:t>$1,111,667</w:t>
            </w:r>
          </w:p>
        </w:tc>
      </w:tr>
    </w:tbl>
    <w:p w14:paraId="4B034D2B" w14:textId="734B2A2E" w:rsidR="00BE2170" w:rsidRDefault="00BE2170" w:rsidP="00614505">
      <w:pPr>
        <w:spacing w:before="10"/>
      </w:pPr>
      <w:r>
        <w:t xml:space="preserve">The combined total impact on individuals and businesses </w:t>
      </w:r>
      <w:r w:rsidR="005070F3">
        <w:t xml:space="preserve">associated with </w:t>
      </w:r>
      <w:r w:rsidR="004575FA">
        <w:t xml:space="preserve">the compliance requirements for these </w:t>
      </w:r>
      <w:r w:rsidR="001B3490">
        <w:t>R</w:t>
      </w:r>
      <w:r w:rsidR="005070F3">
        <w:t xml:space="preserve">egulations is therefore estimated be </w:t>
      </w:r>
      <w:r w:rsidR="00A1581B">
        <w:t xml:space="preserve">around </w:t>
      </w:r>
      <w:r w:rsidR="005070F3">
        <w:t>$1,</w:t>
      </w:r>
      <w:r w:rsidR="002C177D">
        <w:t>1</w:t>
      </w:r>
      <w:r w:rsidR="006A2DCE">
        <w:t>43</w:t>
      </w:r>
      <w:r w:rsidR="002C177D">
        <w:t>,</w:t>
      </w:r>
      <w:r w:rsidR="006A2DCE">
        <w:t>279</w:t>
      </w:r>
      <w:r w:rsidR="00A1581B">
        <w:t>, noting again that this is based on multiple conservative assumptions.</w:t>
      </w:r>
    </w:p>
    <w:p w14:paraId="43C008ED" w14:textId="33E89F4C" w:rsidR="004575FA" w:rsidRDefault="004575FA" w:rsidP="003D4CF3">
      <w:r>
        <w:t xml:space="preserve">An additional impact associated with estimated maximum fee revenue attributable to the proposed Regulations (see Chapter 7) of $63,500 brings the total estimated impact of the proposed </w:t>
      </w:r>
      <w:r w:rsidR="00E63CE1">
        <w:t>R</w:t>
      </w:r>
      <w:r>
        <w:t xml:space="preserve">egulations </w:t>
      </w:r>
      <w:r w:rsidR="00C97E8F">
        <w:t>to $</w:t>
      </w:r>
      <w:r w:rsidR="00D42872">
        <w:t>1,206,779.</w:t>
      </w:r>
      <w:r w:rsidR="00107F04">
        <w:t xml:space="preserve"> </w:t>
      </w:r>
      <w:r w:rsidR="00BA1910">
        <w:t xml:space="preserve">Due to the additional record-keeping requirements, the </w:t>
      </w:r>
      <w:r w:rsidR="00BA1910" w:rsidRPr="00384A7F">
        <w:rPr>
          <w:i/>
          <w:iCs/>
        </w:rPr>
        <w:t>incremental</w:t>
      </w:r>
      <w:r w:rsidR="00BA1910">
        <w:t xml:space="preserve"> difference in impact between the status quo and the proposed </w:t>
      </w:r>
      <w:r w:rsidR="001B3490">
        <w:t>R</w:t>
      </w:r>
      <w:r w:rsidR="00BA1910">
        <w:t>egulations is estimated to be only $1</w:t>
      </w:r>
      <w:r w:rsidR="00815557">
        <w:t>46</w:t>
      </w:r>
      <w:r w:rsidR="00BA1910">
        <w:t>,851 per year.</w:t>
      </w:r>
    </w:p>
    <w:p w14:paraId="21D82A04" w14:textId="2644666F" w:rsidR="00C3404F" w:rsidRPr="00FF7AEE" w:rsidRDefault="00C3404F" w:rsidP="00C3404F">
      <w:pPr>
        <w:pStyle w:val="Heading4"/>
      </w:pPr>
      <w:r>
        <w:t>Break-even analysis</w:t>
      </w:r>
    </w:p>
    <w:p w14:paraId="5E4751C5" w14:textId="566D4B87" w:rsidR="00D94D5A" w:rsidRDefault="00D94D5A" w:rsidP="003D4CF3">
      <w:r>
        <w:t xml:space="preserve">The break-even analysis below outlines </w:t>
      </w:r>
      <w:r w:rsidR="0024349A">
        <w:t xml:space="preserve">the expectation that the proposed Regulations yield benefits to society that are at least as great as the costs they impose, relative to the </w:t>
      </w:r>
      <w:r w:rsidR="001B3490">
        <w:t>B</w:t>
      </w:r>
      <w:r w:rsidR="0024349A">
        <w:t xml:space="preserve">ase </w:t>
      </w:r>
      <w:r w:rsidR="001B3490">
        <w:t>C</w:t>
      </w:r>
      <w:r w:rsidR="0024349A">
        <w:t>ase in which there are no regulations.</w:t>
      </w:r>
    </w:p>
    <w:p w14:paraId="5CCE1BB3" w14:textId="2415A712" w:rsidR="006C0020" w:rsidRPr="00852CB6" w:rsidRDefault="006C0020" w:rsidP="006C0020">
      <w:pPr>
        <w:pStyle w:val="Heading4"/>
      </w:pPr>
      <w:r w:rsidRPr="00852CB6">
        <w:t>Breaking even in terms of the avoided costs of weapons-related harm</w:t>
      </w:r>
    </w:p>
    <w:p w14:paraId="6A66A833" w14:textId="26FC7A90" w:rsidR="003F4EBA" w:rsidRDefault="006C0020" w:rsidP="00B22A23">
      <w:r>
        <w:t xml:space="preserve">As noted in the Chapter 2, the estimated social and economic costs of </w:t>
      </w:r>
      <w:r w:rsidRPr="00A42498">
        <w:t xml:space="preserve">weapons-related crime in Victoria </w:t>
      </w:r>
      <w:r>
        <w:t xml:space="preserve">is </w:t>
      </w:r>
      <w:r w:rsidRPr="00A42498">
        <w:t>$2</w:t>
      </w:r>
      <w:r>
        <w:t>81</w:t>
      </w:r>
      <w:r w:rsidRPr="00A42498">
        <w:t xml:space="preserve"> million per annum</w:t>
      </w:r>
      <w:r>
        <w:t xml:space="preserve">. The conservative estimate of compliance costs above suggest that they are equivalent to just 0.35 per cent of the total estimated costs of weapons-related crime. </w:t>
      </w:r>
      <w:r w:rsidR="00E72DBD">
        <w:t xml:space="preserve">This implies that the Regulations can be expected to break even if </w:t>
      </w:r>
      <w:r w:rsidR="00344EDE">
        <w:t xml:space="preserve">in the absence of the Regulations, the harms </w:t>
      </w:r>
      <w:r w:rsidR="00FD2309">
        <w:t xml:space="preserve">of weapons crime alone </w:t>
      </w:r>
      <w:r w:rsidR="00E72DBD">
        <w:t xml:space="preserve">are expected to increase </w:t>
      </w:r>
      <w:r w:rsidR="0000251E">
        <w:t xml:space="preserve">by more than 0.35 per cent. </w:t>
      </w:r>
    </w:p>
    <w:p w14:paraId="6809D48F" w14:textId="3EDA2E5B" w:rsidR="00862100" w:rsidRDefault="00B22A23" w:rsidP="00B22A23">
      <w:r>
        <w:t xml:space="preserve">Given feedback from stakeholders and Victoria Police on the need for and effectiveness of the current </w:t>
      </w:r>
      <w:r w:rsidR="001B3490">
        <w:t>R</w:t>
      </w:r>
      <w:r>
        <w:t xml:space="preserve">egulations, and the volume of offences </w:t>
      </w:r>
      <w:r w:rsidR="003D5ECE">
        <w:t xml:space="preserve">under the regulatory framework outlined in Chapter 2, </w:t>
      </w:r>
      <w:r>
        <w:t>it is credible to expect that</w:t>
      </w:r>
      <w:r w:rsidR="0000251E">
        <w:t xml:space="preserve"> remaking the current Regulations (with the minor amendments discussed in this RIS</w:t>
      </w:r>
      <w:r w:rsidR="003D5ECE">
        <w:t xml:space="preserve">) will yield </w:t>
      </w:r>
      <w:r w:rsidR="0000251E">
        <w:t>a net benefit to societ</w:t>
      </w:r>
      <w:r w:rsidR="00313C93">
        <w:t>y</w:t>
      </w:r>
      <w:r w:rsidR="0049479B">
        <w:t>.</w:t>
      </w:r>
      <w:r w:rsidR="006701F0">
        <w:t xml:space="preserve"> This would be a break-even point even </w:t>
      </w:r>
      <w:r w:rsidR="00313C93">
        <w:t xml:space="preserve">before accounting for the benefits the Regulations create in terms of avoided harm arising from the accidental misuse of weapons or </w:t>
      </w:r>
      <w:r w:rsidR="00E72DBD">
        <w:t>public safety concerns.</w:t>
      </w:r>
    </w:p>
    <w:p w14:paraId="55B9D421" w14:textId="7FEF7DE9" w:rsidR="00B04053" w:rsidRDefault="0000251E" w:rsidP="00614505">
      <w:pPr>
        <w:rPr>
          <w:rFonts w:eastAsiaTheme="majorEastAsia" w:cstheme="majorBidi"/>
          <w:bCs/>
          <w:sz w:val="60"/>
          <w:szCs w:val="28"/>
        </w:rPr>
      </w:pPr>
      <w:r>
        <w:t xml:space="preserve">Alternatively, given the current </w:t>
      </w:r>
      <w:r w:rsidR="00144AE4">
        <w:t xml:space="preserve">net present </w:t>
      </w:r>
      <w:r>
        <w:t>value of a statistical life</w:t>
      </w:r>
      <w:r w:rsidR="00827525">
        <w:t xml:space="preserve"> of around $4.</w:t>
      </w:r>
      <w:r w:rsidR="003A56DA">
        <w:t>7</w:t>
      </w:r>
      <w:r w:rsidR="00827525">
        <w:t xml:space="preserve"> million,</w:t>
      </w:r>
      <w:r w:rsidR="00144AE4">
        <w:t xml:space="preserve"> and the ten year net present value of the estimate costs of the proposed </w:t>
      </w:r>
      <w:r w:rsidR="00E63CE1">
        <w:t>R</w:t>
      </w:r>
      <w:r w:rsidR="00144AE4">
        <w:t xml:space="preserve">egulations of around </w:t>
      </w:r>
      <w:r w:rsidR="00AB609D">
        <w:t xml:space="preserve">$8.9 million, the proposed Regulations would “break even” and yield a net social benefit provided that </w:t>
      </w:r>
      <w:r w:rsidR="00275EFD">
        <w:t xml:space="preserve">they reduce weapons-related deaths by </w:t>
      </w:r>
      <w:r w:rsidR="00D94D5A">
        <w:t xml:space="preserve">just </w:t>
      </w:r>
      <w:r w:rsidR="007477CE">
        <w:t>two</w:t>
      </w:r>
      <w:r w:rsidR="00D94D5A">
        <w:t xml:space="preserve"> over a period of ten years.</w:t>
      </w:r>
      <w:r w:rsidR="00F769D2">
        <w:rPr>
          <w:rStyle w:val="FootnoteReference"/>
        </w:rPr>
        <w:footnoteReference w:id="17"/>
      </w:r>
      <w:r w:rsidR="00D94D5A">
        <w:t xml:space="preserve"> </w:t>
      </w:r>
      <w:bookmarkStart w:id="67" w:name="_Toc72250490"/>
    </w:p>
    <w:p w14:paraId="25659651" w14:textId="2EE2426F" w:rsidR="000E0C5A" w:rsidRPr="000E0C5A" w:rsidRDefault="27F1E003" w:rsidP="000E0C5A">
      <w:pPr>
        <w:pStyle w:val="Heading1"/>
      </w:pPr>
      <w:bookmarkStart w:id="68" w:name="_Toc79397213"/>
      <w:r>
        <w:t>Fees</w:t>
      </w:r>
      <w:bookmarkEnd w:id="68"/>
    </w:p>
    <w:p w14:paraId="7B7A852C" w14:textId="64D4E3E2" w:rsidR="27F1E003" w:rsidRDefault="27F1E003" w:rsidP="00EC2484">
      <w:pPr>
        <w:pStyle w:val="Sectionintro"/>
      </w:pPr>
      <w:r>
        <w:t xml:space="preserve">This </w:t>
      </w:r>
      <w:r w:rsidR="00F65445">
        <w:t xml:space="preserve">chapter </w:t>
      </w:r>
      <w:r>
        <w:t xml:space="preserve">assesses the impact </w:t>
      </w:r>
      <w:r w:rsidR="6E40CF79">
        <w:t xml:space="preserve">of fees prescribed in the proposed </w:t>
      </w:r>
      <w:r w:rsidR="001B3490">
        <w:t>R</w:t>
      </w:r>
      <w:r w:rsidR="6E40CF79">
        <w:t>egulations and the rationale for keeping fee units at current levels</w:t>
      </w:r>
      <w:r>
        <w:t>.</w:t>
      </w:r>
      <w:r w:rsidR="0BEC8A9D" w:rsidRPr="4D32CA12">
        <w:rPr>
          <w:rFonts w:ascii="Calibri" w:eastAsia="Calibri" w:hAnsi="Calibri" w:cs="Calibri"/>
        </w:rPr>
        <w:t xml:space="preserve"> </w:t>
      </w:r>
    </w:p>
    <w:p w14:paraId="176EF27E" w14:textId="672AD788" w:rsidR="00972946" w:rsidRDefault="00972946" w:rsidP="00972946">
      <w:pPr>
        <w:pStyle w:val="Heading2"/>
      </w:pPr>
      <w:bookmarkStart w:id="69" w:name="_Toc79397214"/>
      <w:r>
        <w:t>The need to consider a full cost recovery option</w:t>
      </w:r>
      <w:bookmarkEnd w:id="69"/>
    </w:p>
    <w:p w14:paraId="0EA0C700" w14:textId="7478B6B4" w:rsidR="00C618A2" w:rsidRPr="007D73DC" w:rsidRDefault="00C618A2" w:rsidP="0074289A">
      <w:r w:rsidRPr="00D45D9D">
        <w:t xml:space="preserve">The </w:t>
      </w:r>
      <w:r w:rsidR="0015182B">
        <w:t xml:space="preserve">Victorian Government’s </w:t>
      </w:r>
      <w:r w:rsidRPr="00D45D9D">
        <w:t xml:space="preserve">Cost Recovery Guidelines suggest that a starting point for setting fees and fee structures should be to consider </w:t>
      </w:r>
      <w:r w:rsidR="00EA7CC2">
        <w:t>an option</w:t>
      </w:r>
      <w:r w:rsidRPr="00D45D9D">
        <w:t xml:space="preserve"> for full cost recovery, to avoid disproportionate cross subsidisation of users of government services by other users or by the Victorian community as a whole. The Cost Recovery Guidelines recommend that fees be set above or below full cost recovery only when there is </w:t>
      </w:r>
      <w:r w:rsidR="002740FE">
        <w:t xml:space="preserve">a clear </w:t>
      </w:r>
      <w:r w:rsidRPr="00D45D9D">
        <w:t>reason to do so.</w:t>
      </w:r>
    </w:p>
    <w:p w14:paraId="51CE50E2" w14:textId="2257D2AD" w:rsidR="00C668A1" w:rsidRDefault="00C668A1" w:rsidP="00C668A1">
      <w:pPr>
        <w:pStyle w:val="Heading2"/>
      </w:pPr>
      <w:bookmarkStart w:id="70" w:name="_Toc79397215"/>
      <w:r>
        <w:t>Current volume of approvals activity and the associated costs</w:t>
      </w:r>
      <w:bookmarkEnd w:id="70"/>
    </w:p>
    <w:p w14:paraId="1A47DBF7" w14:textId="0EE61CB6" w:rsidR="00C668A1" w:rsidRDefault="00697755" w:rsidP="4D32CA12">
      <w:r w:rsidRPr="00D45D9D">
        <w:t>Based on advice from Victoria Police regarding the staff required to administer approvals, and the given the relatively low volume of applications, the total cost to Victoria Police of administering approvals is estimated to be around $75,000 per year</w:t>
      </w:r>
      <w:r>
        <w:t xml:space="preserve"> for the approval of around 313 applications per year, on average. A full cost recovery option</w:t>
      </w:r>
      <w:r w:rsidR="0012450C">
        <w:t xml:space="preserve"> would therefore </w:t>
      </w:r>
      <w:r w:rsidR="00BB59C0">
        <w:t xml:space="preserve">set fees with an average fee of </w:t>
      </w:r>
      <w:r w:rsidR="0012450C">
        <w:t xml:space="preserve">around </w:t>
      </w:r>
      <w:r w:rsidR="00BB59C0">
        <w:t>$240 per application.</w:t>
      </w:r>
    </w:p>
    <w:p w14:paraId="357E442C" w14:textId="2EBF6111" w:rsidR="006C4A88" w:rsidRDefault="006C4A88" w:rsidP="006C4A88">
      <w:pPr>
        <w:pStyle w:val="Heading2"/>
      </w:pPr>
      <w:bookmarkStart w:id="71" w:name="_Toc79397216"/>
      <w:r>
        <w:t>Current fees and fee revenue</w:t>
      </w:r>
      <w:bookmarkEnd w:id="71"/>
    </w:p>
    <w:p w14:paraId="1B8C51CE" w14:textId="245BB40E" w:rsidR="006C4A88" w:rsidRDefault="006C4A88" w:rsidP="006C4A88">
      <w:r w:rsidRPr="00D45D9D">
        <w:t xml:space="preserve">The Regulations prescribe fees for applications to the Chief Commissioner of Police for approval to use or sell a prohibited weapon, or to vary an approval. </w:t>
      </w:r>
      <w:r w:rsidR="00D93E76">
        <w:t>The rationale for charging fees in these regulations is that th</w:t>
      </w:r>
      <w:r w:rsidR="00231BC7">
        <w:t xml:space="preserve">ose fees cover costs </w:t>
      </w:r>
      <w:r w:rsidR="00945130">
        <w:t xml:space="preserve">associated </w:t>
      </w:r>
      <w:r w:rsidR="00231BC7">
        <w:t>with administering an approvals regime to manage potential risks</w:t>
      </w:r>
      <w:r w:rsidR="00765E25">
        <w:t xml:space="preserve"> posed by applicants’ intended use of weapons</w:t>
      </w:r>
      <w:r w:rsidR="00231BC7">
        <w:t xml:space="preserve">, and that as the applicants are generating demand for the approvals activity it is appropriate under the Government’s Cost Recovery Guidelines that they bear </w:t>
      </w:r>
      <w:r w:rsidR="00765E25">
        <w:t>at least some of that cost.</w:t>
      </w:r>
    </w:p>
    <w:p w14:paraId="34030B8A" w14:textId="6466E27F" w:rsidR="006C4A88" w:rsidRDefault="006C4A88" w:rsidP="006C4A88">
      <w:r w:rsidRPr="00D45D9D">
        <w:t xml:space="preserve">The Regulations prescribe a lower fee for applicants who hold a current licence under the </w:t>
      </w:r>
      <w:r w:rsidRPr="000B7CF4">
        <w:rPr>
          <w:i/>
          <w:iCs/>
        </w:rPr>
        <w:t>Firearms Act 1996</w:t>
      </w:r>
      <w:r>
        <w:t>,</w:t>
      </w:r>
      <w:r w:rsidRPr="00D45D9D">
        <w:t xml:space="preserve"> and provide an exemption from fees for applicants who are licenced under the </w:t>
      </w:r>
      <w:r w:rsidRPr="000B7CF4">
        <w:rPr>
          <w:i/>
          <w:iCs/>
        </w:rPr>
        <w:t>Firearms Act 1996</w:t>
      </w:r>
      <w:r w:rsidRPr="00D45D9D">
        <w:t xml:space="preserve"> to operate as a firearms dealer</w:t>
      </w:r>
      <w:r>
        <w:t xml:space="preserve">. This reflects the fact </w:t>
      </w:r>
      <w:r w:rsidRPr="00D45D9D">
        <w:t>that as Victoria Police already have</w:t>
      </w:r>
      <w:r w:rsidR="00BB7633">
        <w:t xml:space="preserve"> necessary </w:t>
      </w:r>
      <w:r w:rsidRPr="00D45D9D">
        <w:t>details about those applicants on file, the approvals process is marginally less labour intensive.</w:t>
      </w:r>
    </w:p>
    <w:p w14:paraId="73DE77AF" w14:textId="77777777" w:rsidR="006C4A88" w:rsidRDefault="006C4A88" w:rsidP="006C4A88">
      <w:r w:rsidRPr="00D45D9D">
        <w:t>Current fees units prescribed and their monetary value (from 1 July 2021 to 30 June 2022) are:</w:t>
      </w:r>
    </w:p>
    <w:p w14:paraId="38A26A83" w14:textId="77777777" w:rsidR="006C4A88" w:rsidRPr="00D45D9D" w:rsidRDefault="006C4A88" w:rsidP="006C4A88">
      <w:pPr>
        <w:pStyle w:val="ListBullet"/>
        <w:spacing w:after="120"/>
        <w:contextualSpacing w:val="0"/>
      </w:pPr>
      <w:r w:rsidRPr="487D1F28">
        <w:rPr>
          <w:color w:val="000000" w:themeColor="text1"/>
        </w:rPr>
        <w:t xml:space="preserve">13.5 </w:t>
      </w:r>
      <w:r w:rsidRPr="00D45D9D">
        <w:t xml:space="preserve">fee units ($202.91) for applicants without a licence under the </w:t>
      </w:r>
      <w:r w:rsidRPr="000B7CF4">
        <w:rPr>
          <w:i/>
          <w:iCs/>
        </w:rPr>
        <w:t>Firearms Act 1996</w:t>
      </w:r>
      <w:r w:rsidRPr="00D45D9D">
        <w:t xml:space="preserve"> </w:t>
      </w:r>
    </w:p>
    <w:p w14:paraId="49DCF9D5" w14:textId="77777777" w:rsidR="006C4A88" w:rsidRPr="00D45D9D" w:rsidRDefault="006C4A88" w:rsidP="006C4A88">
      <w:pPr>
        <w:pStyle w:val="ListBullet"/>
        <w:spacing w:after="120"/>
        <w:contextualSpacing w:val="0"/>
      </w:pPr>
      <w:r w:rsidRPr="00D45D9D">
        <w:t xml:space="preserve">11.5 fee units ($172.85) for applicants with a licence under the </w:t>
      </w:r>
      <w:r w:rsidRPr="000B7CF4">
        <w:rPr>
          <w:i/>
          <w:iCs/>
        </w:rPr>
        <w:t>Firearms Act 1996</w:t>
      </w:r>
      <w:r w:rsidRPr="00D45D9D">
        <w:t xml:space="preserve">, and </w:t>
      </w:r>
    </w:p>
    <w:p w14:paraId="3D693CD7" w14:textId="77777777" w:rsidR="006C4A88" w:rsidRDefault="006C4A88" w:rsidP="006C4A88">
      <w:pPr>
        <w:pStyle w:val="ListBullet"/>
        <w:spacing w:after="120"/>
        <w:contextualSpacing w:val="0"/>
        <w:rPr>
          <w:rFonts w:ascii="Calibri" w:eastAsia="Calibri" w:hAnsi="Calibri" w:cs="Calibri"/>
          <w:color w:val="000000" w:themeColor="text1"/>
          <w:sz w:val="22"/>
          <w:szCs w:val="22"/>
        </w:rPr>
      </w:pPr>
      <w:r w:rsidRPr="00D45D9D">
        <w:t>5 fee u</w:t>
      </w:r>
      <w:r w:rsidRPr="487D1F28">
        <w:rPr>
          <w:rFonts w:ascii="Calibri" w:eastAsia="Calibri" w:hAnsi="Calibri" w:cs="Calibri"/>
          <w:color w:val="000000" w:themeColor="text1"/>
          <w:sz w:val="22"/>
          <w:szCs w:val="22"/>
        </w:rPr>
        <w:t>nits ($75.15) for applications to vary an approval</w:t>
      </w:r>
      <w:r>
        <w:rPr>
          <w:rFonts w:ascii="Calibri" w:eastAsia="Calibri" w:hAnsi="Calibri" w:cs="Calibri"/>
          <w:color w:val="000000" w:themeColor="text1"/>
          <w:sz w:val="22"/>
          <w:szCs w:val="22"/>
        </w:rPr>
        <w:t>.</w:t>
      </w:r>
    </w:p>
    <w:p w14:paraId="0CAEB17C" w14:textId="7F7B05AB" w:rsidR="007D73DC" w:rsidRPr="008B262B" w:rsidRDefault="00F65445" w:rsidP="4D32CA12">
      <w:r>
        <w:t xml:space="preserve">This suggests (based on the </w:t>
      </w:r>
      <w:r w:rsidR="0BEC8A9D" w:rsidRPr="00D45D9D">
        <w:t xml:space="preserve">currently prescribed fees and </w:t>
      </w:r>
      <w:r>
        <w:t xml:space="preserve">the </w:t>
      </w:r>
      <w:r w:rsidR="0BEC8A9D" w:rsidRPr="00D45D9D">
        <w:t>five-year average volume of around 313 applications per year</w:t>
      </w:r>
      <w:r>
        <w:t xml:space="preserve">) </w:t>
      </w:r>
      <w:r w:rsidR="00D45D9D">
        <w:t>that</w:t>
      </w:r>
      <w:r w:rsidR="0BEC8A9D" w:rsidRPr="00D45D9D">
        <w:t xml:space="preserve"> </w:t>
      </w:r>
      <w:r w:rsidR="00D45D9D">
        <w:t>the maximum</w:t>
      </w:r>
      <w:r w:rsidR="0BEC8A9D" w:rsidRPr="00D45D9D">
        <w:t xml:space="preserve"> feasible </w:t>
      </w:r>
      <w:r w:rsidR="00D45D9D">
        <w:t xml:space="preserve">annual </w:t>
      </w:r>
      <w:r w:rsidR="0BEC8A9D" w:rsidRPr="00D45D9D">
        <w:t xml:space="preserve">fee revenue associated with the </w:t>
      </w:r>
      <w:r w:rsidR="00F87134">
        <w:t>current fee structure</w:t>
      </w:r>
      <w:r w:rsidR="0BEC8A9D" w:rsidRPr="00D45D9D">
        <w:t xml:space="preserve"> would be around $63,500 per year. </w:t>
      </w:r>
      <w:r w:rsidR="006C4A88">
        <w:t xml:space="preserve">This </w:t>
      </w:r>
      <w:r w:rsidR="007D73DC" w:rsidRPr="00D45D9D">
        <w:t>suggests that the currently prescribed fees do not fully recover the costs of administering approvals</w:t>
      </w:r>
      <w:r w:rsidR="00B70429">
        <w:t xml:space="preserve">, </w:t>
      </w:r>
      <w:r w:rsidR="00D7769C">
        <w:t xml:space="preserve">with a small </w:t>
      </w:r>
      <w:r w:rsidR="00B320B7">
        <w:t xml:space="preserve">under-recovering </w:t>
      </w:r>
      <w:r w:rsidR="00D7769C">
        <w:t>of</w:t>
      </w:r>
      <w:r w:rsidR="00B320B7">
        <w:t xml:space="preserve"> around $11,500 per year, on average.</w:t>
      </w:r>
    </w:p>
    <w:p w14:paraId="66D0D30E" w14:textId="51789E83" w:rsidR="00B320B7" w:rsidRDefault="00443E43" w:rsidP="00B320B7">
      <w:pPr>
        <w:pStyle w:val="Heading2"/>
      </w:pPr>
      <w:bookmarkStart w:id="72" w:name="_Toc79397217"/>
      <w:r>
        <w:t xml:space="preserve">Preferred </w:t>
      </w:r>
      <w:r w:rsidR="00B320B7">
        <w:t xml:space="preserve">option: </w:t>
      </w:r>
      <w:r w:rsidR="005405E4">
        <w:t>remake the regulations with the current fees</w:t>
      </w:r>
      <w:bookmarkEnd w:id="72"/>
    </w:p>
    <w:p w14:paraId="3AC94E1F" w14:textId="2B6065F7" w:rsidR="00FD018F" w:rsidRDefault="00443E43" w:rsidP="00B33EDA">
      <w:r>
        <w:t>G</w:t>
      </w:r>
      <w:r w:rsidR="005405E4">
        <w:t>iven that the very low volume of approvals and the small total administrative cost to Victoria Police of administering approvals</w:t>
      </w:r>
      <w:r w:rsidR="00B33EDA">
        <w:t xml:space="preserve">, this RIS does not </w:t>
      </w:r>
      <w:r w:rsidR="00B15AEF">
        <w:t>include a</w:t>
      </w:r>
      <w:r w:rsidR="003A5511">
        <w:t xml:space="preserve"> </w:t>
      </w:r>
      <w:r w:rsidR="0BEC8A9D" w:rsidRPr="00D45D9D">
        <w:t>detailed options analysis for prescribing fees</w:t>
      </w:r>
    </w:p>
    <w:p w14:paraId="61B9C0A5" w14:textId="4345E0E9" w:rsidR="27F1E003" w:rsidRPr="007D73DC" w:rsidRDefault="0BEC8A9D" w:rsidP="4D32CA12">
      <w:pPr>
        <w:rPr>
          <w:b/>
          <w:bCs/>
        </w:rPr>
      </w:pPr>
      <w:r w:rsidRPr="00D45D9D">
        <w:t xml:space="preserve">Instead, </w:t>
      </w:r>
      <w:r w:rsidR="00900D12">
        <w:t>the paragraphs below</w:t>
      </w:r>
      <w:r w:rsidRPr="00D45D9D">
        <w:t xml:space="preserve"> </w:t>
      </w:r>
      <w:r w:rsidR="00900D12">
        <w:t>provide</w:t>
      </w:r>
      <w:r w:rsidRPr="00D45D9D">
        <w:t xml:space="preserve"> a brief discussion of </w:t>
      </w:r>
      <w:r w:rsidR="00B33EDA">
        <w:t xml:space="preserve">why the preferred approach is to remake the regulations with the current fee settings, </w:t>
      </w:r>
      <w:r w:rsidR="00443E43">
        <w:t xml:space="preserve">as opposed to pursuing a full cost recovery option that increases fees to try </w:t>
      </w:r>
      <w:r w:rsidR="00B33EDA">
        <w:t>to recover the small shortfall in fee revenue.</w:t>
      </w:r>
    </w:p>
    <w:p w14:paraId="3F79E407" w14:textId="431426D1" w:rsidR="005C16B5" w:rsidRDefault="000407B5" w:rsidP="005C16B5">
      <w:pPr>
        <w:pStyle w:val="Heading3"/>
      </w:pPr>
      <w:r>
        <w:t>The administrative effo</w:t>
      </w:r>
      <w:r w:rsidR="00134503">
        <w:t xml:space="preserve">rt of changing fees </w:t>
      </w:r>
      <w:r>
        <w:t>would likely</w:t>
      </w:r>
      <w:r w:rsidR="00D93E76">
        <w:t xml:space="preserve"> outweigh the current shortfall in revenue</w:t>
      </w:r>
    </w:p>
    <w:p w14:paraId="2E0BDD4E" w14:textId="328282E2" w:rsidR="0029069B" w:rsidRDefault="00694A2F" w:rsidP="00694A2F">
      <w:r w:rsidRPr="00D45D9D">
        <w:t xml:space="preserve">Given the small total administrative cost </w:t>
      </w:r>
      <w:r w:rsidR="000D7BB4">
        <w:t xml:space="preserve">of $75,000 per year </w:t>
      </w:r>
      <w:r w:rsidRPr="00D45D9D">
        <w:t xml:space="preserve">to Victoria Police of administering the </w:t>
      </w:r>
      <w:r w:rsidR="001B3490">
        <w:t>R</w:t>
      </w:r>
      <w:r w:rsidRPr="00D45D9D">
        <w:t xml:space="preserve">egulations, any cross-subsidisation due to these fees is likely to be </w:t>
      </w:r>
      <w:r>
        <w:t>similarly</w:t>
      </w:r>
      <w:r w:rsidRPr="00D45D9D">
        <w:t xml:space="preserve"> small in value and consequence.</w:t>
      </w:r>
      <w:r w:rsidR="00D93E76">
        <w:t xml:space="preserve"> </w:t>
      </w:r>
      <w:r w:rsidR="00236393">
        <w:t xml:space="preserve">Determining </w:t>
      </w:r>
      <w:r w:rsidR="00D93E76">
        <w:t xml:space="preserve">how to equitably and efficiently recover the </w:t>
      </w:r>
      <w:r w:rsidR="00CA1AC9">
        <w:t xml:space="preserve">small </w:t>
      </w:r>
      <w:r w:rsidR="00D93E76">
        <w:t xml:space="preserve">revenue shortfall </w:t>
      </w:r>
      <w:r w:rsidR="00CC0D16">
        <w:t>in the context of the current fee structure</w:t>
      </w:r>
      <w:r w:rsidR="00236393">
        <w:t xml:space="preserve"> would require, f</w:t>
      </w:r>
      <w:r w:rsidR="00CC0D16">
        <w:t xml:space="preserve">or example, </w:t>
      </w:r>
      <w:r w:rsidR="00465A79">
        <w:t xml:space="preserve">ascertaining </w:t>
      </w:r>
      <w:r w:rsidR="00CC0D16">
        <w:t xml:space="preserve">what proportion of the effort associated with the unrecovered costs was attributable to each type of </w:t>
      </w:r>
      <w:r w:rsidR="0052406D">
        <w:t xml:space="preserve">approval. </w:t>
      </w:r>
    </w:p>
    <w:p w14:paraId="160F0D30" w14:textId="6AD21DF6" w:rsidR="00694A2F" w:rsidRPr="00D96E63" w:rsidRDefault="0052406D" w:rsidP="00694A2F">
      <w:pPr>
        <w:rPr>
          <w:b/>
          <w:bCs/>
        </w:rPr>
      </w:pPr>
      <w:r>
        <w:t>The time and effort involve</w:t>
      </w:r>
      <w:r w:rsidR="000A7D18">
        <w:t>d</w:t>
      </w:r>
      <w:r>
        <w:t xml:space="preserve"> in estimating those administrative costs, </w:t>
      </w:r>
      <w:r w:rsidR="0042334C">
        <w:t xml:space="preserve">updating each of the three fees and communicating the nature of and reason for those changes to stakeholders would likely exceed the </w:t>
      </w:r>
      <w:r w:rsidR="0029069B">
        <w:t>shortfall in revenue.</w:t>
      </w:r>
    </w:p>
    <w:p w14:paraId="63D67850" w14:textId="54BF25B4" w:rsidR="0029069B" w:rsidRDefault="00FD018F" w:rsidP="0029069B">
      <w:pPr>
        <w:pStyle w:val="Heading3"/>
      </w:pPr>
      <w:r>
        <w:t>Increasing in current fees may risk increasing non-compliance</w:t>
      </w:r>
    </w:p>
    <w:p w14:paraId="08DB9570" w14:textId="77777777" w:rsidR="00443E43" w:rsidRDefault="0BEC8A9D" w:rsidP="4D32CA12">
      <w:r w:rsidRPr="00D45D9D">
        <w:t xml:space="preserve">In the case of the proposed Regulations, none of the stakeholders consulted regarded the fees as prohibitively costly or suggested that they posed a disproportionate barrier to their activities. However, there were several cases where stakeholders suggested that other aspects of the regulatory regime deterred people from participating in the legitimate use of weapons, or using weapons without going through the proper approval channels. </w:t>
      </w:r>
    </w:p>
    <w:p w14:paraId="718B1E77" w14:textId="5F882B2C" w:rsidR="00CE644E" w:rsidRDefault="00CE644E" w:rsidP="00CE644E">
      <w:pPr>
        <w:pStyle w:val="Heading3"/>
      </w:pPr>
      <w:r>
        <w:t xml:space="preserve">The </w:t>
      </w:r>
      <w:r w:rsidR="00564FEF">
        <w:t>fees prescribed in the proposed Regulations</w:t>
      </w:r>
    </w:p>
    <w:p w14:paraId="1F50AAE6" w14:textId="5C9970D5" w:rsidR="00564FEF" w:rsidRDefault="0BEC8A9D" w:rsidP="00564FEF">
      <w:r w:rsidRPr="00D45D9D">
        <w:t xml:space="preserve">In order to avoid the potential unintended consequence </w:t>
      </w:r>
      <w:r w:rsidR="00CA1AC9">
        <w:t>noted above,</w:t>
      </w:r>
      <w:r w:rsidR="002A1D0D">
        <w:t xml:space="preserve"> </w:t>
      </w:r>
      <w:r w:rsidR="00465A79">
        <w:t xml:space="preserve">and </w:t>
      </w:r>
      <w:r w:rsidR="002A1D0D">
        <w:t xml:space="preserve">given </w:t>
      </w:r>
      <w:r w:rsidR="00465A79">
        <w:t xml:space="preserve">that </w:t>
      </w:r>
      <w:r w:rsidR="002A1D0D">
        <w:t xml:space="preserve">there are negligible </w:t>
      </w:r>
      <w:r w:rsidR="00443E43">
        <w:t xml:space="preserve">net benefits from addressing the </w:t>
      </w:r>
      <w:r w:rsidR="00CA1AC9">
        <w:t xml:space="preserve">small </w:t>
      </w:r>
      <w:r w:rsidR="00443E43">
        <w:t>revenue shortfall and any associated cross-subsidisation</w:t>
      </w:r>
      <w:r w:rsidR="002A1D0D">
        <w:t xml:space="preserve"> to be reaped in negating cross-subsidisation,</w:t>
      </w:r>
      <w:r w:rsidRPr="00D45D9D">
        <w:t xml:space="preserve"> the proposed Regulations do not increase the number of fee units prescribed</w:t>
      </w:r>
      <w:r w:rsidR="000E6722">
        <w:t xml:space="preserve"> in line with an option of full cost recovery.</w:t>
      </w:r>
      <w:r w:rsidR="00CA1AC9">
        <w:t xml:space="preserve"> </w:t>
      </w:r>
      <w:r w:rsidR="00564FEF">
        <w:t xml:space="preserve">The proposed approach to fee setting in this RIS is to </w:t>
      </w:r>
      <w:r w:rsidR="00F23F96">
        <w:t>re</w:t>
      </w:r>
      <w:r w:rsidR="00564FEF">
        <w:t xml:space="preserve">make </w:t>
      </w:r>
      <w:r w:rsidR="001906F2">
        <w:t xml:space="preserve">Regulations </w:t>
      </w:r>
      <w:r w:rsidR="00F23F96">
        <w:t xml:space="preserve">for fees with </w:t>
      </w:r>
      <w:r w:rsidR="00564FEF">
        <w:t xml:space="preserve">no change </w:t>
      </w:r>
      <w:r w:rsidR="00F23F96">
        <w:t xml:space="preserve">to </w:t>
      </w:r>
      <w:r w:rsidR="00564FEF">
        <w:t>the current fee settings and structure.</w:t>
      </w:r>
    </w:p>
    <w:p w14:paraId="7113CA9C" w14:textId="77777777" w:rsidR="00564FEF" w:rsidRDefault="00564FEF" w:rsidP="00443E43"/>
    <w:p w14:paraId="6CF32D5F" w14:textId="6C887C02" w:rsidR="27F1E003" w:rsidRDefault="27F1E003" w:rsidP="4D32CA12"/>
    <w:p w14:paraId="212502F4" w14:textId="73A903CF" w:rsidR="5FFDF6CE" w:rsidRDefault="5FFDF6CE" w:rsidP="5FFDF6CE"/>
    <w:p w14:paraId="10CA0596" w14:textId="6BEDA3D9" w:rsidR="00B04053" w:rsidRDefault="00B04053" w:rsidP="00B04053">
      <w:pPr>
        <w:pStyle w:val="Heading1"/>
      </w:pPr>
      <w:bookmarkStart w:id="73" w:name="_Toc79397218"/>
      <w:r>
        <w:t>Impact on competition and small business</w:t>
      </w:r>
      <w:bookmarkEnd w:id="67"/>
      <w:bookmarkEnd w:id="73"/>
    </w:p>
    <w:p w14:paraId="654C3194" w14:textId="77777777" w:rsidR="002B53EA" w:rsidRPr="00BF281D" w:rsidRDefault="002B53EA" w:rsidP="002B53EA">
      <w:pPr>
        <w:pStyle w:val="Sectionintro"/>
      </w:pPr>
      <w:r w:rsidRPr="00BF281D">
        <w:t xml:space="preserve">This chapter discusses </w:t>
      </w:r>
      <w:bookmarkStart w:id="74" w:name="_Hlk63344361"/>
      <w:r w:rsidRPr="00BF281D">
        <w:t>some of the considerations for competition and small business</w:t>
      </w:r>
      <w:bookmarkEnd w:id="74"/>
      <w:r w:rsidRPr="00817682">
        <w:t>.</w:t>
      </w:r>
    </w:p>
    <w:p w14:paraId="6073F6E8" w14:textId="2AF18DDE" w:rsidR="00C43574" w:rsidRDefault="00C43574" w:rsidP="00C43574">
      <w:r>
        <w:t xml:space="preserve">While small businesses may experience disproportionate effects from these </w:t>
      </w:r>
      <w:r w:rsidR="001B3490">
        <w:t>R</w:t>
      </w:r>
      <w:r>
        <w:t xml:space="preserve">egulations, these effects are not likely to be widespread or significant. A large proportion of stakeholders subject to the Regulations are organisations not actively seeking profit but rather recreation. </w:t>
      </w:r>
      <w:r w:rsidR="001906F2">
        <w:t xml:space="preserve">As such, the majority of stakeholders are not competing with large businesses in the marketplace. </w:t>
      </w:r>
      <w:r>
        <w:t>Small businesses within this industry are mostly limited to small-scale weapons retailers and film-makers.</w:t>
      </w:r>
    </w:p>
    <w:p w14:paraId="5BD3FDD8" w14:textId="62D908B5" w:rsidR="00232D85" w:rsidRDefault="00232D85" w:rsidP="00330ABF">
      <w:r>
        <w:t xml:space="preserve">Reasons small businesses might be disproportionately </w:t>
      </w:r>
      <w:r w:rsidR="00897EE4">
        <w:t>a</w:t>
      </w:r>
      <w:r>
        <w:t xml:space="preserve">ffected by the preferred option are mostly limited </w:t>
      </w:r>
      <w:r w:rsidR="00195A75">
        <w:t xml:space="preserve">to small businesses </w:t>
      </w:r>
      <w:r w:rsidR="00972000">
        <w:t xml:space="preserve">lacking economies of scale </w:t>
      </w:r>
      <w:r w:rsidR="001C01EF">
        <w:t>that allow compliance costs to be spread across a large customer base</w:t>
      </w:r>
      <w:r w:rsidR="0033224F">
        <w:t>,</w:t>
      </w:r>
      <w:r w:rsidR="00005A88">
        <w:t xml:space="preserve"> </w:t>
      </w:r>
      <w:r w:rsidR="00C76B0D">
        <w:t xml:space="preserve">having </w:t>
      </w:r>
      <w:r w:rsidR="00005A88">
        <w:t>less capability to understand and comply with regulatory requirements,</w:t>
      </w:r>
      <w:r w:rsidR="00EE5F5E">
        <w:t xml:space="preserve"> </w:t>
      </w:r>
      <w:r w:rsidR="004E5DC4">
        <w:t>and</w:t>
      </w:r>
      <w:r w:rsidR="00EE5F5E">
        <w:t xml:space="preserve"> </w:t>
      </w:r>
      <w:r w:rsidR="00C34A37">
        <w:t>spending a higher proportion of revenue on compliance costs such as fees.</w:t>
      </w:r>
    </w:p>
    <w:p w14:paraId="6EBE1FF5" w14:textId="77777777" w:rsidR="00BF2B9C" w:rsidRDefault="00D3028F" w:rsidP="00330ABF">
      <w:r>
        <w:t xml:space="preserve">Regulatory burden on a small business </w:t>
      </w:r>
      <w:r w:rsidR="00251763">
        <w:t>under the preferred option presents itself in</w:t>
      </w:r>
      <w:r w:rsidR="00BF2B9C">
        <w:t xml:space="preserve"> the following</w:t>
      </w:r>
      <w:r w:rsidR="00251763">
        <w:t xml:space="preserve"> two forms</w:t>
      </w:r>
      <w:r w:rsidR="00BF2B9C">
        <w:t>:</w:t>
      </w:r>
      <w:r w:rsidR="00251763">
        <w:t xml:space="preserve"> </w:t>
      </w:r>
    </w:p>
    <w:p w14:paraId="0EDCE7B4" w14:textId="77777777" w:rsidR="0066567B" w:rsidRDefault="00251763" w:rsidP="003B4B20">
      <w:pPr>
        <w:pStyle w:val="ListParagraph"/>
        <w:numPr>
          <w:ilvl w:val="0"/>
          <w:numId w:val="27"/>
        </w:numPr>
      </w:pPr>
      <w:r>
        <w:t xml:space="preserve">the </w:t>
      </w:r>
      <w:r w:rsidR="00AD783A">
        <w:t xml:space="preserve">small business must spend time and/or money to acquire an approval or exemption to </w:t>
      </w:r>
      <w:r w:rsidR="009A506D">
        <w:t xml:space="preserve">bring into Victoria, manufacture, </w:t>
      </w:r>
      <w:r w:rsidR="00E56185">
        <w:t>display</w:t>
      </w:r>
      <w:r w:rsidR="00760476">
        <w:t xml:space="preserve">, </w:t>
      </w:r>
      <w:r w:rsidR="006652BB">
        <w:t>sell</w:t>
      </w:r>
      <w:r w:rsidR="000C5E22">
        <w:t>,</w:t>
      </w:r>
      <w:r w:rsidR="006652BB">
        <w:t xml:space="preserve"> </w:t>
      </w:r>
      <w:r w:rsidR="00760476">
        <w:t xml:space="preserve">possess or </w:t>
      </w:r>
      <w:r w:rsidR="00AD783A">
        <w:t xml:space="preserve">use a prohibited weapon </w:t>
      </w:r>
    </w:p>
    <w:p w14:paraId="788135BA" w14:textId="048AC069" w:rsidR="004B5176" w:rsidRDefault="00B70185" w:rsidP="004B5176">
      <w:pPr>
        <w:pStyle w:val="ListParagraph"/>
        <w:numPr>
          <w:ilvl w:val="0"/>
          <w:numId w:val="27"/>
        </w:numPr>
      </w:pPr>
      <w:r>
        <w:t xml:space="preserve">if the small businesses sells </w:t>
      </w:r>
      <w:r w:rsidR="00E647BE">
        <w:t xml:space="preserve">a </w:t>
      </w:r>
      <w:r>
        <w:t xml:space="preserve">prohibited weapon they must spend time </w:t>
      </w:r>
      <w:r w:rsidR="0087277F">
        <w:t xml:space="preserve">making </w:t>
      </w:r>
      <w:r w:rsidR="0082226D">
        <w:t xml:space="preserve">a </w:t>
      </w:r>
      <w:r w:rsidR="0087277F">
        <w:t>record of the sale.</w:t>
      </w:r>
    </w:p>
    <w:p w14:paraId="6D5BDBAA" w14:textId="7AC444D0" w:rsidR="004B5176" w:rsidRDefault="00F21260" w:rsidP="0087277F">
      <w:r>
        <w:t>Stakeholder feedback has suggested these burdens are not substantial</w:t>
      </w:r>
      <w:r w:rsidR="001A0F71">
        <w:t xml:space="preserve"> and thus any disproportionate effect on small businesses is </w:t>
      </w:r>
      <w:r w:rsidR="00493310">
        <w:t>slight.</w:t>
      </w:r>
      <w:r w:rsidR="005F2931">
        <w:t xml:space="preserve"> Further, the proposed changes to the Regulations</w:t>
      </w:r>
      <w:r w:rsidR="001C0662">
        <w:t>, namely additional record-keeping requirements,</w:t>
      </w:r>
      <w:r w:rsidR="005F2931">
        <w:t xml:space="preserve"> pose minimal further burden</w:t>
      </w:r>
      <w:r w:rsidR="001C0662">
        <w:t>.</w:t>
      </w:r>
    </w:p>
    <w:p w14:paraId="7BEF3ADD" w14:textId="0FDC47D5" w:rsidR="00103499" w:rsidRDefault="006B2C54" w:rsidP="0087277F">
      <w:r>
        <w:t xml:space="preserve">The Victorian Guide to Regulation also requires a RIS to assess the impact of </w:t>
      </w:r>
      <w:r w:rsidR="001B3490">
        <w:t>R</w:t>
      </w:r>
      <w:r>
        <w:t xml:space="preserve">egulations on competition. </w:t>
      </w:r>
      <w:r w:rsidR="00A70A85">
        <w:t xml:space="preserve">Regulations can affect competition by preventing or limiting the ability of individuals and businesses to enter and compete within particular markets. </w:t>
      </w:r>
    </w:p>
    <w:p w14:paraId="04C614FE" w14:textId="10BC631D" w:rsidR="00250878" w:rsidRDefault="00DD5340" w:rsidP="0087277F">
      <w:r>
        <w:t xml:space="preserve">The costs which might impede an individual or business from entering the market in the case of the preferred option </w:t>
      </w:r>
      <w:r w:rsidR="002656D8">
        <w:t xml:space="preserve">are limited to the compliance costs just mentioned with the addition to the barrier of understanding the </w:t>
      </w:r>
      <w:r w:rsidR="001B3490">
        <w:t>R</w:t>
      </w:r>
      <w:r w:rsidR="002656D8">
        <w:t>egulations</w:t>
      </w:r>
      <w:r w:rsidR="007778C7">
        <w:t xml:space="preserve"> and what is prescribed.</w:t>
      </w:r>
      <w:r w:rsidR="002656D8">
        <w:t xml:space="preserve"> </w:t>
      </w:r>
    </w:p>
    <w:p w14:paraId="19816D48" w14:textId="6FD8C611" w:rsidR="00024E41" w:rsidRDefault="002B0868" w:rsidP="0087277F">
      <w:r>
        <w:t xml:space="preserve">As mentioned, stakeholder consultation revealed that </w:t>
      </w:r>
      <w:r w:rsidR="00233694">
        <w:t>the b</w:t>
      </w:r>
      <w:r w:rsidR="004F2EC8">
        <w:t>urden of acquiring an approval or exemption as well as the process of record keeping in the case of retail</w:t>
      </w:r>
      <w:r w:rsidR="007E1612">
        <w:t>er</w:t>
      </w:r>
      <w:r w:rsidR="004F2EC8">
        <w:t xml:space="preserve">s is </w:t>
      </w:r>
      <w:r w:rsidR="007E1612">
        <w:t>not substantial enough to prevent a</w:t>
      </w:r>
      <w:r w:rsidR="00B93E71">
        <w:t xml:space="preserve"> </w:t>
      </w:r>
      <w:r w:rsidR="006D0393">
        <w:t xml:space="preserve">business from feasibly undertaking their desired activities. </w:t>
      </w:r>
      <w:r w:rsidR="00F67765">
        <w:t xml:space="preserve">By this same notion, these minimal costs would not bar </w:t>
      </w:r>
      <w:r w:rsidR="0044287E">
        <w:t>large numbers of</w:t>
      </w:r>
      <w:r w:rsidR="00F67765">
        <w:t xml:space="preserve"> individual</w:t>
      </w:r>
      <w:r w:rsidR="0044287E">
        <w:t>s</w:t>
      </w:r>
      <w:r w:rsidR="00F67765">
        <w:t xml:space="preserve"> or business</w:t>
      </w:r>
      <w:r w:rsidR="0044287E">
        <w:t>es</w:t>
      </w:r>
      <w:r w:rsidR="00F67765">
        <w:t xml:space="preserve"> from entering into the marketplace.</w:t>
      </w:r>
    </w:p>
    <w:p w14:paraId="6A336B3E" w14:textId="0956B349" w:rsidR="00852CB6" w:rsidRDefault="00852CB6" w:rsidP="0087277F">
      <w:r>
        <w:t>An overview of the anticipated small business and competition impacts of the proposed Regulations is included in Table 6.1 below.</w:t>
      </w:r>
    </w:p>
    <w:p w14:paraId="1896A994" w14:textId="77777777" w:rsidR="00C034F1" w:rsidRDefault="00C034F1">
      <w:pPr>
        <w:spacing w:after="0"/>
      </w:pPr>
      <w:r>
        <w:br w:type="page"/>
      </w:r>
    </w:p>
    <w:p w14:paraId="15267D99" w14:textId="77777777" w:rsidR="00C034F1" w:rsidRDefault="00C034F1" w:rsidP="00C034F1"/>
    <w:p w14:paraId="00AD2290" w14:textId="20B4DF59" w:rsidR="00C034F1" w:rsidRDefault="00C034F1" w:rsidP="00C034F1">
      <w:pPr>
        <w:pStyle w:val="CaptionTable"/>
        <w:spacing w:after="60"/>
      </w:pPr>
      <w:bookmarkStart w:id="75" w:name="_Toc79397169"/>
      <w:r>
        <w:t xml:space="preserve">: </w:t>
      </w:r>
      <w:r w:rsidR="00852CB6">
        <w:t>Anticipated small business and competition impacts of the proposed Regulations</w:t>
      </w:r>
      <w:bookmarkEnd w:id="75"/>
    </w:p>
    <w:tbl>
      <w:tblPr>
        <w:tblStyle w:val="Deloittetable"/>
        <w:tblW w:w="0" w:type="auto"/>
        <w:tblLook w:val="04A0" w:firstRow="1" w:lastRow="0" w:firstColumn="1" w:lastColumn="0" w:noHBand="0" w:noVBand="1"/>
      </w:tblPr>
      <w:tblGrid>
        <w:gridCol w:w="3340"/>
        <w:gridCol w:w="3340"/>
        <w:gridCol w:w="3340"/>
      </w:tblGrid>
      <w:tr w:rsidR="00FD4827" w14:paraId="14C27E08" w14:textId="77777777" w:rsidTr="00B41AC4">
        <w:trPr>
          <w:cnfStyle w:val="100000000000" w:firstRow="1" w:lastRow="0" w:firstColumn="0" w:lastColumn="0" w:oddVBand="0" w:evenVBand="0" w:oddHBand="0" w:evenHBand="0" w:firstRowFirstColumn="0" w:firstRowLastColumn="0" w:lastRowFirstColumn="0" w:lastRowLastColumn="0"/>
          <w:trHeight w:val="661"/>
        </w:trPr>
        <w:tc>
          <w:tcPr>
            <w:tcW w:w="3340" w:type="dxa"/>
          </w:tcPr>
          <w:p w14:paraId="08B767AE" w14:textId="263313DF" w:rsidR="00FD4827" w:rsidRPr="00D762E5" w:rsidRDefault="00FD4827" w:rsidP="00852CB6">
            <w:pPr>
              <w:rPr>
                <w:b/>
                <w:bCs/>
              </w:rPr>
            </w:pPr>
            <w:r>
              <w:rPr>
                <w:b/>
                <w:bCs/>
              </w:rPr>
              <w:t xml:space="preserve">Proposed </w:t>
            </w:r>
            <w:r w:rsidR="00E63CE1">
              <w:rPr>
                <w:b/>
                <w:bCs/>
              </w:rPr>
              <w:t>R</w:t>
            </w:r>
            <w:r>
              <w:rPr>
                <w:b/>
                <w:bCs/>
              </w:rPr>
              <w:t>egulations</w:t>
            </w:r>
          </w:p>
        </w:tc>
        <w:tc>
          <w:tcPr>
            <w:tcW w:w="3340" w:type="dxa"/>
          </w:tcPr>
          <w:p w14:paraId="7F112F83" w14:textId="27046531" w:rsidR="00FD4827" w:rsidRPr="00FD4827" w:rsidRDefault="00FD4827" w:rsidP="00D762E5">
            <w:pPr>
              <w:ind w:left="0"/>
              <w:rPr>
                <w:b/>
                <w:bCs/>
              </w:rPr>
            </w:pPr>
            <w:r>
              <w:rPr>
                <w:b/>
                <w:bCs/>
              </w:rPr>
              <w:t>Impact on small businesses</w:t>
            </w:r>
          </w:p>
        </w:tc>
        <w:tc>
          <w:tcPr>
            <w:tcW w:w="3340" w:type="dxa"/>
          </w:tcPr>
          <w:p w14:paraId="5158A25C" w14:textId="26B9918A" w:rsidR="00FD4827" w:rsidRPr="00FD4827" w:rsidRDefault="00FD4827" w:rsidP="0087277F">
            <w:pPr>
              <w:rPr>
                <w:b/>
                <w:bCs/>
              </w:rPr>
            </w:pPr>
            <w:r>
              <w:rPr>
                <w:b/>
                <w:bCs/>
              </w:rPr>
              <w:t>Competition</w:t>
            </w:r>
          </w:p>
        </w:tc>
      </w:tr>
      <w:tr w:rsidR="00FD4827" w14:paraId="28863C22" w14:textId="77777777" w:rsidTr="00536083">
        <w:trPr>
          <w:trHeight w:val="2092"/>
        </w:trPr>
        <w:tc>
          <w:tcPr>
            <w:tcW w:w="3340" w:type="dxa"/>
          </w:tcPr>
          <w:p w14:paraId="0469B394" w14:textId="1C7A8A9E" w:rsidR="00FD4827" w:rsidRDefault="00FD4827" w:rsidP="0087277F">
            <w:r>
              <w:t>Approval/exemption mechanism</w:t>
            </w:r>
            <w:r w:rsidR="00B23D09">
              <w:t xml:space="preserve"> to </w:t>
            </w:r>
            <w:r w:rsidR="000C5E22">
              <w:t xml:space="preserve">bring into Victoria, manufacture, display, sell, possess or </w:t>
            </w:r>
            <w:r w:rsidR="00B23D09">
              <w:t>use a prohibited weapon</w:t>
            </w:r>
          </w:p>
        </w:tc>
        <w:tc>
          <w:tcPr>
            <w:tcW w:w="3340" w:type="dxa"/>
          </w:tcPr>
          <w:p w14:paraId="661AF0DB" w14:textId="7FE7A443" w:rsidR="00FD4827" w:rsidRDefault="007C7313" w:rsidP="0087277F">
            <w:r>
              <w:t>S</w:t>
            </w:r>
            <w:r w:rsidR="00FD4827">
              <w:t xml:space="preserve">mall businesses consulted </w:t>
            </w:r>
            <w:r>
              <w:t>noted</w:t>
            </w:r>
            <w:r w:rsidR="00FD4827">
              <w:t xml:space="preserve"> that the time and money spent acquiring approval or exemption did not have any material consequence on their desired business activities. </w:t>
            </w:r>
            <w:r w:rsidR="00FE4952">
              <w:t>The approval/exemption process does not appear to have a disproportionately adverse impact on small businesses</w:t>
            </w:r>
            <w:r>
              <w:t>.</w:t>
            </w:r>
          </w:p>
        </w:tc>
        <w:tc>
          <w:tcPr>
            <w:tcW w:w="3340" w:type="dxa"/>
          </w:tcPr>
          <w:p w14:paraId="3296F553" w14:textId="1329BB50" w:rsidR="00FD4827" w:rsidRDefault="00E206DB" w:rsidP="0087277F">
            <w:r>
              <w:t xml:space="preserve">The approval/exemption mechanism is </w:t>
            </w:r>
            <w:r w:rsidR="001F3E9B">
              <w:t xml:space="preserve">not </w:t>
            </w:r>
            <w:r>
              <w:t xml:space="preserve">likely to deter individuals or businesses from entering into a market involving prohibited weapons as </w:t>
            </w:r>
            <w:r w:rsidR="001F3E9B">
              <w:t xml:space="preserve">the </w:t>
            </w:r>
            <w:r>
              <w:t>upfront cost</w:t>
            </w:r>
            <w:r w:rsidR="001F3E9B">
              <w:t xml:space="preserve"> of applying for an approval is limited</w:t>
            </w:r>
            <w:r>
              <w:t>.</w:t>
            </w:r>
            <w:r w:rsidR="005E411F">
              <w:t xml:space="preserve"> Incumbent businesses face the same </w:t>
            </w:r>
            <w:r w:rsidR="007C7313">
              <w:t xml:space="preserve">(low) </w:t>
            </w:r>
            <w:r w:rsidR="005E411F">
              <w:t>costs in terms of renewal of approval.</w:t>
            </w:r>
          </w:p>
        </w:tc>
      </w:tr>
      <w:tr w:rsidR="00FD4827" w14:paraId="0A345E2C" w14:textId="77777777" w:rsidTr="00536083">
        <w:trPr>
          <w:trHeight w:val="2466"/>
        </w:trPr>
        <w:tc>
          <w:tcPr>
            <w:tcW w:w="3340" w:type="dxa"/>
          </w:tcPr>
          <w:p w14:paraId="40BD9AC0" w14:textId="642FA4F8" w:rsidR="00FD4827" w:rsidRDefault="00FD4827" w:rsidP="0087277F">
            <w:r>
              <w:t>Record-keeping requirements</w:t>
            </w:r>
          </w:p>
        </w:tc>
        <w:tc>
          <w:tcPr>
            <w:tcW w:w="3340" w:type="dxa"/>
          </w:tcPr>
          <w:p w14:paraId="44E68CA5" w14:textId="77032681" w:rsidR="00FD4827" w:rsidRDefault="0035018A" w:rsidP="0087277F">
            <w:r>
              <w:t xml:space="preserve">Stakeholders note that the regulatory burden associated with these requirements </w:t>
            </w:r>
            <w:r w:rsidR="00296655">
              <w:t xml:space="preserve">was </w:t>
            </w:r>
            <w:r w:rsidR="00073B34">
              <w:t>minor</w:t>
            </w:r>
            <w:r w:rsidR="00296655">
              <w:t xml:space="preserve">. Consultations </w:t>
            </w:r>
            <w:r w:rsidR="00073B34">
              <w:t xml:space="preserve">found that smaller scale firms who did not have </w:t>
            </w:r>
            <w:r w:rsidR="00296655">
              <w:t xml:space="preserve">automated record-keeping systems </w:t>
            </w:r>
            <w:r w:rsidR="00090ADC">
              <w:t xml:space="preserve">bore a larger burden by needing to manually record sales, but that this burden was still minimal </w:t>
            </w:r>
            <w:r w:rsidR="00073B34">
              <w:t>and so not a substantially disproportionate impact</w:t>
            </w:r>
            <w:r w:rsidR="00536083">
              <w:t>.</w:t>
            </w:r>
          </w:p>
        </w:tc>
        <w:tc>
          <w:tcPr>
            <w:tcW w:w="3340" w:type="dxa"/>
          </w:tcPr>
          <w:p w14:paraId="5BAE6810" w14:textId="48E7EF42" w:rsidR="00FD4827" w:rsidRDefault="00073B34" w:rsidP="0087277F">
            <w:r>
              <w:t xml:space="preserve">The record-keeping requirements are not likely to deter individuals or businesses from entering into a market involving prohibited weapons as the </w:t>
            </w:r>
            <w:r w:rsidR="00536083">
              <w:t>regulatory burden posed by these requirements is quite low.</w:t>
            </w:r>
            <w:r>
              <w:t xml:space="preserve"> Incumbent businesses face the same (low) </w:t>
            </w:r>
            <w:r w:rsidR="00536083">
              <w:t>record-keeping requirements</w:t>
            </w:r>
            <w:r>
              <w:t>.</w:t>
            </w:r>
            <w:r w:rsidR="006231DA">
              <w:t xml:space="preserve"> </w:t>
            </w:r>
          </w:p>
        </w:tc>
      </w:tr>
      <w:tr w:rsidR="00FD4827" w14:paraId="6C6F7DE1" w14:textId="77777777" w:rsidTr="006579B4">
        <w:trPr>
          <w:trHeight w:val="2083"/>
        </w:trPr>
        <w:tc>
          <w:tcPr>
            <w:tcW w:w="3340" w:type="dxa"/>
          </w:tcPr>
          <w:p w14:paraId="160D65A0" w14:textId="11900E35" w:rsidR="00FD4827" w:rsidRDefault="00FD4827" w:rsidP="0087277F">
            <w:r>
              <w:t>Prescription of weapons to particular categories</w:t>
            </w:r>
          </w:p>
        </w:tc>
        <w:tc>
          <w:tcPr>
            <w:tcW w:w="3340" w:type="dxa"/>
          </w:tcPr>
          <w:p w14:paraId="1B0061FA" w14:textId="229AB7DB" w:rsidR="00FD4827" w:rsidRDefault="000263FF" w:rsidP="0087277F">
            <w:r>
              <w:t>This impact proportionately impacts both small and large businesses, because the impact o</w:t>
            </w:r>
            <w:r w:rsidR="00437CCB">
              <w:t>n</w:t>
            </w:r>
            <w:r>
              <w:t xml:space="preserve"> the range of weapons that can be sold </w:t>
            </w:r>
            <w:r w:rsidR="00437CCB">
              <w:t>affects all businesses equally.</w:t>
            </w:r>
          </w:p>
        </w:tc>
        <w:tc>
          <w:tcPr>
            <w:tcW w:w="3340" w:type="dxa"/>
          </w:tcPr>
          <w:p w14:paraId="78BB65CB" w14:textId="572E3FB4" w:rsidR="00FD4827" w:rsidRDefault="00A91749" w:rsidP="006579B4">
            <w:r>
              <w:t>By definition, prohibiting the use of a specific type of weapon (without an exemption or approval) will reduce the potential business activity involved in selling that weapon. In this sense, it presents a barrier to entry for those who would otherwise sell those weapons.</w:t>
            </w:r>
          </w:p>
        </w:tc>
      </w:tr>
    </w:tbl>
    <w:p w14:paraId="37A4A530" w14:textId="77777777" w:rsidR="00D762E5" w:rsidRDefault="00D762E5" w:rsidP="0087277F"/>
    <w:p w14:paraId="3144F647" w14:textId="2AC1FA37" w:rsidR="00B04053" w:rsidRDefault="00B04053" w:rsidP="00B04053">
      <w:pPr>
        <w:pStyle w:val="Heading1"/>
      </w:pPr>
      <w:bookmarkStart w:id="76" w:name="_Toc72250493"/>
      <w:bookmarkStart w:id="77" w:name="_Toc79397219"/>
      <w:r>
        <w:t>Implementation</w:t>
      </w:r>
      <w:r w:rsidR="002B53EA">
        <w:t xml:space="preserve">, </w:t>
      </w:r>
      <w:r w:rsidR="00666778">
        <w:t xml:space="preserve">enforcement and </w:t>
      </w:r>
      <w:r>
        <w:t>evaluation</w:t>
      </w:r>
      <w:bookmarkEnd w:id="76"/>
      <w:bookmarkEnd w:id="77"/>
    </w:p>
    <w:p w14:paraId="399A8A1C" w14:textId="1A952FB8" w:rsidR="00C3404F" w:rsidRDefault="00262391" w:rsidP="00201A77">
      <w:pPr>
        <w:pStyle w:val="Heading2"/>
      </w:pPr>
      <w:bookmarkStart w:id="78" w:name="_Toc79397220"/>
      <w:r>
        <w:t>Implement</w:t>
      </w:r>
      <w:r w:rsidR="00201A77">
        <w:t>ation</w:t>
      </w:r>
      <w:bookmarkEnd w:id="78"/>
    </w:p>
    <w:p w14:paraId="59573CBC" w14:textId="18A0FF24" w:rsidR="00CC5FED" w:rsidRDefault="00A00978" w:rsidP="002A25B1">
      <w:pPr>
        <w:rPr>
          <w:rFonts w:cs="Verdana"/>
          <w:color w:val="000000"/>
        </w:rPr>
      </w:pPr>
      <w:r>
        <w:rPr>
          <w:rFonts w:cs="Verdana"/>
          <w:color w:val="000000"/>
        </w:rPr>
        <w:t xml:space="preserve">The proposed </w:t>
      </w:r>
      <w:r w:rsidR="00E63CE1">
        <w:rPr>
          <w:rFonts w:cs="Verdana"/>
          <w:color w:val="000000"/>
        </w:rPr>
        <w:t>R</w:t>
      </w:r>
      <w:r>
        <w:rPr>
          <w:rFonts w:cs="Verdana"/>
          <w:color w:val="000000"/>
        </w:rPr>
        <w:t xml:space="preserve">egulations will come into effect on Friday 26 November 2021. </w:t>
      </w:r>
      <w:r w:rsidR="005D5D2D">
        <w:rPr>
          <w:rFonts w:cs="Verdana"/>
          <w:color w:val="000000"/>
        </w:rPr>
        <w:t>As is the case with the Control of Weapons Regulations 2011, i</w:t>
      </w:r>
      <w:r w:rsidR="00CC5FED">
        <w:rPr>
          <w:rFonts w:cs="Verdana"/>
          <w:color w:val="000000"/>
        </w:rPr>
        <w:t xml:space="preserve">mplementation will </w:t>
      </w:r>
      <w:r w:rsidR="00F46945">
        <w:rPr>
          <w:rFonts w:cs="Verdana"/>
          <w:color w:val="000000"/>
        </w:rPr>
        <w:t xml:space="preserve">be undertaken by Victoria Police. </w:t>
      </w:r>
      <w:r w:rsidR="00C21E36">
        <w:rPr>
          <w:rFonts w:cs="Verdana"/>
          <w:color w:val="000000"/>
        </w:rPr>
        <w:t xml:space="preserve">As the proposed </w:t>
      </w:r>
      <w:r w:rsidR="001B3490">
        <w:rPr>
          <w:rFonts w:cs="Verdana"/>
          <w:color w:val="000000"/>
        </w:rPr>
        <w:t>R</w:t>
      </w:r>
      <w:r w:rsidR="00C21E36">
        <w:rPr>
          <w:rFonts w:cs="Verdana"/>
          <w:color w:val="000000"/>
        </w:rPr>
        <w:t>egulations do not vary significantly from the status quo</w:t>
      </w:r>
      <w:r w:rsidR="005D5D2D">
        <w:rPr>
          <w:rFonts w:cs="Verdana"/>
          <w:color w:val="000000"/>
        </w:rPr>
        <w:t>,</w:t>
      </w:r>
      <w:r w:rsidR="00C21E36">
        <w:rPr>
          <w:rFonts w:cs="Verdana"/>
          <w:color w:val="000000"/>
        </w:rPr>
        <w:t xml:space="preserve"> </w:t>
      </w:r>
      <w:r w:rsidR="005D5D2D">
        <w:rPr>
          <w:rFonts w:cs="Verdana"/>
          <w:color w:val="000000"/>
        </w:rPr>
        <w:t xml:space="preserve">Victoria Police is not likely to require </w:t>
      </w:r>
      <w:r w:rsidR="006B1181">
        <w:rPr>
          <w:rFonts w:cs="Verdana"/>
          <w:color w:val="000000"/>
        </w:rPr>
        <w:t>any additional re</w:t>
      </w:r>
      <w:r w:rsidR="00F377A2">
        <w:rPr>
          <w:rFonts w:cs="Verdana"/>
          <w:color w:val="000000"/>
        </w:rPr>
        <w:t xml:space="preserve">sources. </w:t>
      </w:r>
      <w:r w:rsidR="003F5078">
        <w:rPr>
          <w:rFonts w:cs="Verdana"/>
          <w:color w:val="000000"/>
        </w:rPr>
        <w:t xml:space="preserve">Similarly, implementation of the proposed </w:t>
      </w:r>
      <w:r w:rsidR="001B3490">
        <w:rPr>
          <w:rFonts w:cs="Verdana"/>
          <w:color w:val="000000"/>
        </w:rPr>
        <w:t>R</w:t>
      </w:r>
      <w:r w:rsidR="003F5078">
        <w:rPr>
          <w:rFonts w:cs="Verdana"/>
          <w:color w:val="000000"/>
        </w:rPr>
        <w:t xml:space="preserve">egulations is not expected to have </w:t>
      </w:r>
      <w:r w:rsidR="00FF7D2B">
        <w:rPr>
          <w:rFonts w:cs="Verdana"/>
          <w:color w:val="000000"/>
        </w:rPr>
        <w:t>a</w:t>
      </w:r>
      <w:r w:rsidR="00835179">
        <w:rPr>
          <w:rFonts w:cs="Verdana"/>
          <w:color w:val="000000"/>
        </w:rPr>
        <w:t xml:space="preserve"> </w:t>
      </w:r>
      <w:r w:rsidR="003F5078">
        <w:rPr>
          <w:rFonts w:cs="Verdana"/>
          <w:color w:val="000000"/>
        </w:rPr>
        <w:t xml:space="preserve">material impact on stakeholders </w:t>
      </w:r>
      <w:r w:rsidR="00835179">
        <w:rPr>
          <w:rFonts w:cs="Verdana"/>
          <w:color w:val="000000"/>
        </w:rPr>
        <w:t xml:space="preserve">as compared with the status quo. </w:t>
      </w:r>
    </w:p>
    <w:p w14:paraId="31A35F9B" w14:textId="01F50993" w:rsidR="00323F04" w:rsidRDefault="00323F04" w:rsidP="00323F04">
      <w:pPr>
        <w:pStyle w:val="Heading3"/>
      </w:pPr>
      <w:r>
        <w:t>Communication</w:t>
      </w:r>
    </w:p>
    <w:p w14:paraId="72A6CC15" w14:textId="41DD85EA" w:rsidR="000260F9" w:rsidRDefault="000D1CFB" w:rsidP="007A7B18">
      <w:bookmarkStart w:id="79" w:name="_Hlk72922274"/>
      <w:r w:rsidRPr="000D1CFB">
        <w:t xml:space="preserve">The minor changes in the proposed Regulations (compared to the status quo) will be clearly communicated to various stakeholders by Victoria Police as part of their routine and ongoing stakeholder engagement, which focuses on informing and educating those subject to the Regulations. Victoria Police will also inform stakeholders of these changes through </w:t>
      </w:r>
      <w:r w:rsidR="00F27A2F">
        <w:t xml:space="preserve">its </w:t>
      </w:r>
      <w:r w:rsidRPr="000D1CFB">
        <w:t>website, industry contacts and/or newsletters</w:t>
      </w:r>
      <w:r w:rsidR="00C803F3">
        <w:t>.</w:t>
      </w:r>
    </w:p>
    <w:bookmarkEnd w:id="79"/>
    <w:p w14:paraId="10EB8B7A" w14:textId="4B38EB6C" w:rsidR="00957E1C" w:rsidRDefault="00957E1C" w:rsidP="00A32AC3">
      <w:pPr>
        <w:pStyle w:val="Heading3"/>
      </w:pPr>
      <w:r>
        <w:t>Enforcement and compliance</w:t>
      </w:r>
    </w:p>
    <w:p w14:paraId="68A447A0" w14:textId="2EA1F7A5" w:rsidR="007A4969" w:rsidRDefault="00B91142" w:rsidP="00FA5A39">
      <w:r>
        <w:t xml:space="preserve">Victoria Police </w:t>
      </w:r>
      <w:r w:rsidR="00EF553C">
        <w:t xml:space="preserve">will be responsible </w:t>
      </w:r>
      <w:r w:rsidR="00C544A3">
        <w:t xml:space="preserve">for enforcing and administering the proposed </w:t>
      </w:r>
      <w:r w:rsidR="001B3490">
        <w:t>R</w:t>
      </w:r>
      <w:r w:rsidR="00C544A3">
        <w:t>egulations</w:t>
      </w:r>
      <w:r w:rsidR="00FA3DB1">
        <w:t xml:space="preserve"> a</w:t>
      </w:r>
      <w:r w:rsidR="00381E36">
        <w:t xml:space="preserve">nd will do so using the </w:t>
      </w:r>
      <w:r w:rsidR="00AC31E7">
        <w:t xml:space="preserve">same </w:t>
      </w:r>
      <w:r w:rsidR="00182665">
        <w:t xml:space="preserve">enforcement and compliance systems and processes under the status quo. </w:t>
      </w:r>
      <w:r w:rsidR="00D603E6">
        <w:t>The variations the proposed Regulations impose</w:t>
      </w:r>
      <w:r w:rsidR="00BE114C">
        <w:t xml:space="preserve"> will </w:t>
      </w:r>
      <w:r w:rsidR="00F302F8">
        <w:t>not</w:t>
      </w:r>
      <w:r w:rsidR="00AC31E7">
        <w:t xml:space="preserve"> require</w:t>
      </w:r>
      <w:r w:rsidR="00F302F8">
        <w:t xml:space="preserve"> </w:t>
      </w:r>
      <w:r w:rsidR="00AC31E7">
        <w:t xml:space="preserve">changing </w:t>
      </w:r>
      <w:r w:rsidR="008512BD">
        <w:t xml:space="preserve">the way Victoria Police </w:t>
      </w:r>
      <w:r w:rsidR="00AC31E7">
        <w:t xml:space="preserve">use these mechanisms to </w:t>
      </w:r>
      <w:r w:rsidR="008512BD">
        <w:t>enforce the Regulations.</w:t>
      </w:r>
      <w:r w:rsidR="00236523">
        <w:t xml:space="preserve"> </w:t>
      </w:r>
    </w:p>
    <w:p w14:paraId="345D993F" w14:textId="4917B1BC" w:rsidR="004A0970" w:rsidRDefault="006233A3" w:rsidP="00F41653">
      <w:pPr>
        <w:spacing w:after="60"/>
        <w:contextualSpacing/>
      </w:pPr>
      <w:r>
        <w:t>E</w:t>
      </w:r>
      <w:r w:rsidR="004A0970">
        <w:t>nforcement and compliance</w:t>
      </w:r>
      <w:r w:rsidR="008512BD">
        <w:t>-</w:t>
      </w:r>
      <w:r w:rsidR="004A0970">
        <w:t xml:space="preserve">activities </w:t>
      </w:r>
      <w:r w:rsidR="00124CC5">
        <w:t xml:space="preserve">will </w:t>
      </w:r>
      <w:r w:rsidR="002F3B70">
        <w:t xml:space="preserve">continue to </w:t>
      </w:r>
      <w:r w:rsidR="00124CC5">
        <w:t>include:</w:t>
      </w:r>
    </w:p>
    <w:p w14:paraId="088F091C" w14:textId="4FE7A75F" w:rsidR="00124CC5" w:rsidRDefault="00AA7FCF" w:rsidP="00F41653">
      <w:pPr>
        <w:pStyle w:val="ListParagraph"/>
        <w:numPr>
          <w:ilvl w:val="0"/>
          <w:numId w:val="28"/>
        </w:numPr>
        <w:spacing w:after="60"/>
      </w:pPr>
      <w:r>
        <w:t xml:space="preserve">routine monitoring of </w:t>
      </w:r>
      <w:r w:rsidR="00124CC5">
        <w:t>approval holders</w:t>
      </w:r>
      <w:r>
        <w:t xml:space="preserve">’ </w:t>
      </w:r>
      <w:r w:rsidR="0032189C">
        <w:t xml:space="preserve">compliance </w:t>
      </w:r>
      <w:r>
        <w:t xml:space="preserve">with </w:t>
      </w:r>
      <w:r w:rsidR="0032189C">
        <w:t>requirements</w:t>
      </w:r>
    </w:p>
    <w:p w14:paraId="10E36148" w14:textId="432B7E26" w:rsidR="00E17E35" w:rsidRDefault="00351D32" w:rsidP="00F41653">
      <w:pPr>
        <w:pStyle w:val="ListParagraph"/>
        <w:numPr>
          <w:ilvl w:val="0"/>
          <w:numId w:val="28"/>
        </w:numPr>
        <w:spacing w:after="60"/>
      </w:pPr>
      <w:r>
        <w:t xml:space="preserve">monitoring websites which trade weapons </w:t>
      </w:r>
      <w:r w:rsidR="0095250D">
        <w:t>to ensure buyers and sellers are compliant</w:t>
      </w:r>
    </w:p>
    <w:p w14:paraId="37EBD132" w14:textId="168AEA42" w:rsidR="00E91547" w:rsidRDefault="0095250D" w:rsidP="00F41653">
      <w:pPr>
        <w:pStyle w:val="ListParagraph"/>
        <w:numPr>
          <w:ilvl w:val="0"/>
          <w:numId w:val="28"/>
        </w:numPr>
        <w:spacing w:after="60"/>
      </w:pPr>
      <w:r>
        <w:t xml:space="preserve">educating the public </w:t>
      </w:r>
      <w:r w:rsidR="00595FD2">
        <w:t xml:space="preserve">around changes to the </w:t>
      </w:r>
      <w:r w:rsidR="001B3490">
        <w:t>R</w:t>
      </w:r>
      <w:r w:rsidR="00595FD2">
        <w:t>egulations and how they might be affected</w:t>
      </w:r>
      <w:r w:rsidR="00AB0E8E">
        <w:t>, and</w:t>
      </w:r>
    </w:p>
    <w:p w14:paraId="4C77CF5C" w14:textId="4E1B9AE4" w:rsidR="009D4DC5" w:rsidRDefault="004C0D56" w:rsidP="003B4B20">
      <w:pPr>
        <w:pStyle w:val="ListParagraph"/>
        <w:numPr>
          <w:ilvl w:val="0"/>
          <w:numId w:val="28"/>
        </w:numPr>
      </w:pPr>
      <w:r>
        <w:t xml:space="preserve">investigating </w:t>
      </w:r>
      <w:r w:rsidR="001B1C98">
        <w:t xml:space="preserve">intelligence information </w:t>
      </w:r>
      <w:r w:rsidR="00C633D0">
        <w:t xml:space="preserve">to identify </w:t>
      </w:r>
      <w:r w:rsidR="00244267">
        <w:t>non-compliance and revoke approvals where necessary.</w:t>
      </w:r>
    </w:p>
    <w:p w14:paraId="60796D24" w14:textId="43A47E73" w:rsidR="00A23608" w:rsidRDefault="00244267" w:rsidP="002A25B1">
      <w:pPr>
        <w:pStyle w:val="Heading2"/>
      </w:pPr>
      <w:bookmarkStart w:id="80" w:name="_Toc79397221"/>
      <w:r>
        <w:t>Evaluation</w:t>
      </w:r>
      <w:bookmarkEnd w:id="80"/>
      <w:r>
        <w:t xml:space="preserve"> </w:t>
      </w:r>
      <w:r w:rsidR="00BA225E">
        <w:t xml:space="preserve"> </w:t>
      </w:r>
      <w:r w:rsidR="00C633D0">
        <w:t xml:space="preserve"> </w:t>
      </w:r>
    </w:p>
    <w:p w14:paraId="1893E1D7" w14:textId="646D9261" w:rsidR="00B3361C" w:rsidRDefault="00B3361C" w:rsidP="00B3361C">
      <w:r>
        <w:t>DJCS</w:t>
      </w:r>
      <w:r w:rsidR="003926DF">
        <w:t xml:space="preserve"> has developed </w:t>
      </w:r>
      <w:r w:rsidR="00CC757E">
        <w:t xml:space="preserve">an evaluation strategy to ensure the </w:t>
      </w:r>
      <w:r w:rsidR="000C5FD3">
        <w:t xml:space="preserve">implementation of the </w:t>
      </w:r>
      <w:r w:rsidR="00793248">
        <w:t xml:space="preserve">proposed Regulations </w:t>
      </w:r>
      <w:r w:rsidR="000C5FD3">
        <w:t xml:space="preserve">is efficient and effective in </w:t>
      </w:r>
      <w:r w:rsidR="0035301E">
        <w:t xml:space="preserve">mitigating </w:t>
      </w:r>
      <w:r w:rsidR="00A83FBA">
        <w:t>the misuse of weapons which may cause harm</w:t>
      </w:r>
      <w:r w:rsidR="0035301E">
        <w:t xml:space="preserve"> while allowing</w:t>
      </w:r>
      <w:r w:rsidR="00151F3B">
        <w:t xml:space="preserve"> for legitimate use.</w:t>
      </w:r>
      <w:r w:rsidR="00504271">
        <w:t xml:space="preserve"> A formal evaluation framework will not be proposed given the minimal burden of the proposed Regulations.</w:t>
      </w:r>
      <w:r w:rsidR="00151F3B">
        <w:t xml:space="preserve"> The proposed evaluation strategy </w:t>
      </w:r>
      <w:r w:rsidR="00973836">
        <w:t xml:space="preserve">is outlined below </w:t>
      </w:r>
      <w:r w:rsidR="00BE21EF">
        <w:t xml:space="preserve">and will be refined </w:t>
      </w:r>
      <w:r w:rsidR="004E6C09">
        <w:t>a</w:t>
      </w:r>
      <w:r w:rsidR="000C5FD3">
        <w:t xml:space="preserve">s needed when </w:t>
      </w:r>
      <w:r w:rsidR="004E6C09">
        <w:t xml:space="preserve">the </w:t>
      </w:r>
      <w:r w:rsidR="001B3490">
        <w:t>R</w:t>
      </w:r>
      <w:r w:rsidR="004E6C09">
        <w:t>egulations come into effect.</w:t>
      </w:r>
    </w:p>
    <w:p w14:paraId="3002AC1F" w14:textId="2CC677AC" w:rsidR="00492745" w:rsidRDefault="000D1C92" w:rsidP="0039430F">
      <w:pPr>
        <w:pStyle w:val="Heading3"/>
      </w:pPr>
      <w:r>
        <w:t>Evaluation methods</w:t>
      </w:r>
    </w:p>
    <w:p w14:paraId="54E9DA59" w14:textId="6FD0FE7C" w:rsidR="00912AD3" w:rsidRDefault="0026191C" w:rsidP="00912AD3">
      <w:bookmarkStart w:id="81" w:name="_Hlk72924034"/>
      <w:r>
        <w:t xml:space="preserve">DJCS will monitor and evaluate the </w:t>
      </w:r>
      <w:r w:rsidR="00D77C9D">
        <w:t xml:space="preserve">proposed Regulations in respect </w:t>
      </w:r>
      <w:r w:rsidR="002F1E47">
        <w:t>to their overarching objectives</w:t>
      </w:r>
      <w:r w:rsidR="00EC749E">
        <w:t xml:space="preserve">, being </w:t>
      </w:r>
      <w:r w:rsidR="00C3699E">
        <w:t>to reduce the weapons-related harms outline</w:t>
      </w:r>
      <w:r w:rsidR="00C974E2">
        <w:t>d</w:t>
      </w:r>
      <w:r w:rsidR="00C3699E">
        <w:t xml:space="preserve"> in this RIS and promote </w:t>
      </w:r>
      <w:r w:rsidR="00A83FBA">
        <w:t xml:space="preserve">a sense of public </w:t>
      </w:r>
      <w:r w:rsidR="00FA0C6F">
        <w:t>s</w:t>
      </w:r>
      <w:r w:rsidR="00C974E2">
        <w:t>afety</w:t>
      </w:r>
      <w:r w:rsidR="00FA0C6F">
        <w:t xml:space="preserve">. </w:t>
      </w:r>
      <w:r w:rsidR="00C3699E">
        <w:t xml:space="preserve">Monitoring and evaluation will also consider any change in the impacts on </w:t>
      </w:r>
      <w:r w:rsidR="004F62C2">
        <w:t>legitimate uses of weapons.</w:t>
      </w:r>
    </w:p>
    <w:p w14:paraId="58944ED7" w14:textId="3EA1341E" w:rsidR="00BE5F7C" w:rsidRDefault="00943C46" w:rsidP="00BE5F7C">
      <w:r>
        <w:t>The main issue in evaluation is</w:t>
      </w:r>
      <w:r w:rsidR="00143C45">
        <w:t xml:space="preserve"> measuring their impact in relation to the </w:t>
      </w:r>
      <w:r w:rsidR="001B3490">
        <w:t>B</w:t>
      </w:r>
      <w:r w:rsidR="00143C45">
        <w:t xml:space="preserve">ase </w:t>
      </w:r>
      <w:r w:rsidR="001B3490">
        <w:t>C</w:t>
      </w:r>
      <w:r w:rsidR="00143C45">
        <w:t>ase,</w:t>
      </w:r>
      <w:r w:rsidR="00FD101F">
        <w:t xml:space="preserve"> which is a </w:t>
      </w:r>
      <w:r w:rsidR="00143C45">
        <w:t xml:space="preserve">counterfactual. </w:t>
      </w:r>
      <w:r w:rsidR="00FD101F">
        <w:t xml:space="preserve">Given the difficulty in </w:t>
      </w:r>
      <w:r w:rsidR="00537E6B">
        <w:t xml:space="preserve">establishing with certainty </w:t>
      </w:r>
      <w:r w:rsidR="00567270">
        <w:t xml:space="preserve">how much harm weapons would cause to Victorians in </w:t>
      </w:r>
      <w:r w:rsidR="00C974E2">
        <w:t xml:space="preserve">the </w:t>
      </w:r>
      <w:r w:rsidR="00567270">
        <w:t>absence</w:t>
      </w:r>
      <w:r>
        <w:t xml:space="preserve"> </w:t>
      </w:r>
      <w:r w:rsidR="00537E6B">
        <w:t xml:space="preserve">of </w:t>
      </w:r>
      <w:r w:rsidR="00567270">
        <w:t>the Regulations</w:t>
      </w:r>
      <w:r w:rsidR="00537E6B">
        <w:t>, t</w:t>
      </w:r>
      <w:r w:rsidR="00211136">
        <w:t xml:space="preserve">he evaluation strategy will </w:t>
      </w:r>
      <w:r w:rsidR="007B40E7">
        <w:t xml:space="preserve">rely mainly on </w:t>
      </w:r>
      <w:r w:rsidR="00211136">
        <w:t xml:space="preserve">measuring </w:t>
      </w:r>
      <w:r w:rsidR="0026586D">
        <w:t xml:space="preserve">weapons-related </w:t>
      </w:r>
      <w:r w:rsidR="00BE5F7C">
        <w:t xml:space="preserve">harm in Victoria </w:t>
      </w:r>
      <w:r w:rsidR="0026586D">
        <w:t>over time</w:t>
      </w:r>
      <w:r w:rsidR="00BB5BF1">
        <w:t>, and ongoing stakeholder feedback on the administration and implementation of the Regulations</w:t>
      </w:r>
      <w:r w:rsidR="009C7D95">
        <w:t>.</w:t>
      </w:r>
    </w:p>
    <w:p w14:paraId="0A18AB19" w14:textId="77777777" w:rsidR="00F41653" w:rsidRDefault="00F41653">
      <w:pPr>
        <w:spacing w:after="0"/>
      </w:pPr>
      <w:r>
        <w:br w:type="page"/>
      </w:r>
    </w:p>
    <w:p w14:paraId="01D62BB6" w14:textId="565B5D57" w:rsidR="00612209" w:rsidRDefault="009C7D95" w:rsidP="00F41653">
      <w:pPr>
        <w:spacing w:after="60"/>
      </w:pPr>
      <w:r>
        <w:t xml:space="preserve">If the </w:t>
      </w:r>
      <w:r w:rsidR="00C974E2">
        <w:t>R</w:t>
      </w:r>
      <w:r>
        <w:t xml:space="preserve">egulations continue to be effective at minimising weapons related crime and promoting safety then, absent other changes to the underlying risk factors, the analysis should observe no substantial deviation in the trends for these offences. </w:t>
      </w:r>
      <w:r w:rsidR="00BE5F7C">
        <w:t xml:space="preserve">For example, </w:t>
      </w:r>
      <w:r>
        <w:t>DJCS can monitor change</w:t>
      </w:r>
      <w:r w:rsidR="00D06737">
        <w:t>s</w:t>
      </w:r>
      <w:r>
        <w:t xml:space="preserve"> in trends in </w:t>
      </w:r>
      <w:r w:rsidR="00850121">
        <w:t xml:space="preserve">offences </w:t>
      </w:r>
      <w:r w:rsidR="006D2540">
        <w:t>involving weapons</w:t>
      </w:r>
      <w:r w:rsidR="00D06737">
        <w:t xml:space="preserve"> such as</w:t>
      </w:r>
      <w:r w:rsidR="00612209">
        <w:t>:</w:t>
      </w:r>
    </w:p>
    <w:p w14:paraId="50FF8A7E" w14:textId="7878DA93" w:rsidR="00612209" w:rsidRDefault="00810ACA" w:rsidP="00F41653">
      <w:pPr>
        <w:pStyle w:val="ListParagraph"/>
        <w:numPr>
          <w:ilvl w:val="0"/>
          <w:numId w:val="30"/>
        </w:numPr>
        <w:spacing w:after="60"/>
        <w:ind w:left="284" w:hanging="284"/>
        <w:contextualSpacing w:val="0"/>
      </w:pPr>
      <w:r>
        <w:t>m</w:t>
      </w:r>
      <w:r w:rsidR="00DE653B">
        <w:t>urder</w:t>
      </w:r>
    </w:p>
    <w:p w14:paraId="3CB587C5" w14:textId="77777777" w:rsidR="00612209" w:rsidRDefault="00DE653B" w:rsidP="00F41653">
      <w:pPr>
        <w:pStyle w:val="ListParagraph"/>
        <w:numPr>
          <w:ilvl w:val="0"/>
          <w:numId w:val="30"/>
        </w:numPr>
        <w:spacing w:after="60"/>
        <w:ind w:left="284" w:hanging="284"/>
        <w:contextualSpacing w:val="0"/>
      </w:pPr>
      <w:r>
        <w:t xml:space="preserve">robbery </w:t>
      </w:r>
    </w:p>
    <w:p w14:paraId="172D5A24" w14:textId="6970A221" w:rsidR="00612209" w:rsidRDefault="00DE653B" w:rsidP="00F41653">
      <w:pPr>
        <w:pStyle w:val="ListParagraph"/>
        <w:numPr>
          <w:ilvl w:val="0"/>
          <w:numId w:val="30"/>
        </w:numPr>
        <w:spacing w:after="60"/>
        <w:ind w:left="284" w:hanging="284"/>
        <w:contextualSpacing w:val="0"/>
      </w:pPr>
      <w:r>
        <w:t>kidnapping</w:t>
      </w:r>
      <w:r w:rsidR="008A52E8">
        <w:t>/abduction</w:t>
      </w:r>
    </w:p>
    <w:p w14:paraId="286A0569" w14:textId="2108AC33" w:rsidR="00201A4B" w:rsidRDefault="00DE653B" w:rsidP="00F41653">
      <w:pPr>
        <w:pStyle w:val="ListParagraph"/>
        <w:numPr>
          <w:ilvl w:val="0"/>
          <w:numId w:val="30"/>
        </w:numPr>
        <w:spacing w:after="60"/>
        <w:ind w:left="284" w:hanging="284"/>
        <w:contextualSpacing w:val="0"/>
      </w:pPr>
      <w:r>
        <w:t>assault</w:t>
      </w:r>
    </w:p>
    <w:p w14:paraId="64C2DCB1" w14:textId="4E3D0F91" w:rsidR="008A52E8" w:rsidRDefault="008A52E8" w:rsidP="004F24E1">
      <w:pPr>
        <w:pStyle w:val="ListParagraph"/>
        <w:numPr>
          <w:ilvl w:val="0"/>
          <w:numId w:val="30"/>
        </w:numPr>
        <w:spacing w:after="120"/>
        <w:ind w:left="284" w:hanging="284"/>
        <w:contextualSpacing w:val="0"/>
      </w:pPr>
      <w:r>
        <w:t>sexual assault</w:t>
      </w:r>
      <w:r w:rsidR="001167F4">
        <w:t>.</w:t>
      </w:r>
    </w:p>
    <w:p w14:paraId="5D72522E" w14:textId="0C7CE2F1" w:rsidR="001C0DD3" w:rsidRDefault="006140D9" w:rsidP="008C5B36">
      <w:r>
        <w:t xml:space="preserve">Instances of accidental misuse causing harm </w:t>
      </w:r>
      <w:r w:rsidR="00D06737">
        <w:t xml:space="preserve">are </w:t>
      </w:r>
      <w:r>
        <w:t xml:space="preserve">harder to measure </w:t>
      </w:r>
      <w:r w:rsidR="002C40E9">
        <w:t xml:space="preserve">because </w:t>
      </w:r>
      <w:r w:rsidR="00C4348C">
        <w:t>not all cases will be accompanied by a police report</w:t>
      </w:r>
      <w:r w:rsidR="004B3120">
        <w:t>.</w:t>
      </w:r>
      <w:r w:rsidR="00717A63">
        <w:t xml:space="preserve"> </w:t>
      </w:r>
      <w:r w:rsidR="001C0DD3">
        <w:t xml:space="preserve">Whether the proposed Regulations adequately facilitate the legitimate use of weapons </w:t>
      </w:r>
      <w:r w:rsidR="00241067">
        <w:t xml:space="preserve">can be monitored by DJCS in consultation with Victoria Police and their routine </w:t>
      </w:r>
      <w:r w:rsidR="00EB1E29">
        <w:t xml:space="preserve">stakeholder engagement. </w:t>
      </w:r>
      <w:r w:rsidR="00E5157B">
        <w:t xml:space="preserve">Victoria Police </w:t>
      </w:r>
      <w:r w:rsidR="00EB1E29">
        <w:t>engage stakeholders</w:t>
      </w:r>
      <w:r w:rsidR="00DD5C2F">
        <w:t xml:space="preserve"> who lawfully use weapons</w:t>
      </w:r>
      <w:r w:rsidR="00241067">
        <w:t xml:space="preserve"> and can advise in any significant changes in </w:t>
      </w:r>
      <w:r w:rsidR="008C5B36">
        <w:t>the Regulations’ imposition in legitimate activity.</w:t>
      </w:r>
    </w:p>
    <w:p w14:paraId="3D0AFEE6" w14:textId="16D0B8CB" w:rsidR="00B4203C" w:rsidRDefault="00EC74BD" w:rsidP="00912AD3">
      <w:r>
        <w:t xml:space="preserve">Another measure of the effectiveness </w:t>
      </w:r>
      <w:r w:rsidR="00AF6B07">
        <w:t>of the regulations</w:t>
      </w:r>
      <w:r w:rsidR="0020279F">
        <w:t xml:space="preserve"> is the rate of compliance.</w:t>
      </w:r>
      <w:r w:rsidR="00312C45">
        <w:t xml:space="preserve"> </w:t>
      </w:r>
      <w:r w:rsidR="00987590">
        <w:t xml:space="preserve">Victoria Police collect data </w:t>
      </w:r>
      <w:r w:rsidR="00A025DC">
        <w:t xml:space="preserve">which indicates compliance </w:t>
      </w:r>
      <w:r w:rsidR="00550EE6">
        <w:t xml:space="preserve">when </w:t>
      </w:r>
      <w:r w:rsidR="00A025DC">
        <w:t>conducting searches under the Act and</w:t>
      </w:r>
      <w:r w:rsidR="005008C0">
        <w:t xml:space="preserve">/or </w:t>
      </w:r>
      <w:r w:rsidR="00A025DC">
        <w:t>when auditing</w:t>
      </w:r>
      <w:r w:rsidR="00550EE6">
        <w:t xml:space="preserve"> approval holders</w:t>
      </w:r>
      <w:r w:rsidR="00312C45">
        <w:t xml:space="preserve">. </w:t>
      </w:r>
      <w:r w:rsidR="005008C0">
        <w:t>These data can help monitor any changes in compliance trends</w:t>
      </w:r>
      <w:r w:rsidR="00127AD1">
        <w:t>.</w:t>
      </w:r>
    </w:p>
    <w:p w14:paraId="5E51B266" w14:textId="2F6CE275" w:rsidR="009A2C22" w:rsidRDefault="009A2C22" w:rsidP="009A2C22">
      <w:r>
        <w:t>DCJS would also investigate any notable rise in the unlawful use of a specific weapon type and take advice from Victoria Police regarding the level of concern for community safety that this generates.</w:t>
      </w:r>
    </w:p>
    <w:p w14:paraId="604DFDD0" w14:textId="6B4C8D98" w:rsidR="00785D9C" w:rsidRDefault="009A2C22" w:rsidP="00912AD3">
      <w:r>
        <w:t>Additionally, DJCS would consider any significant changes to weapons regulation in other Australian jurisdictions to enable a reflection on the ongoing appropriateness of the Victorian Regulations over the course of their 10-year existence.</w:t>
      </w:r>
    </w:p>
    <w:bookmarkEnd w:id="81"/>
    <w:p w14:paraId="107C9F66" w14:textId="77777777" w:rsidR="00127AD1" w:rsidRDefault="00127AD1" w:rsidP="00912AD3"/>
    <w:p w14:paraId="49EC150C" w14:textId="6EE3C83F" w:rsidR="00F62B43" w:rsidRDefault="00F62B43">
      <w:pPr>
        <w:spacing w:after="0"/>
      </w:pPr>
      <w:r>
        <w:br w:type="page"/>
      </w:r>
    </w:p>
    <w:p w14:paraId="5C8A810E" w14:textId="77777777" w:rsidR="00F62B43" w:rsidRDefault="00F62B43" w:rsidP="00F62B43">
      <w:pPr>
        <w:pStyle w:val="Heading1"/>
      </w:pPr>
      <w:bookmarkStart w:id="82" w:name="_Toc79397222"/>
      <w:r>
        <w:t>Stakeholder engagement</w:t>
      </w:r>
      <w:bookmarkEnd w:id="82"/>
    </w:p>
    <w:p w14:paraId="4885E85A" w14:textId="7C864C0A" w:rsidR="00F62B43" w:rsidRDefault="00F62B43" w:rsidP="00F62B43">
      <w:r>
        <w:t>The following stakeholders were engaged with by Deloitte as part of this RIS process:</w:t>
      </w:r>
    </w:p>
    <w:p w14:paraId="542F9E9C" w14:textId="77777777" w:rsidR="00F62B43" w:rsidRDefault="00F62B43" w:rsidP="00F62B43">
      <w:pPr>
        <w:pStyle w:val="ListParagraph"/>
        <w:numPr>
          <w:ilvl w:val="0"/>
          <w:numId w:val="47"/>
        </w:numPr>
      </w:pPr>
      <w:r>
        <w:t>Geelong Military Re-enactment Group</w:t>
      </w:r>
    </w:p>
    <w:p w14:paraId="41E49F50" w14:textId="77777777" w:rsidR="00F62B43" w:rsidRDefault="00F62B43" w:rsidP="00F62B43">
      <w:pPr>
        <w:pStyle w:val="ListParagraph"/>
        <w:numPr>
          <w:ilvl w:val="0"/>
          <w:numId w:val="47"/>
        </w:numPr>
      </w:pPr>
      <w:r>
        <w:t>Global Gear Online</w:t>
      </w:r>
    </w:p>
    <w:p w14:paraId="7AC09554" w14:textId="77777777" w:rsidR="00F62B43" w:rsidRDefault="00F62B43" w:rsidP="00F62B43">
      <w:pPr>
        <w:pStyle w:val="ListParagraph"/>
        <w:numPr>
          <w:ilvl w:val="0"/>
          <w:numId w:val="47"/>
        </w:numPr>
      </w:pPr>
      <w:r>
        <w:t xml:space="preserve">Golden City Collectors Association </w:t>
      </w:r>
    </w:p>
    <w:p w14:paraId="492DAC7A" w14:textId="77777777" w:rsidR="00F62B43" w:rsidRDefault="00F62B43" w:rsidP="00F62B43">
      <w:pPr>
        <w:pStyle w:val="ListParagraph"/>
        <w:numPr>
          <w:ilvl w:val="0"/>
          <w:numId w:val="47"/>
        </w:numPr>
      </w:pPr>
      <w:r>
        <w:t xml:space="preserve">Imitation firearm manufacturer </w:t>
      </w:r>
    </w:p>
    <w:p w14:paraId="783EB2FC" w14:textId="77777777" w:rsidR="00F62B43" w:rsidRDefault="00F62B43" w:rsidP="00F62B43">
      <w:pPr>
        <w:pStyle w:val="ListParagraph"/>
        <w:numPr>
          <w:ilvl w:val="0"/>
          <w:numId w:val="47"/>
        </w:numPr>
      </w:pPr>
      <w:r>
        <w:t>Martial Arts Australia</w:t>
      </w:r>
    </w:p>
    <w:p w14:paraId="1865789E" w14:textId="77777777" w:rsidR="00F62B43" w:rsidRDefault="00F62B43" w:rsidP="00F62B43">
      <w:pPr>
        <w:pStyle w:val="ListParagraph"/>
        <w:numPr>
          <w:ilvl w:val="0"/>
          <w:numId w:val="47"/>
        </w:numPr>
      </w:pPr>
      <w:r>
        <w:t xml:space="preserve">Motion Picture Armourer </w:t>
      </w:r>
    </w:p>
    <w:p w14:paraId="07D0FDAC" w14:textId="77777777" w:rsidR="00F62B43" w:rsidRDefault="00F62B43" w:rsidP="00F62B43">
      <w:pPr>
        <w:pStyle w:val="ListParagraph"/>
        <w:numPr>
          <w:ilvl w:val="0"/>
          <w:numId w:val="47"/>
        </w:numPr>
      </w:pPr>
      <w:r>
        <w:t>Victoria Police</w:t>
      </w:r>
    </w:p>
    <w:p w14:paraId="77A072C4" w14:textId="374701D5" w:rsidR="00F62B43" w:rsidRDefault="00F62B43" w:rsidP="00F62B43">
      <w:r>
        <w:t>Consultations were held virtually. During consultations, stakeholders were asked for feedback on the proposed options, including any estimates on costs, benefits and effectiveness. Feedback from stakeholders was de-identified and incorporated into this RIS.</w:t>
      </w:r>
    </w:p>
    <w:p w14:paraId="46E7858C" w14:textId="6DC1819A" w:rsidR="005B00B8" w:rsidRPr="00A42498" w:rsidRDefault="00BF4216" w:rsidP="00BF4216">
      <w:pPr>
        <w:pStyle w:val="Heading1un-numbered"/>
        <w:rPr>
          <w:lang w:eastAsia="en-AU"/>
        </w:rPr>
      </w:pPr>
      <w:bookmarkStart w:id="83" w:name="_Toc463002439"/>
      <w:bookmarkStart w:id="84" w:name="_Toc472586353"/>
      <w:bookmarkStart w:id="85" w:name="_Toc482168131"/>
      <w:bookmarkStart w:id="86" w:name="_Toc482174916"/>
      <w:bookmarkStart w:id="87" w:name="_Toc79397223"/>
      <w:r w:rsidRPr="00A42498">
        <w:rPr>
          <w:lang w:eastAsia="en-AU"/>
        </w:rPr>
        <w:t>Limitation of our work</w:t>
      </w:r>
      <w:bookmarkEnd w:id="83"/>
      <w:bookmarkEnd w:id="84"/>
      <w:bookmarkEnd w:id="85"/>
      <w:bookmarkEnd w:id="86"/>
      <w:bookmarkEnd w:id="87"/>
    </w:p>
    <w:p w14:paraId="3AFB368F" w14:textId="01E64257" w:rsidR="00BF4216" w:rsidRPr="00A42498" w:rsidRDefault="00BF4216" w:rsidP="00BF4216">
      <w:pPr>
        <w:pStyle w:val="Heading2un-numbered"/>
      </w:pPr>
      <w:bookmarkStart w:id="88" w:name="_Toc463002440"/>
      <w:bookmarkStart w:id="89" w:name="_Toc472586354"/>
      <w:bookmarkStart w:id="90" w:name="_Toc482168132"/>
      <w:bookmarkStart w:id="91" w:name="_Toc482174917"/>
      <w:bookmarkStart w:id="92" w:name="_Toc79397224"/>
      <w:r w:rsidRPr="00A42498">
        <w:t>General use restriction</w:t>
      </w:r>
      <w:bookmarkEnd w:id="88"/>
      <w:bookmarkEnd w:id="89"/>
      <w:bookmarkEnd w:id="90"/>
      <w:bookmarkEnd w:id="91"/>
      <w:bookmarkEnd w:id="92"/>
    </w:p>
    <w:p w14:paraId="5268D89A" w14:textId="60C58060" w:rsidR="002D65F2" w:rsidRDefault="007615B3" w:rsidP="007C1760">
      <w:r w:rsidRPr="00A42498">
        <w:t xml:space="preserve">This report is prepared solely for the internal use of </w:t>
      </w:r>
      <w:r w:rsidR="00DC3F67" w:rsidRPr="00A42498">
        <w:t xml:space="preserve">the </w:t>
      </w:r>
      <w:r w:rsidR="00801343" w:rsidRPr="00A42498">
        <w:t>Department of Justice and Community Safety</w:t>
      </w:r>
      <w:r w:rsidRPr="00A42498">
        <w:t xml:space="preserve">. This report is not intended to and should not be used or relied upon by anyone else and we accept no duty of care to any other person or entity. The report has been prepared for the purpose </w:t>
      </w:r>
      <w:r w:rsidR="00420262" w:rsidRPr="00A42498">
        <w:t xml:space="preserve">preparing a Regulatory Impact Statement report related to </w:t>
      </w:r>
      <w:r w:rsidR="008A26EE" w:rsidRPr="00A42498">
        <w:t>Control of Weapons</w:t>
      </w:r>
      <w:r w:rsidRPr="00A42498">
        <w:t>. You should not refer to or use our name or the advice for any other purpose.</w:t>
      </w:r>
    </w:p>
    <w:p w14:paraId="7B83CB12" w14:textId="65E61005" w:rsidR="002D65F2" w:rsidRDefault="002D65F2">
      <w:pPr>
        <w:spacing w:after="0"/>
      </w:pPr>
    </w:p>
    <w:p w14:paraId="5BBC1C95" w14:textId="77777777" w:rsidR="00DF06E9" w:rsidRPr="00A42498" w:rsidRDefault="00DF06E9" w:rsidP="007C1760"/>
    <w:p w14:paraId="1B4A5ED2" w14:textId="77777777" w:rsidR="00983929" w:rsidRPr="00A42498" w:rsidRDefault="00983929" w:rsidP="00590970"/>
    <w:p w14:paraId="0F244DB9" w14:textId="77777777" w:rsidR="00D01239" w:rsidRPr="00A42498" w:rsidRDefault="00D01239" w:rsidP="00983929"/>
    <w:tbl>
      <w:tblPr>
        <w:tblStyle w:val="TableGrid"/>
        <w:tblpPr w:horzAnchor="margin" w:tblpYSpec="bottom"/>
        <w:tblOverlap w:val="never"/>
        <w:tblW w:w="9185" w:type="dxa"/>
        <w:tblLook w:val="04A0" w:firstRow="1" w:lastRow="0" w:firstColumn="1" w:lastColumn="0" w:noHBand="0" w:noVBand="1"/>
      </w:tblPr>
      <w:tblGrid>
        <w:gridCol w:w="9185"/>
      </w:tblGrid>
      <w:tr w:rsidR="00493AF9" w:rsidRPr="00A42498" w14:paraId="3749CCE6" w14:textId="77777777" w:rsidTr="487D1F28">
        <w:trPr>
          <w:cnfStyle w:val="100000000000" w:firstRow="1" w:lastRow="0" w:firstColumn="0" w:lastColumn="0" w:oddVBand="0" w:evenVBand="0" w:oddHBand="0" w:evenHBand="0" w:firstRowFirstColumn="0" w:firstRowLastColumn="0" w:lastRowFirstColumn="0" w:lastRowLastColumn="0"/>
          <w:trHeight w:val="6379"/>
        </w:trPr>
        <w:tc>
          <w:tcPr>
            <w:tcW w:w="9185" w:type="dxa"/>
            <w:vAlign w:val="bottom"/>
          </w:tcPr>
          <w:p w14:paraId="7EC664DB" w14:textId="77777777" w:rsidR="00493AF9" w:rsidRPr="00A42498" w:rsidRDefault="00246357" w:rsidP="004D6E06">
            <w:pPr>
              <w:pStyle w:val="Legaltext"/>
            </w:pPr>
            <w:r w:rsidRPr="00A42498">
              <w:rPr>
                <w:noProof/>
                <w:lang w:eastAsia="en-AU"/>
              </w:rPr>
              <w:drawing>
                <wp:anchor distT="0" distB="0" distL="114300" distR="114300" simplePos="0" relativeHeight="251658244" behindDoc="0" locked="0" layoutInCell="1" allowOverlap="1" wp14:anchorId="2F20C672" wp14:editId="554A362A">
                  <wp:simplePos x="0" y="0"/>
                  <wp:positionH relativeFrom="column">
                    <wp:posOffset>-104140</wp:posOffset>
                  </wp:positionH>
                  <wp:positionV relativeFrom="paragraph">
                    <wp:posOffset>-190500</wp:posOffset>
                  </wp:positionV>
                  <wp:extent cx="1869440" cy="571500"/>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9440" cy="571500"/>
                          </a:xfrm>
                          <a:prstGeom prst="rect">
                            <a:avLst/>
                          </a:prstGeom>
                        </pic:spPr>
                      </pic:pic>
                    </a:graphicData>
                  </a:graphic>
                  <wp14:sizeRelH relativeFrom="page">
                    <wp14:pctWidth>0</wp14:pctWidth>
                  </wp14:sizeRelH>
                  <wp14:sizeRelV relativeFrom="page">
                    <wp14:pctHeight>0</wp14:pctHeight>
                  </wp14:sizeRelV>
                </wp:anchor>
              </w:drawing>
            </w:r>
          </w:p>
          <w:p w14:paraId="1C181DAC" w14:textId="77777777" w:rsidR="00493AF9" w:rsidRPr="00A42498" w:rsidRDefault="00493AF9" w:rsidP="004D6E06">
            <w:pPr>
              <w:pStyle w:val="Legaltext"/>
            </w:pPr>
          </w:p>
          <w:p w14:paraId="6437098D" w14:textId="77777777" w:rsidR="00493AF9" w:rsidRPr="00A42498" w:rsidRDefault="00493AF9" w:rsidP="004D6E06">
            <w:pPr>
              <w:pStyle w:val="Legaltext"/>
            </w:pPr>
          </w:p>
          <w:p w14:paraId="10982F59" w14:textId="77777777" w:rsidR="00B0351F" w:rsidRPr="00A42498" w:rsidRDefault="00B0351F" w:rsidP="00B0351F">
            <w:pPr>
              <w:pStyle w:val="Legaltext"/>
            </w:pPr>
          </w:p>
          <w:p w14:paraId="395D20A1" w14:textId="77777777" w:rsidR="00042ACD" w:rsidRPr="00A42498" w:rsidRDefault="00042ACD" w:rsidP="00042ACD">
            <w:pPr>
              <w:pStyle w:val="Legaltext"/>
            </w:pPr>
          </w:p>
          <w:p w14:paraId="44B99C47" w14:textId="77777777" w:rsidR="00042ACD" w:rsidRPr="00A42498" w:rsidRDefault="00042ACD" w:rsidP="00042ACD">
            <w:pPr>
              <w:pStyle w:val="Legaltext"/>
            </w:pPr>
            <w:r w:rsidRPr="00A42498">
              <w:t xml:space="preserve">Deloitte Access Economics is Australia’s pre-eminent economics advisory practice and a member of Deloitte's global economics group. For more information, please visit our website: </w:t>
            </w:r>
            <w:hyperlink r:id="rId22" w:history="1">
              <w:r w:rsidRPr="00A42498">
                <w:rPr>
                  <w:rStyle w:val="Hyperlink"/>
                </w:rPr>
                <w:t>www.deloitte.com/au/deloitte-access-economics</w:t>
              </w:r>
            </w:hyperlink>
            <w:r w:rsidRPr="00A42498">
              <w:t xml:space="preserve"> </w:t>
            </w:r>
          </w:p>
          <w:p w14:paraId="1FAD16D4" w14:textId="77777777" w:rsidR="00042ACD" w:rsidRPr="00A42498" w:rsidRDefault="00042ACD" w:rsidP="00042ACD">
            <w:pPr>
              <w:pStyle w:val="Legaltext"/>
            </w:pPr>
          </w:p>
          <w:p w14:paraId="4E517DFC" w14:textId="77777777" w:rsidR="00042ACD" w:rsidRPr="00A42498" w:rsidRDefault="00042ACD" w:rsidP="00042ACD">
            <w:pPr>
              <w:pStyle w:val="Legaltext"/>
            </w:pPr>
            <w:r w:rsidRPr="00A42498">
              <w:t>Deloitte refers to one or more of Deloitte Touche Tohmatsu Limited (“DTTL”), its global network of member firms, and their related entities. DTTL (also referred to as “Deloitte Global”) and each of its member firms and their affiliated entities are legally separate and independent entities. DTTL does not provide services to clients. Please see www.deloitte.com/about to learn more.</w:t>
            </w:r>
          </w:p>
          <w:p w14:paraId="275B0484" w14:textId="77777777" w:rsidR="00042ACD" w:rsidRPr="00A42498" w:rsidRDefault="00042ACD" w:rsidP="00042ACD">
            <w:pPr>
              <w:pStyle w:val="Legaltext"/>
            </w:pPr>
          </w:p>
          <w:p w14:paraId="69C8F8DE" w14:textId="77777777" w:rsidR="00042ACD" w:rsidRPr="00A42498" w:rsidRDefault="00042ACD" w:rsidP="00042ACD">
            <w:pPr>
              <w:pStyle w:val="Legaltext"/>
            </w:pPr>
            <w:r w:rsidRPr="00A42498">
              <w:t>Deloitte is a leading global provider of audit and assurance, consulting, financial advisory, risk advisory, tax and related services. Our network of member firms in more than 150 countries and territories serves four out of five Fortune Global 500®companies. Learn how Deloitte’s approximately 286,000 people make an impact that matters at www.deloitte.com.</w:t>
            </w:r>
          </w:p>
          <w:p w14:paraId="5E005056" w14:textId="77777777" w:rsidR="00042ACD" w:rsidRPr="00A42498" w:rsidRDefault="00042ACD" w:rsidP="00042ACD">
            <w:pPr>
              <w:pStyle w:val="Legaltext"/>
            </w:pPr>
          </w:p>
          <w:p w14:paraId="4D16DE77" w14:textId="77777777" w:rsidR="00042ACD" w:rsidRPr="00A42498" w:rsidRDefault="00042ACD" w:rsidP="00042ACD">
            <w:pPr>
              <w:pStyle w:val="Legaltext"/>
            </w:pPr>
            <w:r w:rsidRPr="00A42498">
              <w:t xml:space="preserve">Deloitte Asia Pacific </w:t>
            </w:r>
          </w:p>
          <w:p w14:paraId="0161524D" w14:textId="77777777" w:rsidR="00042ACD" w:rsidRPr="00A42498" w:rsidRDefault="00042ACD" w:rsidP="00042ACD">
            <w:pPr>
              <w:pStyle w:val="Legaltext"/>
            </w:pPr>
            <w:r w:rsidRPr="00A42498">
              <w:t>Deloitte Asia Pacific Limited is a company limited by guarantee and a member firm of DTTL. Members of Deloitte Asia Pacific Limited and their related entities provide services in Australia, Brunei Darussalam, Cambodia, East Timor, Federated States of Micronesia, Guam, Indonesia, Japan, Laos, Malaysia, Mongolia, Myanmar, New Zealand, Palau, Papua New Guinea, Singapore, Thailand, The Marshall Islands, The Northern Mariana Islands, The People’s Republic of China (incl. Hong Kong SAR and Macau SAR), The Philippines and Vietnam, in each of which operations are conducted by separate and independent legal entities.</w:t>
            </w:r>
          </w:p>
          <w:p w14:paraId="0D9F0A00" w14:textId="77777777" w:rsidR="00042ACD" w:rsidRPr="00A42498" w:rsidRDefault="00042ACD" w:rsidP="00042ACD">
            <w:pPr>
              <w:pStyle w:val="Legaltext"/>
            </w:pPr>
          </w:p>
          <w:p w14:paraId="294F540E" w14:textId="77777777" w:rsidR="00042ACD" w:rsidRPr="00A42498" w:rsidRDefault="00042ACD" w:rsidP="00042ACD">
            <w:pPr>
              <w:pStyle w:val="Legaltext"/>
            </w:pPr>
            <w:r w:rsidRPr="00A42498">
              <w:t>Deloitte Australia</w:t>
            </w:r>
          </w:p>
          <w:p w14:paraId="635868F3" w14:textId="77777777" w:rsidR="00042ACD" w:rsidRPr="00A42498" w:rsidRDefault="00042ACD" w:rsidP="00042ACD">
            <w:pPr>
              <w:pStyle w:val="Legaltext"/>
            </w:pPr>
            <w:r w:rsidRPr="00A42498">
              <w:t>In Australia, the Deloitte Network member is the Australian partnership of Deloitte Touche Tohmatsu. As one of Australia’s leading professional services firms. Deloitte Touche Tohmatsu and its affiliates provide audit, tax, consulting, and financial advisory services through approximately 8000 people across the country. Focused on the creation of value and growth, and known as an employer of choice for innovative human resources programs, we are dedicated to helping our clients and our people excel. For more information, please visit our web site at https://www2.deloitte.com/au/en.html.</w:t>
            </w:r>
          </w:p>
          <w:p w14:paraId="51BF1BE3" w14:textId="77777777" w:rsidR="00042ACD" w:rsidRPr="00A42498" w:rsidRDefault="00042ACD" w:rsidP="00042ACD">
            <w:pPr>
              <w:pStyle w:val="Legaltext"/>
            </w:pPr>
          </w:p>
          <w:p w14:paraId="2B9DC150" w14:textId="77777777" w:rsidR="00042ACD" w:rsidRPr="00A42498" w:rsidRDefault="00042ACD" w:rsidP="00042ACD">
            <w:pPr>
              <w:pStyle w:val="Legaltext"/>
            </w:pPr>
            <w:r w:rsidRPr="00A42498">
              <w:t>Liability limited by a scheme approved under Professional Standards Legislation.</w:t>
            </w:r>
          </w:p>
          <w:p w14:paraId="5E0DD87A" w14:textId="77777777" w:rsidR="00042ACD" w:rsidRPr="00A42498" w:rsidRDefault="00042ACD" w:rsidP="00042ACD">
            <w:pPr>
              <w:pStyle w:val="Legaltext"/>
            </w:pPr>
            <w:r w:rsidRPr="00A42498">
              <w:t>Member of Deloitte Asia Pacific Limited and the Deloitte Network.</w:t>
            </w:r>
          </w:p>
          <w:p w14:paraId="5436A5EC" w14:textId="77777777" w:rsidR="00042ACD" w:rsidRPr="00A42498" w:rsidRDefault="00042ACD" w:rsidP="00042ACD">
            <w:pPr>
              <w:pStyle w:val="Legaltext"/>
            </w:pPr>
          </w:p>
          <w:p w14:paraId="4F883443" w14:textId="7A86A4F6" w:rsidR="00417D85" w:rsidRPr="00A42498" w:rsidRDefault="00042ACD" w:rsidP="00590970">
            <w:pPr>
              <w:pStyle w:val="Legaltext"/>
              <w:rPr>
                <w:sz w:val="2"/>
                <w:szCs w:val="2"/>
              </w:rPr>
            </w:pPr>
            <w:r w:rsidRPr="00A42498">
              <w:t>©20</w:t>
            </w:r>
            <w:r w:rsidR="00337F88" w:rsidRPr="00A42498">
              <w:t>2</w:t>
            </w:r>
            <w:r w:rsidR="002D65F2">
              <w:t>1</w:t>
            </w:r>
            <w:r w:rsidRPr="00A42498">
              <w:t xml:space="preserve"> Deloitte Access Economics. Deloitte Touche Tohmatsu</w:t>
            </w:r>
          </w:p>
        </w:tc>
      </w:tr>
    </w:tbl>
    <w:p w14:paraId="2546763D" w14:textId="77777777" w:rsidR="00BF6F8B" w:rsidRPr="000F05E4" w:rsidRDefault="00680CEC" w:rsidP="009B139F">
      <w:r w:rsidRPr="00A42498">
        <w:rPr>
          <w:noProof/>
          <w:lang w:eastAsia="en-AU"/>
        </w:rPr>
        <mc:AlternateContent>
          <mc:Choice Requires="wps">
            <w:drawing>
              <wp:anchor distT="0" distB="0" distL="114300" distR="114300" simplePos="0" relativeHeight="251658240" behindDoc="1" locked="1" layoutInCell="1" allowOverlap="1" wp14:anchorId="5079F964" wp14:editId="37E5999C">
                <wp:simplePos x="0" y="0"/>
                <wp:positionH relativeFrom="page">
                  <wp:posOffset>0</wp:posOffset>
                </wp:positionH>
                <wp:positionV relativeFrom="page">
                  <wp:posOffset>0</wp:posOffset>
                </wp:positionV>
                <wp:extent cx="7563600" cy="10695600"/>
                <wp:effectExtent l="0" t="0" r="0" b="0"/>
                <wp:wrapNone/>
                <wp:docPr id="3" name="Backpage 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gray">
                        <a:xfrm>
                          <a:off x="0" y="0"/>
                          <a:ext cx="7563600" cy="10695600"/>
                        </a:xfrm>
                        <a:prstGeom prst="rect">
                          <a:avLst/>
                        </a:prstGeom>
                        <a:solidFill>
                          <a:srgbClr val="FFFFFF"/>
                        </a:solidFill>
                        <a:ln w="19050" algn="ctr">
                          <a:noFill/>
                          <a:miter lim="800000"/>
                          <a:headEnd/>
                          <a:tailEnd/>
                        </a:ln>
                      </wps:spPr>
                      <wps:bodyPr rot="0" spcFirstLastPara="0" vertOverflow="overflow" horzOverflow="overflow" vert="horz" wrap="square" lIns="88900" tIns="88900" rIns="88900" bIns="889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EAA26" id="Backpage background" o:spid="_x0000_s1026" style="position:absolute;margin-left:0;margin-top:0;width:595.55pt;height:842.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" stroked="f" strokeweight="1.5pt">
                <o:lock v:ext="edit" aspectratio="t"/>
                <v:textbox inset="7pt,7pt,7pt,7pt"/>
                <w10:wrap anchorx="page" anchory="page"/>
                <w10:anchorlock/>
              </v:rect>
            </w:pict>
          </mc:Fallback>
        </mc:AlternateContent>
      </w:r>
    </w:p>
    <w:p w14:paraId="1B32BE1B" w14:textId="77777777" w:rsidR="007629C6" w:rsidRPr="000F05E4" w:rsidRDefault="007629C6" w:rsidP="009B139F"/>
    <w:sectPr w:rsidR="007629C6" w:rsidRPr="000F05E4" w:rsidSect="0030718A">
      <w:footerReference w:type="default" r:id="rId23"/>
      <w:pgSz w:w="11906" w:h="16838" w:code="9"/>
      <w:pgMar w:top="1985" w:right="849" w:bottom="1134" w:left="680" w:header="680" w:footer="425"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EC8D4" w14:textId="77777777" w:rsidR="001950BA" w:rsidRDefault="001950BA" w:rsidP="00590970"/>
  </w:endnote>
  <w:endnote w:type="continuationSeparator" w:id="0">
    <w:p w14:paraId="0D074C52" w14:textId="77777777" w:rsidR="001950BA" w:rsidRDefault="001950BA" w:rsidP="00590970">
      <w:r>
        <w:continuationSeparator/>
      </w:r>
    </w:p>
  </w:endnote>
  <w:endnote w:type="continuationNotice" w:id="1">
    <w:p w14:paraId="7A059D94" w14:textId="77777777" w:rsidR="001950BA" w:rsidRDefault="001950BA" w:rsidP="00590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otham Bold">
    <w:altName w:val="Arial"/>
    <w:panose1 w:val="00000000000000000000"/>
    <w:charset w:val="00"/>
    <w:family w:val="modern"/>
    <w:notTrueType/>
    <w:pitch w:val="variable"/>
    <w:sig w:usb0="A00002FF" w:usb1="4000005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altName w:val="Calibri"/>
    <w:panose1 w:val="00000000000000000000"/>
    <w:charset w:val="4D"/>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51A71" w14:textId="77777777" w:rsidR="003176B1" w:rsidRDefault="00317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ayout w:type="fixed"/>
      <w:tblLook w:val="04A0" w:firstRow="1" w:lastRow="0" w:firstColumn="1" w:lastColumn="0" w:noHBand="0" w:noVBand="1"/>
    </w:tblPr>
    <w:tblGrid>
      <w:gridCol w:w="3544"/>
      <w:gridCol w:w="7002"/>
    </w:tblGrid>
    <w:tr w:rsidR="00655C2B" w14:paraId="2C798F16" w14:textId="77777777" w:rsidTr="00137F51">
      <w:trPr>
        <w:cnfStyle w:val="100000000000" w:firstRow="1" w:lastRow="0" w:firstColumn="0" w:lastColumn="0" w:oddVBand="0" w:evenVBand="0" w:oddHBand="0" w:evenHBand="0" w:firstRowFirstColumn="0" w:firstRowLastColumn="0" w:lastRowFirstColumn="0" w:lastRowLastColumn="0"/>
      </w:trPr>
      <w:tc>
        <w:tcPr>
          <w:tcW w:w="3544" w:type="dxa"/>
          <w:vAlign w:val="bottom"/>
        </w:tcPr>
        <w:p w14:paraId="4FB5B9B5" w14:textId="21D9CF39" w:rsidR="00655C2B" w:rsidRDefault="00204696" w:rsidP="00536AB8">
          <w:pPr>
            <w:pStyle w:val="Footer"/>
          </w:pPr>
          <w:r>
            <w:rPr>
              <w:noProof/>
            </w:rPr>
            <mc:AlternateContent>
              <mc:Choice Requires="wps">
                <w:drawing>
                  <wp:anchor distT="0" distB="0" distL="114300" distR="114300" simplePos="0" relativeHeight="251658241" behindDoc="0" locked="0" layoutInCell="0" allowOverlap="1" wp14:anchorId="3BEF7BC0" wp14:editId="7DF650D2">
                    <wp:simplePos x="0" y="0"/>
                    <wp:positionH relativeFrom="page">
                      <wp:posOffset>0</wp:posOffset>
                    </wp:positionH>
                    <wp:positionV relativeFrom="page">
                      <wp:posOffset>10227945</wp:posOffset>
                    </wp:positionV>
                    <wp:extent cx="7560310" cy="177165"/>
                    <wp:effectExtent l="0" t="0" r="2540" b="13335"/>
                    <wp:wrapNone/>
                    <wp:docPr id="37" name="MSIPCMe7e74fb5a0af0ad317b09240" descr="{&quot;HashCode&quot;:-12676035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17716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3D705C" w14:textId="347561D1" w:rsidR="00204696" w:rsidRPr="00204696" w:rsidRDefault="00204696" w:rsidP="00204696">
                                <w:pPr>
                                  <w:spacing w:after="0"/>
                                  <w:rPr>
                                    <w:rFonts w:ascii="Calibri" w:hAnsi="Calibri" w:cs="Calibri"/>
                                    <w:color w:val="000000"/>
                                    <w:sz w:val="22"/>
                                  </w:rPr>
                                </w:pPr>
                              </w:p>
                            </w:txbxContent>
                          </wps:txbx>
                          <wps:bodyPr rot="0" spcFirstLastPara="0" vertOverflow="overflow" horzOverflow="overflow" vert="horz" wrap="square" lIns="254000" tIns="0" rIns="0" bIns="0" numCol="1" spcCol="0" rtlCol="0" fromWordArt="0" anchor="b" anchorCtr="0" forceAA="0" compatLnSpc="1">
                            <a:prstTxWarp prst="textNoShape">
                              <a:avLst/>
                            </a:prstTxWarp>
                            <a:spAutoFit/>
                          </wps:bodyPr>
                        </wps:wsp>
                      </a:graphicData>
                    </a:graphic>
                  </wp:anchor>
                </w:drawing>
              </mc:Choice>
              <mc:Fallback>
                <w:pict>
                  <v:shapetype w14:anchorId="3BEF7BC0" id="_x0000_t202" coordsize="21600,21600" o:spt="202" path="m,l,21600r21600,l21600,xe">
                    <v:stroke joinstyle="miter"/>
                    <v:path gradientshapeok="t" o:connecttype="rect"/>
                  </v:shapetype>
                  <v:shape id="MSIPCMe7e74fb5a0af0ad317b09240" o:spid="_x0000_s1028" type="#_x0000_t202" alt="{&quot;HashCode&quot;:-1267603503,&quot;Height&quot;:841.0,&quot;Width&quot;:595.0,&quot;Placement&quot;:&quot;Footer&quot;,&quot;Index&quot;:&quot;Primary&quot;,&quot;Section&quot;:1,&quot;Top&quot;:0.0,&quot;Left&quot;:0.0}" style="position:absolute;margin-left:0;margin-top:805.35pt;width:595.3pt;height:13.9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" o:allowincell="f" filled="f" stroked="f" strokeweight=".5pt">
                    <v:textbox style="mso-fit-shape-to-text:t" inset="20pt,0,0,0">
                      <w:txbxContent>
                        <w:p w14:paraId="453D705C" w14:textId="347561D1" w:rsidR="00204696" w:rsidRPr="00204696" w:rsidRDefault="00204696" w:rsidP="00204696">
                          <w:pPr>
                            <w:spacing w:after="0"/>
                            <w:rPr>
                              <w:rFonts w:ascii="Calibri" w:hAnsi="Calibri" w:cs="Calibri"/>
                              <w:color w:val="000000"/>
                              <w:sz w:val="22"/>
                            </w:rPr>
                          </w:pPr>
                        </w:p>
                      </w:txbxContent>
                    </v:textbox>
                    <w10:wrap anchorx="page" anchory="page"/>
                  </v:shape>
                </w:pict>
              </mc:Fallback>
            </mc:AlternateContent>
          </w:r>
          <w:r w:rsidR="00655C2B" w:rsidRPr="006C4F67">
            <w:rPr>
              <w:rStyle w:val="PageNumber"/>
            </w:rPr>
            <w:fldChar w:fldCharType="begin"/>
          </w:r>
          <w:r w:rsidR="00655C2B" w:rsidRPr="006C4F67">
            <w:rPr>
              <w:rStyle w:val="PageNumber"/>
            </w:rPr>
            <w:instrText xml:space="preserve"> PAGE</w:instrText>
          </w:r>
          <w:r w:rsidR="00655C2B">
            <w:rPr>
              <w:rStyle w:val="PageNumber"/>
            </w:rPr>
            <w:instrText xml:space="preserve"> </w:instrText>
          </w:r>
          <w:r w:rsidR="00655C2B" w:rsidRPr="006C4F67">
            <w:rPr>
              <w:rStyle w:val="PageNumber"/>
            </w:rPr>
            <w:fldChar w:fldCharType="separate"/>
          </w:r>
          <w:r w:rsidR="00655C2B">
            <w:rPr>
              <w:rStyle w:val="PageNumber"/>
              <w:noProof/>
            </w:rPr>
            <w:t>1</w:t>
          </w:r>
          <w:r w:rsidR="00655C2B" w:rsidRPr="006C4F67">
            <w:rPr>
              <w:rStyle w:val="PageNumber"/>
            </w:rPr>
            <w:fldChar w:fldCharType="end"/>
          </w:r>
        </w:p>
      </w:tc>
      <w:tc>
        <w:tcPr>
          <w:tcW w:w="7002" w:type="dxa"/>
          <w:vAlign w:val="bottom"/>
        </w:tcPr>
        <w:p w14:paraId="09A22531" w14:textId="77777777" w:rsidR="00655C2B" w:rsidRPr="00904097" w:rsidRDefault="00655C2B" w:rsidP="00590970">
          <w:pPr>
            <w:pStyle w:val="Footer"/>
          </w:pPr>
        </w:p>
      </w:tc>
    </w:tr>
  </w:tbl>
  <w:p w14:paraId="4E730101" w14:textId="77777777" w:rsidR="00655C2B" w:rsidRDefault="00655C2B" w:rsidP="005909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007FE" w14:textId="03D1A211" w:rsidR="00655C2B" w:rsidRDefault="00204696">
    <w:pPr>
      <w:pStyle w:val="Footer"/>
    </w:pPr>
    <w:r>
      <w:rPr>
        <w:noProof/>
      </w:rPr>
      <mc:AlternateContent>
        <mc:Choice Requires="wps">
          <w:drawing>
            <wp:anchor distT="0" distB="0" distL="114300" distR="114300" simplePos="1" relativeHeight="251658242" behindDoc="0" locked="0" layoutInCell="0" allowOverlap="1" wp14:anchorId="1C430DF7" wp14:editId="6B7364D1">
              <wp:simplePos x="0" y="10228183"/>
              <wp:positionH relativeFrom="page">
                <wp:posOffset>0</wp:posOffset>
              </wp:positionH>
              <wp:positionV relativeFrom="page">
                <wp:posOffset>10227945</wp:posOffset>
              </wp:positionV>
              <wp:extent cx="7560310" cy="177165"/>
              <wp:effectExtent l="0" t="0" r="2540" b="13335"/>
              <wp:wrapNone/>
              <wp:docPr id="38" name="MSIPCM8e9f484e8598443d04b32e34" descr="{&quot;HashCode&quot;:-126760350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17716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24750D" w14:textId="1636641F" w:rsidR="00204696" w:rsidRPr="00204696" w:rsidRDefault="00204696" w:rsidP="00204696">
                          <w:pPr>
                            <w:spacing w:after="0"/>
                            <w:rPr>
                              <w:rFonts w:ascii="Calibri" w:hAnsi="Calibri" w:cs="Calibri"/>
                              <w:color w:val="000000"/>
                              <w:sz w:val="22"/>
                            </w:rPr>
                          </w:pPr>
                        </w:p>
                      </w:txbxContent>
                    </wps:txbx>
                    <wps:bodyPr rot="0" spcFirstLastPara="0" vertOverflow="overflow" horzOverflow="overflow" vert="horz" wrap="square" lIns="254000" tIns="0" rIns="0" bIns="0" numCol="1" spcCol="0" rtlCol="0" fromWordArt="0" anchor="b" anchorCtr="0" forceAA="0" compatLnSpc="1">
                      <a:prstTxWarp prst="textNoShape">
                        <a:avLst/>
                      </a:prstTxWarp>
                      <a:spAutoFit/>
                    </wps:bodyPr>
                  </wps:wsp>
                </a:graphicData>
              </a:graphic>
            </wp:anchor>
          </w:drawing>
        </mc:Choice>
        <mc:Fallback>
          <w:pict>
            <v:shapetype w14:anchorId="1C430DF7" id="_x0000_t202" coordsize="21600,21600" o:spt="202" path="m,l,21600r21600,l21600,xe">
              <v:stroke joinstyle="miter"/>
              <v:path gradientshapeok="t" o:connecttype="rect"/>
            </v:shapetype>
            <v:shape id="MSIPCM8e9f484e8598443d04b32e34" o:spid="_x0000_s1029" type="#_x0000_t202" alt="{&quot;HashCode&quot;:-1267603503,&quot;Height&quot;:841.0,&quot;Width&quot;:595.0,&quot;Placement&quot;:&quot;Footer&quot;,&quot;Index&quot;:&quot;FirstPage&quot;,&quot;Section&quot;:1,&quot;Top&quot;:0.0,&quot;Left&quot;:0.0}" style="position:absolute;margin-left:0;margin-top:805.35pt;width:595.3pt;height:13.9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" o:allowincell="f" filled="f" stroked="f" strokeweight=".5pt">
              <v:textbox style="mso-fit-shape-to-text:t" inset="20pt,0,0,0">
                <w:txbxContent>
                  <w:p w14:paraId="4424750D" w14:textId="1636641F" w:rsidR="00204696" w:rsidRPr="00204696" w:rsidRDefault="00204696" w:rsidP="00204696">
                    <w:pPr>
                      <w:spacing w:after="0"/>
                      <w:rPr>
                        <w:rFonts w:ascii="Calibri" w:hAnsi="Calibri" w:cs="Calibri"/>
                        <w:color w:val="000000"/>
                        <w:sz w:val="22"/>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74175" w14:textId="73D4E618" w:rsidR="00655C2B" w:rsidRPr="00FD7D79" w:rsidRDefault="00204696" w:rsidP="00FD7D79">
    <w:pPr>
      <w:pStyle w:val="Footer"/>
    </w:pPr>
    <w:r>
      <w:rPr>
        <w:noProof/>
        <w:lang w:eastAsia="en-AU"/>
      </w:rPr>
      <mc:AlternateContent>
        <mc:Choice Requires="wps">
          <w:drawing>
            <wp:anchor distT="0" distB="0" distL="114300" distR="114300" simplePos="0" relativeHeight="251658243" behindDoc="0" locked="0" layoutInCell="0" allowOverlap="1" wp14:anchorId="498C2D11" wp14:editId="31184AEB">
              <wp:simplePos x="0" y="0"/>
              <wp:positionH relativeFrom="page">
                <wp:posOffset>0</wp:posOffset>
              </wp:positionH>
              <wp:positionV relativeFrom="page">
                <wp:posOffset>10227945</wp:posOffset>
              </wp:positionV>
              <wp:extent cx="7560310" cy="177165"/>
              <wp:effectExtent l="0" t="0" r="2540" b="13335"/>
              <wp:wrapNone/>
              <wp:docPr id="41" name="MSIPCM31ae4b15a5041365f53c31e8" descr="{&quot;HashCode&quot;:-1267603503,&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17716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402314" w14:textId="0426FADC" w:rsidR="00204696" w:rsidRPr="00204696" w:rsidRDefault="00204696" w:rsidP="00204696">
                          <w:pPr>
                            <w:spacing w:after="0"/>
                            <w:rPr>
                              <w:rFonts w:ascii="Calibri" w:hAnsi="Calibri" w:cs="Calibri"/>
                              <w:color w:val="000000"/>
                              <w:sz w:val="22"/>
                            </w:rPr>
                          </w:pPr>
                        </w:p>
                      </w:txbxContent>
                    </wps:txbx>
                    <wps:bodyPr rot="0" spcFirstLastPara="0" vertOverflow="overflow" horzOverflow="overflow" vert="horz" wrap="square" lIns="254000" tIns="0" rIns="0" bIns="0" numCol="1" spcCol="0" rtlCol="0" fromWordArt="0" anchor="b" anchorCtr="0" forceAA="0" compatLnSpc="1">
                      <a:prstTxWarp prst="textNoShape">
                        <a:avLst/>
                      </a:prstTxWarp>
                      <a:spAutoFit/>
                    </wps:bodyPr>
                  </wps:wsp>
                </a:graphicData>
              </a:graphic>
            </wp:anchor>
          </w:drawing>
        </mc:Choice>
        <mc:Fallback>
          <w:pict>
            <v:shapetype w14:anchorId="498C2D11" id="_x0000_t202" coordsize="21600,21600" o:spt="202" path="m,l,21600r21600,l21600,xe">
              <v:stroke joinstyle="miter"/>
              <v:path gradientshapeok="t" o:connecttype="rect"/>
            </v:shapetype>
            <v:shape id="MSIPCM31ae4b15a5041365f53c31e8" o:spid="_x0000_s1030" type="#_x0000_t202" alt="{&quot;HashCode&quot;:-1267603503,&quot;Height&quot;:841.0,&quot;Width&quot;:595.0,&quot;Placement&quot;:&quot;Footer&quot;,&quot;Index&quot;:&quot;Primary&quot;,&quot;Section&quot;:3,&quot;Top&quot;:0.0,&quot;Left&quot;:0.0}" style="position:absolute;margin-left:0;margin-top:805.35pt;width:595.3pt;height:13.95pt;z-index:25165824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" o:allowincell="f" filled="f" stroked="f" strokeweight=".5pt">
              <v:textbox style="mso-fit-shape-to-text:t" inset="20pt,0,0,0">
                <w:txbxContent>
                  <w:p w14:paraId="06402314" w14:textId="0426FADC" w:rsidR="00204696" w:rsidRPr="00204696" w:rsidRDefault="00204696" w:rsidP="00204696">
                    <w:pPr>
                      <w:spacing w:after="0"/>
                      <w:rPr>
                        <w:rFonts w:ascii="Calibri" w:hAnsi="Calibri" w:cs="Calibri"/>
                        <w:color w:val="000000"/>
                        <w:sz w:val="22"/>
                      </w:rPr>
                    </w:pPr>
                  </w:p>
                </w:txbxContent>
              </v:textbox>
              <w10:wrap anchorx="page" anchory="page"/>
            </v:shape>
          </w:pict>
        </mc:Fallback>
      </mc:AlternateContent>
    </w:r>
    <w:r w:rsidR="00655C2B">
      <w:rPr>
        <w:noProof/>
        <w:lang w:eastAsia="en-AU"/>
      </w:rPr>
      <mc:AlternateContent>
        <mc:Choice Requires="wps">
          <w:drawing>
            <wp:anchor distT="0" distB="0" distL="114300" distR="114300" simplePos="0" relativeHeight="251658240" behindDoc="0" locked="0" layoutInCell="1" allowOverlap="0" wp14:anchorId="502C01C9" wp14:editId="785A690A">
              <wp:simplePos x="0" y="0"/>
              <wp:positionH relativeFrom="margin">
                <wp:align>left</wp:align>
              </wp:positionH>
              <wp:positionV relativeFrom="page">
                <wp:align>bottom</wp:align>
              </wp:positionV>
              <wp:extent cx="5943600" cy="1674000"/>
              <wp:effectExtent l="0" t="0" r="0" b="2540"/>
              <wp:wrapTopAndBottom/>
              <wp:docPr id="7" name="Disclaimer"/>
              <wp:cNvGraphicFramePr/>
              <a:graphic xmlns:a="http://schemas.openxmlformats.org/drawingml/2006/main">
                <a:graphicData uri="http://schemas.microsoft.com/office/word/2010/wordprocessingShape">
                  <wps:wsp>
                    <wps:cNvSpPr txBox="1"/>
                    <wps:spPr>
                      <a:xfrm>
                        <a:off x="0" y="0"/>
                        <a:ext cx="5943600" cy="167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tblLayout w:type="fixed"/>
                            <w:tblLook w:val="04A0" w:firstRow="1" w:lastRow="0" w:firstColumn="1" w:lastColumn="0" w:noHBand="0" w:noVBand="1"/>
                          </w:tblPr>
                          <w:tblGrid>
                            <w:gridCol w:w="9356"/>
                          </w:tblGrid>
                          <w:tr w:rsidR="00655C2B" w:rsidRPr="0080001F" w14:paraId="574A41BB" w14:textId="77777777" w:rsidTr="000F5503">
                            <w:trPr>
                              <w:cnfStyle w:val="100000000000" w:firstRow="1" w:lastRow="0" w:firstColumn="0" w:lastColumn="0" w:oddVBand="0" w:evenVBand="0" w:oddHBand="0" w:evenHBand="0" w:firstRowFirstColumn="0" w:firstRowLastColumn="0" w:lastRowFirstColumn="0" w:lastRowLastColumn="0"/>
                              <w:trHeight w:val="6539"/>
                            </w:trPr>
                            <w:tc>
                              <w:tcPr>
                                <w:tcW w:w="9356" w:type="dxa"/>
                                <w:tcMar>
                                  <w:top w:w="142" w:type="dxa"/>
                                  <w:bottom w:w="142" w:type="dxa"/>
                                </w:tcMar>
                              </w:tcPr>
                              <w:p w14:paraId="4EF19252" w14:textId="77777777" w:rsidR="00655C2B" w:rsidRPr="001E62EA" w:rsidRDefault="00655C2B" w:rsidP="00590970">
                                <w:pPr>
                                  <w:pStyle w:val="Disclaimer"/>
                                </w:pPr>
                                <w:r w:rsidRPr="001E62EA">
                                  <w:t>Deloitte Access Economics is Australia’s pre-eminent economics advisory practice and a member of Deloitte's global economics group. For more information, please visit our website: www.deloitte.c</w:t>
                                </w:r>
                                <w:r>
                                  <w:t>om/au/deloitte-access-economics</w:t>
                                </w:r>
                              </w:p>
                              <w:p w14:paraId="248724A4" w14:textId="77777777" w:rsidR="00655C2B" w:rsidRPr="001E62EA" w:rsidRDefault="00655C2B" w:rsidP="00590970">
                                <w:pPr>
                                  <w:pStyle w:val="Disclaimer"/>
                                </w:pPr>
                                <w:r w:rsidRPr="001E62EA">
                                  <w:t>Deloitte refers to one or more of Deloitte Touche Tohmatsu Limited (“DTTL”), its global network of member firms, and their related entities. DTTL (also referred to as “Deloitte Global”) and each of its member firms and their affiliated entities are legally separate and independent entities. DTTL does not provide services to clients. Please see www.de</w:t>
                                </w:r>
                                <w:r>
                                  <w:t>loitte.com/about to learn more.</w:t>
                                </w:r>
                              </w:p>
                              <w:p w14:paraId="6F955AAD" w14:textId="77777777" w:rsidR="00655C2B" w:rsidRPr="001E62EA" w:rsidRDefault="00655C2B" w:rsidP="00590970">
                                <w:pPr>
                                  <w:pStyle w:val="Disclaimer"/>
                                </w:pPr>
                                <w:r w:rsidRPr="001E62EA">
                                  <w:t>Liability limited by a scheme approved under Professional Standards Legislation.</w:t>
                                </w:r>
                              </w:p>
                              <w:p w14:paraId="4FC49A67" w14:textId="77777777" w:rsidR="00655C2B" w:rsidRPr="001E62EA" w:rsidRDefault="00655C2B" w:rsidP="00590970">
                                <w:pPr>
                                  <w:pStyle w:val="Disclaimer"/>
                                </w:pPr>
                                <w:r w:rsidRPr="001E62EA">
                                  <w:t>Member of Deloitte Asia Pacific Li</w:t>
                                </w:r>
                                <w:r>
                                  <w:t>mited and the Deloitte Network.</w:t>
                                </w:r>
                              </w:p>
                              <w:p w14:paraId="44644F7D" w14:textId="77777777" w:rsidR="00655C2B" w:rsidRPr="00A6563E" w:rsidRDefault="00655C2B" w:rsidP="00590970">
                                <w:pPr>
                                  <w:pStyle w:val="Disclaimer"/>
                                </w:pPr>
                                <w:r w:rsidRPr="001E62EA">
                                  <w:t>©20</w:t>
                                </w:r>
                                <w:r>
                                  <w:t>20</w:t>
                                </w:r>
                                <w:r w:rsidRPr="001E62EA">
                                  <w:t xml:space="preserve"> Deloitte Access Economics. Deloitte Touche Tohmatsu</w:t>
                                </w:r>
                              </w:p>
                            </w:tc>
                          </w:tr>
                          <w:tr w:rsidR="00655C2B" w:rsidRPr="00A95E3F" w14:paraId="64508AA2" w14:textId="77777777" w:rsidTr="000F5503">
                            <w:trPr>
                              <w:trHeight w:hRule="exact" w:val="227"/>
                            </w:trPr>
                            <w:tc>
                              <w:tcPr>
                                <w:tcW w:w="9356" w:type="dxa"/>
                              </w:tcPr>
                              <w:p w14:paraId="56C87C2C" w14:textId="77777777" w:rsidR="00655C2B" w:rsidRPr="00A95E3F" w:rsidRDefault="00655C2B" w:rsidP="00590970">
                                <w:pPr>
                                  <w:pStyle w:val="Disclaimer"/>
                                </w:pPr>
                              </w:p>
                            </w:tc>
                          </w:tr>
                        </w:tbl>
                        <w:p w14:paraId="00E36337" w14:textId="77777777" w:rsidR="00655C2B" w:rsidRDefault="00655C2B" w:rsidP="00590970"/>
                        <w:p w14:paraId="2E61D9D9" w14:textId="77777777" w:rsidR="00655C2B" w:rsidRPr="00A95E3F" w:rsidRDefault="00655C2B" w:rsidP="00590970"/>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C01C9" id="_x0000_t202" coordsize="21600,21600" o:spt="202" path="m,l,21600r21600,l21600,xe">
              <v:stroke joinstyle="miter"/>
              <v:path gradientshapeok="t" o:connecttype="rect"/>
            </v:shapetype>
            <v:shape id="Disclaimer" o:spid="_x0000_s1031" type="#_x0000_t202" style="position:absolute;margin-left:0;margin-top:0;width:468pt;height:131.8pt;z-index:251658240;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" o:allowoverlap="f" filled="f" stroked="f" strokeweight=".5pt">
              <v:textbox inset="0,0,0,0">
                <w:txbxContent>
                  <w:tbl>
                    <w:tblPr>
                      <w:tblStyle w:val="TableGrid"/>
                      <w:tblOverlap w:val="never"/>
                      <w:tblW w:w="0" w:type="auto"/>
                      <w:tblLayout w:type="fixed"/>
                      <w:tblLook w:val="04A0" w:firstRow="1" w:lastRow="0" w:firstColumn="1" w:lastColumn="0" w:noHBand="0" w:noVBand="1"/>
                    </w:tblPr>
                    <w:tblGrid>
                      <w:gridCol w:w="9356"/>
                    </w:tblGrid>
                    <w:tr w:rsidR="00655C2B" w:rsidRPr="0080001F" w14:paraId="574A41BB" w14:textId="77777777" w:rsidTr="000F5503">
                      <w:trPr>
                        <w:cnfStyle w:val="100000000000" w:firstRow="1" w:lastRow="0" w:firstColumn="0" w:lastColumn="0" w:oddVBand="0" w:evenVBand="0" w:oddHBand="0" w:evenHBand="0" w:firstRowFirstColumn="0" w:firstRowLastColumn="0" w:lastRowFirstColumn="0" w:lastRowLastColumn="0"/>
                        <w:trHeight w:val="6539"/>
                      </w:trPr>
                      <w:tc>
                        <w:tcPr>
                          <w:tcW w:w="9356" w:type="dxa"/>
                          <w:tcMar>
                            <w:top w:w="142" w:type="dxa"/>
                            <w:bottom w:w="142" w:type="dxa"/>
                          </w:tcMar>
                        </w:tcPr>
                        <w:p w14:paraId="4EF19252" w14:textId="77777777" w:rsidR="00655C2B" w:rsidRPr="001E62EA" w:rsidRDefault="00655C2B" w:rsidP="00590970">
                          <w:pPr>
                            <w:pStyle w:val="Disclaimer"/>
                          </w:pPr>
                          <w:r w:rsidRPr="001E62EA">
                            <w:t>Deloitte Access Economics is Australia’s pre-eminent economics advisory practice and a member of Deloitte's global economics group. For more information, please visit our website: www.deloitte.c</w:t>
                          </w:r>
                          <w:r>
                            <w:t>om/au/deloitte-access-economics</w:t>
                          </w:r>
                        </w:p>
                        <w:p w14:paraId="248724A4" w14:textId="77777777" w:rsidR="00655C2B" w:rsidRPr="001E62EA" w:rsidRDefault="00655C2B" w:rsidP="00590970">
                          <w:pPr>
                            <w:pStyle w:val="Disclaimer"/>
                          </w:pPr>
                          <w:r w:rsidRPr="001E62EA">
                            <w:t>Deloitte refers to one or more of Deloitte Touche Tohmatsu Limited (“DTTL”), its global network of member firms, and their related entities. DTTL (also referred to as “Deloitte Global”) and each of its member firms and their affiliated entities are legally separate and independent entities. DTTL does not provide services to clients. Please see www.de</w:t>
                          </w:r>
                          <w:r>
                            <w:t>loitte.com/about to learn more.</w:t>
                          </w:r>
                        </w:p>
                        <w:p w14:paraId="6F955AAD" w14:textId="77777777" w:rsidR="00655C2B" w:rsidRPr="001E62EA" w:rsidRDefault="00655C2B" w:rsidP="00590970">
                          <w:pPr>
                            <w:pStyle w:val="Disclaimer"/>
                          </w:pPr>
                          <w:r w:rsidRPr="001E62EA">
                            <w:t>Liability limited by a scheme approved under Professional Standards Legislation.</w:t>
                          </w:r>
                        </w:p>
                        <w:p w14:paraId="4FC49A67" w14:textId="77777777" w:rsidR="00655C2B" w:rsidRPr="001E62EA" w:rsidRDefault="00655C2B" w:rsidP="00590970">
                          <w:pPr>
                            <w:pStyle w:val="Disclaimer"/>
                          </w:pPr>
                          <w:r w:rsidRPr="001E62EA">
                            <w:t>Member of Deloitte Asia Pacific Li</w:t>
                          </w:r>
                          <w:r>
                            <w:t>mited and the Deloitte Network.</w:t>
                          </w:r>
                        </w:p>
                        <w:p w14:paraId="44644F7D" w14:textId="77777777" w:rsidR="00655C2B" w:rsidRPr="00A6563E" w:rsidRDefault="00655C2B" w:rsidP="00590970">
                          <w:pPr>
                            <w:pStyle w:val="Disclaimer"/>
                          </w:pPr>
                          <w:r w:rsidRPr="001E62EA">
                            <w:t>©20</w:t>
                          </w:r>
                          <w:r>
                            <w:t>20</w:t>
                          </w:r>
                          <w:r w:rsidRPr="001E62EA">
                            <w:t xml:space="preserve"> Deloitte Access Economics. Deloitte Touche Tohmatsu</w:t>
                          </w:r>
                        </w:p>
                      </w:tc>
                    </w:tr>
                    <w:tr w:rsidR="00655C2B" w:rsidRPr="00A95E3F" w14:paraId="64508AA2" w14:textId="77777777" w:rsidTr="000F5503">
                      <w:trPr>
                        <w:trHeight w:hRule="exact" w:val="227"/>
                      </w:trPr>
                      <w:tc>
                        <w:tcPr>
                          <w:tcW w:w="9356" w:type="dxa"/>
                        </w:tcPr>
                        <w:p w14:paraId="56C87C2C" w14:textId="77777777" w:rsidR="00655C2B" w:rsidRPr="00A95E3F" w:rsidRDefault="00655C2B" w:rsidP="00590970">
                          <w:pPr>
                            <w:pStyle w:val="Disclaimer"/>
                          </w:pPr>
                        </w:p>
                      </w:tc>
                    </w:tr>
                  </w:tbl>
                  <w:p w14:paraId="00E36337" w14:textId="77777777" w:rsidR="00655C2B" w:rsidRDefault="00655C2B" w:rsidP="00590970"/>
                  <w:p w14:paraId="2E61D9D9" w14:textId="77777777" w:rsidR="00655C2B" w:rsidRPr="00A95E3F" w:rsidRDefault="00655C2B" w:rsidP="00590970"/>
                </w:txbxContent>
              </v:textbox>
              <w10:wrap type="topAndBottom" anchorx="margin"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C3C04" w14:textId="6B329D62" w:rsidR="00655C2B" w:rsidRPr="007E7D93" w:rsidRDefault="00655C2B" w:rsidP="007E7D93">
    <w:pPr>
      <w:pStyle w:val="Footer"/>
    </w:pPr>
    <w:r w:rsidRPr="006C4F67">
      <w:rPr>
        <w:rStyle w:val="PageNumber"/>
      </w:rPr>
      <w:fldChar w:fldCharType="begin"/>
    </w:r>
    <w:r w:rsidRPr="006C4F67">
      <w:rPr>
        <w:rStyle w:val="PageNumber"/>
      </w:rPr>
      <w:instrText xml:space="preserve"> PAGE</w:instrText>
    </w:r>
    <w:r>
      <w:rPr>
        <w:rStyle w:val="PageNumber"/>
      </w:rPr>
      <w:instrText xml:space="preserve"> </w:instrText>
    </w:r>
    <w:r w:rsidRPr="006C4F67">
      <w:rPr>
        <w:rStyle w:val="PageNumber"/>
      </w:rPr>
      <w:fldChar w:fldCharType="separate"/>
    </w:r>
    <w:r>
      <w:rPr>
        <w:rStyle w:val="PageNumber"/>
        <w:noProof/>
      </w:rPr>
      <w:t>9</w:t>
    </w:r>
    <w:r w:rsidRPr="006C4F6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1AAEC" w14:textId="77777777" w:rsidR="001950BA" w:rsidRDefault="001950BA" w:rsidP="00590970">
      <w:r>
        <w:separator/>
      </w:r>
    </w:p>
  </w:footnote>
  <w:footnote w:type="continuationSeparator" w:id="0">
    <w:p w14:paraId="5762A841" w14:textId="77777777" w:rsidR="001950BA" w:rsidRDefault="001950BA" w:rsidP="00590970">
      <w:r>
        <w:continuationSeparator/>
      </w:r>
    </w:p>
  </w:footnote>
  <w:footnote w:type="continuationNotice" w:id="1">
    <w:p w14:paraId="1820EC78" w14:textId="77777777" w:rsidR="001950BA" w:rsidRDefault="001950BA" w:rsidP="00590970"/>
  </w:footnote>
  <w:footnote w:id="2">
    <w:p w14:paraId="747A5361" w14:textId="6F6320FD" w:rsidR="000A234B" w:rsidRDefault="000A234B">
      <w:pPr>
        <w:pStyle w:val="FootnoteText"/>
      </w:pPr>
      <w:r>
        <w:rPr>
          <w:rStyle w:val="FootnoteReference"/>
        </w:rPr>
        <w:footnoteRef/>
      </w:r>
      <w:r>
        <w:t xml:space="preserve"> </w:t>
      </w:r>
      <w:r w:rsidR="006E20A7">
        <w:t>T</w:t>
      </w:r>
      <w:r w:rsidR="00A70894">
        <w:t xml:space="preserve">he </w:t>
      </w:r>
      <w:r w:rsidR="00676E5F">
        <w:t xml:space="preserve">proposed </w:t>
      </w:r>
      <w:r w:rsidR="00DB71D6">
        <w:t xml:space="preserve">Regulations </w:t>
      </w:r>
      <w:r w:rsidR="000E353B">
        <w:t xml:space="preserve">clarify </w:t>
      </w:r>
      <w:r w:rsidR="00DB71D6">
        <w:t xml:space="preserve">a small number of </w:t>
      </w:r>
      <w:r w:rsidR="00E254F9">
        <w:t xml:space="preserve">particulars that a police officer or protective services officer must include in a record of </w:t>
      </w:r>
      <w:r w:rsidR="0087149B">
        <w:t xml:space="preserve">a search carried out under the Act to </w:t>
      </w:r>
      <w:r w:rsidR="000E353B">
        <w:t xml:space="preserve">reflect </w:t>
      </w:r>
      <w:r w:rsidR="0087149B">
        <w:t xml:space="preserve">the rules for searches </w:t>
      </w:r>
      <w:r w:rsidR="000C60C3">
        <w:t xml:space="preserve">set out </w:t>
      </w:r>
      <w:r w:rsidR="000E353B">
        <w:t xml:space="preserve">in </w:t>
      </w:r>
      <w:r w:rsidR="000C60C3">
        <w:t>Schedule 1 of the Act</w:t>
      </w:r>
      <w:r w:rsidR="00DF6194">
        <w:t xml:space="preserve"> (for example, where Schedule 1 of the Act requires that </w:t>
      </w:r>
      <w:r w:rsidR="00FD360A">
        <w:t xml:space="preserve">a parent, guardian or independent person be present </w:t>
      </w:r>
      <w:r w:rsidR="00D12FF4">
        <w:t xml:space="preserve">during the search of a child, the proposed Regulations </w:t>
      </w:r>
      <w:r w:rsidR="00607984">
        <w:t xml:space="preserve">clarify that </w:t>
      </w:r>
      <w:r w:rsidR="003B5A37">
        <w:t>a police officer or protective services officer must record the name of the parent, guardian or independent person).</w:t>
      </w:r>
    </w:p>
  </w:footnote>
  <w:footnote w:id="3">
    <w:p w14:paraId="6EEE3D3B" w14:textId="5635E9A1" w:rsidR="00655C2B" w:rsidRDefault="00655C2B">
      <w:pPr>
        <w:pStyle w:val="FootnoteText"/>
      </w:pPr>
      <w:r>
        <w:rPr>
          <w:rStyle w:val="FootnoteReference"/>
        </w:rPr>
        <w:footnoteRef/>
      </w:r>
      <w:r>
        <w:t xml:space="preserve"> Felson, M &amp; Clarke, R (1998) ‘Opportunity Makes the Thief: Practical theory for crime prevention’, Policing and Reducing Crime Unit – Research, Development and Statistics Directorate, Policy Research Series, Paper 98.</w:t>
      </w:r>
    </w:p>
    <w:p w14:paraId="24210B90" w14:textId="22C54957" w:rsidR="00655C2B" w:rsidRDefault="00655C2B">
      <w:pPr>
        <w:pStyle w:val="FootnoteText"/>
        <w:rPr>
          <w:rFonts w:ascii="Arial" w:hAnsi="Arial" w:cs="Arial"/>
          <w:color w:val="222222"/>
          <w:sz w:val="20"/>
          <w:shd w:val="clear" w:color="auto" w:fill="FFFFFF"/>
        </w:rPr>
      </w:pPr>
      <w:r w:rsidRPr="00C82011">
        <w:t>Stolzenberg, L &amp; D'alessio, S</w:t>
      </w:r>
      <w:r>
        <w:t>.J</w:t>
      </w:r>
      <w:r w:rsidRPr="00C82011">
        <w:t xml:space="preserve"> (2000) </w:t>
      </w:r>
      <w:r>
        <w:t>‘</w:t>
      </w:r>
      <w:r w:rsidRPr="00C82011">
        <w:t>Gun availability and violent crime: New evidence from the national incident-based reporting system</w:t>
      </w:r>
      <w:r>
        <w:t>’,</w:t>
      </w:r>
      <w:r w:rsidRPr="00C82011">
        <w:t> Social Forces, 78(4), 1461-1482</w:t>
      </w:r>
      <w:r>
        <w:rPr>
          <w:rFonts w:ascii="Arial" w:hAnsi="Arial" w:cs="Arial"/>
          <w:color w:val="222222"/>
          <w:sz w:val="20"/>
          <w:shd w:val="clear" w:color="auto" w:fill="FFFFFF"/>
        </w:rPr>
        <w:t>.</w:t>
      </w:r>
    </w:p>
    <w:p w14:paraId="4C9142FD" w14:textId="0630D796" w:rsidR="00655C2B" w:rsidRDefault="00655C2B">
      <w:pPr>
        <w:pStyle w:val="FootnoteText"/>
      </w:pPr>
      <w:r w:rsidRPr="00532448">
        <w:t xml:space="preserve">Anglemyer, A, Horvath, T &amp; Rutherford, G (2014) </w:t>
      </w:r>
      <w:r>
        <w:t>‘</w:t>
      </w:r>
      <w:r w:rsidRPr="00532448">
        <w:t>The accessibility of firearms and risk for suicide and homicide victimization among household members: a systematic review and meta-analysis</w:t>
      </w:r>
      <w:r>
        <w:t>’,</w:t>
      </w:r>
      <w:r w:rsidRPr="00532448">
        <w:t> Annals of internal medicine, 160(2), 101-110.</w:t>
      </w:r>
    </w:p>
    <w:p w14:paraId="311BC494" w14:textId="4B83CCB3" w:rsidR="00655C2B" w:rsidRPr="00D550E5" w:rsidRDefault="00655C2B">
      <w:pPr>
        <w:pStyle w:val="FootnoteText"/>
        <w:rPr>
          <w:rStyle w:val="FootnoteReference"/>
          <w:vertAlign w:val="baseline"/>
        </w:rPr>
      </w:pPr>
      <w:r>
        <w:t>Bartels, L (2011) ‘Knife crime: recent data on carriage and use. Trends &amp; issues in crime and criminal justice no. 417. Australian Institute of Criminology</w:t>
      </w:r>
    </w:p>
  </w:footnote>
  <w:footnote w:id="4">
    <w:p w14:paraId="0A833163" w14:textId="77777777" w:rsidR="00655C2B" w:rsidRDefault="00655C2B" w:rsidP="00901BB5">
      <w:pPr>
        <w:pStyle w:val="FootnoteText"/>
      </w:pPr>
      <w:r>
        <w:rPr>
          <w:rStyle w:val="FootnoteReference"/>
        </w:rPr>
        <w:footnoteRef/>
      </w:r>
      <w:r>
        <w:t xml:space="preserve"> Australian Bureau of Statistics, 2019</w:t>
      </w:r>
    </w:p>
    <w:p w14:paraId="660A4A9A" w14:textId="77777777" w:rsidR="00655C2B" w:rsidRDefault="00655C2B" w:rsidP="00901BB5">
      <w:pPr>
        <w:pStyle w:val="FootnoteText"/>
      </w:pPr>
    </w:p>
  </w:footnote>
  <w:footnote w:id="5">
    <w:p w14:paraId="7C99DB46" w14:textId="66CC717C" w:rsidR="00655C2B" w:rsidRDefault="00655C2B">
      <w:pPr>
        <w:pStyle w:val="FootnoteText"/>
      </w:pPr>
      <w:r>
        <w:rPr>
          <w:rStyle w:val="FootnoteReference"/>
        </w:rPr>
        <w:footnoteRef/>
      </w:r>
      <w:r>
        <w:t xml:space="preserve"> While t</w:t>
      </w:r>
      <w:r w:rsidRPr="009D2ACF">
        <w:rPr>
          <w:rStyle w:val="eop"/>
        </w:rPr>
        <w:t>his is likely due at least in part to a subsequent</w:t>
      </w:r>
      <w:r>
        <w:rPr>
          <w:rStyle w:val="eop"/>
          <w:rFonts w:asciiTheme="majorHAnsi" w:hAnsiTheme="majorHAnsi" w:cstheme="majorHAnsi"/>
          <w:color w:val="000000"/>
          <w:shd w:val="clear" w:color="auto" w:fill="FFFFFF"/>
        </w:rPr>
        <w:t xml:space="preserve"> increase in enforcement activity which captured more weapons offences, the stabilisation of steadily increasing trend is consistent with underlying growth in prohibited uses or activities.</w:t>
      </w:r>
    </w:p>
  </w:footnote>
  <w:footnote w:id="6">
    <w:p w14:paraId="142C2B13" w14:textId="0781B726" w:rsidR="00BC196C" w:rsidRDefault="00BC196C">
      <w:pPr>
        <w:pStyle w:val="FootnoteText"/>
      </w:pPr>
      <w:r>
        <w:rPr>
          <w:rStyle w:val="FootnoteReference"/>
        </w:rPr>
        <w:footnoteRef/>
      </w:r>
      <w:r>
        <w:t xml:space="preserve"> </w:t>
      </w:r>
      <w:r w:rsidR="00DE59FB">
        <w:t xml:space="preserve">Estimate based on </w:t>
      </w:r>
      <w:r>
        <w:t xml:space="preserve">relevant literature </w:t>
      </w:r>
      <w:r w:rsidR="00DE59FB">
        <w:t xml:space="preserve">on </w:t>
      </w:r>
      <w:r>
        <w:t xml:space="preserve">the social costs of different types of crimes. The role of non-firearms weapons in these crimes has been </w:t>
      </w:r>
      <w:r w:rsidR="000C5B0B">
        <w:t xml:space="preserve">used </w:t>
      </w:r>
      <w:r>
        <w:t>to derive an overall estimate of the costs of weapons-related crime. ABS data has been used on the frequency of reported instances of different types of crimes involving weapons.</w:t>
      </w:r>
    </w:p>
  </w:footnote>
  <w:footnote w:id="7">
    <w:p w14:paraId="71AB4D10" w14:textId="0D4196C0" w:rsidR="00655C2B" w:rsidRDefault="00655C2B" w:rsidP="00AB6FEB">
      <w:pPr>
        <w:pStyle w:val="FootnoteText"/>
      </w:pPr>
      <w:r>
        <w:rPr>
          <w:rStyle w:val="FootnoteReference"/>
        </w:rPr>
        <w:footnoteRef/>
      </w:r>
      <w:r>
        <w:t xml:space="preserve"> Victoria Government Gazette </w:t>
      </w:r>
      <w:r w:rsidRPr="00F15706">
        <w:t>No. G.2 on 16 January 2020 at page 68.</w:t>
      </w:r>
    </w:p>
  </w:footnote>
  <w:footnote w:id="8">
    <w:p w14:paraId="0B23A5D6" w14:textId="77777777" w:rsidR="00956B9A" w:rsidRDefault="00956B9A" w:rsidP="00956B9A">
      <w:pPr>
        <w:pStyle w:val="FootnoteText"/>
      </w:pPr>
      <w:r>
        <w:rPr>
          <w:rStyle w:val="FootnoteReference"/>
        </w:rPr>
        <w:footnoteRef/>
      </w:r>
      <w:r>
        <w:t xml:space="preserve"> The proposed Regulations clarify a small number of particulars that a police officer or protective services officer must include in a record of a search carried out under the Act to reflect the rules for searches set out in Schedule 1 of the Act (for example, where Schedule 1 of the Act requires that a parent, guardian or independent person be present during the search of a child, the proposed Regulations clarify that a police officer or protective services officer must record the name of the parent, guardian or independent person).</w:t>
      </w:r>
    </w:p>
  </w:footnote>
  <w:footnote w:id="9">
    <w:p w14:paraId="666B4A2E" w14:textId="77777777" w:rsidR="00655C2B" w:rsidRDefault="00655C2B" w:rsidP="004571DB">
      <w:pPr>
        <w:pStyle w:val="FootnoteText"/>
      </w:pPr>
      <w:r>
        <w:rPr>
          <w:rStyle w:val="FootnoteReference"/>
        </w:rPr>
        <w:footnoteRef/>
      </w:r>
      <w:r>
        <w:t xml:space="preserve"> Stakeholders advised that in the martial arts sector, professional training schools had strong and clear financial incentives to ensure proper and safe use of prohibited weapons. These incentives were driven by the need to ensure the personal safety of their staff and students, and by the insurance market. </w:t>
      </w:r>
    </w:p>
  </w:footnote>
  <w:footnote w:id="10">
    <w:p w14:paraId="596B821F" w14:textId="77777777" w:rsidR="00655C2B" w:rsidRDefault="00655C2B" w:rsidP="00102EF5">
      <w:pPr>
        <w:pStyle w:val="FootnoteText"/>
      </w:pPr>
      <w:r>
        <w:rPr>
          <w:rStyle w:val="FootnoteReference"/>
        </w:rPr>
        <w:footnoteRef/>
      </w:r>
      <w:r>
        <w:t xml:space="preserve"> Better Regulation Victoria, </w:t>
      </w:r>
      <w:r>
        <w:rPr>
          <w:i/>
          <w:iCs/>
        </w:rPr>
        <w:t>Guidance Note – Multi-Criteria Analysis</w:t>
      </w:r>
      <w:r>
        <w:t xml:space="preserve"> (2014).</w:t>
      </w:r>
    </w:p>
  </w:footnote>
  <w:footnote w:id="11">
    <w:p w14:paraId="0B7A2C94" w14:textId="762956DC" w:rsidR="00655C2B" w:rsidRDefault="00655C2B" w:rsidP="000C5D9C">
      <w:pPr>
        <w:pStyle w:val="FootnoteText"/>
      </w:pPr>
      <w:r w:rsidRPr="000C5D9C">
        <w:rPr>
          <w:vertAlign w:val="superscript"/>
        </w:rPr>
        <w:footnoteRef/>
      </w:r>
      <w:r>
        <w:t xml:space="preserve"> </w:t>
      </w:r>
      <w:r w:rsidRPr="004B7414">
        <w:t xml:space="preserve">This RIS estimates the impact of these </w:t>
      </w:r>
      <w:r w:rsidR="00DE4551">
        <w:t>R</w:t>
      </w:r>
      <w:r w:rsidRPr="004B7414">
        <w:t xml:space="preserve">egulations </w:t>
      </w:r>
      <w:r>
        <w:t xml:space="preserve">by </w:t>
      </w:r>
      <w:r w:rsidRPr="004B7414">
        <w:t xml:space="preserve">focusing on the impacts of prescribing prohibited weapons, rather than the prescribed controlled weapons. The prescription of </w:t>
      </w:r>
      <w:r>
        <w:t>additional</w:t>
      </w:r>
      <w:r w:rsidRPr="004B7414">
        <w:t xml:space="preserve"> controlled weapons </w:t>
      </w:r>
      <w:r>
        <w:t>does not</w:t>
      </w:r>
      <w:r w:rsidRPr="004B7414">
        <w:t xml:space="preserve"> </w:t>
      </w:r>
      <w:r>
        <w:t xml:space="preserve">impose </w:t>
      </w:r>
      <w:r w:rsidRPr="004B7414">
        <w:t xml:space="preserve">costs on a legitimate user of a controlled weapon because they </w:t>
      </w:r>
      <w:r>
        <w:t>may sell or use that weapon without requiring approval from the Chief Commissioner of Police or exemption via gazettal and without needing to undertake any additional compliance activities such as recording details of transactions</w:t>
      </w:r>
      <w:r w:rsidRPr="004B7414">
        <w:t>.</w:t>
      </w:r>
    </w:p>
  </w:footnote>
  <w:footnote w:id="12">
    <w:p w14:paraId="26FBC81B" w14:textId="2BD2605D" w:rsidR="00655C2B" w:rsidRDefault="00655C2B">
      <w:pPr>
        <w:pStyle w:val="FootnoteText"/>
      </w:pPr>
      <w:r>
        <w:rPr>
          <w:rStyle w:val="FootnoteReference"/>
        </w:rPr>
        <w:footnoteRef/>
      </w:r>
      <w:r>
        <w:t xml:space="preserve"> Based on data provided by Victoria Police, from 2015-16 to 2019-20 there were an average of 313 applications for approval to use a prohibited weapon each year, including an average of 270 applications from individuals and an average of 43 applications from businesses (based on the five-year ratio of valid individual approvals relative to total valid approvals). Estimates of applications approved and rejected were based on the approval rates for total applications over the last five years.</w:t>
      </w:r>
    </w:p>
  </w:footnote>
  <w:footnote w:id="13">
    <w:p w14:paraId="00252DC4" w14:textId="1D61D657" w:rsidR="00655C2B" w:rsidRDefault="00655C2B">
      <w:pPr>
        <w:pStyle w:val="FootnoteText"/>
      </w:pPr>
      <w:r>
        <w:rPr>
          <w:rStyle w:val="FootnoteReference"/>
        </w:rPr>
        <w:footnoteRef/>
      </w:r>
      <w:r>
        <w:t xml:space="preserve"> The value of a private individual’s time is based on the after tax average hourly Victorian earnings. This marginal value of an additional hour’s work for an average Victorian reflects the trade-off between work and leisure, and on this basis is used to estimate the value of time taken by an individual to apply for an approval.</w:t>
      </w:r>
      <w:r w:rsidRPr="00AD5FB1">
        <w:t xml:space="preserve"> </w:t>
      </w:r>
      <w:r>
        <w:t>This method is consistent with the typical approaches to estimating the value of private leisure time. See, for example, Australian Government, Department of Prime Minister and Cabinet, Office of Best Practice Regulation, Regulatory Burden Measurement Framework, February 2016.</w:t>
      </w:r>
    </w:p>
  </w:footnote>
  <w:footnote w:id="14">
    <w:p w14:paraId="2E8BC5CE" w14:textId="5364489D" w:rsidR="00655C2B" w:rsidRDefault="00655C2B" w:rsidP="00B31638">
      <w:pPr>
        <w:pStyle w:val="FootnoteText"/>
      </w:pPr>
      <w:r>
        <w:rPr>
          <w:rStyle w:val="FootnoteReference"/>
        </w:rPr>
        <w:footnoteRef/>
      </w:r>
      <w:r>
        <w:t xml:space="preserve"> Based on data provided by Victoria Police, from 2015-16 to 2019-20 there were an average of 313 applications for approval to use a prohibited weapon each year, including an average of 270 applications from individuals and an average of 43 applications from businesses (based on the five-year ratio of valid individual approvals relative to total valid approvals). Estimates of applications approved and rejected were based on the approval rates for total applications over the last five years.</w:t>
      </w:r>
    </w:p>
  </w:footnote>
  <w:footnote w:id="15">
    <w:p w14:paraId="0ABF5872" w14:textId="36F8602B" w:rsidR="00655C2B" w:rsidRDefault="00655C2B" w:rsidP="000E6511">
      <w:pPr>
        <w:pStyle w:val="FootnoteText"/>
      </w:pPr>
      <w:r>
        <w:rPr>
          <w:rStyle w:val="FootnoteReference"/>
        </w:rPr>
        <w:footnoteRef/>
      </w:r>
      <w:r>
        <w:t xml:space="preserve"> This is based on the average hourly earnings of a full-time adult in Victoria, multiplied by the on-costs and overheads multiplier of 1.75 recommended in Appendix D of the Department of Treasury and Finance’s </w:t>
      </w:r>
      <w:r>
        <w:rPr>
          <w:i/>
          <w:iCs/>
        </w:rPr>
        <w:t>Regulatory Change Measurement Manual</w:t>
      </w:r>
      <w:r>
        <w:t>. This value represents the opportunity cost to the business of the employee/owner’s labour.</w:t>
      </w:r>
    </w:p>
  </w:footnote>
  <w:footnote w:id="16">
    <w:p w14:paraId="4B5DFF2C" w14:textId="686ED409" w:rsidR="00655C2B" w:rsidRDefault="00655C2B">
      <w:pPr>
        <w:pStyle w:val="FootnoteText"/>
      </w:pPr>
      <w:r>
        <w:rPr>
          <w:rStyle w:val="FootnoteReference"/>
        </w:rPr>
        <w:footnoteRef/>
      </w:r>
      <w:r>
        <w:t xml:space="preserve"> This is considered an extremely conservative assumption, on the basis that this assumption implies 18,800 prohibited weapons are sold each year and Victoria Police data suggest that there are currently 612 individuals with approval to use prohibited weapons, which would in turn imply that each legitimate user was purchasing an average of around 30 prohibited weapons per year.</w:t>
      </w:r>
    </w:p>
  </w:footnote>
  <w:footnote w:id="17">
    <w:p w14:paraId="2271FC77" w14:textId="44A69162" w:rsidR="00655C2B" w:rsidRDefault="00655C2B">
      <w:pPr>
        <w:pStyle w:val="FootnoteText"/>
      </w:pPr>
      <w:r>
        <w:rPr>
          <w:rStyle w:val="FootnoteReference"/>
        </w:rPr>
        <w:footnoteRef/>
      </w:r>
      <w:r>
        <w:t xml:space="preserve"> The value of a statistical life is based on Better Regulation Victoria’s </w:t>
      </w:r>
      <w:hyperlink r:id="rId1" w:history="1">
        <w:r w:rsidRPr="00AC784F">
          <w:rPr>
            <w:rStyle w:val="Hyperlink"/>
            <w:i/>
            <w:iCs/>
          </w:rPr>
          <w:t>Suggested value of a statistical life in RISs and LIAs</w:t>
        </w:r>
      </w:hyperlink>
      <w:r>
        <w:t xml:space="preserve">, which suggests that the value of a statistical life year is $186,985 in June 2016 dollars, with a 40-year net present value of a statistical life of around $4.3 million. Adjusting this to March 2021 dollars using ABS data on inflation suggest a current dollar value of a statistical life year is $204,547. Using the same method as in Better Regulation Victoria’s guidance, this implies a 40-yaer net present value of a statistical life of around $4.7 million.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62472" w14:textId="77777777" w:rsidR="003176B1" w:rsidRDefault="003176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107DC" w14:textId="5331BD45" w:rsidR="00655C2B" w:rsidRDefault="00E87A0B" w:rsidP="00474643">
    <w:pPr>
      <w:pStyle w:val="Header"/>
    </w:pPr>
    <w:r>
      <w:rPr>
        <w:lang w:val="en-US"/>
      </w:rPr>
      <w:t>Regulatory Impact Statement - Control of Weapons Regulations 2021</w:t>
    </w:r>
  </w:p>
  <w:p w14:paraId="5057817A" w14:textId="77777777" w:rsidR="00655C2B" w:rsidRPr="00474643" w:rsidRDefault="00655C2B" w:rsidP="0047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E489B" w14:textId="77777777" w:rsidR="003176B1" w:rsidRDefault="003176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53944" w14:textId="743AE974" w:rsidR="00655C2B" w:rsidRPr="000116B0" w:rsidRDefault="00E87A0B" w:rsidP="00474643">
    <w:pPr>
      <w:pStyle w:val="Header"/>
    </w:pPr>
    <w:r>
      <w:t>Regulatory Impact Statement - Control of Weapons Regulations 2021</w:t>
    </w:r>
  </w:p>
  <w:p w14:paraId="04E2A638" w14:textId="2260B80D" w:rsidR="00655C2B" w:rsidRDefault="00655C2B" w:rsidP="004F5755">
    <w:pPr>
      <w:pStyle w:val="Header"/>
    </w:pPr>
  </w:p>
  <w:p w14:paraId="060F74E2" w14:textId="58D8DAEF" w:rsidR="00655C2B" w:rsidRDefault="00655C2B" w:rsidP="00474643">
    <w:pPr>
      <w:pStyle w:val="Header"/>
    </w:pPr>
  </w:p>
  <w:p w14:paraId="1A03C0F8" w14:textId="77777777" w:rsidR="00655C2B" w:rsidRPr="000116B0" w:rsidRDefault="00655C2B" w:rsidP="0047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649B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CAA2C8"/>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13643CF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5A6A3224"/>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0211ABA"/>
    <w:multiLevelType w:val="hybridMultilevel"/>
    <w:tmpl w:val="F1F4E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EA124C"/>
    <w:multiLevelType w:val="hybridMultilevel"/>
    <w:tmpl w:val="2B62C1E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02DB2827"/>
    <w:multiLevelType w:val="multilevel"/>
    <w:tmpl w:val="E0023528"/>
    <w:lvl w:ilvl="0">
      <w:start w:val="1"/>
      <w:numFmt w:val="upperLetter"/>
      <w:pStyle w:val="AlphabeticList"/>
      <w:lvlText w:val="%1"/>
      <w:lvlJc w:val="left"/>
      <w:pPr>
        <w:ind w:left="340" w:hanging="340"/>
      </w:pPr>
      <w:rPr>
        <w:rFonts w:hint="default"/>
      </w:rPr>
    </w:lvl>
    <w:lvl w:ilvl="1">
      <w:start w:val="1"/>
      <w:numFmt w:val="lowerLetter"/>
      <w:pStyle w:val="AlphabeticList2"/>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7" w15:restartNumberingAfterBreak="0">
    <w:nsid w:val="03C13BC7"/>
    <w:multiLevelType w:val="hybridMultilevel"/>
    <w:tmpl w:val="57361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E24382"/>
    <w:multiLevelType w:val="hybridMultilevel"/>
    <w:tmpl w:val="3C9C9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BE805CD"/>
    <w:multiLevelType w:val="multilevel"/>
    <w:tmpl w:val="A1F6CA98"/>
    <w:lvl w:ilvl="0">
      <w:start w:val="1"/>
      <w:numFmt w:val="upperLetter"/>
      <w:pStyle w:val="Appendixhead1"/>
      <w:lvlText w:val="Appendix %1"/>
      <w:lvlJc w:val="left"/>
      <w:pPr>
        <w:ind w:left="3856" w:hanging="3856"/>
      </w:pPr>
      <w:rPr>
        <w:rFonts w:hint="default"/>
      </w:rPr>
    </w:lvl>
    <w:lvl w:ilvl="1">
      <w:start w:val="1"/>
      <w:numFmt w:val="decimal"/>
      <w:pStyle w:val="Appendixhead2"/>
      <w:lvlText w:val="%1.%2."/>
      <w:lvlJc w:val="left"/>
      <w:pPr>
        <w:ind w:left="792" w:hanging="792"/>
      </w:pPr>
      <w:rPr>
        <w:rFonts w:hint="default"/>
      </w:rPr>
    </w:lvl>
    <w:lvl w:ilvl="2">
      <w:start w:val="1"/>
      <w:numFmt w:val="decimal"/>
      <w:pStyle w:val="Appendixhead3"/>
      <w:lvlText w:val="%1.%2.%3."/>
      <w:lvlJc w:val="left"/>
      <w:pPr>
        <w:ind w:left="794" w:hanging="794"/>
      </w:pPr>
      <w:rPr>
        <w:rFonts w:hint="default"/>
      </w:rPr>
    </w:lvl>
    <w:lvl w:ilvl="3">
      <w:start w:val="1"/>
      <w:numFmt w:val="decimal"/>
      <w:pStyle w:val="Appendixhead4"/>
      <w:lvlText w:val="%1.%2.%3.%4."/>
      <w:lvlJc w:val="left"/>
      <w:pPr>
        <w:ind w:left="794" w:hanging="794"/>
      </w:pPr>
      <w:rPr>
        <w:rFonts w:hint="default"/>
      </w:rPr>
    </w:lvl>
    <w:lvl w:ilvl="4">
      <w:start w:val="1"/>
      <w:numFmt w:val="decimal"/>
      <w:lvlText w:val="%1.%2.%3.%4.%5."/>
      <w:lvlJc w:val="left"/>
      <w:pPr>
        <w:ind w:left="1134" w:hanging="1134"/>
      </w:pPr>
      <w:rPr>
        <w:rFonts w:hint="default"/>
        <w:color w:val="44546A" w:themeColor="text2"/>
        <w:sz w:val="22"/>
      </w:rPr>
    </w:lvl>
    <w:lvl w:ilvl="5">
      <w:start w:val="1"/>
      <w:numFmt w:val="decimal"/>
      <w:lvlText w:val="%1.%2.%3.%4.%5.%6."/>
      <w:lvlJc w:val="left"/>
      <w:pPr>
        <w:ind w:left="1701" w:hanging="1701"/>
      </w:pPr>
      <w:rPr>
        <w:rFonts w:hint="default"/>
      </w:rPr>
    </w:lvl>
    <w:lvl w:ilvl="6">
      <w:start w:val="1"/>
      <w:numFmt w:val="decimal"/>
      <w:lvlRestart w:val="1"/>
      <w:pStyle w:val="AppendixTableCaption"/>
      <w:suff w:val="nothing"/>
      <w:lvlText w:val="Table %1.%7"/>
      <w:lvlJc w:val="left"/>
      <w:pPr>
        <w:ind w:left="0" w:firstLine="0"/>
      </w:pPr>
      <w:rPr>
        <w:rFonts w:hint="default"/>
      </w:rPr>
    </w:lvl>
    <w:lvl w:ilvl="7">
      <w:start w:val="1"/>
      <w:numFmt w:val="decimal"/>
      <w:lvlRestart w:val="1"/>
      <w:pStyle w:val="AppendixChartCaption"/>
      <w:suff w:val="nothing"/>
      <w:lvlText w:val="Chart %1.%8"/>
      <w:lvlJc w:val="left"/>
      <w:pPr>
        <w:ind w:left="0" w:firstLine="0"/>
      </w:pPr>
      <w:rPr>
        <w:rFonts w:hint="default"/>
      </w:rPr>
    </w:lvl>
    <w:lvl w:ilvl="8">
      <w:start w:val="1"/>
      <w:numFmt w:val="decimal"/>
      <w:lvlRestart w:val="1"/>
      <w:pStyle w:val="AppendixFigureCaption"/>
      <w:suff w:val="nothing"/>
      <w:lvlText w:val="Figure %1.%9"/>
      <w:lvlJc w:val="left"/>
      <w:pPr>
        <w:ind w:left="0" w:firstLine="0"/>
      </w:pPr>
      <w:rPr>
        <w:rFonts w:hint="default"/>
      </w:rPr>
    </w:lvl>
  </w:abstractNum>
  <w:abstractNum w:abstractNumId="10" w15:restartNumberingAfterBreak="0">
    <w:nsid w:val="1579747A"/>
    <w:multiLevelType w:val="multilevel"/>
    <w:tmpl w:val="4C584C80"/>
    <w:lvl w:ilvl="0">
      <w:start w:val="1"/>
      <w:numFmt w:val="none"/>
      <w:pStyle w:val="ExecutiveHeading"/>
      <w:suff w:val="nothing"/>
      <w:lvlText w:val=""/>
      <w:lvlJc w:val="left"/>
      <w:pPr>
        <w:ind w:left="0" w:firstLine="0"/>
      </w:pPr>
      <w:rPr>
        <w:rFonts w:hint="default"/>
      </w:rPr>
    </w:lvl>
    <w:lvl w:ilvl="1">
      <w:start w:val="1"/>
      <w:numFmt w:val="lowerRoman"/>
      <w:lvlRestart w:val="0"/>
      <w:pStyle w:val="ExecTableCaption"/>
      <w:suff w:val="nothing"/>
      <w:lvlText w:val="Table %2"/>
      <w:lvlJc w:val="left"/>
      <w:pPr>
        <w:ind w:left="0" w:firstLine="0"/>
      </w:pPr>
      <w:rPr>
        <w:rFonts w:hint="default"/>
      </w:rPr>
    </w:lvl>
    <w:lvl w:ilvl="2">
      <w:start w:val="1"/>
      <w:numFmt w:val="lowerRoman"/>
      <w:lvlRestart w:val="0"/>
      <w:pStyle w:val="ExecChartCaption"/>
      <w:suff w:val="nothing"/>
      <w:lvlText w:val="Chart %3"/>
      <w:lvlJc w:val="left"/>
      <w:pPr>
        <w:ind w:left="0" w:firstLine="0"/>
      </w:pPr>
      <w:rPr>
        <w:rFonts w:hint="default"/>
      </w:rPr>
    </w:lvl>
    <w:lvl w:ilvl="3">
      <w:start w:val="1"/>
      <w:numFmt w:val="lowerRoman"/>
      <w:lvlRestart w:val="0"/>
      <w:pStyle w:val="ExecFigureCaption"/>
      <w:suff w:val="nothing"/>
      <w:lvlText w:val="Figure %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1" w15:restartNumberingAfterBreak="0">
    <w:nsid w:val="159C3532"/>
    <w:multiLevelType w:val="hybridMultilevel"/>
    <w:tmpl w:val="0CF6A03A"/>
    <w:lvl w:ilvl="0" w:tplc="0C090001">
      <w:start w:val="1"/>
      <w:numFmt w:val="bullet"/>
      <w:lvlText w:val=""/>
      <w:lvlJc w:val="left"/>
      <w:pPr>
        <w:tabs>
          <w:tab w:val="num" w:pos="360"/>
        </w:tabs>
        <w:ind w:left="360" w:hanging="360"/>
      </w:pPr>
      <w:rPr>
        <w:rFonts w:ascii="Symbol" w:hAnsi="Symbol" w:hint="default"/>
      </w:rPr>
    </w:lvl>
    <w:lvl w:ilvl="1" w:tplc="8806E346" w:tentative="1">
      <w:start w:val="1"/>
      <w:numFmt w:val="bullet"/>
      <w:lvlText w:val=""/>
      <w:lvlJc w:val="left"/>
      <w:pPr>
        <w:tabs>
          <w:tab w:val="num" w:pos="1080"/>
        </w:tabs>
        <w:ind w:left="1080" w:hanging="360"/>
      </w:pPr>
      <w:rPr>
        <w:rFonts w:ascii="Wingdings" w:hAnsi="Wingdings" w:hint="default"/>
      </w:rPr>
    </w:lvl>
    <w:lvl w:ilvl="2" w:tplc="94B42AE8" w:tentative="1">
      <w:start w:val="1"/>
      <w:numFmt w:val="bullet"/>
      <w:lvlText w:val=""/>
      <w:lvlJc w:val="left"/>
      <w:pPr>
        <w:tabs>
          <w:tab w:val="num" w:pos="1800"/>
        </w:tabs>
        <w:ind w:left="1800" w:hanging="360"/>
      </w:pPr>
      <w:rPr>
        <w:rFonts w:ascii="Wingdings" w:hAnsi="Wingdings" w:hint="default"/>
      </w:rPr>
    </w:lvl>
    <w:lvl w:ilvl="3" w:tplc="900458D6" w:tentative="1">
      <w:start w:val="1"/>
      <w:numFmt w:val="bullet"/>
      <w:lvlText w:val=""/>
      <w:lvlJc w:val="left"/>
      <w:pPr>
        <w:tabs>
          <w:tab w:val="num" w:pos="2520"/>
        </w:tabs>
        <w:ind w:left="2520" w:hanging="360"/>
      </w:pPr>
      <w:rPr>
        <w:rFonts w:ascii="Wingdings" w:hAnsi="Wingdings" w:hint="default"/>
      </w:rPr>
    </w:lvl>
    <w:lvl w:ilvl="4" w:tplc="7332B1BA" w:tentative="1">
      <w:start w:val="1"/>
      <w:numFmt w:val="bullet"/>
      <w:lvlText w:val=""/>
      <w:lvlJc w:val="left"/>
      <w:pPr>
        <w:tabs>
          <w:tab w:val="num" w:pos="3240"/>
        </w:tabs>
        <w:ind w:left="3240" w:hanging="360"/>
      </w:pPr>
      <w:rPr>
        <w:rFonts w:ascii="Wingdings" w:hAnsi="Wingdings" w:hint="default"/>
      </w:rPr>
    </w:lvl>
    <w:lvl w:ilvl="5" w:tplc="C60C60C4" w:tentative="1">
      <w:start w:val="1"/>
      <w:numFmt w:val="bullet"/>
      <w:lvlText w:val=""/>
      <w:lvlJc w:val="left"/>
      <w:pPr>
        <w:tabs>
          <w:tab w:val="num" w:pos="3960"/>
        </w:tabs>
        <w:ind w:left="3960" w:hanging="360"/>
      </w:pPr>
      <w:rPr>
        <w:rFonts w:ascii="Wingdings" w:hAnsi="Wingdings" w:hint="default"/>
      </w:rPr>
    </w:lvl>
    <w:lvl w:ilvl="6" w:tplc="C5EEDA62" w:tentative="1">
      <w:start w:val="1"/>
      <w:numFmt w:val="bullet"/>
      <w:lvlText w:val=""/>
      <w:lvlJc w:val="left"/>
      <w:pPr>
        <w:tabs>
          <w:tab w:val="num" w:pos="4680"/>
        </w:tabs>
        <w:ind w:left="4680" w:hanging="360"/>
      </w:pPr>
      <w:rPr>
        <w:rFonts w:ascii="Wingdings" w:hAnsi="Wingdings" w:hint="default"/>
      </w:rPr>
    </w:lvl>
    <w:lvl w:ilvl="7" w:tplc="7FE4D78A" w:tentative="1">
      <w:start w:val="1"/>
      <w:numFmt w:val="bullet"/>
      <w:lvlText w:val=""/>
      <w:lvlJc w:val="left"/>
      <w:pPr>
        <w:tabs>
          <w:tab w:val="num" w:pos="5400"/>
        </w:tabs>
        <w:ind w:left="5400" w:hanging="360"/>
      </w:pPr>
      <w:rPr>
        <w:rFonts w:ascii="Wingdings" w:hAnsi="Wingdings" w:hint="default"/>
      </w:rPr>
    </w:lvl>
    <w:lvl w:ilvl="8" w:tplc="4ABA0FAA"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8E0104F"/>
    <w:multiLevelType w:val="multilevel"/>
    <w:tmpl w:val="57629E32"/>
    <w:lvl w:ilvl="0">
      <w:start w:val="1"/>
      <w:numFmt w:val="bullet"/>
      <w:pStyle w:val="ListBullet3"/>
      <w:lvlText w:val=""/>
      <w:lvlJc w:val="left"/>
      <w:pPr>
        <w:ind w:left="1021" w:hanging="341"/>
      </w:pPr>
      <w:rPr>
        <w:rFonts w:ascii="Symbol" w:hAnsi="Symbol" w:hint="default"/>
      </w:rPr>
    </w:lvl>
    <w:lvl w:ilvl="1">
      <w:start w:val="1"/>
      <w:numFmt w:val="bullet"/>
      <w:lvlText w:val="–"/>
      <w:lvlJc w:val="left"/>
      <w:pPr>
        <w:ind w:left="1361" w:hanging="341"/>
      </w:pPr>
      <w:rPr>
        <w:rFonts w:ascii="Verdana" w:hAnsi="Verdana" w:hint="default"/>
      </w:rPr>
    </w:lvl>
    <w:lvl w:ilvl="2">
      <w:start w:val="1"/>
      <w:numFmt w:val="bullet"/>
      <w:lvlText w:val=""/>
      <w:lvlJc w:val="left"/>
      <w:pPr>
        <w:ind w:left="1701" w:hanging="341"/>
      </w:pPr>
      <w:rPr>
        <w:rFonts w:ascii="Symbol" w:hAnsi="Symbol" w:hint="default"/>
      </w:rPr>
    </w:lvl>
    <w:lvl w:ilvl="3">
      <w:start w:val="1"/>
      <w:numFmt w:val="bullet"/>
      <w:lvlText w:val="–"/>
      <w:lvlJc w:val="left"/>
      <w:pPr>
        <w:ind w:left="2041" w:hanging="341"/>
      </w:pPr>
      <w:rPr>
        <w:rFonts w:ascii="Verdana" w:hAnsi="Verdana" w:hint="default"/>
      </w:rPr>
    </w:lvl>
    <w:lvl w:ilvl="4">
      <w:start w:val="1"/>
      <w:numFmt w:val="bullet"/>
      <w:lvlText w:val=""/>
      <w:lvlJc w:val="left"/>
      <w:pPr>
        <w:ind w:left="2381" w:hanging="341"/>
      </w:pPr>
      <w:rPr>
        <w:rFonts w:ascii="Symbol" w:hAnsi="Symbol" w:hint="default"/>
      </w:rPr>
    </w:lvl>
    <w:lvl w:ilvl="5">
      <w:start w:val="1"/>
      <w:numFmt w:val="bullet"/>
      <w:lvlText w:val="–"/>
      <w:lvlJc w:val="left"/>
      <w:pPr>
        <w:ind w:left="2721" w:hanging="341"/>
      </w:pPr>
      <w:rPr>
        <w:rFonts w:ascii="Verdana" w:hAnsi="Verdana" w:hint="default"/>
      </w:rPr>
    </w:lvl>
    <w:lvl w:ilvl="6">
      <w:start w:val="1"/>
      <w:numFmt w:val="bullet"/>
      <w:lvlText w:val=""/>
      <w:lvlJc w:val="left"/>
      <w:pPr>
        <w:ind w:left="3061" w:hanging="341"/>
      </w:pPr>
      <w:rPr>
        <w:rFonts w:ascii="Symbol" w:hAnsi="Symbol" w:hint="default"/>
      </w:rPr>
    </w:lvl>
    <w:lvl w:ilvl="7">
      <w:start w:val="1"/>
      <w:numFmt w:val="bullet"/>
      <w:lvlText w:val="–"/>
      <w:lvlJc w:val="left"/>
      <w:pPr>
        <w:ind w:left="3401" w:hanging="341"/>
      </w:pPr>
      <w:rPr>
        <w:rFonts w:ascii="Verdana" w:hAnsi="Verdana" w:hint="default"/>
      </w:rPr>
    </w:lvl>
    <w:lvl w:ilvl="8">
      <w:start w:val="1"/>
      <w:numFmt w:val="bullet"/>
      <w:lvlText w:val=""/>
      <w:lvlJc w:val="left"/>
      <w:pPr>
        <w:ind w:left="3741" w:hanging="341"/>
      </w:pPr>
      <w:rPr>
        <w:rFonts w:ascii="Symbol" w:hAnsi="Symbol" w:hint="default"/>
      </w:rPr>
    </w:lvl>
  </w:abstractNum>
  <w:abstractNum w:abstractNumId="13" w15:restartNumberingAfterBreak="0">
    <w:nsid w:val="1EC77581"/>
    <w:multiLevelType w:val="hybridMultilevel"/>
    <w:tmpl w:val="FFFFFFFF"/>
    <w:lvl w:ilvl="0" w:tplc="5D480CE4">
      <w:start w:val="1"/>
      <w:numFmt w:val="bullet"/>
      <w:lvlText w:val=""/>
      <w:lvlJc w:val="left"/>
      <w:pPr>
        <w:ind w:left="720" w:hanging="360"/>
      </w:pPr>
      <w:rPr>
        <w:rFonts w:ascii="Symbol" w:hAnsi="Symbol" w:hint="default"/>
      </w:rPr>
    </w:lvl>
    <w:lvl w:ilvl="1" w:tplc="030660E4">
      <w:start w:val="1"/>
      <w:numFmt w:val="bullet"/>
      <w:lvlText w:val="o"/>
      <w:lvlJc w:val="left"/>
      <w:pPr>
        <w:ind w:left="1440" w:hanging="360"/>
      </w:pPr>
      <w:rPr>
        <w:rFonts w:ascii="Courier New" w:hAnsi="Courier New" w:hint="default"/>
      </w:rPr>
    </w:lvl>
    <w:lvl w:ilvl="2" w:tplc="93EC2B92">
      <w:start w:val="1"/>
      <w:numFmt w:val="bullet"/>
      <w:lvlText w:val=""/>
      <w:lvlJc w:val="left"/>
      <w:pPr>
        <w:ind w:left="2160" w:hanging="360"/>
      </w:pPr>
      <w:rPr>
        <w:rFonts w:ascii="Wingdings" w:hAnsi="Wingdings" w:hint="default"/>
      </w:rPr>
    </w:lvl>
    <w:lvl w:ilvl="3" w:tplc="C494D872">
      <w:start w:val="1"/>
      <w:numFmt w:val="bullet"/>
      <w:lvlText w:val=""/>
      <w:lvlJc w:val="left"/>
      <w:pPr>
        <w:ind w:left="2880" w:hanging="360"/>
      </w:pPr>
      <w:rPr>
        <w:rFonts w:ascii="Symbol" w:hAnsi="Symbol" w:hint="default"/>
      </w:rPr>
    </w:lvl>
    <w:lvl w:ilvl="4" w:tplc="41C47AD6">
      <w:start w:val="1"/>
      <w:numFmt w:val="bullet"/>
      <w:lvlText w:val="o"/>
      <w:lvlJc w:val="left"/>
      <w:pPr>
        <w:ind w:left="3600" w:hanging="360"/>
      </w:pPr>
      <w:rPr>
        <w:rFonts w:ascii="Courier New" w:hAnsi="Courier New" w:hint="default"/>
      </w:rPr>
    </w:lvl>
    <w:lvl w:ilvl="5" w:tplc="D50E07AA">
      <w:start w:val="1"/>
      <w:numFmt w:val="bullet"/>
      <w:lvlText w:val=""/>
      <w:lvlJc w:val="left"/>
      <w:pPr>
        <w:ind w:left="4320" w:hanging="360"/>
      </w:pPr>
      <w:rPr>
        <w:rFonts w:ascii="Wingdings" w:hAnsi="Wingdings" w:hint="default"/>
      </w:rPr>
    </w:lvl>
    <w:lvl w:ilvl="6" w:tplc="83DAB1EE">
      <w:start w:val="1"/>
      <w:numFmt w:val="bullet"/>
      <w:lvlText w:val=""/>
      <w:lvlJc w:val="left"/>
      <w:pPr>
        <w:ind w:left="5040" w:hanging="360"/>
      </w:pPr>
      <w:rPr>
        <w:rFonts w:ascii="Symbol" w:hAnsi="Symbol" w:hint="default"/>
      </w:rPr>
    </w:lvl>
    <w:lvl w:ilvl="7" w:tplc="6492C7CE">
      <w:start w:val="1"/>
      <w:numFmt w:val="bullet"/>
      <w:lvlText w:val="o"/>
      <w:lvlJc w:val="left"/>
      <w:pPr>
        <w:ind w:left="5760" w:hanging="360"/>
      </w:pPr>
      <w:rPr>
        <w:rFonts w:ascii="Courier New" w:hAnsi="Courier New" w:hint="default"/>
      </w:rPr>
    </w:lvl>
    <w:lvl w:ilvl="8" w:tplc="A68844F6">
      <w:start w:val="1"/>
      <w:numFmt w:val="bullet"/>
      <w:lvlText w:val=""/>
      <w:lvlJc w:val="left"/>
      <w:pPr>
        <w:ind w:left="6480" w:hanging="360"/>
      </w:pPr>
      <w:rPr>
        <w:rFonts w:ascii="Wingdings" w:hAnsi="Wingdings" w:hint="default"/>
      </w:rPr>
    </w:lvl>
  </w:abstractNum>
  <w:abstractNum w:abstractNumId="14" w15:restartNumberingAfterBreak="0">
    <w:nsid w:val="220F592E"/>
    <w:multiLevelType w:val="hybridMultilevel"/>
    <w:tmpl w:val="1826E5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24D374C8"/>
    <w:multiLevelType w:val="hybridMultilevel"/>
    <w:tmpl w:val="FB3CF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9F302D"/>
    <w:multiLevelType w:val="multilevel"/>
    <w:tmpl w:val="58063B50"/>
    <w:lvl w:ilvl="0">
      <w:start w:val="1"/>
      <w:numFmt w:val="bullet"/>
      <w:pStyle w:val="BulletedText1"/>
      <w:lvlText w:val=""/>
      <w:lvlJc w:val="left"/>
      <w:pPr>
        <w:ind w:left="227" w:hanging="227"/>
      </w:pPr>
      <w:rPr>
        <w:rFonts w:ascii="Wingdings" w:hAnsi="Wingdings" w:hint="default"/>
        <w:color w:val="44546A" w:themeColor="text2"/>
        <w:sz w:val="18"/>
      </w:rPr>
    </w:lvl>
    <w:lvl w:ilvl="1">
      <w:start w:val="1"/>
      <w:numFmt w:val="bullet"/>
      <w:pStyle w:val="BulletedText2"/>
      <w:lvlText w:val="–"/>
      <w:lvlJc w:val="left"/>
      <w:pPr>
        <w:ind w:left="454" w:hanging="227"/>
      </w:pPr>
      <w:rPr>
        <w:rFonts w:ascii="Verdana" w:hAnsi="Verdana" w:hint="default"/>
      </w:rPr>
    </w:lvl>
    <w:lvl w:ilvl="2">
      <w:start w:val="1"/>
      <w:numFmt w:val="bullet"/>
      <w:lvlText w:val=""/>
      <w:lvlJc w:val="left"/>
      <w:pPr>
        <w:ind w:left="681" w:hanging="227"/>
      </w:pPr>
      <w:rPr>
        <w:rFonts w:ascii="Wingdings" w:hAnsi="Wingdings" w:hint="default"/>
        <w:color w:val="44546A" w:themeColor="text2"/>
      </w:rPr>
    </w:lvl>
    <w:lvl w:ilvl="3">
      <w:start w:val="1"/>
      <w:numFmt w:val="bullet"/>
      <w:lvlText w:val="–"/>
      <w:lvlJc w:val="left"/>
      <w:pPr>
        <w:ind w:left="908" w:hanging="227"/>
      </w:pPr>
      <w:rPr>
        <w:rFonts w:ascii="Gotham Bold" w:hAnsi="Gotham Bold" w:hint="default"/>
        <w:color w:val="64645A"/>
      </w:rPr>
    </w:lvl>
    <w:lvl w:ilvl="4">
      <w:start w:val="1"/>
      <w:numFmt w:val="bullet"/>
      <w:lvlText w:val=""/>
      <w:lvlJc w:val="left"/>
      <w:pPr>
        <w:ind w:left="1135" w:hanging="227"/>
      </w:pPr>
      <w:rPr>
        <w:rFonts w:ascii="Wingdings" w:hAnsi="Wingdings" w:hint="default"/>
        <w:color w:val="44546A" w:themeColor="text2"/>
      </w:rPr>
    </w:lvl>
    <w:lvl w:ilvl="5">
      <w:start w:val="1"/>
      <w:numFmt w:val="bullet"/>
      <w:lvlText w:val="–"/>
      <w:lvlJc w:val="left"/>
      <w:pPr>
        <w:ind w:left="1362" w:hanging="227"/>
      </w:pPr>
      <w:rPr>
        <w:rFonts w:ascii="Gotham Bold" w:hAnsi="Gotham Bold" w:hint="default"/>
        <w:color w:val="64645A"/>
      </w:rPr>
    </w:lvl>
    <w:lvl w:ilvl="6">
      <w:start w:val="1"/>
      <w:numFmt w:val="bullet"/>
      <w:lvlText w:val=""/>
      <w:lvlJc w:val="left"/>
      <w:pPr>
        <w:ind w:left="1589" w:hanging="227"/>
      </w:pPr>
      <w:rPr>
        <w:rFonts w:ascii="Wingdings" w:hAnsi="Wingdings" w:hint="default"/>
        <w:color w:val="44546A" w:themeColor="text2"/>
      </w:rPr>
    </w:lvl>
    <w:lvl w:ilvl="7">
      <w:start w:val="1"/>
      <w:numFmt w:val="bullet"/>
      <w:lvlText w:val="–"/>
      <w:lvlJc w:val="left"/>
      <w:pPr>
        <w:ind w:left="1816" w:hanging="227"/>
      </w:pPr>
      <w:rPr>
        <w:rFonts w:ascii="Gotham Bold" w:hAnsi="Gotham Bold" w:hint="default"/>
        <w:color w:val="64645A"/>
      </w:rPr>
    </w:lvl>
    <w:lvl w:ilvl="8">
      <w:start w:val="1"/>
      <w:numFmt w:val="bullet"/>
      <w:lvlText w:val=""/>
      <w:lvlJc w:val="left"/>
      <w:pPr>
        <w:ind w:left="2043" w:hanging="227"/>
      </w:pPr>
      <w:rPr>
        <w:rFonts w:ascii="Wingdings" w:hAnsi="Wingdings" w:hint="default"/>
        <w:color w:val="44546A" w:themeColor="text2"/>
      </w:rPr>
    </w:lvl>
  </w:abstractNum>
  <w:abstractNum w:abstractNumId="17" w15:restartNumberingAfterBreak="0">
    <w:nsid w:val="37EF18F0"/>
    <w:multiLevelType w:val="hybridMultilevel"/>
    <w:tmpl w:val="CDDCF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AD01D2"/>
    <w:multiLevelType w:val="multilevel"/>
    <w:tmpl w:val="7C7AF422"/>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color w:val="62B5E5" w:themeColor="accent3"/>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077" w:hanging="1077"/>
      </w:pPr>
      <w:rPr>
        <w:rFonts w:hint="default"/>
      </w:rPr>
    </w:lvl>
    <w:lvl w:ilvl="5">
      <w:start w:val="1"/>
      <w:numFmt w:val="decimal"/>
      <w:pStyle w:val="Heading6"/>
      <w:lvlText w:val="%1.%2.%3.%4.%5.%6"/>
      <w:lvlJc w:val="left"/>
      <w:pPr>
        <w:ind w:left="1247" w:hanging="1247"/>
      </w:pPr>
      <w:rPr>
        <w:rFonts w:hint="default"/>
      </w:rPr>
    </w:lvl>
    <w:lvl w:ilvl="6">
      <w:start w:val="1"/>
      <w:numFmt w:val="decimal"/>
      <w:lvlRestart w:val="1"/>
      <w:pStyle w:val="CaptionTable"/>
      <w:suff w:val="nothing"/>
      <w:lvlText w:val="Table %1.%7"/>
      <w:lvlJc w:val="left"/>
      <w:pPr>
        <w:ind w:left="0" w:firstLine="0"/>
      </w:pPr>
      <w:rPr>
        <w:rFonts w:hint="default"/>
      </w:rPr>
    </w:lvl>
    <w:lvl w:ilvl="7">
      <w:start w:val="1"/>
      <w:numFmt w:val="decimal"/>
      <w:lvlRestart w:val="1"/>
      <w:pStyle w:val="CaptionChart"/>
      <w:suff w:val="nothing"/>
      <w:lvlText w:val="Chart %1.%8"/>
      <w:lvlJc w:val="left"/>
      <w:pPr>
        <w:ind w:left="0" w:firstLine="0"/>
      </w:pPr>
      <w:rPr>
        <w:rFonts w:hint="default"/>
      </w:rPr>
    </w:lvl>
    <w:lvl w:ilvl="8">
      <w:start w:val="1"/>
      <w:numFmt w:val="decimal"/>
      <w:lvlRestart w:val="1"/>
      <w:pStyle w:val="CaptionFigure"/>
      <w:suff w:val="nothing"/>
      <w:lvlText w:val="Figure %1.%9"/>
      <w:lvlJc w:val="left"/>
      <w:pPr>
        <w:ind w:left="0" w:firstLine="0"/>
      </w:pPr>
      <w:rPr>
        <w:rFonts w:hint="default"/>
      </w:rPr>
    </w:lvl>
  </w:abstractNum>
  <w:abstractNum w:abstractNumId="19" w15:restartNumberingAfterBreak="0">
    <w:nsid w:val="405F4842"/>
    <w:multiLevelType w:val="multilevel"/>
    <w:tmpl w:val="281C291A"/>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0" w15:restartNumberingAfterBreak="0">
    <w:nsid w:val="412748F1"/>
    <w:multiLevelType w:val="hybridMultilevel"/>
    <w:tmpl w:val="0CDC9B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2701330"/>
    <w:multiLevelType w:val="hybridMultilevel"/>
    <w:tmpl w:val="B0F88B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2B736A9"/>
    <w:multiLevelType w:val="hybridMultilevel"/>
    <w:tmpl w:val="55AAA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D85F9B"/>
    <w:multiLevelType w:val="hybridMultilevel"/>
    <w:tmpl w:val="01682F76"/>
    <w:lvl w:ilvl="0" w:tplc="1954EACC">
      <w:numFmt w:val="bullet"/>
      <w:lvlText w:val="-"/>
      <w:lvlJc w:val="left"/>
      <w:pPr>
        <w:ind w:left="720" w:hanging="360"/>
      </w:pPr>
      <w:rPr>
        <w:rFonts w:ascii="Verdana" w:eastAsiaTheme="minorHAnsi" w:hAnsi="Verdana" w:cstheme="minorHAnsi" w:hint="default"/>
      </w:rPr>
    </w:lvl>
    <w:lvl w:ilvl="1" w:tplc="1954EACC">
      <w:numFmt w:val="bullet"/>
      <w:lvlText w:val="-"/>
      <w:lvlJc w:val="left"/>
      <w:pPr>
        <w:ind w:left="1440" w:hanging="360"/>
      </w:pPr>
      <w:rPr>
        <w:rFonts w:ascii="Verdana" w:eastAsiaTheme="minorHAnsi" w:hAnsi="Verdana" w:cstheme="minorHAns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1578A7"/>
    <w:multiLevelType w:val="multilevel"/>
    <w:tmpl w:val="1356211C"/>
    <w:lvl w:ilvl="0">
      <w:start w:val="1"/>
      <w:numFmt w:val="bullet"/>
      <w:pStyle w:val="List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Verdana" w:hAnsi="Verdana" w:hint="default"/>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Verdana" w:hAnsi="Verdana"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Verdana" w:hAnsi="Verdana"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Verdana" w:hAnsi="Verdana" w:hint="default"/>
      </w:rPr>
    </w:lvl>
    <w:lvl w:ilvl="8">
      <w:start w:val="1"/>
      <w:numFmt w:val="bullet"/>
      <w:lvlText w:val=""/>
      <w:lvlJc w:val="left"/>
      <w:pPr>
        <w:ind w:left="3060" w:hanging="340"/>
      </w:pPr>
      <w:rPr>
        <w:rFonts w:ascii="Symbol" w:hAnsi="Symbol" w:hint="default"/>
      </w:rPr>
    </w:lvl>
  </w:abstractNum>
  <w:abstractNum w:abstractNumId="25" w15:restartNumberingAfterBreak="0">
    <w:nsid w:val="457C67BE"/>
    <w:multiLevelType w:val="hybridMultilevel"/>
    <w:tmpl w:val="9A7E6C42"/>
    <w:lvl w:ilvl="0" w:tplc="2E444D5E">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7E6EBC"/>
    <w:multiLevelType w:val="multilevel"/>
    <w:tmpl w:val="7B98EE74"/>
    <w:lvl w:ilvl="0">
      <w:start w:val="1"/>
      <w:numFmt w:val="decimal"/>
      <w:pStyle w:val="Numberslevel1"/>
      <w:lvlText w:val="%1."/>
      <w:lvlJc w:val="left"/>
      <w:pPr>
        <w:ind w:left="360" w:hanging="360"/>
      </w:pPr>
      <w:rPr>
        <w:rFonts w:hint="default"/>
      </w:rPr>
    </w:lvl>
    <w:lvl w:ilvl="1">
      <w:start w:val="1"/>
      <w:numFmt w:val="lowerLetter"/>
      <w:pStyle w:val="Numberslevel2"/>
      <w:lvlText w:val="%2)"/>
      <w:lvlJc w:val="left"/>
      <w:pPr>
        <w:ind w:left="720" w:hanging="360"/>
      </w:pPr>
      <w:rPr>
        <w:rFonts w:hint="default"/>
      </w:rPr>
    </w:lvl>
    <w:lvl w:ilvl="2">
      <w:start w:val="1"/>
      <w:numFmt w:val="lowerRoman"/>
      <w:pStyle w:val="Numbersleve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8331B50"/>
    <w:multiLevelType w:val="hybridMultilevel"/>
    <w:tmpl w:val="FF0E4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CE2E8E"/>
    <w:multiLevelType w:val="multilevel"/>
    <w:tmpl w:val="3D485516"/>
    <w:name w:val="BulletList"/>
    <w:lvl w:ilvl="0">
      <w:numFmt w:val="none"/>
      <w:lvlText w:val=""/>
      <w:lvlJc w:val="left"/>
      <w:pPr>
        <w:tabs>
          <w:tab w:val="num" w:pos="360"/>
        </w:tabs>
      </w:pPr>
    </w:lvl>
    <w:lvl w:ilvl="1">
      <w:start w:val="1"/>
      <w:numFmt w:val="bullet"/>
      <w:lvlRestart w:val="0"/>
      <w:lvlText w:val=""/>
      <w:lvlJc w:val="left"/>
      <w:pPr>
        <w:tabs>
          <w:tab w:val="num" w:pos="1134"/>
        </w:tabs>
        <w:ind w:left="1134" w:hanging="567"/>
      </w:pPr>
      <w:rPr>
        <w:rFonts w:ascii="Wingdings 3" w:hAnsi="Wingdings 3" w:hint="default"/>
        <w:b/>
        <w:i w:val="0"/>
        <w:color w:val="931638"/>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6D159B9"/>
    <w:multiLevelType w:val="hybridMultilevel"/>
    <w:tmpl w:val="C1962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8A06B4"/>
    <w:multiLevelType w:val="hybridMultilevel"/>
    <w:tmpl w:val="A502C7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09152D5"/>
    <w:multiLevelType w:val="hybridMultilevel"/>
    <w:tmpl w:val="95E85276"/>
    <w:lvl w:ilvl="0" w:tplc="0D3636FA">
      <w:start w:val="1"/>
      <w:numFmt w:val="decimal"/>
      <w:pStyle w:val="Tablenumbered"/>
      <w:lvlText w:val="%1."/>
      <w:lvlJc w:val="left"/>
      <w:pPr>
        <w:ind w:left="720" w:hanging="360"/>
      </w:pPr>
    </w:lvl>
    <w:lvl w:ilvl="1" w:tplc="7996F936" w:tentative="1">
      <w:start w:val="1"/>
      <w:numFmt w:val="lowerLetter"/>
      <w:lvlText w:val="%2."/>
      <w:lvlJc w:val="left"/>
      <w:pPr>
        <w:ind w:left="1440" w:hanging="360"/>
      </w:pPr>
    </w:lvl>
    <w:lvl w:ilvl="2" w:tplc="0E6C94CC" w:tentative="1">
      <w:start w:val="1"/>
      <w:numFmt w:val="lowerRoman"/>
      <w:lvlText w:val="%3."/>
      <w:lvlJc w:val="right"/>
      <w:pPr>
        <w:ind w:left="2160" w:hanging="180"/>
      </w:pPr>
    </w:lvl>
    <w:lvl w:ilvl="3" w:tplc="00DA055E" w:tentative="1">
      <w:start w:val="1"/>
      <w:numFmt w:val="decimal"/>
      <w:lvlText w:val="%4."/>
      <w:lvlJc w:val="left"/>
      <w:pPr>
        <w:ind w:left="2880" w:hanging="360"/>
      </w:pPr>
    </w:lvl>
    <w:lvl w:ilvl="4" w:tplc="5BE0FF6A" w:tentative="1">
      <w:start w:val="1"/>
      <w:numFmt w:val="lowerLetter"/>
      <w:lvlText w:val="%5."/>
      <w:lvlJc w:val="left"/>
      <w:pPr>
        <w:ind w:left="3600" w:hanging="360"/>
      </w:pPr>
    </w:lvl>
    <w:lvl w:ilvl="5" w:tplc="0AE2F662" w:tentative="1">
      <w:start w:val="1"/>
      <w:numFmt w:val="lowerRoman"/>
      <w:lvlText w:val="%6."/>
      <w:lvlJc w:val="right"/>
      <w:pPr>
        <w:ind w:left="4320" w:hanging="180"/>
      </w:pPr>
    </w:lvl>
    <w:lvl w:ilvl="6" w:tplc="BB2E865E" w:tentative="1">
      <w:start w:val="1"/>
      <w:numFmt w:val="decimal"/>
      <w:lvlText w:val="%7."/>
      <w:lvlJc w:val="left"/>
      <w:pPr>
        <w:ind w:left="5040" w:hanging="360"/>
      </w:pPr>
    </w:lvl>
    <w:lvl w:ilvl="7" w:tplc="23A4B1A6" w:tentative="1">
      <w:start w:val="1"/>
      <w:numFmt w:val="lowerLetter"/>
      <w:lvlText w:val="%8."/>
      <w:lvlJc w:val="left"/>
      <w:pPr>
        <w:ind w:left="5760" w:hanging="360"/>
      </w:pPr>
    </w:lvl>
    <w:lvl w:ilvl="8" w:tplc="C82247A4" w:tentative="1">
      <w:start w:val="1"/>
      <w:numFmt w:val="lowerRoman"/>
      <w:lvlText w:val="%9."/>
      <w:lvlJc w:val="right"/>
      <w:pPr>
        <w:ind w:left="6480" w:hanging="180"/>
      </w:pPr>
    </w:lvl>
  </w:abstractNum>
  <w:abstractNum w:abstractNumId="32" w15:restartNumberingAfterBreak="0">
    <w:nsid w:val="618B6740"/>
    <w:multiLevelType w:val="hybridMultilevel"/>
    <w:tmpl w:val="96C0C6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1B36548"/>
    <w:multiLevelType w:val="hybridMultilevel"/>
    <w:tmpl w:val="798ED6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2F46508"/>
    <w:multiLevelType w:val="multilevel"/>
    <w:tmpl w:val="ABF0BB72"/>
    <w:lvl w:ilvl="0">
      <w:start w:val="1"/>
      <w:numFmt w:val="bullet"/>
      <w:pStyle w:val="ListBullet2"/>
      <w:lvlText w:val="–"/>
      <w:lvlJc w:val="left"/>
      <w:pPr>
        <w:ind w:left="680" w:hanging="340"/>
      </w:pPr>
      <w:rPr>
        <w:rFonts w:ascii="Verdana" w:hAnsi="Verdana" w:hint="default"/>
      </w:rPr>
    </w:lvl>
    <w:lvl w:ilvl="1">
      <w:start w:val="1"/>
      <w:numFmt w:val="bullet"/>
      <w:lvlText w:val=""/>
      <w:lvlJc w:val="left"/>
      <w:pPr>
        <w:ind w:left="1020" w:hanging="340"/>
      </w:pPr>
      <w:rPr>
        <w:rFonts w:ascii="Symbol" w:hAnsi="Symbol" w:hint="default"/>
      </w:rPr>
    </w:lvl>
    <w:lvl w:ilvl="2">
      <w:start w:val="1"/>
      <w:numFmt w:val="bullet"/>
      <w:lvlText w:val="–"/>
      <w:lvlJc w:val="left"/>
      <w:pPr>
        <w:ind w:left="1360" w:hanging="340"/>
      </w:pPr>
      <w:rPr>
        <w:rFonts w:ascii="Verdana" w:hAnsi="Verdana" w:hint="default"/>
      </w:rPr>
    </w:lvl>
    <w:lvl w:ilvl="3">
      <w:start w:val="1"/>
      <w:numFmt w:val="bullet"/>
      <w:lvlText w:val=""/>
      <w:lvlJc w:val="left"/>
      <w:pPr>
        <w:ind w:left="1700" w:hanging="340"/>
      </w:pPr>
      <w:rPr>
        <w:rFonts w:ascii="Symbol" w:hAnsi="Symbol" w:hint="default"/>
        <w:color w:val="auto"/>
      </w:rPr>
    </w:lvl>
    <w:lvl w:ilvl="4">
      <w:start w:val="1"/>
      <w:numFmt w:val="bullet"/>
      <w:lvlText w:val="–"/>
      <w:lvlJc w:val="left"/>
      <w:pPr>
        <w:ind w:left="2040" w:hanging="340"/>
      </w:pPr>
      <w:rPr>
        <w:rFonts w:ascii="Verdana" w:hAnsi="Verdana" w:hint="default"/>
      </w:rPr>
    </w:lvl>
    <w:lvl w:ilvl="5">
      <w:start w:val="1"/>
      <w:numFmt w:val="bullet"/>
      <w:lvlText w:val=""/>
      <w:lvlJc w:val="left"/>
      <w:pPr>
        <w:ind w:left="2380" w:hanging="340"/>
      </w:pPr>
      <w:rPr>
        <w:rFonts w:ascii="Symbol" w:hAnsi="Symbol" w:hint="default"/>
      </w:rPr>
    </w:lvl>
    <w:lvl w:ilvl="6">
      <w:start w:val="1"/>
      <w:numFmt w:val="bullet"/>
      <w:lvlText w:val="–"/>
      <w:lvlJc w:val="left"/>
      <w:pPr>
        <w:ind w:left="2720" w:hanging="340"/>
      </w:pPr>
      <w:rPr>
        <w:rFonts w:ascii="Verdana" w:hAnsi="Verdana" w:hint="default"/>
      </w:rPr>
    </w:lvl>
    <w:lvl w:ilvl="7">
      <w:start w:val="1"/>
      <w:numFmt w:val="bullet"/>
      <w:lvlText w:val=""/>
      <w:lvlJc w:val="left"/>
      <w:pPr>
        <w:ind w:left="3060" w:hanging="340"/>
      </w:pPr>
      <w:rPr>
        <w:rFonts w:ascii="Symbol" w:hAnsi="Symbol" w:hint="default"/>
      </w:rPr>
    </w:lvl>
    <w:lvl w:ilvl="8">
      <w:start w:val="1"/>
      <w:numFmt w:val="bullet"/>
      <w:lvlText w:val="–"/>
      <w:lvlJc w:val="left"/>
      <w:pPr>
        <w:ind w:left="3400" w:hanging="340"/>
      </w:pPr>
      <w:rPr>
        <w:rFonts w:ascii="Verdana" w:hAnsi="Verdana" w:hint="default"/>
      </w:rPr>
    </w:lvl>
  </w:abstractNum>
  <w:abstractNum w:abstractNumId="35" w15:restartNumberingAfterBreak="0">
    <w:nsid w:val="633231EA"/>
    <w:multiLevelType w:val="hybridMultilevel"/>
    <w:tmpl w:val="5BF084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4B70F93"/>
    <w:multiLevelType w:val="hybridMultilevel"/>
    <w:tmpl w:val="57224434"/>
    <w:lvl w:ilvl="0" w:tplc="34F04FF2">
      <w:start w:val="35"/>
      <w:numFmt w:val="bullet"/>
      <w:lvlText w:val="-"/>
      <w:lvlJc w:val="left"/>
      <w:pPr>
        <w:ind w:left="720" w:hanging="360"/>
      </w:pPr>
      <w:rPr>
        <w:rFonts w:ascii="Verdana" w:eastAsiaTheme="minorHAnsi"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651013E"/>
    <w:multiLevelType w:val="hybridMultilevel"/>
    <w:tmpl w:val="BAD069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2357D1"/>
    <w:multiLevelType w:val="hybridMultilevel"/>
    <w:tmpl w:val="FD5AF5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F905BB"/>
    <w:multiLevelType w:val="hybridMultilevel"/>
    <w:tmpl w:val="27786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CE56112"/>
    <w:multiLevelType w:val="hybridMultilevel"/>
    <w:tmpl w:val="76E00FC4"/>
    <w:lvl w:ilvl="0" w:tplc="0C090001">
      <w:start w:val="1"/>
      <w:numFmt w:val="bullet"/>
      <w:lvlText w:val=""/>
      <w:lvlJc w:val="left"/>
      <w:pPr>
        <w:ind w:left="720" w:hanging="360"/>
      </w:pPr>
      <w:rPr>
        <w:rFonts w:ascii="Symbol" w:hAnsi="Symbol" w:hint="default"/>
      </w:rPr>
    </w:lvl>
    <w:lvl w:ilvl="1" w:tplc="C2C6DED2">
      <w:start w:val="4"/>
      <w:numFmt w:val="bullet"/>
      <w:lvlText w:val="-"/>
      <w:lvlJc w:val="left"/>
      <w:pPr>
        <w:ind w:left="1440" w:hanging="360"/>
      </w:pPr>
      <w:rPr>
        <w:rFonts w:ascii="Calibri Light" w:eastAsiaTheme="minorHAnsi" w:hAnsi="Calibri Light" w:cs="Calibri 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25C7B69"/>
    <w:multiLevelType w:val="hybridMultilevel"/>
    <w:tmpl w:val="97FC0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9423DA"/>
    <w:multiLevelType w:val="multilevel"/>
    <w:tmpl w:val="DB6EA95A"/>
    <w:styleLink w:val="ZZNumbersdigit"/>
    <w:lvl w:ilvl="0">
      <w:start w:val="1"/>
      <w:numFmt w:val="decimal"/>
      <w:pStyle w:val="DPCnumberdigit"/>
      <w:lvlText w:val="%1."/>
      <w:lvlJc w:val="left"/>
      <w:pPr>
        <w:tabs>
          <w:tab w:val="num" w:pos="397"/>
        </w:tabs>
        <w:ind w:left="397" w:hanging="397"/>
      </w:pPr>
      <w:rPr>
        <w:rFonts w:hint="default"/>
      </w:rPr>
    </w:lvl>
    <w:lvl w:ilvl="1">
      <w:start w:val="1"/>
      <w:numFmt w:val="decimal"/>
      <w:pStyle w:val="DPCnumberdigitindent"/>
      <w:lvlText w:val="%2."/>
      <w:lvlJc w:val="left"/>
      <w:pPr>
        <w:tabs>
          <w:tab w:val="num" w:pos="794"/>
        </w:tabs>
        <w:ind w:left="794" w:hanging="397"/>
      </w:pPr>
      <w:rPr>
        <w:rFonts w:hint="default"/>
      </w:rPr>
    </w:lvl>
    <w:lvl w:ilvl="2">
      <w:start w:val="1"/>
      <w:numFmt w:val="bullet"/>
      <w:lvlRestart w:val="0"/>
      <w:pStyle w:val="DPCbulletafternumbers1"/>
      <w:lvlText w:val="▪"/>
      <w:lvlJc w:val="left"/>
      <w:pPr>
        <w:ind w:left="794" w:hanging="397"/>
      </w:pPr>
      <w:rPr>
        <w:rFonts w:hint="default"/>
      </w:rPr>
    </w:lvl>
    <w:lvl w:ilvl="3">
      <w:start w:val="1"/>
      <w:numFmt w:val="bullet"/>
      <w:lvlRestart w:val="0"/>
      <w:pStyle w:val="DPCbulletafternumbers2"/>
      <w:lvlText w:val="–"/>
      <w:lvlJc w:val="left"/>
      <w:pPr>
        <w:ind w:left="1191" w:hanging="397"/>
      </w:pPr>
      <w:rPr>
        <w:rFonts w:hint="default"/>
        <w:color w:val="auto"/>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3" w15:restartNumberingAfterBreak="0">
    <w:nsid w:val="74D31029"/>
    <w:multiLevelType w:val="multilevel"/>
    <w:tmpl w:val="B080CDA2"/>
    <w:lvl w:ilvl="0">
      <w:start w:val="1"/>
      <w:numFmt w:val="bullet"/>
      <w:pStyle w:val="Bullet1"/>
      <w:lvlText w:val=""/>
      <w:lvlJc w:val="left"/>
      <w:pPr>
        <w:ind w:left="720" w:hanging="360"/>
      </w:pPr>
      <w:rPr>
        <w:rFonts w:ascii="Symbol" w:hAnsi="Symbol" w:hint="default"/>
        <w:color w:val="002776"/>
        <w:sz w:val="22"/>
      </w:rPr>
    </w:lvl>
    <w:lvl w:ilvl="1">
      <w:start w:val="1"/>
      <w:numFmt w:val="bullet"/>
      <w:lvlRestart w:val="0"/>
      <w:lvlText w:val=""/>
      <w:lvlJc w:val="left"/>
      <w:pPr>
        <w:tabs>
          <w:tab w:val="num" w:pos="1494"/>
        </w:tabs>
        <w:ind w:left="1494" w:hanging="567"/>
      </w:pPr>
      <w:rPr>
        <w:rFonts w:ascii="Wingdings 3" w:hAnsi="Wingdings 3" w:hint="default"/>
        <w:b/>
        <w:i w:val="0"/>
        <w:color w:val="931638"/>
        <w:sz w:val="24"/>
      </w:rPr>
    </w:lvl>
    <w:lvl w:ilvl="2">
      <w:start w:val="1"/>
      <w:numFmt w:val="bullet"/>
      <w:lvlText w:val="-"/>
      <w:lvlJc w:val="left"/>
      <w:pPr>
        <w:tabs>
          <w:tab w:val="num" w:pos="2061"/>
        </w:tabs>
        <w:ind w:left="2061" w:hanging="567"/>
      </w:pPr>
      <w:rPr>
        <w:rFonts w:ascii="Arial" w:hAnsi="Arial" w:cs="Times New Roman" w:hint="default"/>
        <w:color w:val="931638"/>
      </w:rPr>
    </w:lvl>
    <w:lvl w:ilvl="3">
      <w:start w:val="1"/>
      <w:numFmt w:val="decimal"/>
      <w:lvlText w:val="(%4)"/>
      <w:lvlJc w:val="left"/>
      <w:pPr>
        <w:tabs>
          <w:tab w:val="num" w:pos="9368"/>
        </w:tabs>
        <w:ind w:left="9368"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
  </w:num>
  <w:num w:numId="5">
    <w:abstractNumId w:val="1"/>
  </w:num>
  <w:num w:numId="6">
    <w:abstractNumId w:val="0"/>
  </w:num>
  <w:num w:numId="7">
    <w:abstractNumId w:val="26"/>
  </w:num>
  <w:num w:numId="8">
    <w:abstractNumId w:val="25"/>
  </w:num>
  <w:num w:numId="9">
    <w:abstractNumId w:val="31"/>
  </w:num>
  <w:num w:numId="10">
    <w:abstractNumId w:val="10"/>
  </w:num>
  <w:num w:numId="11">
    <w:abstractNumId w:val="9"/>
  </w:num>
  <w:num w:numId="12">
    <w:abstractNumId w:val="6"/>
  </w:num>
  <w:num w:numId="13">
    <w:abstractNumId w:val="24"/>
  </w:num>
  <w:num w:numId="14">
    <w:abstractNumId w:val="19"/>
  </w:num>
  <w:num w:numId="15">
    <w:abstractNumId w:val="34"/>
  </w:num>
  <w:num w:numId="16">
    <w:abstractNumId w:val="12"/>
  </w:num>
  <w:num w:numId="17">
    <w:abstractNumId w:val="4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30"/>
  </w:num>
  <w:num w:numId="21">
    <w:abstractNumId w:val="33"/>
  </w:num>
  <w:num w:numId="22">
    <w:abstractNumId w:val="35"/>
  </w:num>
  <w:num w:numId="23">
    <w:abstractNumId w:val="32"/>
  </w:num>
  <w:num w:numId="24">
    <w:abstractNumId w:val="37"/>
  </w:num>
  <w:num w:numId="25">
    <w:abstractNumId w:val="7"/>
  </w:num>
  <w:num w:numId="26">
    <w:abstractNumId w:val="39"/>
  </w:num>
  <w:num w:numId="27">
    <w:abstractNumId w:val="27"/>
  </w:num>
  <w:num w:numId="28">
    <w:abstractNumId w:val="41"/>
  </w:num>
  <w:num w:numId="29">
    <w:abstractNumId w:val="5"/>
  </w:num>
  <w:num w:numId="30">
    <w:abstractNumId w:val="8"/>
  </w:num>
  <w:num w:numId="31">
    <w:abstractNumId w:val="17"/>
  </w:num>
  <w:num w:numId="32">
    <w:abstractNumId w:val="15"/>
  </w:num>
  <w:num w:numId="33">
    <w:abstractNumId w:val="22"/>
  </w:num>
  <w:num w:numId="34">
    <w:abstractNumId w:val="36"/>
  </w:num>
  <w:num w:numId="35">
    <w:abstractNumId w:val="11"/>
  </w:num>
  <w:num w:numId="36">
    <w:abstractNumId w:val="29"/>
  </w:num>
  <w:num w:numId="37">
    <w:abstractNumId w:val="23"/>
  </w:num>
  <w:num w:numId="38">
    <w:abstractNumId w:val="4"/>
  </w:num>
  <w:num w:numId="39">
    <w:abstractNumId w:val="13"/>
  </w:num>
  <w:num w:numId="40">
    <w:abstractNumId w:val="40"/>
  </w:num>
  <w:num w:numId="41">
    <w:abstractNumId w:val="24"/>
  </w:num>
  <w:num w:numId="42">
    <w:abstractNumId w:val="24"/>
  </w:num>
  <w:num w:numId="43">
    <w:abstractNumId w:val="24"/>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num>
  <w:num w:numId="46">
    <w:abstractNumId w:val="38"/>
  </w:num>
  <w:num w:numId="47">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4097"/>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AB"/>
    <w:rsid w:val="000005FE"/>
    <w:rsid w:val="000011EC"/>
    <w:rsid w:val="000011ED"/>
    <w:rsid w:val="00001473"/>
    <w:rsid w:val="00001F0C"/>
    <w:rsid w:val="00002491"/>
    <w:rsid w:val="00002494"/>
    <w:rsid w:val="0000249E"/>
    <w:rsid w:val="0000251E"/>
    <w:rsid w:val="000028A0"/>
    <w:rsid w:val="000029A9"/>
    <w:rsid w:val="00002E1C"/>
    <w:rsid w:val="00002F95"/>
    <w:rsid w:val="00002F98"/>
    <w:rsid w:val="00003144"/>
    <w:rsid w:val="00003A11"/>
    <w:rsid w:val="00003B68"/>
    <w:rsid w:val="00003D92"/>
    <w:rsid w:val="00003E4E"/>
    <w:rsid w:val="00003F27"/>
    <w:rsid w:val="00004063"/>
    <w:rsid w:val="00004538"/>
    <w:rsid w:val="00004770"/>
    <w:rsid w:val="00004837"/>
    <w:rsid w:val="00004982"/>
    <w:rsid w:val="00004D11"/>
    <w:rsid w:val="00005113"/>
    <w:rsid w:val="00005735"/>
    <w:rsid w:val="000059B6"/>
    <w:rsid w:val="00005A88"/>
    <w:rsid w:val="000060F0"/>
    <w:rsid w:val="000063C9"/>
    <w:rsid w:val="000065F2"/>
    <w:rsid w:val="00006AB8"/>
    <w:rsid w:val="00006B94"/>
    <w:rsid w:val="00007B8F"/>
    <w:rsid w:val="0001012A"/>
    <w:rsid w:val="0001026E"/>
    <w:rsid w:val="0001047D"/>
    <w:rsid w:val="00010C6A"/>
    <w:rsid w:val="00011045"/>
    <w:rsid w:val="00011371"/>
    <w:rsid w:val="000116B0"/>
    <w:rsid w:val="000117C3"/>
    <w:rsid w:val="00011935"/>
    <w:rsid w:val="00011CF3"/>
    <w:rsid w:val="00012069"/>
    <w:rsid w:val="000120E6"/>
    <w:rsid w:val="0001219F"/>
    <w:rsid w:val="00012443"/>
    <w:rsid w:val="000124E6"/>
    <w:rsid w:val="000128BD"/>
    <w:rsid w:val="000128CA"/>
    <w:rsid w:val="00012C54"/>
    <w:rsid w:val="00013009"/>
    <w:rsid w:val="00013159"/>
    <w:rsid w:val="000131A3"/>
    <w:rsid w:val="000138C1"/>
    <w:rsid w:val="00013D9D"/>
    <w:rsid w:val="000142B0"/>
    <w:rsid w:val="00014B89"/>
    <w:rsid w:val="0001528C"/>
    <w:rsid w:val="00015394"/>
    <w:rsid w:val="00015620"/>
    <w:rsid w:val="000158E6"/>
    <w:rsid w:val="00015B07"/>
    <w:rsid w:val="000162C9"/>
    <w:rsid w:val="000162FF"/>
    <w:rsid w:val="0001686A"/>
    <w:rsid w:val="00016955"/>
    <w:rsid w:val="00016FA7"/>
    <w:rsid w:val="0001720E"/>
    <w:rsid w:val="000173B3"/>
    <w:rsid w:val="0001741D"/>
    <w:rsid w:val="00017630"/>
    <w:rsid w:val="00017899"/>
    <w:rsid w:val="00017937"/>
    <w:rsid w:val="000179F6"/>
    <w:rsid w:val="00017AE0"/>
    <w:rsid w:val="00017BF4"/>
    <w:rsid w:val="00020297"/>
    <w:rsid w:val="000205A1"/>
    <w:rsid w:val="00020D44"/>
    <w:rsid w:val="00020E0A"/>
    <w:rsid w:val="00021115"/>
    <w:rsid w:val="0002112E"/>
    <w:rsid w:val="00021274"/>
    <w:rsid w:val="00021805"/>
    <w:rsid w:val="00021A39"/>
    <w:rsid w:val="0002238B"/>
    <w:rsid w:val="0002306C"/>
    <w:rsid w:val="00023230"/>
    <w:rsid w:val="00023461"/>
    <w:rsid w:val="000238DC"/>
    <w:rsid w:val="00023CF3"/>
    <w:rsid w:val="000242E9"/>
    <w:rsid w:val="0002479E"/>
    <w:rsid w:val="00024E41"/>
    <w:rsid w:val="00024F0C"/>
    <w:rsid w:val="00025585"/>
    <w:rsid w:val="000258F5"/>
    <w:rsid w:val="000259C6"/>
    <w:rsid w:val="00025E7D"/>
    <w:rsid w:val="000260F9"/>
    <w:rsid w:val="000263FF"/>
    <w:rsid w:val="00026716"/>
    <w:rsid w:val="00026FB0"/>
    <w:rsid w:val="00027D08"/>
    <w:rsid w:val="00027D0C"/>
    <w:rsid w:val="00030320"/>
    <w:rsid w:val="00030DD6"/>
    <w:rsid w:val="00030FAE"/>
    <w:rsid w:val="00031A98"/>
    <w:rsid w:val="00031AFE"/>
    <w:rsid w:val="00031EF9"/>
    <w:rsid w:val="00031F08"/>
    <w:rsid w:val="0003300A"/>
    <w:rsid w:val="0003327A"/>
    <w:rsid w:val="00033322"/>
    <w:rsid w:val="00033B88"/>
    <w:rsid w:val="0003434A"/>
    <w:rsid w:val="00034608"/>
    <w:rsid w:val="00034626"/>
    <w:rsid w:val="00034F8B"/>
    <w:rsid w:val="00035CA9"/>
    <w:rsid w:val="00035DBA"/>
    <w:rsid w:val="0003608C"/>
    <w:rsid w:val="00036162"/>
    <w:rsid w:val="0003753C"/>
    <w:rsid w:val="000377D2"/>
    <w:rsid w:val="00037967"/>
    <w:rsid w:val="00037C17"/>
    <w:rsid w:val="0004008D"/>
    <w:rsid w:val="000403CD"/>
    <w:rsid w:val="00040630"/>
    <w:rsid w:val="000406BA"/>
    <w:rsid w:val="000407B5"/>
    <w:rsid w:val="00040C78"/>
    <w:rsid w:val="00040F32"/>
    <w:rsid w:val="0004113C"/>
    <w:rsid w:val="000414EF"/>
    <w:rsid w:val="00041606"/>
    <w:rsid w:val="000416D4"/>
    <w:rsid w:val="00041786"/>
    <w:rsid w:val="00041D4E"/>
    <w:rsid w:val="00041DB4"/>
    <w:rsid w:val="00041F39"/>
    <w:rsid w:val="00042171"/>
    <w:rsid w:val="000429AC"/>
    <w:rsid w:val="00042A66"/>
    <w:rsid w:val="00042ACD"/>
    <w:rsid w:val="00042B6A"/>
    <w:rsid w:val="00042B99"/>
    <w:rsid w:val="000432A3"/>
    <w:rsid w:val="0004394D"/>
    <w:rsid w:val="000442E5"/>
    <w:rsid w:val="00044688"/>
    <w:rsid w:val="00044B8D"/>
    <w:rsid w:val="00044CC6"/>
    <w:rsid w:val="00044D14"/>
    <w:rsid w:val="00045D45"/>
    <w:rsid w:val="00045ECD"/>
    <w:rsid w:val="00046002"/>
    <w:rsid w:val="00046620"/>
    <w:rsid w:val="000467EB"/>
    <w:rsid w:val="00046D3F"/>
    <w:rsid w:val="00046E28"/>
    <w:rsid w:val="00047C46"/>
    <w:rsid w:val="00050503"/>
    <w:rsid w:val="000505D1"/>
    <w:rsid w:val="000506E6"/>
    <w:rsid w:val="00050B10"/>
    <w:rsid w:val="00050B92"/>
    <w:rsid w:val="00050F94"/>
    <w:rsid w:val="00050F9A"/>
    <w:rsid w:val="000514B1"/>
    <w:rsid w:val="00051653"/>
    <w:rsid w:val="000516C4"/>
    <w:rsid w:val="000516FF"/>
    <w:rsid w:val="000517C0"/>
    <w:rsid w:val="00051811"/>
    <w:rsid w:val="0005205E"/>
    <w:rsid w:val="00052337"/>
    <w:rsid w:val="0005259E"/>
    <w:rsid w:val="00052B08"/>
    <w:rsid w:val="00052B3C"/>
    <w:rsid w:val="00053218"/>
    <w:rsid w:val="00053290"/>
    <w:rsid w:val="0005375B"/>
    <w:rsid w:val="000538F4"/>
    <w:rsid w:val="00054182"/>
    <w:rsid w:val="00054DEA"/>
    <w:rsid w:val="00054EED"/>
    <w:rsid w:val="000556D8"/>
    <w:rsid w:val="00055812"/>
    <w:rsid w:val="000561F6"/>
    <w:rsid w:val="000566CE"/>
    <w:rsid w:val="00056A92"/>
    <w:rsid w:val="00056DF8"/>
    <w:rsid w:val="000575E3"/>
    <w:rsid w:val="00057C06"/>
    <w:rsid w:val="00057C98"/>
    <w:rsid w:val="0006003B"/>
    <w:rsid w:val="00060111"/>
    <w:rsid w:val="00060CD1"/>
    <w:rsid w:val="00060E5B"/>
    <w:rsid w:val="00062544"/>
    <w:rsid w:val="00062C80"/>
    <w:rsid w:val="00062F17"/>
    <w:rsid w:val="00063065"/>
    <w:rsid w:val="000632C5"/>
    <w:rsid w:val="0006343D"/>
    <w:rsid w:val="000635F7"/>
    <w:rsid w:val="000637A6"/>
    <w:rsid w:val="00063EF6"/>
    <w:rsid w:val="00063F09"/>
    <w:rsid w:val="000644F1"/>
    <w:rsid w:val="000655CC"/>
    <w:rsid w:val="00065D26"/>
    <w:rsid w:val="00066238"/>
    <w:rsid w:val="000663CE"/>
    <w:rsid w:val="000665CD"/>
    <w:rsid w:val="00066672"/>
    <w:rsid w:val="000667F9"/>
    <w:rsid w:val="00066B1A"/>
    <w:rsid w:val="00066BA8"/>
    <w:rsid w:val="00066BBA"/>
    <w:rsid w:val="00066BEE"/>
    <w:rsid w:val="0006706F"/>
    <w:rsid w:val="0006730E"/>
    <w:rsid w:val="00067D4D"/>
    <w:rsid w:val="00070DC5"/>
    <w:rsid w:val="00070EE5"/>
    <w:rsid w:val="0007116D"/>
    <w:rsid w:val="00071509"/>
    <w:rsid w:val="000715EE"/>
    <w:rsid w:val="000721A7"/>
    <w:rsid w:val="00072913"/>
    <w:rsid w:val="00073100"/>
    <w:rsid w:val="0007358F"/>
    <w:rsid w:val="0007383B"/>
    <w:rsid w:val="00073B34"/>
    <w:rsid w:val="00073CC5"/>
    <w:rsid w:val="00073ED2"/>
    <w:rsid w:val="00073FAB"/>
    <w:rsid w:val="00074371"/>
    <w:rsid w:val="0007527D"/>
    <w:rsid w:val="000753B6"/>
    <w:rsid w:val="00075707"/>
    <w:rsid w:val="00075944"/>
    <w:rsid w:val="00075A45"/>
    <w:rsid w:val="00075C1C"/>
    <w:rsid w:val="00076294"/>
    <w:rsid w:val="000766DF"/>
    <w:rsid w:val="00076895"/>
    <w:rsid w:val="000775A8"/>
    <w:rsid w:val="00080234"/>
    <w:rsid w:val="000804CC"/>
    <w:rsid w:val="00081554"/>
    <w:rsid w:val="00081A66"/>
    <w:rsid w:val="00082ADE"/>
    <w:rsid w:val="00082DF4"/>
    <w:rsid w:val="000830F4"/>
    <w:rsid w:val="00083100"/>
    <w:rsid w:val="0008315A"/>
    <w:rsid w:val="000831B5"/>
    <w:rsid w:val="000834EB"/>
    <w:rsid w:val="00083A3E"/>
    <w:rsid w:val="00083DD5"/>
    <w:rsid w:val="0008447C"/>
    <w:rsid w:val="000845C4"/>
    <w:rsid w:val="00084F13"/>
    <w:rsid w:val="0008559A"/>
    <w:rsid w:val="00085CF8"/>
    <w:rsid w:val="00085E95"/>
    <w:rsid w:val="0008670B"/>
    <w:rsid w:val="0008671B"/>
    <w:rsid w:val="000868CF"/>
    <w:rsid w:val="00086A21"/>
    <w:rsid w:val="00086F87"/>
    <w:rsid w:val="00086F96"/>
    <w:rsid w:val="000876A6"/>
    <w:rsid w:val="00087B3E"/>
    <w:rsid w:val="00087D50"/>
    <w:rsid w:val="00087FBE"/>
    <w:rsid w:val="00090073"/>
    <w:rsid w:val="00090117"/>
    <w:rsid w:val="00090557"/>
    <w:rsid w:val="00090581"/>
    <w:rsid w:val="00090683"/>
    <w:rsid w:val="000908E9"/>
    <w:rsid w:val="00090A0F"/>
    <w:rsid w:val="00090ADC"/>
    <w:rsid w:val="00090DB7"/>
    <w:rsid w:val="00090E2E"/>
    <w:rsid w:val="0009151E"/>
    <w:rsid w:val="00091AB5"/>
    <w:rsid w:val="00092341"/>
    <w:rsid w:val="00092708"/>
    <w:rsid w:val="00092983"/>
    <w:rsid w:val="00092AAB"/>
    <w:rsid w:val="00092BD8"/>
    <w:rsid w:val="00092D48"/>
    <w:rsid w:val="00092FE1"/>
    <w:rsid w:val="000948FE"/>
    <w:rsid w:val="000950B7"/>
    <w:rsid w:val="00095312"/>
    <w:rsid w:val="00095425"/>
    <w:rsid w:val="000954DA"/>
    <w:rsid w:val="00095692"/>
    <w:rsid w:val="00095BB4"/>
    <w:rsid w:val="00095F0C"/>
    <w:rsid w:val="000961D8"/>
    <w:rsid w:val="000966F9"/>
    <w:rsid w:val="00096B6A"/>
    <w:rsid w:val="000970F3"/>
    <w:rsid w:val="0009710B"/>
    <w:rsid w:val="0009746E"/>
    <w:rsid w:val="00097A8C"/>
    <w:rsid w:val="000A0317"/>
    <w:rsid w:val="000A090D"/>
    <w:rsid w:val="000A0C1D"/>
    <w:rsid w:val="000A0FC5"/>
    <w:rsid w:val="000A1A9C"/>
    <w:rsid w:val="000A20BA"/>
    <w:rsid w:val="000A234B"/>
    <w:rsid w:val="000A267C"/>
    <w:rsid w:val="000A2AA6"/>
    <w:rsid w:val="000A2CA7"/>
    <w:rsid w:val="000A2FA2"/>
    <w:rsid w:val="000A3244"/>
    <w:rsid w:val="000A32A8"/>
    <w:rsid w:val="000A37D0"/>
    <w:rsid w:val="000A3F07"/>
    <w:rsid w:val="000A4026"/>
    <w:rsid w:val="000A4402"/>
    <w:rsid w:val="000A4549"/>
    <w:rsid w:val="000A4A44"/>
    <w:rsid w:val="000A4B4F"/>
    <w:rsid w:val="000A5095"/>
    <w:rsid w:val="000A53BB"/>
    <w:rsid w:val="000A59DA"/>
    <w:rsid w:val="000A5B51"/>
    <w:rsid w:val="000A5C8C"/>
    <w:rsid w:val="000A6ED8"/>
    <w:rsid w:val="000A7B44"/>
    <w:rsid w:val="000A7D18"/>
    <w:rsid w:val="000A7E3F"/>
    <w:rsid w:val="000A7F05"/>
    <w:rsid w:val="000AD22C"/>
    <w:rsid w:val="000B0048"/>
    <w:rsid w:val="000B0852"/>
    <w:rsid w:val="000B0A0B"/>
    <w:rsid w:val="000B0C51"/>
    <w:rsid w:val="000B1002"/>
    <w:rsid w:val="000B106C"/>
    <w:rsid w:val="000B136C"/>
    <w:rsid w:val="000B1B9B"/>
    <w:rsid w:val="000B2088"/>
    <w:rsid w:val="000B2402"/>
    <w:rsid w:val="000B2CCF"/>
    <w:rsid w:val="000B2E3C"/>
    <w:rsid w:val="000B30E5"/>
    <w:rsid w:val="000B4132"/>
    <w:rsid w:val="000B44D0"/>
    <w:rsid w:val="000B458D"/>
    <w:rsid w:val="000B4C88"/>
    <w:rsid w:val="000B502B"/>
    <w:rsid w:val="000B50C1"/>
    <w:rsid w:val="000B52CB"/>
    <w:rsid w:val="000B6448"/>
    <w:rsid w:val="000B65EB"/>
    <w:rsid w:val="000B685C"/>
    <w:rsid w:val="000B693C"/>
    <w:rsid w:val="000B6C05"/>
    <w:rsid w:val="000B6F39"/>
    <w:rsid w:val="000B72BD"/>
    <w:rsid w:val="000B7525"/>
    <w:rsid w:val="000B79AE"/>
    <w:rsid w:val="000B7CF4"/>
    <w:rsid w:val="000C0224"/>
    <w:rsid w:val="000C05BE"/>
    <w:rsid w:val="000C0668"/>
    <w:rsid w:val="000C06A5"/>
    <w:rsid w:val="000C0BC1"/>
    <w:rsid w:val="000C0E04"/>
    <w:rsid w:val="000C10D6"/>
    <w:rsid w:val="000C1149"/>
    <w:rsid w:val="000C158E"/>
    <w:rsid w:val="000C20BD"/>
    <w:rsid w:val="000C20D9"/>
    <w:rsid w:val="000C25A5"/>
    <w:rsid w:val="000C25CE"/>
    <w:rsid w:val="000C26E2"/>
    <w:rsid w:val="000C2B24"/>
    <w:rsid w:val="000C2D20"/>
    <w:rsid w:val="000C2D5D"/>
    <w:rsid w:val="000C31A5"/>
    <w:rsid w:val="000C36E0"/>
    <w:rsid w:val="000C3FAA"/>
    <w:rsid w:val="000C3FC2"/>
    <w:rsid w:val="000C4060"/>
    <w:rsid w:val="000C4874"/>
    <w:rsid w:val="000C49A7"/>
    <w:rsid w:val="000C5282"/>
    <w:rsid w:val="000C536F"/>
    <w:rsid w:val="000C580C"/>
    <w:rsid w:val="000C5B0B"/>
    <w:rsid w:val="000C5D9C"/>
    <w:rsid w:val="000C5DBE"/>
    <w:rsid w:val="000C5E22"/>
    <w:rsid w:val="000C5EA5"/>
    <w:rsid w:val="000C5F7F"/>
    <w:rsid w:val="000C5FD3"/>
    <w:rsid w:val="000C60C3"/>
    <w:rsid w:val="000C6455"/>
    <w:rsid w:val="000C6499"/>
    <w:rsid w:val="000C6982"/>
    <w:rsid w:val="000C6EFE"/>
    <w:rsid w:val="000C713F"/>
    <w:rsid w:val="000C7520"/>
    <w:rsid w:val="000C75E9"/>
    <w:rsid w:val="000C76EF"/>
    <w:rsid w:val="000C7AAA"/>
    <w:rsid w:val="000C7F0D"/>
    <w:rsid w:val="000D00A1"/>
    <w:rsid w:val="000D06FB"/>
    <w:rsid w:val="000D1375"/>
    <w:rsid w:val="000D19CB"/>
    <w:rsid w:val="000D1C92"/>
    <w:rsid w:val="000D1CFB"/>
    <w:rsid w:val="000D1DE6"/>
    <w:rsid w:val="000D2375"/>
    <w:rsid w:val="000D254D"/>
    <w:rsid w:val="000D2649"/>
    <w:rsid w:val="000D2DE0"/>
    <w:rsid w:val="000D316E"/>
    <w:rsid w:val="000D33FD"/>
    <w:rsid w:val="000D37B0"/>
    <w:rsid w:val="000D38F5"/>
    <w:rsid w:val="000D3B67"/>
    <w:rsid w:val="000D45F1"/>
    <w:rsid w:val="000D475B"/>
    <w:rsid w:val="000D499C"/>
    <w:rsid w:val="000D4DA3"/>
    <w:rsid w:val="000D4EC7"/>
    <w:rsid w:val="000D4F8E"/>
    <w:rsid w:val="000D52FD"/>
    <w:rsid w:val="000D5334"/>
    <w:rsid w:val="000D545F"/>
    <w:rsid w:val="000D5929"/>
    <w:rsid w:val="000D5A48"/>
    <w:rsid w:val="000D5C27"/>
    <w:rsid w:val="000D630B"/>
    <w:rsid w:val="000D65FC"/>
    <w:rsid w:val="000D6862"/>
    <w:rsid w:val="000D6A86"/>
    <w:rsid w:val="000D7027"/>
    <w:rsid w:val="000D7041"/>
    <w:rsid w:val="000D7162"/>
    <w:rsid w:val="000D7170"/>
    <w:rsid w:val="000D7233"/>
    <w:rsid w:val="000D7BB4"/>
    <w:rsid w:val="000D7F19"/>
    <w:rsid w:val="000D7FA0"/>
    <w:rsid w:val="000E0442"/>
    <w:rsid w:val="000E0A37"/>
    <w:rsid w:val="000E0C5A"/>
    <w:rsid w:val="000E0E16"/>
    <w:rsid w:val="000E16F4"/>
    <w:rsid w:val="000E2158"/>
    <w:rsid w:val="000E230D"/>
    <w:rsid w:val="000E27EC"/>
    <w:rsid w:val="000E286D"/>
    <w:rsid w:val="000E2A01"/>
    <w:rsid w:val="000E2B4A"/>
    <w:rsid w:val="000E2C94"/>
    <w:rsid w:val="000E353B"/>
    <w:rsid w:val="000E385F"/>
    <w:rsid w:val="000E3C33"/>
    <w:rsid w:val="000E3E7A"/>
    <w:rsid w:val="000E4298"/>
    <w:rsid w:val="000E45E9"/>
    <w:rsid w:val="000E4707"/>
    <w:rsid w:val="000E4AA4"/>
    <w:rsid w:val="000E4C5D"/>
    <w:rsid w:val="000E4FA6"/>
    <w:rsid w:val="000E4FFB"/>
    <w:rsid w:val="000E5858"/>
    <w:rsid w:val="000E5A08"/>
    <w:rsid w:val="000E63F6"/>
    <w:rsid w:val="000E6511"/>
    <w:rsid w:val="000E6563"/>
    <w:rsid w:val="000E6722"/>
    <w:rsid w:val="000E6977"/>
    <w:rsid w:val="000E6F58"/>
    <w:rsid w:val="000E745F"/>
    <w:rsid w:val="000E7AB9"/>
    <w:rsid w:val="000F05E4"/>
    <w:rsid w:val="000F0B0D"/>
    <w:rsid w:val="000F0BFB"/>
    <w:rsid w:val="000F12F3"/>
    <w:rsid w:val="000F1463"/>
    <w:rsid w:val="000F16DD"/>
    <w:rsid w:val="000F2243"/>
    <w:rsid w:val="000F2D64"/>
    <w:rsid w:val="000F3512"/>
    <w:rsid w:val="000F35E2"/>
    <w:rsid w:val="000F35ED"/>
    <w:rsid w:val="000F3A45"/>
    <w:rsid w:val="000F3BCD"/>
    <w:rsid w:val="000F3F12"/>
    <w:rsid w:val="000F461B"/>
    <w:rsid w:val="000F5503"/>
    <w:rsid w:val="000F55CA"/>
    <w:rsid w:val="000F5C22"/>
    <w:rsid w:val="000F5C40"/>
    <w:rsid w:val="000F5FF2"/>
    <w:rsid w:val="000F652C"/>
    <w:rsid w:val="000F7967"/>
    <w:rsid w:val="000F7D46"/>
    <w:rsid w:val="001000DF"/>
    <w:rsid w:val="001003D3"/>
    <w:rsid w:val="0010113D"/>
    <w:rsid w:val="00101592"/>
    <w:rsid w:val="001016E9"/>
    <w:rsid w:val="001018AB"/>
    <w:rsid w:val="001022E5"/>
    <w:rsid w:val="001026F3"/>
    <w:rsid w:val="00102AF0"/>
    <w:rsid w:val="00102C5F"/>
    <w:rsid w:val="00102EF5"/>
    <w:rsid w:val="0010339C"/>
    <w:rsid w:val="00103402"/>
    <w:rsid w:val="00103499"/>
    <w:rsid w:val="00103975"/>
    <w:rsid w:val="00103B66"/>
    <w:rsid w:val="00103D9A"/>
    <w:rsid w:val="00103EDD"/>
    <w:rsid w:val="0010462B"/>
    <w:rsid w:val="00104B92"/>
    <w:rsid w:val="00104DC7"/>
    <w:rsid w:val="00105163"/>
    <w:rsid w:val="00105A5A"/>
    <w:rsid w:val="00105DD5"/>
    <w:rsid w:val="001067C8"/>
    <w:rsid w:val="0010688E"/>
    <w:rsid w:val="00106B47"/>
    <w:rsid w:val="00106E99"/>
    <w:rsid w:val="00106F9E"/>
    <w:rsid w:val="00107526"/>
    <w:rsid w:val="00107BBB"/>
    <w:rsid w:val="00107CE7"/>
    <w:rsid w:val="00107D64"/>
    <w:rsid w:val="00107F04"/>
    <w:rsid w:val="0011000F"/>
    <w:rsid w:val="001103AA"/>
    <w:rsid w:val="00110533"/>
    <w:rsid w:val="00110755"/>
    <w:rsid w:val="00110C92"/>
    <w:rsid w:val="00110CA5"/>
    <w:rsid w:val="00111164"/>
    <w:rsid w:val="00111586"/>
    <w:rsid w:val="001116A9"/>
    <w:rsid w:val="001116DC"/>
    <w:rsid w:val="0011196B"/>
    <w:rsid w:val="00112307"/>
    <w:rsid w:val="00112403"/>
    <w:rsid w:val="00112BB6"/>
    <w:rsid w:val="00112BF1"/>
    <w:rsid w:val="00112EEA"/>
    <w:rsid w:val="00113231"/>
    <w:rsid w:val="00113747"/>
    <w:rsid w:val="00113790"/>
    <w:rsid w:val="00113821"/>
    <w:rsid w:val="00113B50"/>
    <w:rsid w:val="0011439F"/>
    <w:rsid w:val="001149B9"/>
    <w:rsid w:val="00114A33"/>
    <w:rsid w:val="00114EFE"/>
    <w:rsid w:val="001155C1"/>
    <w:rsid w:val="00115751"/>
    <w:rsid w:val="00115807"/>
    <w:rsid w:val="00115D39"/>
    <w:rsid w:val="001167F4"/>
    <w:rsid w:val="00116B23"/>
    <w:rsid w:val="00116D92"/>
    <w:rsid w:val="0011741E"/>
    <w:rsid w:val="0011744E"/>
    <w:rsid w:val="0011764E"/>
    <w:rsid w:val="00117900"/>
    <w:rsid w:val="001179F0"/>
    <w:rsid w:val="00120061"/>
    <w:rsid w:val="0012027D"/>
    <w:rsid w:val="00120B78"/>
    <w:rsid w:val="00120DE8"/>
    <w:rsid w:val="00120F5A"/>
    <w:rsid w:val="0012104A"/>
    <w:rsid w:val="0012126E"/>
    <w:rsid w:val="001214F9"/>
    <w:rsid w:val="00121BB4"/>
    <w:rsid w:val="00121D51"/>
    <w:rsid w:val="001225A9"/>
    <w:rsid w:val="00122712"/>
    <w:rsid w:val="0012274A"/>
    <w:rsid w:val="00122966"/>
    <w:rsid w:val="00122C13"/>
    <w:rsid w:val="00123AD3"/>
    <w:rsid w:val="00123CFD"/>
    <w:rsid w:val="00123F27"/>
    <w:rsid w:val="00123F52"/>
    <w:rsid w:val="00124015"/>
    <w:rsid w:val="001241EB"/>
    <w:rsid w:val="0012450C"/>
    <w:rsid w:val="00124842"/>
    <w:rsid w:val="00124B34"/>
    <w:rsid w:val="00124CC5"/>
    <w:rsid w:val="00124EEF"/>
    <w:rsid w:val="00125929"/>
    <w:rsid w:val="00126448"/>
    <w:rsid w:val="001265CF"/>
    <w:rsid w:val="001274DB"/>
    <w:rsid w:val="00127AD1"/>
    <w:rsid w:val="0013012F"/>
    <w:rsid w:val="00130191"/>
    <w:rsid w:val="00130531"/>
    <w:rsid w:val="00130830"/>
    <w:rsid w:val="00130A80"/>
    <w:rsid w:val="00131107"/>
    <w:rsid w:val="00131459"/>
    <w:rsid w:val="0013158F"/>
    <w:rsid w:val="00131A11"/>
    <w:rsid w:val="00131C73"/>
    <w:rsid w:val="00133129"/>
    <w:rsid w:val="00133C2C"/>
    <w:rsid w:val="00133E73"/>
    <w:rsid w:val="00133EDE"/>
    <w:rsid w:val="00133FA5"/>
    <w:rsid w:val="00133FC6"/>
    <w:rsid w:val="0013418D"/>
    <w:rsid w:val="001341FB"/>
    <w:rsid w:val="00134503"/>
    <w:rsid w:val="001346A1"/>
    <w:rsid w:val="00134762"/>
    <w:rsid w:val="001355CF"/>
    <w:rsid w:val="0013581E"/>
    <w:rsid w:val="00135C5C"/>
    <w:rsid w:val="00135E75"/>
    <w:rsid w:val="0013614E"/>
    <w:rsid w:val="00136270"/>
    <w:rsid w:val="00136294"/>
    <w:rsid w:val="00136521"/>
    <w:rsid w:val="001369EB"/>
    <w:rsid w:val="00137007"/>
    <w:rsid w:val="0013719A"/>
    <w:rsid w:val="001373DE"/>
    <w:rsid w:val="0013743C"/>
    <w:rsid w:val="00137F51"/>
    <w:rsid w:val="00140304"/>
    <w:rsid w:val="00140341"/>
    <w:rsid w:val="0014115C"/>
    <w:rsid w:val="0014115D"/>
    <w:rsid w:val="00141344"/>
    <w:rsid w:val="00141574"/>
    <w:rsid w:val="001417EE"/>
    <w:rsid w:val="00141D72"/>
    <w:rsid w:val="00142349"/>
    <w:rsid w:val="00142F04"/>
    <w:rsid w:val="001437CA"/>
    <w:rsid w:val="001437EC"/>
    <w:rsid w:val="00143922"/>
    <w:rsid w:val="00143C45"/>
    <w:rsid w:val="00143CD2"/>
    <w:rsid w:val="00143DC0"/>
    <w:rsid w:val="001441EE"/>
    <w:rsid w:val="0014472F"/>
    <w:rsid w:val="0014486B"/>
    <w:rsid w:val="00144AE4"/>
    <w:rsid w:val="00144D13"/>
    <w:rsid w:val="00144D65"/>
    <w:rsid w:val="00145054"/>
    <w:rsid w:val="001455B3"/>
    <w:rsid w:val="001457BC"/>
    <w:rsid w:val="00145901"/>
    <w:rsid w:val="00146059"/>
    <w:rsid w:val="00146BCD"/>
    <w:rsid w:val="00147053"/>
    <w:rsid w:val="0014718B"/>
    <w:rsid w:val="00147A2B"/>
    <w:rsid w:val="00147E31"/>
    <w:rsid w:val="00150B83"/>
    <w:rsid w:val="00150BCC"/>
    <w:rsid w:val="001512B7"/>
    <w:rsid w:val="0015182B"/>
    <w:rsid w:val="00151B3F"/>
    <w:rsid w:val="00151F3B"/>
    <w:rsid w:val="00152023"/>
    <w:rsid w:val="00152511"/>
    <w:rsid w:val="0015294E"/>
    <w:rsid w:val="001533CC"/>
    <w:rsid w:val="0015363A"/>
    <w:rsid w:val="001536D4"/>
    <w:rsid w:val="00153E7A"/>
    <w:rsid w:val="00153F0B"/>
    <w:rsid w:val="00154379"/>
    <w:rsid w:val="00154736"/>
    <w:rsid w:val="0015475D"/>
    <w:rsid w:val="00154A68"/>
    <w:rsid w:val="00154C23"/>
    <w:rsid w:val="00154EBA"/>
    <w:rsid w:val="0015596C"/>
    <w:rsid w:val="00155F57"/>
    <w:rsid w:val="0015606F"/>
    <w:rsid w:val="0015607A"/>
    <w:rsid w:val="00156844"/>
    <w:rsid w:val="00156848"/>
    <w:rsid w:val="0015694F"/>
    <w:rsid w:val="00156ABC"/>
    <w:rsid w:val="00156D0E"/>
    <w:rsid w:val="00156E7C"/>
    <w:rsid w:val="00157BD7"/>
    <w:rsid w:val="001601B7"/>
    <w:rsid w:val="00160673"/>
    <w:rsid w:val="001606ED"/>
    <w:rsid w:val="00160B0C"/>
    <w:rsid w:val="00160F7F"/>
    <w:rsid w:val="0016157C"/>
    <w:rsid w:val="00161814"/>
    <w:rsid w:val="00161AC2"/>
    <w:rsid w:val="00161DC9"/>
    <w:rsid w:val="0016232C"/>
    <w:rsid w:val="00162381"/>
    <w:rsid w:val="00162663"/>
    <w:rsid w:val="00162CD3"/>
    <w:rsid w:val="00163163"/>
    <w:rsid w:val="001632C5"/>
    <w:rsid w:val="001633BC"/>
    <w:rsid w:val="00163881"/>
    <w:rsid w:val="00163EF5"/>
    <w:rsid w:val="001640C1"/>
    <w:rsid w:val="001641A3"/>
    <w:rsid w:val="001645BF"/>
    <w:rsid w:val="00164FB8"/>
    <w:rsid w:val="001652F6"/>
    <w:rsid w:val="001659E4"/>
    <w:rsid w:val="00165A99"/>
    <w:rsid w:val="00165AF4"/>
    <w:rsid w:val="00165C70"/>
    <w:rsid w:val="001662E4"/>
    <w:rsid w:val="00166739"/>
    <w:rsid w:val="0016682B"/>
    <w:rsid w:val="00166887"/>
    <w:rsid w:val="00166891"/>
    <w:rsid w:val="00166A95"/>
    <w:rsid w:val="00166F9E"/>
    <w:rsid w:val="00167304"/>
    <w:rsid w:val="001673EA"/>
    <w:rsid w:val="0016746B"/>
    <w:rsid w:val="00167625"/>
    <w:rsid w:val="00167A1C"/>
    <w:rsid w:val="00167CDA"/>
    <w:rsid w:val="00167D6D"/>
    <w:rsid w:val="0017053F"/>
    <w:rsid w:val="001708B9"/>
    <w:rsid w:val="00170D25"/>
    <w:rsid w:val="00171718"/>
    <w:rsid w:val="00171BBC"/>
    <w:rsid w:val="0017280D"/>
    <w:rsid w:val="00172983"/>
    <w:rsid w:val="00172CD6"/>
    <w:rsid w:val="00173016"/>
    <w:rsid w:val="00173024"/>
    <w:rsid w:val="0017330A"/>
    <w:rsid w:val="0017359A"/>
    <w:rsid w:val="00174155"/>
    <w:rsid w:val="001742FD"/>
    <w:rsid w:val="0017481B"/>
    <w:rsid w:val="00174B74"/>
    <w:rsid w:val="00174B9B"/>
    <w:rsid w:val="00174C8C"/>
    <w:rsid w:val="00174D34"/>
    <w:rsid w:val="00175016"/>
    <w:rsid w:val="00175035"/>
    <w:rsid w:val="0017503F"/>
    <w:rsid w:val="001750E2"/>
    <w:rsid w:val="001755A6"/>
    <w:rsid w:val="001755AE"/>
    <w:rsid w:val="001756DE"/>
    <w:rsid w:val="001757CE"/>
    <w:rsid w:val="001762A6"/>
    <w:rsid w:val="001764BB"/>
    <w:rsid w:val="001766B5"/>
    <w:rsid w:val="001771C9"/>
    <w:rsid w:val="001773B0"/>
    <w:rsid w:val="001800C2"/>
    <w:rsid w:val="001801E6"/>
    <w:rsid w:val="0018032E"/>
    <w:rsid w:val="00180BDA"/>
    <w:rsid w:val="0018108F"/>
    <w:rsid w:val="00181593"/>
    <w:rsid w:val="00181C7F"/>
    <w:rsid w:val="00181D62"/>
    <w:rsid w:val="001821A9"/>
    <w:rsid w:val="00182665"/>
    <w:rsid w:val="00182DAA"/>
    <w:rsid w:val="001830A3"/>
    <w:rsid w:val="0018324A"/>
    <w:rsid w:val="00183891"/>
    <w:rsid w:val="001842C6"/>
    <w:rsid w:val="00184D26"/>
    <w:rsid w:val="00184EED"/>
    <w:rsid w:val="00185CCD"/>
    <w:rsid w:val="00185FED"/>
    <w:rsid w:val="00186137"/>
    <w:rsid w:val="00186334"/>
    <w:rsid w:val="00186A32"/>
    <w:rsid w:val="00186BC5"/>
    <w:rsid w:val="00186C92"/>
    <w:rsid w:val="00186FC8"/>
    <w:rsid w:val="001871E0"/>
    <w:rsid w:val="001874CD"/>
    <w:rsid w:val="001875DD"/>
    <w:rsid w:val="00187CDE"/>
    <w:rsid w:val="00190305"/>
    <w:rsid w:val="001906C5"/>
    <w:rsid w:val="001906F2"/>
    <w:rsid w:val="001906F7"/>
    <w:rsid w:val="00190A0A"/>
    <w:rsid w:val="00190C3E"/>
    <w:rsid w:val="00190E06"/>
    <w:rsid w:val="0019167C"/>
    <w:rsid w:val="00191D77"/>
    <w:rsid w:val="00191D87"/>
    <w:rsid w:val="00191F67"/>
    <w:rsid w:val="001924C2"/>
    <w:rsid w:val="00192E19"/>
    <w:rsid w:val="00192EBC"/>
    <w:rsid w:val="001930B9"/>
    <w:rsid w:val="001934D9"/>
    <w:rsid w:val="00193A88"/>
    <w:rsid w:val="00193F2D"/>
    <w:rsid w:val="001941B8"/>
    <w:rsid w:val="001943E2"/>
    <w:rsid w:val="00194466"/>
    <w:rsid w:val="00194C67"/>
    <w:rsid w:val="00194D35"/>
    <w:rsid w:val="001950BA"/>
    <w:rsid w:val="00195129"/>
    <w:rsid w:val="001953E2"/>
    <w:rsid w:val="001956A5"/>
    <w:rsid w:val="00195825"/>
    <w:rsid w:val="00195975"/>
    <w:rsid w:val="00195A75"/>
    <w:rsid w:val="00195BC5"/>
    <w:rsid w:val="0019614E"/>
    <w:rsid w:val="001962C8"/>
    <w:rsid w:val="00196B4D"/>
    <w:rsid w:val="001974BA"/>
    <w:rsid w:val="001975EF"/>
    <w:rsid w:val="0019765A"/>
    <w:rsid w:val="00197A60"/>
    <w:rsid w:val="001A0002"/>
    <w:rsid w:val="001A010A"/>
    <w:rsid w:val="001A02B1"/>
    <w:rsid w:val="001A0694"/>
    <w:rsid w:val="001A0B8D"/>
    <w:rsid w:val="001A0F71"/>
    <w:rsid w:val="001A11B5"/>
    <w:rsid w:val="001A186D"/>
    <w:rsid w:val="001A1EB1"/>
    <w:rsid w:val="001A1F42"/>
    <w:rsid w:val="001A21A7"/>
    <w:rsid w:val="001A2746"/>
    <w:rsid w:val="001A28D6"/>
    <w:rsid w:val="001A2F39"/>
    <w:rsid w:val="001A3AF7"/>
    <w:rsid w:val="001A3B1F"/>
    <w:rsid w:val="001A45CF"/>
    <w:rsid w:val="001A47AF"/>
    <w:rsid w:val="001A4850"/>
    <w:rsid w:val="001A51C7"/>
    <w:rsid w:val="001A56D4"/>
    <w:rsid w:val="001A6300"/>
    <w:rsid w:val="001A6C9A"/>
    <w:rsid w:val="001A6CC4"/>
    <w:rsid w:val="001A70CB"/>
    <w:rsid w:val="001A74CC"/>
    <w:rsid w:val="001A75C3"/>
    <w:rsid w:val="001A777F"/>
    <w:rsid w:val="001A7905"/>
    <w:rsid w:val="001A7CAF"/>
    <w:rsid w:val="001A7CCE"/>
    <w:rsid w:val="001B0724"/>
    <w:rsid w:val="001B0BDC"/>
    <w:rsid w:val="001B0F94"/>
    <w:rsid w:val="001B102A"/>
    <w:rsid w:val="001B144D"/>
    <w:rsid w:val="001B1495"/>
    <w:rsid w:val="001B1570"/>
    <w:rsid w:val="001B1795"/>
    <w:rsid w:val="001B1B15"/>
    <w:rsid w:val="001B1C98"/>
    <w:rsid w:val="001B28E0"/>
    <w:rsid w:val="001B3388"/>
    <w:rsid w:val="001B3490"/>
    <w:rsid w:val="001B35E4"/>
    <w:rsid w:val="001B3AA8"/>
    <w:rsid w:val="001B3EFC"/>
    <w:rsid w:val="001B4338"/>
    <w:rsid w:val="001B44CD"/>
    <w:rsid w:val="001B4781"/>
    <w:rsid w:val="001B4C7C"/>
    <w:rsid w:val="001B5C19"/>
    <w:rsid w:val="001B6DEC"/>
    <w:rsid w:val="001B6E86"/>
    <w:rsid w:val="001B6F14"/>
    <w:rsid w:val="001B746B"/>
    <w:rsid w:val="001C0175"/>
    <w:rsid w:val="001C01EF"/>
    <w:rsid w:val="001C0493"/>
    <w:rsid w:val="001C0662"/>
    <w:rsid w:val="001C07DD"/>
    <w:rsid w:val="001C0849"/>
    <w:rsid w:val="001C0DD3"/>
    <w:rsid w:val="001C1CDE"/>
    <w:rsid w:val="001C1D14"/>
    <w:rsid w:val="001C24B3"/>
    <w:rsid w:val="001C2813"/>
    <w:rsid w:val="001C2873"/>
    <w:rsid w:val="001C2987"/>
    <w:rsid w:val="001C2D9C"/>
    <w:rsid w:val="001C2F02"/>
    <w:rsid w:val="001C3080"/>
    <w:rsid w:val="001C399B"/>
    <w:rsid w:val="001C4567"/>
    <w:rsid w:val="001C468E"/>
    <w:rsid w:val="001C4B4A"/>
    <w:rsid w:val="001C4D0A"/>
    <w:rsid w:val="001C67AD"/>
    <w:rsid w:val="001D026D"/>
    <w:rsid w:val="001D029E"/>
    <w:rsid w:val="001D03A7"/>
    <w:rsid w:val="001D05D5"/>
    <w:rsid w:val="001D0641"/>
    <w:rsid w:val="001D0BB0"/>
    <w:rsid w:val="001D0D99"/>
    <w:rsid w:val="001D1335"/>
    <w:rsid w:val="001D14CC"/>
    <w:rsid w:val="001D164E"/>
    <w:rsid w:val="001D17E0"/>
    <w:rsid w:val="001D1876"/>
    <w:rsid w:val="001D1C0B"/>
    <w:rsid w:val="001D206E"/>
    <w:rsid w:val="001D22F7"/>
    <w:rsid w:val="001D23A4"/>
    <w:rsid w:val="001D2601"/>
    <w:rsid w:val="001D27CD"/>
    <w:rsid w:val="001D2918"/>
    <w:rsid w:val="001D3677"/>
    <w:rsid w:val="001D369E"/>
    <w:rsid w:val="001D36A1"/>
    <w:rsid w:val="001D3B96"/>
    <w:rsid w:val="001D3FD6"/>
    <w:rsid w:val="001D4CEE"/>
    <w:rsid w:val="001D53B6"/>
    <w:rsid w:val="001D540E"/>
    <w:rsid w:val="001D5604"/>
    <w:rsid w:val="001D5754"/>
    <w:rsid w:val="001D5A9E"/>
    <w:rsid w:val="001D629B"/>
    <w:rsid w:val="001D6A53"/>
    <w:rsid w:val="001D7A79"/>
    <w:rsid w:val="001D7FB1"/>
    <w:rsid w:val="001E016B"/>
    <w:rsid w:val="001E016D"/>
    <w:rsid w:val="001E033F"/>
    <w:rsid w:val="001E0950"/>
    <w:rsid w:val="001E0968"/>
    <w:rsid w:val="001E09CA"/>
    <w:rsid w:val="001E09D4"/>
    <w:rsid w:val="001E0A33"/>
    <w:rsid w:val="001E0DF7"/>
    <w:rsid w:val="001E105E"/>
    <w:rsid w:val="001E11A2"/>
    <w:rsid w:val="001E11F1"/>
    <w:rsid w:val="001E1674"/>
    <w:rsid w:val="001E1952"/>
    <w:rsid w:val="001E1B57"/>
    <w:rsid w:val="001E1B6F"/>
    <w:rsid w:val="001E1CBD"/>
    <w:rsid w:val="001E2138"/>
    <w:rsid w:val="001E226C"/>
    <w:rsid w:val="001E2A33"/>
    <w:rsid w:val="001E349B"/>
    <w:rsid w:val="001E3655"/>
    <w:rsid w:val="001E3701"/>
    <w:rsid w:val="001E3EBD"/>
    <w:rsid w:val="001E4E07"/>
    <w:rsid w:val="001E4E09"/>
    <w:rsid w:val="001E5EA5"/>
    <w:rsid w:val="001E6061"/>
    <w:rsid w:val="001E62EA"/>
    <w:rsid w:val="001E6559"/>
    <w:rsid w:val="001E65E9"/>
    <w:rsid w:val="001E685C"/>
    <w:rsid w:val="001E6DA8"/>
    <w:rsid w:val="001E712C"/>
    <w:rsid w:val="001E7CE6"/>
    <w:rsid w:val="001E7D3E"/>
    <w:rsid w:val="001F0581"/>
    <w:rsid w:val="001F0793"/>
    <w:rsid w:val="001F0EC3"/>
    <w:rsid w:val="001F106E"/>
    <w:rsid w:val="001F2988"/>
    <w:rsid w:val="001F2D62"/>
    <w:rsid w:val="001F311B"/>
    <w:rsid w:val="001F3235"/>
    <w:rsid w:val="001F38BE"/>
    <w:rsid w:val="001F3940"/>
    <w:rsid w:val="001F3BD4"/>
    <w:rsid w:val="001F3E9B"/>
    <w:rsid w:val="001F3FB1"/>
    <w:rsid w:val="001F43D4"/>
    <w:rsid w:val="001F4641"/>
    <w:rsid w:val="001F4B59"/>
    <w:rsid w:val="001F50DC"/>
    <w:rsid w:val="001F5BC3"/>
    <w:rsid w:val="001F61B8"/>
    <w:rsid w:val="001F6839"/>
    <w:rsid w:val="001F6DA9"/>
    <w:rsid w:val="001F7177"/>
    <w:rsid w:val="001F733E"/>
    <w:rsid w:val="001F7529"/>
    <w:rsid w:val="001F7C32"/>
    <w:rsid w:val="002005C2"/>
    <w:rsid w:val="0020065D"/>
    <w:rsid w:val="00200CC3"/>
    <w:rsid w:val="00200D49"/>
    <w:rsid w:val="0020123C"/>
    <w:rsid w:val="00201397"/>
    <w:rsid w:val="00201504"/>
    <w:rsid w:val="0020196D"/>
    <w:rsid w:val="00201A4B"/>
    <w:rsid w:val="00201A77"/>
    <w:rsid w:val="00202596"/>
    <w:rsid w:val="0020279F"/>
    <w:rsid w:val="00203792"/>
    <w:rsid w:val="00203E58"/>
    <w:rsid w:val="002041B6"/>
    <w:rsid w:val="002043AF"/>
    <w:rsid w:val="00204696"/>
    <w:rsid w:val="00204CB3"/>
    <w:rsid w:val="00204CBA"/>
    <w:rsid w:val="00204F25"/>
    <w:rsid w:val="0020516D"/>
    <w:rsid w:val="00205553"/>
    <w:rsid w:val="00205930"/>
    <w:rsid w:val="00205AE3"/>
    <w:rsid w:val="002060E5"/>
    <w:rsid w:val="002066B0"/>
    <w:rsid w:val="00206BCC"/>
    <w:rsid w:val="00207C84"/>
    <w:rsid w:val="0021018F"/>
    <w:rsid w:val="002102B5"/>
    <w:rsid w:val="00211136"/>
    <w:rsid w:val="00211578"/>
    <w:rsid w:val="002115D4"/>
    <w:rsid w:val="002124B2"/>
    <w:rsid w:val="00212852"/>
    <w:rsid w:val="00212A34"/>
    <w:rsid w:val="00212F33"/>
    <w:rsid w:val="00213133"/>
    <w:rsid w:val="002133E9"/>
    <w:rsid w:val="00213BE1"/>
    <w:rsid w:val="00213CC2"/>
    <w:rsid w:val="00214522"/>
    <w:rsid w:val="0021489B"/>
    <w:rsid w:val="00214C56"/>
    <w:rsid w:val="00215AC7"/>
    <w:rsid w:val="00215B68"/>
    <w:rsid w:val="00215EBC"/>
    <w:rsid w:val="00216055"/>
    <w:rsid w:val="00216AEF"/>
    <w:rsid w:val="00216B82"/>
    <w:rsid w:val="00216CF6"/>
    <w:rsid w:val="00216DF7"/>
    <w:rsid w:val="002173D7"/>
    <w:rsid w:val="00217BC6"/>
    <w:rsid w:val="00217C69"/>
    <w:rsid w:val="00217CB5"/>
    <w:rsid w:val="00217F46"/>
    <w:rsid w:val="002205A8"/>
    <w:rsid w:val="00220CCF"/>
    <w:rsid w:val="0022104A"/>
    <w:rsid w:val="00221122"/>
    <w:rsid w:val="002212FA"/>
    <w:rsid w:val="00221430"/>
    <w:rsid w:val="00221B4C"/>
    <w:rsid w:val="00221CB4"/>
    <w:rsid w:val="00221EBC"/>
    <w:rsid w:val="002220FA"/>
    <w:rsid w:val="002222D3"/>
    <w:rsid w:val="0022230B"/>
    <w:rsid w:val="0022250F"/>
    <w:rsid w:val="00222C5E"/>
    <w:rsid w:val="00222CF5"/>
    <w:rsid w:val="002230C6"/>
    <w:rsid w:val="00223249"/>
    <w:rsid w:val="002236B3"/>
    <w:rsid w:val="00223CC9"/>
    <w:rsid w:val="00223FFF"/>
    <w:rsid w:val="0022418F"/>
    <w:rsid w:val="00224741"/>
    <w:rsid w:val="00224BC2"/>
    <w:rsid w:val="00225318"/>
    <w:rsid w:val="0022536B"/>
    <w:rsid w:val="002253D3"/>
    <w:rsid w:val="00225470"/>
    <w:rsid w:val="00225C69"/>
    <w:rsid w:val="00225CF7"/>
    <w:rsid w:val="0022643B"/>
    <w:rsid w:val="00226638"/>
    <w:rsid w:val="00226677"/>
    <w:rsid w:val="00226762"/>
    <w:rsid w:val="0022679F"/>
    <w:rsid w:val="002268CC"/>
    <w:rsid w:val="00226C89"/>
    <w:rsid w:val="00227024"/>
    <w:rsid w:val="002272B9"/>
    <w:rsid w:val="00227A06"/>
    <w:rsid w:val="00227F1F"/>
    <w:rsid w:val="00230145"/>
    <w:rsid w:val="002314CC"/>
    <w:rsid w:val="00231583"/>
    <w:rsid w:val="002319D7"/>
    <w:rsid w:val="00231B44"/>
    <w:rsid w:val="00231BC7"/>
    <w:rsid w:val="00232541"/>
    <w:rsid w:val="00232866"/>
    <w:rsid w:val="00232D85"/>
    <w:rsid w:val="0023300C"/>
    <w:rsid w:val="00233119"/>
    <w:rsid w:val="00233345"/>
    <w:rsid w:val="00233694"/>
    <w:rsid w:val="0023379D"/>
    <w:rsid w:val="00233C9A"/>
    <w:rsid w:val="00234019"/>
    <w:rsid w:val="00234067"/>
    <w:rsid w:val="002340B6"/>
    <w:rsid w:val="0023429C"/>
    <w:rsid w:val="00234BA2"/>
    <w:rsid w:val="00234D06"/>
    <w:rsid w:val="00235582"/>
    <w:rsid w:val="002356B3"/>
    <w:rsid w:val="00235B5F"/>
    <w:rsid w:val="00236393"/>
    <w:rsid w:val="00236523"/>
    <w:rsid w:val="002366B8"/>
    <w:rsid w:val="00236C83"/>
    <w:rsid w:val="00236CDB"/>
    <w:rsid w:val="002370AB"/>
    <w:rsid w:val="002373B4"/>
    <w:rsid w:val="00237872"/>
    <w:rsid w:val="002403B0"/>
    <w:rsid w:val="00240841"/>
    <w:rsid w:val="00240905"/>
    <w:rsid w:val="00240EB7"/>
    <w:rsid w:val="00241067"/>
    <w:rsid w:val="00241933"/>
    <w:rsid w:val="00241BB5"/>
    <w:rsid w:val="00241D1C"/>
    <w:rsid w:val="00242069"/>
    <w:rsid w:val="00242241"/>
    <w:rsid w:val="0024232C"/>
    <w:rsid w:val="0024297A"/>
    <w:rsid w:val="00242A2C"/>
    <w:rsid w:val="00242DA1"/>
    <w:rsid w:val="00242EDF"/>
    <w:rsid w:val="00243339"/>
    <w:rsid w:val="0024349A"/>
    <w:rsid w:val="00243688"/>
    <w:rsid w:val="00243B71"/>
    <w:rsid w:val="00243DAE"/>
    <w:rsid w:val="00244010"/>
    <w:rsid w:val="00244267"/>
    <w:rsid w:val="0024437A"/>
    <w:rsid w:val="0024498A"/>
    <w:rsid w:val="00244E77"/>
    <w:rsid w:val="00244FAC"/>
    <w:rsid w:val="002450C3"/>
    <w:rsid w:val="00245A9C"/>
    <w:rsid w:val="00245D30"/>
    <w:rsid w:val="00246333"/>
    <w:rsid w:val="00246335"/>
    <w:rsid w:val="00246357"/>
    <w:rsid w:val="002469A2"/>
    <w:rsid w:val="00246AC8"/>
    <w:rsid w:val="00246C42"/>
    <w:rsid w:val="00247278"/>
    <w:rsid w:val="00247465"/>
    <w:rsid w:val="00247624"/>
    <w:rsid w:val="00247F89"/>
    <w:rsid w:val="00247FC9"/>
    <w:rsid w:val="00250878"/>
    <w:rsid w:val="00250CB1"/>
    <w:rsid w:val="00250D74"/>
    <w:rsid w:val="00250E4C"/>
    <w:rsid w:val="00251763"/>
    <w:rsid w:val="00251D7A"/>
    <w:rsid w:val="00251E61"/>
    <w:rsid w:val="00251FC3"/>
    <w:rsid w:val="00253790"/>
    <w:rsid w:val="00253AC2"/>
    <w:rsid w:val="00253D2A"/>
    <w:rsid w:val="00254434"/>
    <w:rsid w:val="002546B7"/>
    <w:rsid w:val="00255269"/>
    <w:rsid w:val="002552D9"/>
    <w:rsid w:val="0025550F"/>
    <w:rsid w:val="002559C4"/>
    <w:rsid w:val="00255C51"/>
    <w:rsid w:val="00255D53"/>
    <w:rsid w:val="00256C6F"/>
    <w:rsid w:val="00256E3C"/>
    <w:rsid w:val="002609B3"/>
    <w:rsid w:val="00260CDE"/>
    <w:rsid w:val="00260F58"/>
    <w:rsid w:val="00261506"/>
    <w:rsid w:val="0026191C"/>
    <w:rsid w:val="00262391"/>
    <w:rsid w:val="0026277D"/>
    <w:rsid w:val="00262BAB"/>
    <w:rsid w:val="00262D7A"/>
    <w:rsid w:val="00262E5C"/>
    <w:rsid w:val="002632BB"/>
    <w:rsid w:val="00263767"/>
    <w:rsid w:val="002639DC"/>
    <w:rsid w:val="00263DF1"/>
    <w:rsid w:val="00264092"/>
    <w:rsid w:val="002641AF"/>
    <w:rsid w:val="002645E9"/>
    <w:rsid w:val="002647B6"/>
    <w:rsid w:val="00264B5F"/>
    <w:rsid w:val="00265514"/>
    <w:rsid w:val="002656D8"/>
    <w:rsid w:val="0026586D"/>
    <w:rsid w:val="00266702"/>
    <w:rsid w:val="00266741"/>
    <w:rsid w:val="00266BAC"/>
    <w:rsid w:val="00266E6C"/>
    <w:rsid w:val="002677F1"/>
    <w:rsid w:val="00270007"/>
    <w:rsid w:val="00270169"/>
    <w:rsid w:val="002703CE"/>
    <w:rsid w:val="002709A6"/>
    <w:rsid w:val="00270DC8"/>
    <w:rsid w:val="00271451"/>
    <w:rsid w:val="002714FF"/>
    <w:rsid w:val="002717A7"/>
    <w:rsid w:val="00271DD7"/>
    <w:rsid w:val="00272204"/>
    <w:rsid w:val="00272530"/>
    <w:rsid w:val="0027293F"/>
    <w:rsid w:val="00273656"/>
    <w:rsid w:val="002740FE"/>
    <w:rsid w:val="002742AB"/>
    <w:rsid w:val="002744AC"/>
    <w:rsid w:val="002748C4"/>
    <w:rsid w:val="00274CD3"/>
    <w:rsid w:val="00274DD9"/>
    <w:rsid w:val="002754AE"/>
    <w:rsid w:val="002756DB"/>
    <w:rsid w:val="00275D3E"/>
    <w:rsid w:val="00275EFD"/>
    <w:rsid w:val="00275F4C"/>
    <w:rsid w:val="002768E8"/>
    <w:rsid w:val="00276D3D"/>
    <w:rsid w:val="00276E50"/>
    <w:rsid w:val="00276F66"/>
    <w:rsid w:val="002772DD"/>
    <w:rsid w:val="0027778E"/>
    <w:rsid w:val="002777E1"/>
    <w:rsid w:val="002800EA"/>
    <w:rsid w:val="00280B38"/>
    <w:rsid w:val="00280F75"/>
    <w:rsid w:val="002817EC"/>
    <w:rsid w:val="00281C99"/>
    <w:rsid w:val="00282AF0"/>
    <w:rsid w:val="002832B4"/>
    <w:rsid w:val="002838E9"/>
    <w:rsid w:val="00284432"/>
    <w:rsid w:val="00284824"/>
    <w:rsid w:val="0028550D"/>
    <w:rsid w:val="00285952"/>
    <w:rsid w:val="002861CE"/>
    <w:rsid w:val="00286346"/>
    <w:rsid w:val="00286B3E"/>
    <w:rsid w:val="00286B86"/>
    <w:rsid w:val="00287248"/>
    <w:rsid w:val="00287EC7"/>
    <w:rsid w:val="00290173"/>
    <w:rsid w:val="002901AB"/>
    <w:rsid w:val="0029067B"/>
    <w:rsid w:val="0029069A"/>
    <w:rsid w:val="0029069B"/>
    <w:rsid w:val="0029106E"/>
    <w:rsid w:val="00291339"/>
    <w:rsid w:val="0029224B"/>
    <w:rsid w:val="002929A9"/>
    <w:rsid w:val="0029307A"/>
    <w:rsid w:val="002930B2"/>
    <w:rsid w:val="002938A1"/>
    <w:rsid w:val="002939EB"/>
    <w:rsid w:val="00293D94"/>
    <w:rsid w:val="00294187"/>
    <w:rsid w:val="0029426B"/>
    <w:rsid w:val="00294709"/>
    <w:rsid w:val="00294BBA"/>
    <w:rsid w:val="00294C7D"/>
    <w:rsid w:val="00294ECF"/>
    <w:rsid w:val="00294FD0"/>
    <w:rsid w:val="00295009"/>
    <w:rsid w:val="0029519A"/>
    <w:rsid w:val="0029539C"/>
    <w:rsid w:val="00295615"/>
    <w:rsid w:val="00295A49"/>
    <w:rsid w:val="00296038"/>
    <w:rsid w:val="002963A8"/>
    <w:rsid w:val="00296655"/>
    <w:rsid w:val="002969F0"/>
    <w:rsid w:val="00296E05"/>
    <w:rsid w:val="00296E8C"/>
    <w:rsid w:val="00296F29"/>
    <w:rsid w:val="00297214"/>
    <w:rsid w:val="002977A6"/>
    <w:rsid w:val="00297A67"/>
    <w:rsid w:val="00297C27"/>
    <w:rsid w:val="00297CC6"/>
    <w:rsid w:val="002A04A2"/>
    <w:rsid w:val="002A07C1"/>
    <w:rsid w:val="002A0A3F"/>
    <w:rsid w:val="002A1731"/>
    <w:rsid w:val="002A1D0D"/>
    <w:rsid w:val="002A1DB9"/>
    <w:rsid w:val="002A2020"/>
    <w:rsid w:val="002A2126"/>
    <w:rsid w:val="002A25B1"/>
    <w:rsid w:val="002A276F"/>
    <w:rsid w:val="002A29EE"/>
    <w:rsid w:val="002A2CD0"/>
    <w:rsid w:val="002A2DCA"/>
    <w:rsid w:val="002A32B3"/>
    <w:rsid w:val="002A35E7"/>
    <w:rsid w:val="002A3651"/>
    <w:rsid w:val="002A37E8"/>
    <w:rsid w:val="002A3A11"/>
    <w:rsid w:val="002A3B2E"/>
    <w:rsid w:val="002A3D15"/>
    <w:rsid w:val="002A4DD1"/>
    <w:rsid w:val="002A5210"/>
    <w:rsid w:val="002A5653"/>
    <w:rsid w:val="002A5910"/>
    <w:rsid w:val="002A602A"/>
    <w:rsid w:val="002A62A2"/>
    <w:rsid w:val="002A6618"/>
    <w:rsid w:val="002A71CE"/>
    <w:rsid w:val="002A7257"/>
    <w:rsid w:val="002A749F"/>
    <w:rsid w:val="002A77E5"/>
    <w:rsid w:val="002A790F"/>
    <w:rsid w:val="002A7D5E"/>
    <w:rsid w:val="002B016D"/>
    <w:rsid w:val="002B022D"/>
    <w:rsid w:val="002B05F3"/>
    <w:rsid w:val="002B073A"/>
    <w:rsid w:val="002B0868"/>
    <w:rsid w:val="002B0CAA"/>
    <w:rsid w:val="002B0E8B"/>
    <w:rsid w:val="002B1028"/>
    <w:rsid w:val="002B123C"/>
    <w:rsid w:val="002B1A97"/>
    <w:rsid w:val="002B1BE3"/>
    <w:rsid w:val="002B2260"/>
    <w:rsid w:val="002B22CE"/>
    <w:rsid w:val="002B2376"/>
    <w:rsid w:val="002B2660"/>
    <w:rsid w:val="002B273F"/>
    <w:rsid w:val="002B2A99"/>
    <w:rsid w:val="002B2F46"/>
    <w:rsid w:val="002B3574"/>
    <w:rsid w:val="002B37A8"/>
    <w:rsid w:val="002B37E0"/>
    <w:rsid w:val="002B37E9"/>
    <w:rsid w:val="002B4054"/>
    <w:rsid w:val="002B4164"/>
    <w:rsid w:val="002B4200"/>
    <w:rsid w:val="002B47FC"/>
    <w:rsid w:val="002B48EE"/>
    <w:rsid w:val="002B4D02"/>
    <w:rsid w:val="002B532D"/>
    <w:rsid w:val="002B53EA"/>
    <w:rsid w:val="002B5FC3"/>
    <w:rsid w:val="002B6566"/>
    <w:rsid w:val="002B65D3"/>
    <w:rsid w:val="002B6BCD"/>
    <w:rsid w:val="002B6D2E"/>
    <w:rsid w:val="002B6F5C"/>
    <w:rsid w:val="002C0ED3"/>
    <w:rsid w:val="002C1140"/>
    <w:rsid w:val="002C12EA"/>
    <w:rsid w:val="002C1310"/>
    <w:rsid w:val="002C171E"/>
    <w:rsid w:val="002C177D"/>
    <w:rsid w:val="002C2407"/>
    <w:rsid w:val="002C284A"/>
    <w:rsid w:val="002C2BF5"/>
    <w:rsid w:val="002C2CBA"/>
    <w:rsid w:val="002C2E84"/>
    <w:rsid w:val="002C30B8"/>
    <w:rsid w:val="002C32F8"/>
    <w:rsid w:val="002C3AA7"/>
    <w:rsid w:val="002C3FD0"/>
    <w:rsid w:val="002C40E9"/>
    <w:rsid w:val="002C42C7"/>
    <w:rsid w:val="002C42F1"/>
    <w:rsid w:val="002C45AD"/>
    <w:rsid w:val="002C4C85"/>
    <w:rsid w:val="002C4D56"/>
    <w:rsid w:val="002C53E0"/>
    <w:rsid w:val="002C5834"/>
    <w:rsid w:val="002C5A59"/>
    <w:rsid w:val="002C5FEA"/>
    <w:rsid w:val="002C65D3"/>
    <w:rsid w:val="002C677C"/>
    <w:rsid w:val="002C690A"/>
    <w:rsid w:val="002C6B33"/>
    <w:rsid w:val="002C6F50"/>
    <w:rsid w:val="002C715D"/>
    <w:rsid w:val="002C72FF"/>
    <w:rsid w:val="002C75AF"/>
    <w:rsid w:val="002C7E6E"/>
    <w:rsid w:val="002C7F2B"/>
    <w:rsid w:val="002D0297"/>
    <w:rsid w:val="002D0E91"/>
    <w:rsid w:val="002D0FCC"/>
    <w:rsid w:val="002D0FED"/>
    <w:rsid w:val="002D127F"/>
    <w:rsid w:val="002D12DD"/>
    <w:rsid w:val="002D1769"/>
    <w:rsid w:val="002D17CC"/>
    <w:rsid w:val="002D1828"/>
    <w:rsid w:val="002D188F"/>
    <w:rsid w:val="002D1B5B"/>
    <w:rsid w:val="002D1C2A"/>
    <w:rsid w:val="002D1D19"/>
    <w:rsid w:val="002D1FAB"/>
    <w:rsid w:val="002D1FBC"/>
    <w:rsid w:val="002D27B0"/>
    <w:rsid w:val="002D27F0"/>
    <w:rsid w:val="002D30B4"/>
    <w:rsid w:val="002D342D"/>
    <w:rsid w:val="002D397E"/>
    <w:rsid w:val="002D41F7"/>
    <w:rsid w:val="002D53FB"/>
    <w:rsid w:val="002D55FC"/>
    <w:rsid w:val="002D57EE"/>
    <w:rsid w:val="002D5BC5"/>
    <w:rsid w:val="002D65F2"/>
    <w:rsid w:val="002D6B6D"/>
    <w:rsid w:val="002D7281"/>
    <w:rsid w:val="002D75BF"/>
    <w:rsid w:val="002D771B"/>
    <w:rsid w:val="002D7730"/>
    <w:rsid w:val="002D78C3"/>
    <w:rsid w:val="002E0201"/>
    <w:rsid w:val="002E022C"/>
    <w:rsid w:val="002E07EB"/>
    <w:rsid w:val="002E0FFD"/>
    <w:rsid w:val="002E1538"/>
    <w:rsid w:val="002E18FF"/>
    <w:rsid w:val="002E1C00"/>
    <w:rsid w:val="002E1D02"/>
    <w:rsid w:val="002E1D1F"/>
    <w:rsid w:val="002E2020"/>
    <w:rsid w:val="002E26F9"/>
    <w:rsid w:val="002E2983"/>
    <w:rsid w:val="002E3345"/>
    <w:rsid w:val="002E38FF"/>
    <w:rsid w:val="002E3D50"/>
    <w:rsid w:val="002E4875"/>
    <w:rsid w:val="002E4A5B"/>
    <w:rsid w:val="002E4DE8"/>
    <w:rsid w:val="002E5027"/>
    <w:rsid w:val="002E55C9"/>
    <w:rsid w:val="002E5E90"/>
    <w:rsid w:val="002E6264"/>
    <w:rsid w:val="002E65A3"/>
    <w:rsid w:val="002E67BC"/>
    <w:rsid w:val="002E68B0"/>
    <w:rsid w:val="002E6A43"/>
    <w:rsid w:val="002E7099"/>
    <w:rsid w:val="002E70A7"/>
    <w:rsid w:val="002E79F3"/>
    <w:rsid w:val="002E7D00"/>
    <w:rsid w:val="002F042F"/>
    <w:rsid w:val="002F0E29"/>
    <w:rsid w:val="002F10C2"/>
    <w:rsid w:val="002F13A6"/>
    <w:rsid w:val="002F145C"/>
    <w:rsid w:val="002F1E47"/>
    <w:rsid w:val="002F202F"/>
    <w:rsid w:val="002F22DC"/>
    <w:rsid w:val="002F2751"/>
    <w:rsid w:val="002F2771"/>
    <w:rsid w:val="002F2D09"/>
    <w:rsid w:val="002F3097"/>
    <w:rsid w:val="002F3700"/>
    <w:rsid w:val="002F38A8"/>
    <w:rsid w:val="002F3B70"/>
    <w:rsid w:val="002F40E5"/>
    <w:rsid w:val="002F48E0"/>
    <w:rsid w:val="002F5215"/>
    <w:rsid w:val="002F5462"/>
    <w:rsid w:val="002F5703"/>
    <w:rsid w:val="002F5D20"/>
    <w:rsid w:val="002F6135"/>
    <w:rsid w:val="002F690F"/>
    <w:rsid w:val="002F69AC"/>
    <w:rsid w:val="002F69ED"/>
    <w:rsid w:val="002F6F72"/>
    <w:rsid w:val="002F71B2"/>
    <w:rsid w:val="002F7406"/>
    <w:rsid w:val="002F79F2"/>
    <w:rsid w:val="002F7AAC"/>
    <w:rsid w:val="002F7E4F"/>
    <w:rsid w:val="003003ED"/>
    <w:rsid w:val="003004F5"/>
    <w:rsid w:val="00300AC6"/>
    <w:rsid w:val="00300D69"/>
    <w:rsid w:val="00300D84"/>
    <w:rsid w:val="00301260"/>
    <w:rsid w:val="00301444"/>
    <w:rsid w:val="003014D2"/>
    <w:rsid w:val="00301536"/>
    <w:rsid w:val="003018B8"/>
    <w:rsid w:val="00301A23"/>
    <w:rsid w:val="00302957"/>
    <w:rsid w:val="003029CD"/>
    <w:rsid w:val="003029F2"/>
    <w:rsid w:val="003029FA"/>
    <w:rsid w:val="003031DB"/>
    <w:rsid w:val="00303CC2"/>
    <w:rsid w:val="0030450F"/>
    <w:rsid w:val="00304643"/>
    <w:rsid w:val="00304A4A"/>
    <w:rsid w:val="0030538C"/>
    <w:rsid w:val="003058D4"/>
    <w:rsid w:val="00305934"/>
    <w:rsid w:val="00305A2E"/>
    <w:rsid w:val="00305BFB"/>
    <w:rsid w:val="003060E1"/>
    <w:rsid w:val="0030610B"/>
    <w:rsid w:val="00306151"/>
    <w:rsid w:val="00306B1D"/>
    <w:rsid w:val="0030718A"/>
    <w:rsid w:val="00307193"/>
    <w:rsid w:val="003079F1"/>
    <w:rsid w:val="00310DFC"/>
    <w:rsid w:val="003116BA"/>
    <w:rsid w:val="00311B65"/>
    <w:rsid w:val="00311BCF"/>
    <w:rsid w:val="00311DC9"/>
    <w:rsid w:val="00311E37"/>
    <w:rsid w:val="00311EDE"/>
    <w:rsid w:val="00312161"/>
    <w:rsid w:val="0031216D"/>
    <w:rsid w:val="003121C1"/>
    <w:rsid w:val="00312384"/>
    <w:rsid w:val="003124BF"/>
    <w:rsid w:val="0031261A"/>
    <w:rsid w:val="00312C45"/>
    <w:rsid w:val="00313624"/>
    <w:rsid w:val="0031377A"/>
    <w:rsid w:val="00313903"/>
    <w:rsid w:val="0031395D"/>
    <w:rsid w:val="00313C93"/>
    <w:rsid w:val="003146FF"/>
    <w:rsid w:val="003149D6"/>
    <w:rsid w:val="00314A38"/>
    <w:rsid w:val="00314C52"/>
    <w:rsid w:val="00315A77"/>
    <w:rsid w:val="00315B6B"/>
    <w:rsid w:val="00315C25"/>
    <w:rsid w:val="00315C3A"/>
    <w:rsid w:val="00316550"/>
    <w:rsid w:val="0031696A"/>
    <w:rsid w:val="00316C93"/>
    <w:rsid w:val="0031761E"/>
    <w:rsid w:val="003176B1"/>
    <w:rsid w:val="003179A3"/>
    <w:rsid w:val="00317B20"/>
    <w:rsid w:val="003201D3"/>
    <w:rsid w:val="00320215"/>
    <w:rsid w:val="00320B97"/>
    <w:rsid w:val="00320FA6"/>
    <w:rsid w:val="00321375"/>
    <w:rsid w:val="003213AC"/>
    <w:rsid w:val="0032189C"/>
    <w:rsid w:val="00321CCF"/>
    <w:rsid w:val="003221A4"/>
    <w:rsid w:val="0032250F"/>
    <w:rsid w:val="00322A12"/>
    <w:rsid w:val="003231CE"/>
    <w:rsid w:val="00323203"/>
    <w:rsid w:val="0032342C"/>
    <w:rsid w:val="0032373B"/>
    <w:rsid w:val="00323F04"/>
    <w:rsid w:val="0032510A"/>
    <w:rsid w:val="00325191"/>
    <w:rsid w:val="00325429"/>
    <w:rsid w:val="00325652"/>
    <w:rsid w:val="0032617A"/>
    <w:rsid w:val="003261E6"/>
    <w:rsid w:val="00326682"/>
    <w:rsid w:val="0032686C"/>
    <w:rsid w:val="003268D0"/>
    <w:rsid w:val="0032690E"/>
    <w:rsid w:val="003269D7"/>
    <w:rsid w:val="00326B3C"/>
    <w:rsid w:val="00326DD2"/>
    <w:rsid w:val="0032723D"/>
    <w:rsid w:val="00327B35"/>
    <w:rsid w:val="003309E5"/>
    <w:rsid w:val="00330ABF"/>
    <w:rsid w:val="00330B6C"/>
    <w:rsid w:val="00330B79"/>
    <w:rsid w:val="00330BB8"/>
    <w:rsid w:val="00331B71"/>
    <w:rsid w:val="00331D1F"/>
    <w:rsid w:val="00331FC3"/>
    <w:rsid w:val="0033224F"/>
    <w:rsid w:val="0033241D"/>
    <w:rsid w:val="00332433"/>
    <w:rsid w:val="00332449"/>
    <w:rsid w:val="00332517"/>
    <w:rsid w:val="0033264D"/>
    <w:rsid w:val="00332A47"/>
    <w:rsid w:val="00332B05"/>
    <w:rsid w:val="00332C91"/>
    <w:rsid w:val="003331C7"/>
    <w:rsid w:val="0033359D"/>
    <w:rsid w:val="0033371C"/>
    <w:rsid w:val="00333AA5"/>
    <w:rsid w:val="0033456D"/>
    <w:rsid w:val="00334A04"/>
    <w:rsid w:val="00334BE6"/>
    <w:rsid w:val="00334C69"/>
    <w:rsid w:val="003351D5"/>
    <w:rsid w:val="00335289"/>
    <w:rsid w:val="003354DE"/>
    <w:rsid w:val="00335A57"/>
    <w:rsid w:val="003360AE"/>
    <w:rsid w:val="003360F0"/>
    <w:rsid w:val="00336925"/>
    <w:rsid w:val="003369C1"/>
    <w:rsid w:val="00336C32"/>
    <w:rsid w:val="00336D1A"/>
    <w:rsid w:val="00337346"/>
    <w:rsid w:val="00337680"/>
    <w:rsid w:val="00337AAA"/>
    <w:rsid w:val="00337F88"/>
    <w:rsid w:val="003401F9"/>
    <w:rsid w:val="00340767"/>
    <w:rsid w:val="00341B7E"/>
    <w:rsid w:val="003420C2"/>
    <w:rsid w:val="00342235"/>
    <w:rsid w:val="00342750"/>
    <w:rsid w:val="00342796"/>
    <w:rsid w:val="003427A9"/>
    <w:rsid w:val="00342933"/>
    <w:rsid w:val="003434E8"/>
    <w:rsid w:val="003436E5"/>
    <w:rsid w:val="00343A8B"/>
    <w:rsid w:val="00343ED4"/>
    <w:rsid w:val="00343F35"/>
    <w:rsid w:val="0034402B"/>
    <w:rsid w:val="00344A14"/>
    <w:rsid w:val="00344CA3"/>
    <w:rsid w:val="00344E56"/>
    <w:rsid w:val="00344EDE"/>
    <w:rsid w:val="003450F2"/>
    <w:rsid w:val="003450F5"/>
    <w:rsid w:val="00345499"/>
    <w:rsid w:val="003454C2"/>
    <w:rsid w:val="00345EB2"/>
    <w:rsid w:val="00346584"/>
    <w:rsid w:val="003466D3"/>
    <w:rsid w:val="00347BF9"/>
    <w:rsid w:val="00347EC4"/>
    <w:rsid w:val="0035018A"/>
    <w:rsid w:val="00350690"/>
    <w:rsid w:val="00350723"/>
    <w:rsid w:val="00350944"/>
    <w:rsid w:val="00350C5E"/>
    <w:rsid w:val="00351041"/>
    <w:rsid w:val="00351A78"/>
    <w:rsid w:val="00351D32"/>
    <w:rsid w:val="0035203A"/>
    <w:rsid w:val="003521FF"/>
    <w:rsid w:val="00352388"/>
    <w:rsid w:val="003523B9"/>
    <w:rsid w:val="003524DA"/>
    <w:rsid w:val="003524E0"/>
    <w:rsid w:val="00352AE6"/>
    <w:rsid w:val="00352D8B"/>
    <w:rsid w:val="00352DD2"/>
    <w:rsid w:val="0035301E"/>
    <w:rsid w:val="003533A8"/>
    <w:rsid w:val="00353B3C"/>
    <w:rsid w:val="00354492"/>
    <w:rsid w:val="003546A3"/>
    <w:rsid w:val="00355656"/>
    <w:rsid w:val="00356269"/>
    <w:rsid w:val="00356ACD"/>
    <w:rsid w:val="00357285"/>
    <w:rsid w:val="003573DC"/>
    <w:rsid w:val="00357C0F"/>
    <w:rsid w:val="00357E4F"/>
    <w:rsid w:val="003601DB"/>
    <w:rsid w:val="003603B6"/>
    <w:rsid w:val="003609CF"/>
    <w:rsid w:val="00360DA3"/>
    <w:rsid w:val="00360F35"/>
    <w:rsid w:val="00361082"/>
    <w:rsid w:val="0036143E"/>
    <w:rsid w:val="0036159E"/>
    <w:rsid w:val="003616B8"/>
    <w:rsid w:val="0036183F"/>
    <w:rsid w:val="00361E83"/>
    <w:rsid w:val="0036206B"/>
    <w:rsid w:val="00362545"/>
    <w:rsid w:val="00363ABD"/>
    <w:rsid w:val="00363E91"/>
    <w:rsid w:val="0036477C"/>
    <w:rsid w:val="00364933"/>
    <w:rsid w:val="00364DD0"/>
    <w:rsid w:val="00364F07"/>
    <w:rsid w:val="00365C05"/>
    <w:rsid w:val="00365C50"/>
    <w:rsid w:val="00365EEA"/>
    <w:rsid w:val="003663DA"/>
    <w:rsid w:val="00366400"/>
    <w:rsid w:val="00366B13"/>
    <w:rsid w:val="00366DE7"/>
    <w:rsid w:val="00366EAD"/>
    <w:rsid w:val="003670D1"/>
    <w:rsid w:val="00367683"/>
    <w:rsid w:val="00370228"/>
    <w:rsid w:val="00370356"/>
    <w:rsid w:val="00370692"/>
    <w:rsid w:val="00370C6A"/>
    <w:rsid w:val="0037103D"/>
    <w:rsid w:val="00371350"/>
    <w:rsid w:val="00371A08"/>
    <w:rsid w:val="00372238"/>
    <w:rsid w:val="00372494"/>
    <w:rsid w:val="003728D2"/>
    <w:rsid w:val="00372A07"/>
    <w:rsid w:val="00372B99"/>
    <w:rsid w:val="00373454"/>
    <w:rsid w:val="003738AA"/>
    <w:rsid w:val="00374748"/>
    <w:rsid w:val="003749FE"/>
    <w:rsid w:val="00374DE5"/>
    <w:rsid w:val="0037567B"/>
    <w:rsid w:val="00375716"/>
    <w:rsid w:val="00375CE7"/>
    <w:rsid w:val="00375DF8"/>
    <w:rsid w:val="00375EB8"/>
    <w:rsid w:val="00375EC6"/>
    <w:rsid w:val="00376317"/>
    <w:rsid w:val="00376A7B"/>
    <w:rsid w:val="00376D5D"/>
    <w:rsid w:val="00377AE4"/>
    <w:rsid w:val="00380354"/>
    <w:rsid w:val="00380616"/>
    <w:rsid w:val="00380B11"/>
    <w:rsid w:val="00381192"/>
    <w:rsid w:val="0038127E"/>
    <w:rsid w:val="0038143F"/>
    <w:rsid w:val="003814CD"/>
    <w:rsid w:val="00381598"/>
    <w:rsid w:val="00381C26"/>
    <w:rsid w:val="00381C78"/>
    <w:rsid w:val="00381E36"/>
    <w:rsid w:val="0038221D"/>
    <w:rsid w:val="00382602"/>
    <w:rsid w:val="00382642"/>
    <w:rsid w:val="00382E7A"/>
    <w:rsid w:val="003832C0"/>
    <w:rsid w:val="0038364C"/>
    <w:rsid w:val="00383D20"/>
    <w:rsid w:val="003841C5"/>
    <w:rsid w:val="0038439A"/>
    <w:rsid w:val="003844A0"/>
    <w:rsid w:val="003848F8"/>
    <w:rsid w:val="00385FB7"/>
    <w:rsid w:val="00385FF9"/>
    <w:rsid w:val="003863C7"/>
    <w:rsid w:val="00386411"/>
    <w:rsid w:val="0038674C"/>
    <w:rsid w:val="00386756"/>
    <w:rsid w:val="00386A13"/>
    <w:rsid w:val="00386E1D"/>
    <w:rsid w:val="003871C8"/>
    <w:rsid w:val="00387218"/>
    <w:rsid w:val="003875B8"/>
    <w:rsid w:val="00387918"/>
    <w:rsid w:val="00387932"/>
    <w:rsid w:val="00387CBB"/>
    <w:rsid w:val="00390040"/>
    <w:rsid w:val="0039042C"/>
    <w:rsid w:val="0039047F"/>
    <w:rsid w:val="0039113A"/>
    <w:rsid w:val="003912B3"/>
    <w:rsid w:val="0039147C"/>
    <w:rsid w:val="0039181B"/>
    <w:rsid w:val="00391C70"/>
    <w:rsid w:val="00392060"/>
    <w:rsid w:val="00392166"/>
    <w:rsid w:val="003923FD"/>
    <w:rsid w:val="003926DF"/>
    <w:rsid w:val="0039294A"/>
    <w:rsid w:val="003939AC"/>
    <w:rsid w:val="00393C9F"/>
    <w:rsid w:val="0039430F"/>
    <w:rsid w:val="00394A7B"/>
    <w:rsid w:val="003954F0"/>
    <w:rsid w:val="00395728"/>
    <w:rsid w:val="00395E10"/>
    <w:rsid w:val="00396BD8"/>
    <w:rsid w:val="00396E9A"/>
    <w:rsid w:val="00397874"/>
    <w:rsid w:val="00397ED4"/>
    <w:rsid w:val="00397F88"/>
    <w:rsid w:val="003A07A5"/>
    <w:rsid w:val="003A0A38"/>
    <w:rsid w:val="003A0A8B"/>
    <w:rsid w:val="003A1061"/>
    <w:rsid w:val="003A15B8"/>
    <w:rsid w:val="003A19B0"/>
    <w:rsid w:val="003A22CD"/>
    <w:rsid w:val="003A235D"/>
    <w:rsid w:val="003A2824"/>
    <w:rsid w:val="003A2B0B"/>
    <w:rsid w:val="003A323A"/>
    <w:rsid w:val="003A3750"/>
    <w:rsid w:val="003A41C9"/>
    <w:rsid w:val="003A42C0"/>
    <w:rsid w:val="003A4496"/>
    <w:rsid w:val="003A4765"/>
    <w:rsid w:val="003A47C4"/>
    <w:rsid w:val="003A494E"/>
    <w:rsid w:val="003A4C7A"/>
    <w:rsid w:val="003A4ED6"/>
    <w:rsid w:val="003A5042"/>
    <w:rsid w:val="003A505D"/>
    <w:rsid w:val="003A5511"/>
    <w:rsid w:val="003A56DA"/>
    <w:rsid w:val="003A5F7E"/>
    <w:rsid w:val="003A6070"/>
    <w:rsid w:val="003A61D1"/>
    <w:rsid w:val="003A634D"/>
    <w:rsid w:val="003A6400"/>
    <w:rsid w:val="003A65F2"/>
    <w:rsid w:val="003A66EA"/>
    <w:rsid w:val="003A6879"/>
    <w:rsid w:val="003A6A51"/>
    <w:rsid w:val="003A6ADF"/>
    <w:rsid w:val="003A7A1F"/>
    <w:rsid w:val="003B0563"/>
    <w:rsid w:val="003B0703"/>
    <w:rsid w:val="003B0869"/>
    <w:rsid w:val="003B0F63"/>
    <w:rsid w:val="003B10B0"/>
    <w:rsid w:val="003B10B2"/>
    <w:rsid w:val="003B133F"/>
    <w:rsid w:val="003B1736"/>
    <w:rsid w:val="003B200C"/>
    <w:rsid w:val="003B23B4"/>
    <w:rsid w:val="003B2CF6"/>
    <w:rsid w:val="003B2EB7"/>
    <w:rsid w:val="003B3379"/>
    <w:rsid w:val="003B38BA"/>
    <w:rsid w:val="003B3C47"/>
    <w:rsid w:val="003B3F34"/>
    <w:rsid w:val="003B3F96"/>
    <w:rsid w:val="003B4798"/>
    <w:rsid w:val="003B4B20"/>
    <w:rsid w:val="003B52D8"/>
    <w:rsid w:val="003B54B5"/>
    <w:rsid w:val="003B562C"/>
    <w:rsid w:val="003B5A2E"/>
    <w:rsid w:val="003B5A37"/>
    <w:rsid w:val="003B72C4"/>
    <w:rsid w:val="003B7478"/>
    <w:rsid w:val="003B7600"/>
    <w:rsid w:val="003B7721"/>
    <w:rsid w:val="003B79A4"/>
    <w:rsid w:val="003B7E00"/>
    <w:rsid w:val="003B7FE5"/>
    <w:rsid w:val="003C002E"/>
    <w:rsid w:val="003C0274"/>
    <w:rsid w:val="003C0879"/>
    <w:rsid w:val="003C0A9F"/>
    <w:rsid w:val="003C1093"/>
    <w:rsid w:val="003C12AF"/>
    <w:rsid w:val="003C13B5"/>
    <w:rsid w:val="003C13BA"/>
    <w:rsid w:val="003C1AA1"/>
    <w:rsid w:val="003C1DF5"/>
    <w:rsid w:val="003C1FE9"/>
    <w:rsid w:val="003C20A9"/>
    <w:rsid w:val="003C2571"/>
    <w:rsid w:val="003C2ED0"/>
    <w:rsid w:val="003C3ABB"/>
    <w:rsid w:val="003C3CF8"/>
    <w:rsid w:val="003C3F5E"/>
    <w:rsid w:val="003C3F9D"/>
    <w:rsid w:val="003C4104"/>
    <w:rsid w:val="003C4201"/>
    <w:rsid w:val="003C4356"/>
    <w:rsid w:val="003C458E"/>
    <w:rsid w:val="003C4BE4"/>
    <w:rsid w:val="003C4DE4"/>
    <w:rsid w:val="003C4E5E"/>
    <w:rsid w:val="003C4F19"/>
    <w:rsid w:val="003C50D4"/>
    <w:rsid w:val="003C56CD"/>
    <w:rsid w:val="003C59B2"/>
    <w:rsid w:val="003C5DEB"/>
    <w:rsid w:val="003C6125"/>
    <w:rsid w:val="003C639C"/>
    <w:rsid w:val="003C6484"/>
    <w:rsid w:val="003C65C5"/>
    <w:rsid w:val="003C667A"/>
    <w:rsid w:val="003C6775"/>
    <w:rsid w:val="003C72AF"/>
    <w:rsid w:val="003C74A4"/>
    <w:rsid w:val="003C784D"/>
    <w:rsid w:val="003D01A3"/>
    <w:rsid w:val="003D03DE"/>
    <w:rsid w:val="003D086F"/>
    <w:rsid w:val="003D1A80"/>
    <w:rsid w:val="003D2199"/>
    <w:rsid w:val="003D21DC"/>
    <w:rsid w:val="003D2912"/>
    <w:rsid w:val="003D2EBA"/>
    <w:rsid w:val="003D2EC0"/>
    <w:rsid w:val="003D2FC6"/>
    <w:rsid w:val="003D353E"/>
    <w:rsid w:val="003D368F"/>
    <w:rsid w:val="003D3847"/>
    <w:rsid w:val="003D3B37"/>
    <w:rsid w:val="003D3C23"/>
    <w:rsid w:val="003D3D37"/>
    <w:rsid w:val="003D460D"/>
    <w:rsid w:val="003D481A"/>
    <w:rsid w:val="003D4AEB"/>
    <w:rsid w:val="003D4B59"/>
    <w:rsid w:val="003D4BCE"/>
    <w:rsid w:val="003D4CCC"/>
    <w:rsid w:val="003D4CF3"/>
    <w:rsid w:val="003D4E01"/>
    <w:rsid w:val="003D5121"/>
    <w:rsid w:val="003D57E2"/>
    <w:rsid w:val="003D5AAB"/>
    <w:rsid w:val="003D5BD5"/>
    <w:rsid w:val="003D5ECE"/>
    <w:rsid w:val="003D65D7"/>
    <w:rsid w:val="003D75C0"/>
    <w:rsid w:val="003D7B56"/>
    <w:rsid w:val="003D7E4C"/>
    <w:rsid w:val="003E0044"/>
    <w:rsid w:val="003E0AAC"/>
    <w:rsid w:val="003E0D6F"/>
    <w:rsid w:val="003E1041"/>
    <w:rsid w:val="003E1220"/>
    <w:rsid w:val="003E1342"/>
    <w:rsid w:val="003E138D"/>
    <w:rsid w:val="003E1441"/>
    <w:rsid w:val="003E1820"/>
    <w:rsid w:val="003E19AD"/>
    <w:rsid w:val="003E1EAA"/>
    <w:rsid w:val="003E2C7D"/>
    <w:rsid w:val="003E322E"/>
    <w:rsid w:val="003E44E5"/>
    <w:rsid w:val="003E4541"/>
    <w:rsid w:val="003E461B"/>
    <w:rsid w:val="003E4621"/>
    <w:rsid w:val="003E4728"/>
    <w:rsid w:val="003E49BA"/>
    <w:rsid w:val="003E4D2D"/>
    <w:rsid w:val="003E51CB"/>
    <w:rsid w:val="003E5221"/>
    <w:rsid w:val="003E535B"/>
    <w:rsid w:val="003E551B"/>
    <w:rsid w:val="003E58B8"/>
    <w:rsid w:val="003E5D61"/>
    <w:rsid w:val="003E66C7"/>
    <w:rsid w:val="003E66FF"/>
    <w:rsid w:val="003E6745"/>
    <w:rsid w:val="003E6763"/>
    <w:rsid w:val="003E6C5F"/>
    <w:rsid w:val="003E735B"/>
    <w:rsid w:val="003E7859"/>
    <w:rsid w:val="003E7C47"/>
    <w:rsid w:val="003F0210"/>
    <w:rsid w:val="003F0912"/>
    <w:rsid w:val="003F0ADC"/>
    <w:rsid w:val="003F0D79"/>
    <w:rsid w:val="003F1421"/>
    <w:rsid w:val="003F1805"/>
    <w:rsid w:val="003F2224"/>
    <w:rsid w:val="003F249E"/>
    <w:rsid w:val="003F2CD4"/>
    <w:rsid w:val="003F2E1B"/>
    <w:rsid w:val="003F344F"/>
    <w:rsid w:val="003F36E9"/>
    <w:rsid w:val="003F3F29"/>
    <w:rsid w:val="003F4434"/>
    <w:rsid w:val="003F4BBC"/>
    <w:rsid w:val="003F4EBA"/>
    <w:rsid w:val="003F5078"/>
    <w:rsid w:val="003F53DD"/>
    <w:rsid w:val="003F582B"/>
    <w:rsid w:val="003F5A79"/>
    <w:rsid w:val="003F5BEF"/>
    <w:rsid w:val="003F5D80"/>
    <w:rsid w:val="003F5FC7"/>
    <w:rsid w:val="003F6303"/>
    <w:rsid w:val="003F69C3"/>
    <w:rsid w:val="003F69F3"/>
    <w:rsid w:val="003F6D40"/>
    <w:rsid w:val="003F6F8B"/>
    <w:rsid w:val="003F6FF0"/>
    <w:rsid w:val="003F7332"/>
    <w:rsid w:val="003F741B"/>
    <w:rsid w:val="003F7542"/>
    <w:rsid w:val="003F7718"/>
    <w:rsid w:val="0040051E"/>
    <w:rsid w:val="00400F4B"/>
    <w:rsid w:val="004013C1"/>
    <w:rsid w:val="00401700"/>
    <w:rsid w:val="0040199B"/>
    <w:rsid w:val="0040327B"/>
    <w:rsid w:val="004035F2"/>
    <w:rsid w:val="00404297"/>
    <w:rsid w:val="004042D8"/>
    <w:rsid w:val="0040436E"/>
    <w:rsid w:val="00404605"/>
    <w:rsid w:val="0040472F"/>
    <w:rsid w:val="004048AC"/>
    <w:rsid w:val="0040492B"/>
    <w:rsid w:val="004051B8"/>
    <w:rsid w:val="00405294"/>
    <w:rsid w:val="004052BC"/>
    <w:rsid w:val="00405638"/>
    <w:rsid w:val="00405BB8"/>
    <w:rsid w:val="00405E40"/>
    <w:rsid w:val="00406202"/>
    <w:rsid w:val="0040635E"/>
    <w:rsid w:val="0040646C"/>
    <w:rsid w:val="004064B3"/>
    <w:rsid w:val="004066C3"/>
    <w:rsid w:val="00406C31"/>
    <w:rsid w:val="00406E29"/>
    <w:rsid w:val="004075A4"/>
    <w:rsid w:val="00407DEE"/>
    <w:rsid w:val="004101F5"/>
    <w:rsid w:val="00410801"/>
    <w:rsid w:val="004108B9"/>
    <w:rsid w:val="00410B84"/>
    <w:rsid w:val="00411A80"/>
    <w:rsid w:val="00411CD3"/>
    <w:rsid w:val="00411EED"/>
    <w:rsid w:val="00412195"/>
    <w:rsid w:val="004123BE"/>
    <w:rsid w:val="00412DD8"/>
    <w:rsid w:val="00412E92"/>
    <w:rsid w:val="00412EA0"/>
    <w:rsid w:val="00412FC1"/>
    <w:rsid w:val="004140E9"/>
    <w:rsid w:val="004142E4"/>
    <w:rsid w:val="00414960"/>
    <w:rsid w:val="00414D36"/>
    <w:rsid w:val="00414D94"/>
    <w:rsid w:val="00414F69"/>
    <w:rsid w:val="004154D5"/>
    <w:rsid w:val="00415C77"/>
    <w:rsid w:val="00415CA2"/>
    <w:rsid w:val="0041611F"/>
    <w:rsid w:val="0041639C"/>
    <w:rsid w:val="004165D3"/>
    <w:rsid w:val="00416B6D"/>
    <w:rsid w:val="00417228"/>
    <w:rsid w:val="00417321"/>
    <w:rsid w:val="00417B89"/>
    <w:rsid w:val="00417D85"/>
    <w:rsid w:val="0042006D"/>
    <w:rsid w:val="00420220"/>
    <w:rsid w:val="00420262"/>
    <w:rsid w:val="00420722"/>
    <w:rsid w:val="0042096E"/>
    <w:rsid w:val="00420F94"/>
    <w:rsid w:val="004213EA"/>
    <w:rsid w:val="00421AEB"/>
    <w:rsid w:val="00421B22"/>
    <w:rsid w:val="00422005"/>
    <w:rsid w:val="004220E3"/>
    <w:rsid w:val="00422341"/>
    <w:rsid w:val="0042334C"/>
    <w:rsid w:val="004242D1"/>
    <w:rsid w:val="00424BF0"/>
    <w:rsid w:val="00425409"/>
    <w:rsid w:val="00425619"/>
    <w:rsid w:val="004257A9"/>
    <w:rsid w:val="00425EEE"/>
    <w:rsid w:val="0042636A"/>
    <w:rsid w:val="00426CEF"/>
    <w:rsid w:val="00426D29"/>
    <w:rsid w:val="00426FF5"/>
    <w:rsid w:val="00427134"/>
    <w:rsid w:val="00427220"/>
    <w:rsid w:val="004277EE"/>
    <w:rsid w:val="00427D4A"/>
    <w:rsid w:val="004304CF"/>
    <w:rsid w:val="0043075B"/>
    <w:rsid w:val="00430832"/>
    <w:rsid w:val="00430A8A"/>
    <w:rsid w:val="004314E1"/>
    <w:rsid w:val="00431A57"/>
    <w:rsid w:val="00431B4E"/>
    <w:rsid w:val="00431CB3"/>
    <w:rsid w:val="00431D10"/>
    <w:rsid w:val="00431EBD"/>
    <w:rsid w:val="00431FA4"/>
    <w:rsid w:val="00432002"/>
    <w:rsid w:val="00432807"/>
    <w:rsid w:val="00432971"/>
    <w:rsid w:val="004329D2"/>
    <w:rsid w:val="00432AC2"/>
    <w:rsid w:val="00432CF9"/>
    <w:rsid w:val="00432F9A"/>
    <w:rsid w:val="0043332A"/>
    <w:rsid w:val="00434BBD"/>
    <w:rsid w:val="00434E68"/>
    <w:rsid w:val="00435534"/>
    <w:rsid w:val="0043570C"/>
    <w:rsid w:val="00435A34"/>
    <w:rsid w:val="00435FFF"/>
    <w:rsid w:val="00436A16"/>
    <w:rsid w:val="00436CBC"/>
    <w:rsid w:val="00436E4A"/>
    <w:rsid w:val="00437271"/>
    <w:rsid w:val="00437378"/>
    <w:rsid w:val="004375CA"/>
    <w:rsid w:val="004376FC"/>
    <w:rsid w:val="00437893"/>
    <w:rsid w:val="00437CCB"/>
    <w:rsid w:val="00437EAD"/>
    <w:rsid w:val="00440530"/>
    <w:rsid w:val="00440582"/>
    <w:rsid w:val="004408DF"/>
    <w:rsid w:val="00441003"/>
    <w:rsid w:val="0044117C"/>
    <w:rsid w:val="00441701"/>
    <w:rsid w:val="004417AB"/>
    <w:rsid w:val="00441AC2"/>
    <w:rsid w:val="00441B9F"/>
    <w:rsid w:val="00441C15"/>
    <w:rsid w:val="00441F46"/>
    <w:rsid w:val="0044203F"/>
    <w:rsid w:val="00442323"/>
    <w:rsid w:val="004427DE"/>
    <w:rsid w:val="0044287E"/>
    <w:rsid w:val="00442BB0"/>
    <w:rsid w:val="004435ED"/>
    <w:rsid w:val="004437B1"/>
    <w:rsid w:val="00443830"/>
    <w:rsid w:val="00443E43"/>
    <w:rsid w:val="0044467F"/>
    <w:rsid w:val="00444BE2"/>
    <w:rsid w:val="00444F3C"/>
    <w:rsid w:val="00445298"/>
    <w:rsid w:val="0044558B"/>
    <w:rsid w:val="00445966"/>
    <w:rsid w:val="00445CF5"/>
    <w:rsid w:val="00445DDC"/>
    <w:rsid w:val="00446384"/>
    <w:rsid w:val="00446454"/>
    <w:rsid w:val="004464B4"/>
    <w:rsid w:val="004466A6"/>
    <w:rsid w:val="0044695F"/>
    <w:rsid w:val="00447044"/>
    <w:rsid w:val="004470F1"/>
    <w:rsid w:val="00447E61"/>
    <w:rsid w:val="0045033A"/>
    <w:rsid w:val="00450537"/>
    <w:rsid w:val="00450543"/>
    <w:rsid w:val="004509E3"/>
    <w:rsid w:val="00450F72"/>
    <w:rsid w:val="00451286"/>
    <w:rsid w:val="004513D1"/>
    <w:rsid w:val="00451576"/>
    <w:rsid w:val="00451792"/>
    <w:rsid w:val="00451AD9"/>
    <w:rsid w:val="00452457"/>
    <w:rsid w:val="004526E9"/>
    <w:rsid w:val="00452996"/>
    <w:rsid w:val="00452BA1"/>
    <w:rsid w:val="00452BD2"/>
    <w:rsid w:val="00452F12"/>
    <w:rsid w:val="004534FA"/>
    <w:rsid w:val="004536C1"/>
    <w:rsid w:val="004537D0"/>
    <w:rsid w:val="00453874"/>
    <w:rsid w:val="00453AF3"/>
    <w:rsid w:val="00453D35"/>
    <w:rsid w:val="004547B3"/>
    <w:rsid w:val="00455242"/>
    <w:rsid w:val="004555D5"/>
    <w:rsid w:val="00456130"/>
    <w:rsid w:val="004565B5"/>
    <w:rsid w:val="00456961"/>
    <w:rsid w:val="00456B1F"/>
    <w:rsid w:val="00456B35"/>
    <w:rsid w:val="00457161"/>
    <w:rsid w:val="004571DB"/>
    <w:rsid w:val="00457516"/>
    <w:rsid w:val="004575FA"/>
    <w:rsid w:val="00457938"/>
    <w:rsid w:val="0046015A"/>
    <w:rsid w:val="0046018C"/>
    <w:rsid w:val="004608D2"/>
    <w:rsid w:val="00460AA8"/>
    <w:rsid w:val="00461105"/>
    <w:rsid w:val="00461322"/>
    <w:rsid w:val="00462548"/>
    <w:rsid w:val="0046403D"/>
    <w:rsid w:val="004644FA"/>
    <w:rsid w:val="0046499D"/>
    <w:rsid w:val="00464C69"/>
    <w:rsid w:val="00464D30"/>
    <w:rsid w:val="00464FD2"/>
    <w:rsid w:val="00465933"/>
    <w:rsid w:val="00465A79"/>
    <w:rsid w:val="00466028"/>
    <w:rsid w:val="0046606F"/>
    <w:rsid w:val="004660AC"/>
    <w:rsid w:val="004661C4"/>
    <w:rsid w:val="0046674E"/>
    <w:rsid w:val="00466DCC"/>
    <w:rsid w:val="00467CF5"/>
    <w:rsid w:val="0047018C"/>
    <w:rsid w:val="0047073C"/>
    <w:rsid w:val="0047133B"/>
    <w:rsid w:val="004717B0"/>
    <w:rsid w:val="00471811"/>
    <w:rsid w:val="00471851"/>
    <w:rsid w:val="0047228F"/>
    <w:rsid w:val="004725C1"/>
    <w:rsid w:val="00472AEB"/>
    <w:rsid w:val="00472C15"/>
    <w:rsid w:val="00472C5D"/>
    <w:rsid w:val="00472E97"/>
    <w:rsid w:val="00472FD0"/>
    <w:rsid w:val="00473614"/>
    <w:rsid w:val="0047361E"/>
    <w:rsid w:val="0047363B"/>
    <w:rsid w:val="00473F55"/>
    <w:rsid w:val="00474014"/>
    <w:rsid w:val="00474069"/>
    <w:rsid w:val="004740ED"/>
    <w:rsid w:val="00474112"/>
    <w:rsid w:val="00474244"/>
    <w:rsid w:val="004743AD"/>
    <w:rsid w:val="00474566"/>
    <w:rsid w:val="00474643"/>
    <w:rsid w:val="00474797"/>
    <w:rsid w:val="004749F2"/>
    <w:rsid w:val="00474A60"/>
    <w:rsid w:val="00474E21"/>
    <w:rsid w:val="004754BD"/>
    <w:rsid w:val="00475734"/>
    <w:rsid w:val="004758CE"/>
    <w:rsid w:val="00475A36"/>
    <w:rsid w:val="00475A64"/>
    <w:rsid w:val="00475BDD"/>
    <w:rsid w:val="004762B2"/>
    <w:rsid w:val="004764C2"/>
    <w:rsid w:val="00476592"/>
    <w:rsid w:val="004765CF"/>
    <w:rsid w:val="00476778"/>
    <w:rsid w:val="004768C3"/>
    <w:rsid w:val="004768CA"/>
    <w:rsid w:val="004768DA"/>
    <w:rsid w:val="00476AC8"/>
    <w:rsid w:val="00476CDA"/>
    <w:rsid w:val="004774D4"/>
    <w:rsid w:val="0047791B"/>
    <w:rsid w:val="00477B38"/>
    <w:rsid w:val="004801AD"/>
    <w:rsid w:val="0048113D"/>
    <w:rsid w:val="00481D13"/>
    <w:rsid w:val="00481D14"/>
    <w:rsid w:val="00482102"/>
    <w:rsid w:val="00482223"/>
    <w:rsid w:val="00482826"/>
    <w:rsid w:val="004829E9"/>
    <w:rsid w:val="00482E7B"/>
    <w:rsid w:val="00482FAA"/>
    <w:rsid w:val="004842F7"/>
    <w:rsid w:val="004843D6"/>
    <w:rsid w:val="0048463A"/>
    <w:rsid w:val="00484867"/>
    <w:rsid w:val="004849F4"/>
    <w:rsid w:val="00484DE1"/>
    <w:rsid w:val="004856F1"/>
    <w:rsid w:val="0048575A"/>
    <w:rsid w:val="00485A52"/>
    <w:rsid w:val="00485B99"/>
    <w:rsid w:val="00485C27"/>
    <w:rsid w:val="00485CDD"/>
    <w:rsid w:val="00485D62"/>
    <w:rsid w:val="00485D7D"/>
    <w:rsid w:val="004860A3"/>
    <w:rsid w:val="00486736"/>
    <w:rsid w:val="00486DA3"/>
    <w:rsid w:val="00487050"/>
    <w:rsid w:val="00487135"/>
    <w:rsid w:val="00487203"/>
    <w:rsid w:val="0048721B"/>
    <w:rsid w:val="0048732D"/>
    <w:rsid w:val="004878D3"/>
    <w:rsid w:val="00487C7F"/>
    <w:rsid w:val="00487CE0"/>
    <w:rsid w:val="00487E7F"/>
    <w:rsid w:val="0049004B"/>
    <w:rsid w:val="004904CA"/>
    <w:rsid w:val="0049051B"/>
    <w:rsid w:val="00491452"/>
    <w:rsid w:val="00492028"/>
    <w:rsid w:val="0049246A"/>
    <w:rsid w:val="00492745"/>
    <w:rsid w:val="0049277E"/>
    <w:rsid w:val="004928D6"/>
    <w:rsid w:val="00492A3B"/>
    <w:rsid w:val="00492B37"/>
    <w:rsid w:val="00493310"/>
    <w:rsid w:val="00493793"/>
    <w:rsid w:val="00493AF9"/>
    <w:rsid w:val="00493B8B"/>
    <w:rsid w:val="004942F1"/>
    <w:rsid w:val="0049464D"/>
    <w:rsid w:val="0049479B"/>
    <w:rsid w:val="00494D1C"/>
    <w:rsid w:val="00494D2A"/>
    <w:rsid w:val="00494EC9"/>
    <w:rsid w:val="00494EE5"/>
    <w:rsid w:val="00495386"/>
    <w:rsid w:val="004958E8"/>
    <w:rsid w:val="00495EB8"/>
    <w:rsid w:val="00495FFB"/>
    <w:rsid w:val="00496565"/>
    <w:rsid w:val="00497E7C"/>
    <w:rsid w:val="00497F5F"/>
    <w:rsid w:val="004A0742"/>
    <w:rsid w:val="004A0970"/>
    <w:rsid w:val="004A0DCC"/>
    <w:rsid w:val="004A110B"/>
    <w:rsid w:val="004A13EF"/>
    <w:rsid w:val="004A162B"/>
    <w:rsid w:val="004A1D1A"/>
    <w:rsid w:val="004A24BC"/>
    <w:rsid w:val="004A2807"/>
    <w:rsid w:val="004A3021"/>
    <w:rsid w:val="004A3D6B"/>
    <w:rsid w:val="004A4057"/>
    <w:rsid w:val="004A40C6"/>
    <w:rsid w:val="004A4494"/>
    <w:rsid w:val="004A44D5"/>
    <w:rsid w:val="004A4697"/>
    <w:rsid w:val="004A48AB"/>
    <w:rsid w:val="004A4B56"/>
    <w:rsid w:val="004A4D4C"/>
    <w:rsid w:val="004A4EF7"/>
    <w:rsid w:val="004A556B"/>
    <w:rsid w:val="004A5C1C"/>
    <w:rsid w:val="004A6B1A"/>
    <w:rsid w:val="004A6F23"/>
    <w:rsid w:val="004A71DC"/>
    <w:rsid w:val="004A7262"/>
    <w:rsid w:val="004A7D61"/>
    <w:rsid w:val="004B009B"/>
    <w:rsid w:val="004B0735"/>
    <w:rsid w:val="004B0DC7"/>
    <w:rsid w:val="004B0F8A"/>
    <w:rsid w:val="004B13A9"/>
    <w:rsid w:val="004B1E2E"/>
    <w:rsid w:val="004B2360"/>
    <w:rsid w:val="004B2515"/>
    <w:rsid w:val="004B254B"/>
    <w:rsid w:val="004B25B9"/>
    <w:rsid w:val="004B2622"/>
    <w:rsid w:val="004B285F"/>
    <w:rsid w:val="004B3120"/>
    <w:rsid w:val="004B3562"/>
    <w:rsid w:val="004B36E7"/>
    <w:rsid w:val="004B3864"/>
    <w:rsid w:val="004B3891"/>
    <w:rsid w:val="004B392C"/>
    <w:rsid w:val="004B39C5"/>
    <w:rsid w:val="004B3AE9"/>
    <w:rsid w:val="004B3B39"/>
    <w:rsid w:val="004B3DA7"/>
    <w:rsid w:val="004B3DEC"/>
    <w:rsid w:val="004B4015"/>
    <w:rsid w:val="004B4320"/>
    <w:rsid w:val="004B43B9"/>
    <w:rsid w:val="004B443F"/>
    <w:rsid w:val="004B4529"/>
    <w:rsid w:val="004B45A0"/>
    <w:rsid w:val="004B4731"/>
    <w:rsid w:val="004B4D01"/>
    <w:rsid w:val="004B4D26"/>
    <w:rsid w:val="004B5176"/>
    <w:rsid w:val="004B5796"/>
    <w:rsid w:val="004B60C0"/>
    <w:rsid w:val="004B61D2"/>
    <w:rsid w:val="004B6258"/>
    <w:rsid w:val="004B6D2A"/>
    <w:rsid w:val="004B7323"/>
    <w:rsid w:val="004B7414"/>
    <w:rsid w:val="004B7B55"/>
    <w:rsid w:val="004B7C1E"/>
    <w:rsid w:val="004B7D7D"/>
    <w:rsid w:val="004B7FED"/>
    <w:rsid w:val="004C0C4E"/>
    <w:rsid w:val="004C0D56"/>
    <w:rsid w:val="004C0FA5"/>
    <w:rsid w:val="004C1086"/>
    <w:rsid w:val="004C13BE"/>
    <w:rsid w:val="004C1520"/>
    <w:rsid w:val="004C1EBB"/>
    <w:rsid w:val="004C201A"/>
    <w:rsid w:val="004C219E"/>
    <w:rsid w:val="004C23E4"/>
    <w:rsid w:val="004C2616"/>
    <w:rsid w:val="004C270F"/>
    <w:rsid w:val="004C27DD"/>
    <w:rsid w:val="004C29C4"/>
    <w:rsid w:val="004C2AC4"/>
    <w:rsid w:val="004C2C88"/>
    <w:rsid w:val="004C2D9A"/>
    <w:rsid w:val="004C372A"/>
    <w:rsid w:val="004C37F9"/>
    <w:rsid w:val="004C38BA"/>
    <w:rsid w:val="004C3C9D"/>
    <w:rsid w:val="004C3ECF"/>
    <w:rsid w:val="004C4100"/>
    <w:rsid w:val="004C415B"/>
    <w:rsid w:val="004C45E4"/>
    <w:rsid w:val="004C5962"/>
    <w:rsid w:val="004C607D"/>
    <w:rsid w:val="004C68AA"/>
    <w:rsid w:val="004C7DBA"/>
    <w:rsid w:val="004C7DDB"/>
    <w:rsid w:val="004D010E"/>
    <w:rsid w:val="004D05C2"/>
    <w:rsid w:val="004D0D63"/>
    <w:rsid w:val="004D116B"/>
    <w:rsid w:val="004D1218"/>
    <w:rsid w:val="004D1416"/>
    <w:rsid w:val="004D159E"/>
    <w:rsid w:val="004D16A1"/>
    <w:rsid w:val="004D17F3"/>
    <w:rsid w:val="004D1857"/>
    <w:rsid w:val="004D1AB9"/>
    <w:rsid w:val="004D1E2B"/>
    <w:rsid w:val="004D1F57"/>
    <w:rsid w:val="004D2192"/>
    <w:rsid w:val="004D21C7"/>
    <w:rsid w:val="004D29C7"/>
    <w:rsid w:val="004D2FB4"/>
    <w:rsid w:val="004D32A4"/>
    <w:rsid w:val="004D346F"/>
    <w:rsid w:val="004D3CE8"/>
    <w:rsid w:val="004D469A"/>
    <w:rsid w:val="004D4921"/>
    <w:rsid w:val="004D49FC"/>
    <w:rsid w:val="004D50D5"/>
    <w:rsid w:val="004D5792"/>
    <w:rsid w:val="004D58AB"/>
    <w:rsid w:val="004D6E06"/>
    <w:rsid w:val="004D78AD"/>
    <w:rsid w:val="004D7B45"/>
    <w:rsid w:val="004E0142"/>
    <w:rsid w:val="004E05FA"/>
    <w:rsid w:val="004E0ABC"/>
    <w:rsid w:val="004E1840"/>
    <w:rsid w:val="004E1D14"/>
    <w:rsid w:val="004E1EAB"/>
    <w:rsid w:val="004E2131"/>
    <w:rsid w:val="004E247D"/>
    <w:rsid w:val="004E2BA4"/>
    <w:rsid w:val="004E2BD3"/>
    <w:rsid w:val="004E2C34"/>
    <w:rsid w:val="004E31E4"/>
    <w:rsid w:val="004E3505"/>
    <w:rsid w:val="004E39FA"/>
    <w:rsid w:val="004E3C41"/>
    <w:rsid w:val="004E425D"/>
    <w:rsid w:val="004E5B39"/>
    <w:rsid w:val="004E5DC4"/>
    <w:rsid w:val="004E61A2"/>
    <w:rsid w:val="004E637E"/>
    <w:rsid w:val="004E683F"/>
    <w:rsid w:val="004E6C09"/>
    <w:rsid w:val="004E6FFA"/>
    <w:rsid w:val="004E701D"/>
    <w:rsid w:val="004E7089"/>
    <w:rsid w:val="004E713B"/>
    <w:rsid w:val="004E75EA"/>
    <w:rsid w:val="004E7F66"/>
    <w:rsid w:val="004F10C5"/>
    <w:rsid w:val="004F151F"/>
    <w:rsid w:val="004F191A"/>
    <w:rsid w:val="004F198F"/>
    <w:rsid w:val="004F1D3D"/>
    <w:rsid w:val="004F20FA"/>
    <w:rsid w:val="004F21D5"/>
    <w:rsid w:val="004F24E1"/>
    <w:rsid w:val="004F2695"/>
    <w:rsid w:val="004F2A0E"/>
    <w:rsid w:val="004F2B34"/>
    <w:rsid w:val="004F2EC8"/>
    <w:rsid w:val="004F3785"/>
    <w:rsid w:val="004F39D7"/>
    <w:rsid w:val="004F3CCC"/>
    <w:rsid w:val="004F4411"/>
    <w:rsid w:val="004F46DD"/>
    <w:rsid w:val="004F47B4"/>
    <w:rsid w:val="004F4A4B"/>
    <w:rsid w:val="004F4AC6"/>
    <w:rsid w:val="004F4E1B"/>
    <w:rsid w:val="004F4E54"/>
    <w:rsid w:val="004F5755"/>
    <w:rsid w:val="004F5D63"/>
    <w:rsid w:val="004F6018"/>
    <w:rsid w:val="004F62C2"/>
    <w:rsid w:val="004F6643"/>
    <w:rsid w:val="004F67E8"/>
    <w:rsid w:val="004F6A18"/>
    <w:rsid w:val="004F7691"/>
    <w:rsid w:val="004F78F2"/>
    <w:rsid w:val="004F7F10"/>
    <w:rsid w:val="004F7F69"/>
    <w:rsid w:val="0050043B"/>
    <w:rsid w:val="005004A5"/>
    <w:rsid w:val="005004C0"/>
    <w:rsid w:val="00500850"/>
    <w:rsid w:val="005008C0"/>
    <w:rsid w:val="00500AC5"/>
    <w:rsid w:val="00500CA1"/>
    <w:rsid w:val="0050106D"/>
    <w:rsid w:val="0050110D"/>
    <w:rsid w:val="00501139"/>
    <w:rsid w:val="00501461"/>
    <w:rsid w:val="005018FF"/>
    <w:rsid w:val="005019D0"/>
    <w:rsid w:val="00501D87"/>
    <w:rsid w:val="00501EFF"/>
    <w:rsid w:val="00502230"/>
    <w:rsid w:val="00502798"/>
    <w:rsid w:val="00502820"/>
    <w:rsid w:val="0050289B"/>
    <w:rsid w:val="00502C2C"/>
    <w:rsid w:val="00502E6F"/>
    <w:rsid w:val="00503979"/>
    <w:rsid w:val="00503ABE"/>
    <w:rsid w:val="00503E58"/>
    <w:rsid w:val="00503F2A"/>
    <w:rsid w:val="00504081"/>
    <w:rsid w:val="00504271"/>
    <w:rsid w:val="005043BC"/>
    <w:rsid w:val="005043FD"/>
    <w:rsid w:val="00504419"/>
    <w:rsid w:val="00504441"/>
    <w:rsid w:val="0050467D"/>
    <w:rsid w:val="005047B7"/>
    <w:rsid w:val="005056A8"/>
    <w:rsid w:val="00505D34"/>
    <w:rsid w:val="00506052"/>
    <w:rsid w:val="00506141"/>
    <w:rsid w:val="0050623D"/>
    <w:rsid w:val="0050685A"/>
    <w:rsid w:val="00506B05"/>
    <w:rsid w:val="005070F3"/>
    <w:rsid w:val="00507DF3"/>
    <w:rsid w:val="00510071"/>
    <w:rsid w:val="005100FB"/>
    <w:rsid w:val="005101C9"/>
    <w:rsid w:val="00510497"/>
    <w:rsid w:val="005106E2"/>
    <w:rsid w:val="00510710"/>
    <w:rsid w:val="00510C57"/>
    <w:rsid w:val="00510C85"/>
    <w:rsid w:val="005114E4"/>
    <w:rsid w:val="00511AF9"/>
    <w:rsid w:val="00511E5F"/>
    <w:rsid w:val="00511E8D"/>
    <w:rsid w:val="005128C8"/>
    <w:rsid w:val="00512AD3"/>
    <w:rsid w:val="00512BFD"/>
    <w:rsid w:val="005131DF"/>
    <w:rsid w:val="00514029"/>
    <w:rsid w:val="00514098"/>
    <w:rsid w:val="005140F7"/>
    <w:rsid w:val="0051467D"/>
    <w:rsid w:val="00514B3A"/>
    <w:rsid w:val="00514C3C"/>
    <w:rsid w:val="00514EB7"/>
    <w:rsid w:val="005150A0"/>
    <w:rsid w:val="005155A9"/>
    <w:rsid w:val="005159D6"/>
    <w:rsid w:val="00515A31"/>
    <w:rsid w:val="00515A66"/>
    <w:rsid w:val="00515E84"/>
    <w:rsid w:val="00516BF5"/>
    <w:rsid w:val="00516E33"/>
    <w:rsid w:val="00517500"/>
    <w:rsid w:val="00517576"/>
    <w:rsid w:val="00517852"/>
    <w:rsid w:val="00517A21"/>
    <w:rsid w:val="00517DEF"/>
    <w:rsid w:val="005200DE"/>
    <w:rsid w:val="00521A74"/>
    <w:rsid w:val="00521D6A"/>
    <w:rsid w:val="005220F4"/>
    <w:rsid w:val="005221BB"/>
    <w:rsid w:val="005221C2"/>
    <w:rsid w:val="00522A3C"/>
    <w:rsid w:val="00522A65"/>
    <w:rsid w:val="005239E5"/>
    <w:rsid w:val="00523CFB"/>
    <w:rsid w:val="00523DB8"/>
    <w:rsid w:val="0052406D"/>
    <w:rsid w:val="005243D9"/>
    <w:rsid w:val="00524650"/>
    <w:rsid w:val="005248B7"/>
    <w:rsid w:val="00524A59"/>
    <w:rsid w:val="00525236"/>
    <w:rsid w:val="00526863"/>
    <w:rsid w:val="00526C81"/>
    <w:rsid w:val="00526D31"/>
    <w:rsid w:val="00526E3F"/>
    <w:rsid w:val="005270F9"/>
    <w:rsid w:val="00527BB3"/>
    <w:rsid w:val="00527F95"/>
    <w:rsid w:val="005301BE"/>
    <w:rsid w:val="005302DA"/>
    <w:rsid w:val="00530414"/>
    <w:rsid w:val="00530567"/>
    <w:rsid w:val="0053081A"/>
    <w:rsid w:val="005309B7"/>
    <w:rsid w:val="005311BC"/>
    <w:rsid w:val="0053127E"/>
    <w:rsid w:val="0053164C"/>
    <w:rsid w:val="00531757"/>
    <w:rsid w:val="005317B6"/>
    <w:rsid w:val="00531DAB"/>
    <w:rsid w:val="00531FD5"/>
    <w:rsid w:val="0053241D"/>
    <w:rsid w:val="00532448"/>
    <w:rsid w:val="00532777"/>
    <w:rsid w:val="00532B17"/>
    <w:rsid w:val="00532C2E"/>
    <w:rsid w:val="00532EA1"/>
    <w:rsid w:val="00532FEE"/>
    <w:rsid w:val="0053392E"/>
    <w:rsid w:val="00533B89"/>
    <w:rsid w:val="00533D00"/>
    <w:rsid w:val="00533E07"/>
    <w:rsid w:val="00533F9D"/>
    <w:rsid w:val="0053478A"/>
    <w:rsid w:val="005348C1"/>
    <w:rsid w:val="0053507B"/>
    <w:rsid w:val="00535640"/>
    <w:rsid w:val="0053594B"/>
    <w:rsid w:val="00535B69"/>
    <w:rsid w:val="00536083"/>
    <w:rsid w:val="0053686B"/>
    <w:rsid w:val="005368CB"/>
    <w:rsid w:val="00536AB8"/>
    <w:rsid w:val="00537135"/>
    <w:rsid w:val="0053741D"/>
    <w:rsid w:val="005377FE"/>
    <w:rsid w:val="00537BFF"/>
    <w:rsid w:val="00537E6B"/>
    <w:rsid w:val="00537ECC"/>
    <w:rsid w:val="0054018B"/>
    <w:rsid w:val="0054021F"/>
    <w:rsid w:val="005404DF"/>
    <w:rsid w:val="005405E4"/>
    <w:rsid w:val="00540B58"/>
    <w:rsid w:val="005415AF"/>
    <w:rsid w:val="005416D3"/>
    <w:rsid w:val="005420AE"/>
    <w:rsid w:val="0054228B"/>
    <w:rsid w:val="005422B5"/>
    <w:rsid w:val="00542505"/>
    <w:rsid w:val="005425F3"/>
    <w:rsid w:val="0054263F"/>
    <w:rsid w:val="00542917"/>
    <w:rsid w:val="005429D1"/>
    <w:rsid w:val="00542AA1"/>
    <w:rsid w:val="00542E66"/>
    <w:rsid w:val="00543201"/>
    <w:rsid w:val="00543265"/>
    <w:rsid w:val="00543BA8"/>
    <w:rsid w:val="00543FDA"/>
    <w:rsid w:val="0054402C"/>
    <w:rsid w:val="00544429"/>
    <w:rsid w:val="00544D50"/>
    <w:rsid w:val="00544DE4"/>
    <w:rsid w:val="005451BD"/>
    <w:rsid w:val="005453E8"/>
    <w:rsid w:val="00545943"/>
    <w:rsid w:val="005459AC"/>
    <w:rsid w:val="00545AF8"/>
    <w:rsid w:val="00545C4E"/>
    <w:rsid w:val="00545E32"/>
    <w:rsid w:val="0054622E"/>
    <w:rsid w:val="00546559"/>
    <w:rsid w:val="00546A05"/>
    <w:rsid w:val="00546ABA"/>
    <w:rsid w:val="00547101"/>
    <w:rsid w:val="005471C3"/>
    <w:rsid w:val="005471ED"/>
    <w:rsid w:val="00547249"/>
    <w:rsid w:val="00550003"/>
    <w:rsid w:val="005503EE"/>
    <w:rsid w:val="00550419"/>
    <w:rsid w:val="00550592"/>
    <w:rsid w:val="005506D6"/>
    <w:rsid w:val="00550712"/>
    <w:rsid w:val="00550EE6"/>
    <w:rsid w:val="0055102A"/>
    <w:rsid w:val="0055118C"/>
    <w:rsid w:val="0055164D"/>
    <w:rsid w:val="0055167F"/>
    <w:rsid w:val="00551711"/>
    <w:rsid w:val="005519C9"/>
    <w:rsid w:val="005520D7"/>
    <w:rsid w:val="0055279F"/>
    <w:rsid w:val="005528FA"/>
    <w:rsid w:val="00552B0E"/>
    <w:rsid w:val="00552E85"/>
    <w:rsid w:val="00553418"/>
    <w:rsid w:val="00553694"/>
    <w:rsid w:val="0055396F"/>
    <w:rsid w:val="00553D97"/>
    <w:rsid w:val="00553FDC"/>
    <w:rsid w:val="0055432F"/>
    <w:rsid w:val="00554E09"/>
    <w:rsid w:val="0055564D"/>
    <w:rsid w:val="00556326"/>
    <w:rsid w:val="005570C4"/>
    <w:rsid w:val="00557388"/>
    <w:rsid w:val="005600E2"/>
    <w:rsid w:val="0056070C"/>
    <w:rsid w:val="00560B9B"/>
    <w:rsid w:val="00560F87"/>
    <w:rsid w:val="00560FA2"/>
    <w:rsid w:val="00561078"/>
    <w:rsid w:val="00561352"/>
    <w:rsid w:val="0056147B"/>
    <w:rsid w:val="005617EF"/>
    <w:rsid w:val="005621D5"/>
    <w:rsid w:val="005626AE"/>
    <w:rsid w:val="00562769"/>
    <w:rsid w:val="00562B94"/>
    <w:rsid w:val="00562EB1"/>
    <w:rsid w:val="005633BA"/>
    <w:rsid w:val="00563964"/>
    <w:rsid w:val="00563C6F"/>
    <w:rsid w:val="00563D92"/>
    <w:rsid w:val="00564A01"/>
    <w:rsid w:val="00564F21"/>
    <w:rsid w:val="00564FEF"/>
    <w:rsid w:val="00565264"/>
    <w:rsid w:val="00565328"/>
    <w:rsid w:val="0056532F"/>
    <w:rsid w:val="005659F7"/>
    <w:rsid w:val="005663D9"/>
    <w:rsid w:val="0056654A"/>
    <w:rsid w:val="00566577"/>
    <w:rsid w:val="0056657A"/>
    <w:rsid w:val="00566F99"/>
    <w:rsid w:val="00567270"/>
    <w:rsid w:val="0056772D"/>
    <w:rsid w:val="00567A52"/>
    <w:rsid w:val="00567CDA"/>
    <w:rsid w:val="005704B2"/>
    <w:rsid w:val="00570823"/>
    <w:rsid w:val="00570991"/>
    <w:rsid w:val="00570A01"/>
    <w:rsid w:val="00570E9B"/>
    <w:rsid w:val="00570EEA"/>
    <w:rsid w:val="005710BC"/>
    <w:rsid w:val="0057128F"/>
    <w:rsid w:val="00572205"/>
    <w:rsid w:val="005723C1"/>
    <w:rsid w:val="00572420"/>
    <w:rsid w:val="00572529"/>
    <w:rsid w:val="00572A53"/>
    <w:rsid w:val="0057321D"/>
    <w:rsid w:val="00573556"/>
    <w:rsid w:val="00573D2F"/>
    <w:rsid w:val="00574640"/>
    <w:rsid w:val="005747D8"/>
    <w:rsid w:val="00574BA2"/>
    <w:rsid w:val="00574D01"/>
    <w:rsid w:val="00574EC6"/>
    <w:rsid w:val="005753A0"/>
    <w:rsid w:val="005754B4"/>
    <w:rsid w:val="005755C3"/>
    <w:rsid w:val="005758DD"/>
    <w:rsid w:val="00575B3C"/>
    <w:rsid w:val="00575C3B"/>
    <w:rsid w:val="00575DDD"/>
    <w:rsid w:val="00575FE4"/>
    <w:rsid w:val="005766C1"/>
    <w:rsid w:val="00576778"/>
    <w:rsid w:val="00577598"/>
    <w:rsid w:val="005802EB"/>
    <w:rsid w:val="00580356"/>
    <w:rsid w:val="0058098F"/>
    <w:rsid w:val="00580A53"/>
    <w:rsid w:val="00580BF8"/>
    <w:rsid w:val="00580C55"/>
    <w:rsid w:val="00580E4B"/>
    <w:rsid w:val="00581184"/>
    <w:rsid w:val="00581483"/>
    <w:rsid w:val="0058160A"/>
    <w:rsid w:val="00581BE8"/>
    <w:rsid w:val="00582593"/>
    <w:rsid w:val="00582CAB"/>
    <w:rsid w:val="00583016"/>
    <w:rsid w:val="0058361C"/>
    <w:rsid w:val="00583AF3"/>
    <w:rsid w:val="00583E6C"/>
    <w:rsid w:val="005842D8"/>
    <w:rsid w:val="005843DE"/>
    <w:rsid w:val="00585043"/>
    <w:rsid w:val="005850A5"/>
    <w:rsid w:val="005857A2"/>
    <w:rsid w:val="0058585A"/>
    <w:rsid w:val="00586347"/>
    <w:rsid w:val="005864DF"/>
    <w:rsid w:val="0058670B"/>
    <w:rsid w:val="005868F4"/>
    <w:rsid w:val="00586E81"/>
    <w:rsid w:val="0058712C"/>
    <w:rsid w:val="00587172"/>
    <w:rsid w:val="005878FA"/>
    <w:rsid w:val="00587AA2"/>
    <w:rsid w:val="00587ED3"/>
    <w:rsid w:val="00590816"/>
    <w:rsid w:val="00590970"/>
    <w:rsid w:val="00590CEB"/>
    <w:rsid w:val="00590DDB"/>
    <w:rsid w:val="00590F1B"/>
    <w:rsid w:val="005912F1"/>
    <w:rsid w:val="0059170F"/>
    <w:rsid w:val="00591A07"/>
    <w:rsid w:val="00591BCE"/>
    <w:rsid w:val="00591C13"/>
    <w:rsid w:val="005924DE"/>
    <w:rsid w:val="005928AC"/>
    <w:rsid w:val="00592B68"/>
    <w:rsid w:val="00592E6C"/>
    <w:rsid w:val="0059324D"/>
    <w:rsid w:val="0059327A"/>
    <w:rsid w:val="00593412"/>
    <w:rsid w:val="00593627"/>
    <w:rsid w:val="005939CF"/>
    <w:rsid w:val="005939EF"/>
    <w:rsid w:val="00593BF7"/>
    <w:rsid w:val="0059438C"/>
    <w:rsid w:val="00594691"/>
    <w:rsid w:val="00594D5C"/>
    <w:rsid w:val="00595FD2"/>
    <w:rsid w:val="00596421"/>
    <w:rsid w:val="005967D7"/>
    <w:rsid w:val="0059682F"/>
    <w:rsid w:val="005969FB"/>
    <w:rsid w:val="00596AE3"/>
    <w:rsid w:val="005971CA"/>
    <w:rsid w:val="00597338"/>
    <w:rsid w:val="00597543"/>
    <w:rsid w:val="0059785C"/>
    <w:rsid w:val="00597DE7"/>
    <w:rsid w:val="005A04B2"/>
    <w:rsid w:val="005A04D9"/>
    <w:rsid w:val="005A04FC"/>
    <w:rsid w:val="005A0524"/>
    <w:rsid w:val="005A055A"/>
    <w:rsid w:val="005A0A3A"/>
    <w:rsid w:val="005A0C49"/>
    <w:rsid w:val="005A0D41"/>
    <w:rsid w:val="005A0DAD"/>
    <w:rsid w:val="005A1208"/>
    <w:rsid w:val="005A127C"/>
    <w:rsid w:val="005A1424"/>
    <w:rsid w:val="005A1AE9"/>
    <w:rsid w:val="005A2151"/>
    <w:rsid w:val="005A21FC"/>
    <w:rsid w:val="005A30EA"/>
    <w:rsid w:val="005A316F"/>
    <w:rsid w:val="005A3193"/>
    <w:rsid w:val="005A3506"/>
    <w:rsid w:val="005A383A"/>
    <w:rsid w:val="005A44F0"/>
    <w:rsid w:val="005A48DE"/>
    <w:rsid w:val="005A4A29"/>
    <w:rsid w:val="005A4BB3"/>
    <w:rsid w:val="005A4FBB"/>
    <w:rsid w:val="005A4FC2"/>
    <w:rsid w:val="005A4FDE"/>
    <w:rsid w:val="005A512F"/>
    <w:rsid w:val="005A53BE"/>
    <w:rsid w:val="005A5736"/>
    <w:rsid w:val="005A5CAB"/>
    <w:rsid w:val="005A6312"/>
    <w:rsid w:val="005A650C"/>
    <w:rsid w:val="005A6742"/>
    <w:rsid w:val="005A718C"/>
    <w:rsid w:val="005A71E9"/>
    <w:rsid w:val="005A7424"/>
    <w:rsid w:val="005A76C6"/>
    <w:rsid w:val="005B00B8"/>
    <w:rsid w:val="005B040D"/>
    <w:rsid w:val="005B0992"/>
    <w:rsid w:val="005B0999"/>
    <w:rsid w:val="005B0F22"/>
    <w:rsid w:val="005B1187"/>
    <w:rsid w:val="005B12C7"/>
    <w:rsid w:val="005B16D0"/>
    <w:rsid w:val="005B2210"/>
    <w:rsid w:val="005B26E3"/>
    <w:rsid w:val="005B2724"/>
    <w:rsid w:val="005B2760"/>
    <w:rsid w:val="005B2B41"/>
    <w:rsid w:val="005B3438"/>
    <w:rsid w:val="005B3798"/>
    <w:rsid w:val="005B4244"/>
    <w:rsid w:val="005B42A8"/>
    <w:rsid w:val="005B4A86"/>
    <w:rsid w:val="005B4CBC"/>
    <w:rsid w:val="005B504B"/>
    <w:rsid w:val="005B5988"/>
    <w:rsid w:val="005B5ADF"/>
    <w:rsid w:val="005B65B0"/>
    <w:rsid w:val="005B6790"/>
    <w:rsid w:val="005B6B53"/>
    <w:rsid w:val="005B6C32"/>
    <w:rsid w:val="005B6CE7"/>
    <w:rsid w:val="005B6FD8"/>
    <w:rsid w:val="005B72E8"/>
    <w:rsid w:val="005B7453"/>
    <w:rsid w:val="005B7924"/>
    <w:rsid w:val="005B7C8A"/>
    <w:rsid w:val="005C0C13"/>
    <w:rsid w:val="005C1570"/>
    <w:rsid w:val="005C1608"/>
    <w:rsid w:val="005C16B5"/>
    <w:rsid w:val="005C16DC"/>
    <w:rsid w:val="005C1FE3"/>
    <w:rsid w:val="005C209A"/>
    <w:rsid w:val="005C2B78"/>
    <w:rsid w:val="005C2C43"/>
    <w:rsid w:val="005C3722"/>
    <w:rsid w:val="005C37CF"/>
    <w:rsid w:val="005C39F0"/>
    <w:rsid w:val="005C3A60"/>
    <w:rsid w:val="005C3FA5"/>
    <w:rsid w:val="005C41BD"/>
    <w:rsid w:val="005C5729"/>
    <w:rsid w:val="005C5A71"/>
    <w:rsid w:val="005C63B6"/>
    <w:rsid w:val="005C68F2"/>
    <w:rsid w:val="005C694C"/>
    <w:rsid w:val="005C6F19"/>
    <w:rsid w:val="005C7064"/>
    <w:rsid w:val="005C71CD"/>
    <w:rsid w:val="005C7421"/>
    <w:rsid w:val="005C7546"/>
    <w:rsid w:val="005C7734"/>
    <w:rsid w:val="005D0356"/>
    <w:rsid w:val="005D0563"/>
    <w:rsid w:val="005D11A3"/>
    <w:rsid w:val="005D124B"/>
    <w:rsid w:val="005D12B7"/>
    <w:rsid w:val="005D13B5"/>
    <w:rsid w:val="005D1726"/>
    <w:rsid w:val="005D1F0D"/>
    <w:rsid w:val="005D1F5E"/>
    <w:rsid w:val="005D2D83"/>
    <w:rsid w:val="005D2FEA"/>
    <w:rsid w:val="005D3133"/>
    <w:rsid w:val="005D3B68"/>
    <w:rsid w:val="005D3CA2"/>
    <w:rsid w:val="005D3E98"/>
    <w:rsid w:val="005D3EB8"/>
    <w:rsid w:val="005D4703"/>
    <w:rsid w:val="005D4950"/>
    <w:rsid w:val="005D4BC9"/>
    <w:rsid w:val="005D550E"/>
    <w:rsid w:val="005D5512"/>
    <w:rsid w:val="005D56E0"/>
    <w:rsid w:val="005D5809"/>
    <w:rsid w:val="005D585C"/>
    <w:rsid w:val="005D59AC"/>
    <w:rsid w:val="005D5C86"/>
    <w:rsid w:val="005D5D2D"/>
    <w:rsid w:val="005D5DEE"/>
    <w:rsid w:val="005D620C"/>
    <w:rsid w:val="005D6648"/>
    <w:rsid w:val="005D694C"/>
    <w:rsid w:val="005D6B5D"/>
    <w:rsid w:val="005D6BC4"/>
    <w:rsid w:val="005D6C57"/>
    <w:rsid w:val="005D6D04"/>
    <w:rsid w:val="005D6FC2"/>
    <w:rsid w:val="005D77DA"/>
    <w:rsid w:val="005E0324"/>
    <w:rsid w:val="005E10E6"/>
    <w:rsid w:val="005E162C"/>
    <w:rsid w:val="005E1B23"/>
    <w:rsid w:val="005E1BB9"/>
    <w:rsid w:val="005E21AD"/>
    <w:rsid w:val="005E25A4"/>
    <w:rsid w:val="005E2A4A"/>
    <w:rsid w:val="005E2E5B"/>
    <w:rsid w:val="005E2E6A"/>
    <w:rsid w:val="005E3033"/>
    <w:rsid w:val="005E3501"/>
    <w:rsid w:val="005E3839"/>
    <w:rsid w:val="005E3A57"/>
    <w:rsid w:val="005E3BD5"/>
    <w:rsid w:val="005E411F"/>
    <w:rsid w:val="005E4835"/>
    <w:rsid w:val="005E49D1"/>
    <w:rsid w:val="005E5001"/>
    <w:rsid w:val="005E50BE"/>
    <w:rsid w:val="005E53C7"/>
    <w:rsid w:val="005E5804"/>
    <w:rsid w:val="005E58CC"/>
    <w:rsid w:val="005E5D79"/>
    <w:rsid w:val="005E5D7E"/>
    <w:rsid w:val="005E6382"/>
    <w:rsid w:val="005E63D8"/>
    <w:rsid w:val="005E64E2"/>
    <w:rsid w:val="005E66A0"/>
    <w:rsid w:val="005E6FEB"/>
    <w:rsid w:val="005E7044"/>
    <w:rsid w:val="005E70FA"/>
    <w:rsid w:val="005E742C"/>
    <w:rsid w:val="005E7BF7"/>
    <w:rsid w:val="005E7D37"/>
    <w:rsid w:val="005E7DD1"/>
    <w:rsid w:val="005F04DD"/>
    <w:rsid w:val="005F0D3E"/>
    <w:rsid w:val="005F0E80"/>
    <w:rsid w:val="005F1127"/>
    <w:rsid w:val="005F11BE"/>
    <w:rsid w:val="005F13F4"/>
    <w:rsid w:val="005F15A2"/>
    <w:rsid w:val="005F1809"/>
    <w:rsid w:val="005F2840"/>
    <w:rsid w:val="005F28A0"/>
    <w:rsid w:val="005F2931"/>
    <w:rsid w:val="005F2A34"/>
    <w:rsid w:val="005F31E0"/>
    <w:rsid w:val="005F3220"/>
    <w:rsid w:val="005F3825"/>
    <w:rsid w:val="005F39EC"/>
    <w:rsid w:val="005F3BE6"/>
    <w:rsid w:val="005F3D7B"/>
    <w:rsid w:val="005F44B0"/>
    <w:rsid w:val="005F44EC"/>
    <w:rsid w:val="005F4CF1"/>
    <w:rsid w:val="005F525A"/>
    <w:rsid w:val="005F54F5"/>
    <w:rsid w:val="005F56DD"/>
    <w:rsid w:val="005F57A0"/>
    <w:rsid w:val="005F5E96"/>
    <w:rsid w:val="005F6776"/>
    <w:rsid w:val="005F68FD"/>
    <w:rsid w:val="005F6A56"/>
    <w:rsid w:val="005F6C41"/>
    <w:rsid w:val="005F6E48"/>
    <w:rsid w:val="005F74C0"/>
    <w:rsid w:val="005F762A"/>
    <w:rsid w:val="005F7855"/>
    <w:rsid w:val="005F7945"/>
    <w:rsid w:val="005F7D01"/>
    <w:rsid w:val="005F7F05"/>
    <w:rsid w:val="005F7FA5"/>
    <w:rsid w:val="00600A09"/>
    <w:rsid w:val="00600B90"/>
    <w:rsid w:val="006016E4"/>
    <w:rsid w:val="00601792"/>
    <w:rsid w:val="0060183F"/>
    <w:rsid w:val="00601892"/>
    <w:rsid w:val="00601C4F"/>
    <w:rsid w:val="0060274A"/>
    <w:rsid w:val="0060285F"/>
    <w:rsid w:val="00602A3E"/>
    <w:rsid w:val="00602BAF"/>
    <w:rsid w:val="0060320D"/>
    <w:rsid w:val="00603394"/>
    <w:rsid w:val="006033FC"/>
    <w:rsid w:val="00604126"/>
    <w:rsid w:val="00604319"/>
    <w:rsid w:val="00604479"/>
    <w:rsid w:val="00604792"/>
    <w:rsid w:val="00605199"/>
    <w:rsid w:val="006051FB"/>
    <w:rsid w:val="0060526A"/>
    <w:rsid w:val="00605773"/>
    <w:rsid w:val="006060D5"/>
    <w:rsid w:val="006069EC"/>
    <w:rsid w:val="00606C4A"/>
    <w:rsid w:val="006070B0"/>
    <w:rsid w:val="006074A1"/>
    <w:rsid w:val="00607537"/>
    <w:rsid w:val="00607779"/>
    <w:rsid w:val="00607984"/>
    <w:rsid w:val="006079B4"/>
    <w:rsid w:val="00610151"/>
    <w:rsid w:val="0061053D"/>
    <w:rsid w:val="00610590"/>
    <w:rsid w:val="0061072B"/>
    <w:rsid w:val="006108AD"/>
    <w:rsid w:val="00610D68"/>
    <w:rsid w:val="00610E45"/>
    <w:rsid w:val="0061178B"/>
    <w:rsid w:val="00611B10"/>
    <w:rsid w:val="00612159"/>
    <w:rsid w:val="00612209"/>
    <w:rsid w:val="00612406"/>
    <w:rsid w:val="006126B6"/>
    <w:rsid w:val="00612A65"/>
    <w:rsid w:val="00612A94"/>
    <w:rsid w:val="00612FB3"/>
    <w:rsid w:val="00613025"/>
    <w:rsid w:val="006138B9"/>
    <w:rsid w:val="006140D9"/>
    <w:rsid w:val="00614505"/>
    <w:rsid w:val="00614A67"/>
    <w:rsid w:val="00614B51"/>
    <w:rsid w:val="00615584"/>
    <w:rsid w:val="00615D02"/>
    <w:rsid w:val="00616916"/>
    <w:rsid w:val="00616F5A"/>
    <w:rsid w:val="00617279"/>
    <w:rsid w:val="00617429"/>
    <w:rsid w:val="00617D2F"/>
    <w:rsid w:val="00617E3D"/>
    <w:rsid w:val="00617ECA"/>
    <w:rsid w:val="0062013E"/>
    <w:rsid w:val="006201F1"/>
    <w:rsid w:val="006204C3"/>
    <w:rsid w:val="0062079B"/>
    <w:rsid w:val="0062084B"/>
    <w:rsid w:val="006208D2"/>
    <w:rsid w:val="00620A46"/>
    <w:rsid w:val="00620B50"/>
    <w:rsid w:val="0062105E"/>
    <w:rsid w:val="006211AB"/>
    <w:rsid w:val="00621800"/>
    <w:rsid w:val="00621A47"/>
    <w:rsid w:val="00621A9F"/>
    <w:rsid w:val="00621CF9"/>
    <w:rsid w:val="00621F82"/>
    <w:rsid w:val="00622249"/>
    <w:rsid w:val="006222D8"/>
    <w:rsid w:val="0062245A"/>
    <w:rsid w:val="006225F3"/>
    <w:rsid w:val="006229C7"/>
    <w:rsid w:val="00622B0B"/>
    <w:rsid w:val="00622BD2"/>
    <w:rsid w:val="00622C7B"/>
    <w:rsid w:val="00622F4C"/>
    <w:rsid w:val="006231DA"/>
    <w:rsid w:val="0062326D"/>
    <w:rsid w:val="006232FB"/>
    <w:rsid w:val="006233A3"/>
    <w:rsid w:val="006238E6"/>
    <w:rsid w:val="00623B57"/>
    <w:rsid w:val="00623D6A"/>
    <w:rsid w:val="00623F0B"/>
    <w:rsid w:val="0062412E"/>
    <w:rsid w:val="00624237"/>
    <w:rsid w:val="0062432C"/>
    <w:rsid w:val="00624C5E"/>
    <w:rsid w:val="00625966"/>
    <w:rsid w:val="00625B0D"/>
    <w:rsid w:val="00625B81"/>
    <w:rsid w:val="006263A1"/>
    <w:rsid w:val="00626884"/>
    <w:rsid w:val="006268BB"/>
    <w:rsid w:val="00626B5E"/>
    <w:rsid w:val="00626E39"/>
    <w:rsid w:val="00626FB5"/>
    <w:rsid w:val="00626FD8"/>
    <w:rsid w:val="006272F4"/>
    <w:rsid w:val="00627803"/>
    <w:rsid w:val="00627D3E"/>
    <w:rsid w:val="00630FDD"/>
    <w:rsid w:val="006319CA"/>
    <w:rsid w:val="00631B24"/>
    <w:rsid w:val="00631BF9"/>
    <w:rsid w:val="00631D9C"/>
    <w:rsid w:val="0063244B"/>
    <w:rsid w:val="00632FCF"/>
    <w:rsid w:val="00633086"/>
    <w:rsid w:val="006334F8"/>
    <w:rsid w:val="006335EF"/>
    <w:rsid w:val="00633948"/>
    <w:rsid w:val="006339A5"/>
    <w:rsid w:val="006341BA"/>
    <w:rsid w:val="00634967"/>
    <w:rsid w:val="00634E9B"/>
    <w:rsid w:val="00635291"/>
    <w:rsid w:val="00636364"/>
    <w:rsid w:val="006363D6"/>
    <w:rsid w:val="00637000"/>
    <w:rsid w:val="00637844"/>
    <w:rsid w:val="00637BDE"/>
    <w:rsid w:val="0064044E"/>
    <w:rsid w:val="00640DEA"/>
    <w:rsid w:val="00640E72"/>
    <w:rsid w:val="00641568"/>
    <w:rsid w:val="006418A6"/>
    <w:rsid w:val="00641B60"/>
    <w:rsid w:val="00641C14"/>
    <w:rsid w:val="00641D26"/>
    <w:rsid w:val="00641F19"/>
    <w:rsid w:val="0064245A"/>
    <w:rsid w:val="006428A4"/>
    <w:rsid w:val="006428B6"/>
    <w:rsid w:val="00642DAB"/>
    <w:rsid w:val="00643663"/>
    <w:rsid w:val="006437D5"/>
    <w:rsid w:val="006437E1"/>
    <w:rsid w:val="00643973"/>
    <w:rsid w:val="00644394"/>
    <w:rsid w:val="00644542"/>
    <w:rsid w:val="00644640"/>
    <w:rsid w:val="00644A4F"/>
    <w:rsid w:val="00644FAC"/>
    <w:rsid w:val="00645107"/>
    <w:rsid w:val="00645375"/>
    <w:rsid w:val="00645398"/>
    <w:rsid w:val="00645520"/>
    <w:rsid w:val="0064597A"/>
    <w:rsid w:val="00645BE8"/>
    <w:rsid w:val="00645D05"/>
    <w:rsid w:val="0064627B"/>
    <w:rsid w:val="006463BD"/>
    <w:rsid w:val="006464CD"/>
    <w:rsid w:val="0064653B"/>
    <w:rsid w:val="0064687E"/>
    <w:rsid w:val="00646ABD"/>
    <w:rsid w:val="006471AA"/>
    <w:rsid w:val="006476D3"/>
    <w:rsid w:val="0064781A"/>
    <w:rsid w:val="00647BB3"/>
    <w:rsid w:val="00647DDB"/>
    <w:rsid w:val="00647EE3"/>
    <w:rsid w:val="0065033D"/>
    <w:rsid w:val="00650A39"/>
    <w:rsid w:val="00650C5F"/>
    <w:rsid w:val="00650D85"/>
    <w:rsid w:val="006514AA"/>
    <w:rsid w:val="00652507"/>
    <w:rsid w:val="006528C9"/>
    <w:rsid w:val="00653434"/>
    <w:rsid w:val="0065347F"/>
    <w:rsid w:val="00653CAC"/>
    <w:rsid w:val="00654149"/>
    <w:rsid w:val="006542BF"/>
    <w:rsid w:val="0065431D"/>
    <w:rsid w:val="0065464E"/>
    <w:rsid w:val="00655022"/>
    <w:rsid w:val="00655348"/>
    <w:rsid w:val="00655C2B"/>
    <w:rsid w:val="00655DD0"/>
    <w:rsid w:val="0065627D"/>
    <w:rsid w:val="006562BC"/>
    <w:rsid w:val="00656308"/>
    <w:rsid w:val="00656453"/>
    <w:rsid w:val="006566BC"/>
    <w:rsid w:val="00656DD4"/>
    <w:rsid w:val="00657172"/>
    <w:rsid w:val="0065798F"/>
    <w:rsid w:val="006579B4"/>
    <w:rsid w:val="00657D70"/>
    <w:rsid w:val="00660C6A"/>
    <w:rsid w:val="006611AB"/>
    <w:rsid w:val="00661DEE"/>
    <w:rsid w:val="006621C8"/>
    <w:rsid w:val="00662661"/>
    <w:rsid w:val="00662AE2"/>
    <w:rsid w:val="00662EF3"/>
    <w:rsid w:val="006632D2"/>
    <w:rsid w:val="00663C06"/>
    <w:rsid w:val="0066450D"/>
    <w:rsid w:val="0066454B"/>
    <w:rsid w:val="00664972"/>
    <w:rsid w:val="00664F88"/>
    <w:rsid w:val="006651BD"/>
    <w:rsid w:val="006652BB"/>
    <w:rsid w:val="00665356"/>
    <w:rsid w:val="00665398"/>
    <w:rsid w:val="0066567B"/>
    <w:rsid w:val="0066589B"/>
    <w:rsid w:val="0066600E"/>
    <w:rsid w:val="00666125"/>
    <w:rsid w:val="00666778"/>
    <w:rsid w:val="006667E0"/>
    <w:rsid w:val="00666A23"/>
    <w:rsid w:val="00666BA6"/>
    <w:rsid w:val="00666C47"/>
    <w:rsid w:val="006673E8"/>
    <w:rsid w:val="00667502"/>
    <w:rsid w:val="0066784F"/>
    <w:rsid w:val="00667A9C"/>
    <w:rsid w:val="00667F36"/>
    <w:rsid w:val="006701F0"/>
    <w:rsid w:val="0067037F"/>
    <w:rsid w:val="006707E1"/>
    <w:rsid w:val="00670ADF"/>
    <w:rsid w:val="00670CFF"/>
    <w:rsid w:val="00670DF2"/>
    <w:rsid w:val="00670FEB"/>
    <w:rsid w:val="00671653"/>
    <w:rsid w:val="0067179E"/>
    <w:rsid w:val="00671DEE"/>
    <w:rsid w:val="00671EC0"/>
    <w:rsid w:val="00671EF9"/>
    <w:rsid w:val="00672026"/>
    <w:rsid w:val="006722B3"/>
    <w:rsid w:val="00672300"/>
    <w:rsid w:val="00672759"/>
    <w:rsid w:val="006729DC"/>
    <w:rsid w:val="00672A1C"/>
    <w:rsid w:val="00672AE6"/>
    <w:rsid w:val="00672FCE"/>
    <w:rsid w:val="0067322E"/>
    <w:rsid w:val="006735F8"/>
    <w:rsid w:val="006742E6"/>
    <w:rsid w:val="006747FE"/>
    <w:rsid w:val="00674D86"/>
    <w:rsid w:val="0067537D"/>
    <w:rsid w:val="006754AC"/>
    <w:rsid w:val="00675660"/>
    <w:rsid w:val="00675B62"/>
    <w:rsid w:val="00675C9C"/>
    <w:rsid w:val="006764DC"/>
    <w:rsid w:val="00676951"/>
    <w:rsid w:val="00676E5F"/>
    <w:rsid w:val="00676F48"/>
    <w:rsid w:val="00677124"/>
    <w:rsid w:val="006771EE"/>
    <w:rsid w:val="0067770B"/>
    <w:rsid w:val="006779F9"/>
    <w:rsid w:val="006779FB"/>
    <w:rsid w:val="0068063C"/>
    <w:rsid w:val="006806E4"/>
    <w:rsid w:val="006809E0"/>
    <w:rsid w:val="00680CEC"/>
    <w:rsid w:val="00680D62"/>
    <w:rsid w:val="006810CD"/>
    <w:rsid w:val="00681FDC"/>
    <w:rsid w:val="00682847"/>
    <w:rsid w:val="00682A35"/>
    <w:rsid w:val="00684190"/>
    <w:rsid w:val="006842BD"/>
    <w:rsid w:val="00684317"/>
    <w:rsid w:val="00684350"/>
    <w:rsid w:val="0068472B"/>
    <w:rsid w:val="00686056"/>
    <w:rsid w:val="006863C5"/>
    <w:rsid w:val="00686871"/>
    <w:rsid w:val="00687BDD"/>
    <w:rsid w:val="0069024E"/>
    <w:rsid w:val="006908DC"/>
    <w:rsid w:val="00690AA0"/>
    <w:rsid w:val="00690EF5"/>
    <w:rsid w:val="006910A7"/>
    <w:rsid w:val="00691802"/>
    <w:rsid w:val="00691883"/>
    <w:rsid w:val="00691956"/>
    <w:rsid w:val="00691BCA"/>
    <w:rsid w:val="00691C32"/>
    <w:rsid w:val="00691CB3"/>
    <w:rsid w:val="00691E61"/>
    <w:rsid w:val="006923E3"/>
    <w:rsid w:val="00692A69"/>
    <w:rsid w:val="00692F2C"/>
    <w:rsid w:val="006935F1"/>
    <w:rsid w:val="006937B1"/>
    <w:rsid w:val="00693A8E"/>
    <w:rsid w:val="00694583"/>
    <w:rsid w:val="006946AF"/>
    <w:rsid w:val="006948EE"/>
    <w:rsid w:val="00694A2F"/>
    <w:rsid w:val="006952A3"/>
    <w:rsid w:val="00695628"/>
    <w:rsid w:val="00695917"/>
    <w:rsid w:val="006959BE"/>
    <w:rsid w:val="00695DFD"/>
    <w:rsid w:val="006962FF"/>
    <w:rsid w:val="006965D0"/>
    <w:rsid w:val="006968FC"/>
    <w:rsid w:val="00696C90"/>
    <w:rsid w:val="00696E25"/>
    <w:rsid w:val="00696F21"/>
    <w:rsid w:val="00697181"/>
    <w:rsid w:val="006973CF"/>
    <w:rsid w:val="00697755"/>
    <w:rsid w:val="006A02A5"/>
    <w:rsid w:val="006A02F6"/>
    <w:rsid w:val="006A052B"/>
    <w:rsid w:val="006A0C52"/>
    <w:rsid w:val="006A0D5B"/>
    <w:rsid w:val="006A0FFF"/>
    <w:rsid w:val="006A13DA"/>
    <w:rsid w:val="006A1691"/>
    <w:rsid w:val="006A234B"/>
    <w:rsid w:val="006A2737"/>
    <w:rsid w:val="006A290B"/>
    <w:rsid w:val="006A29E3"/>
    <w:rsid w:val="006A2A2F"/>
    <w:rsid w:val="006A2C35"/>
    <w:rsid w:val="006A2D52"/>
    <w:rsid w:val="006A2DCE"/>
    <w:rsid w:val="006A3489"/>
    <w:rsid w:val="006A372C"/>
    <w:rsid w:val="006A3AC1"/>
    <w:rsid w:val="006A3B96"/>
    <w:rsid w:val="006A3C0A"/>
    <w:rsid w:val="006A3C50"/>
    <w:rsid w:val="006A3DD4"/>
    <w:rsid w:val="006A441A"/>
    <w:rsid w:val="006A4496"/>
    <w:rsid w:val="006A4715"/>
    <w:rsid w:val="006A473D"/>
    <w:rsid w:val="006A52BF"/>
    <w:rsid w:val="006A5468"/>
    <w:rsid w:val="006A55AF"/>
    <w:rsid w:val="006A5E27"/>
    <w:rsid w:val="006A6040"/>
    <w:rsid w:val="006A6543"/>
    <w:rsid w:val="006A6ED6"/>
    <w:rsid w:val="006A73C6"/>
    <w:rsid w:val="006A7CEB"/>
    <w:rsid w:val="006B01CF"/>
    <w:rsid w:val="006B0513"/>
    <w:rsid w:val="006B0602"/>
    <w:rsid w:val="006B06DB"/>
    <w:rsid w:val="006B07CF"/>
    <w:rsid w:val="006B0B86"/>
    <w:rsid w:val="006B0E07"/>
    <w:rsid w:val="006B1181"/>
    <w:rsid w:val="006B16E0"/>
    <w:rsid w:val="006B23DE"/>
    <w:rsid w:val="006B24BB"/>
    <w:rsid w:val="006B2507"/>
    <w:rsid w:val="006B2715"/>
    <w:rsid w:val="006B2C54"/>
    <w:rsid w:val="006B2CE0"/>
    <w:rsid w:val="006B30D1"/>
    <w:rsid w:val="006B30E1"/>
    <w:rsid w:val="006B3472"/>
    <w:rsid w:val="006B3748"/>
    <w:rsid w:val="006B3AC0"/>
    <w:rsid w:val="006B3B61"/>
    <w:rsid w:val="006B3D45"/>
    <w:rsid w:val="006B4071"/>
    <w:rsid w:val="006B4816"/>
    <w:rsid w:val="006B4A8D"/>
    <w:rsid w:val="006B5335"/>
    <w:rsid w:val="006B56B7"/>
    <w:rsid w:val="006B5EA7"/>
    <w:rsid w:val="006B6CF8"/>
    <w:rsid w:val="006B7CDD"/>
    <w:rsid w:val="006C0020"/>
    <w:rsid w:val="006C0152"/>
    <w:rsid w:val="006C02E4"/>
    <w:rsid w:val="006C0705"/>
    <w:rsid w:val="006C0B30"/>
    <w:rsid w:val="006C10C1"/>
    <w:rsid w:val="006C171D"/>
    <w:rsid w:val="006C1B91"/>
    <w:rsid w:val="006C1DE0"/>
    <w:rsid w:val="006C232E"/>
    <w:rsid w:val="006C29F3"/>
    <w:rsid w:val="006C375B"/>
    <w:rsid w:val="006C3AEE"/>
    <w:rsid w:val="006C3E34"/>
    <w:rsid w:val="006C40FF"/>
    <w:rsid w:val="006C46B2"/>
    <w:rsid w:val="006C4A88"/>
    <w:rsid w:val="006C4E23"/>
    <w:rsid w:val="006C4F37"/>
    <w:rsid w:val="006C5425"/>
    <w:rsid w:val="006C5AD3"/>
    <w:rsid w:val="006C6168"/>
    <w:rsid w:val="006C617F"/>
    <w:rsid w:val="006C69C4"/>
    <w:rsid w:val="006C6AF2"/>
    <w:rsid w:val="006C74B8"/>
    <w:rsid w:val="006C7FBD"/>
    <w:rsid w:val="006D0393"/>
    <w:rsid w:val="006D08DA"/>
    <w:rsid w:val="006D0A6B"/>
    <w:rsid w:val="006D1055"/>
    <w:rsid w:val="006D1220"/>
    <w:rsid w:val="006D19D8"/>
    <w:rsid w:val="006D1A5F"/>
    <w:rsid w:val="006D1DA2"/>
    <w:rsid w:val="006D2182"/>
    <w:rsid w:val="006D2252"/>
    <w:rsid w:val="006D2305"/>
    <w:rsid w:val="006D2442"/>
    <w:rsid w:val="006D2540"/>
    <w:rsid w:val="006D2666"/>
    <w:rsid w:val="006D331A"/>
    <w:rsid w:val="006D344F"/>
    <w:rsid w:val="006D38BE"/>
    <w:rsid w:val="006D3BF4"/>
    <w:rsid w:val="006D413B"/>
    <w:rsid w:val="006D4642"/>
    <w:rsid w:val="006D47DF"/>
    <w:rsid w:val="006D4AE6"/>
    <w:rsid w:val="006D67F4"/>
    <w:rsid w:val="006D6871"/>
    <w:rsid w:val="006D6A17"/>
    <w:rsid w:val="006D6A9B"/>
    <w:rsid w:val="006D731F"/>
    <w:rsid w:val="006D73C3"/>
    <w:rsid w:val="006D795E"/>
    <w:rsid w:val="006D796F"/>
    <w:rsid w:val="006D7D32"/>
    <w:rsid w:val="006E0231"/>
    <w:rsid w:val="006E0623"/>
    <w:rsid w:val="006E08C6"/>
    <w:rsid w:val="006E11C1"/>
    <w:rsid w:val="006E1625"/>
    <w:rsid w:val="006E164C"/>
    <w:rsid w:val="006E1996"/>
    <w:rsid w:val="006E1FA3"/>
    <w:rsid w:val="006E2014"/>
    <w:rsid w:val="006E2078"/>
    <w:rsid w:val="006E20A7"/>
    <w:rsid w:val="006E29AC"/>
    <w:rsid w:val="006E2DE6"/>
    <w:rsid w:val="006E2E54"/>
    <w:rsid w:val="006E30E0"/>
    <w:rsid w:val="006E42A8"/>
    <w:rsid w:val="006E4463"/>
    <w:rsid w:val="006E4572"/>
    <w:rsid w:val="006E5143"/>
    <w:rsid w:val="006E5698"/>
    <w:rsid w:val="006E5DDC"/>
    <w:rsid w:val="006E5EE4"/>
    <w:rsid w:val="006E60F4"/>
    <w:rsid w:val="006E67E6"/>
    <w:rsid w:val="006E69AE"/>
    <w:rsid w:val="006E6CF6"/>
    <w:rsid w:val="006E6E58"/>
    <w:rsid w:val="006E71B3"/>
    <w:rsid w:val="006E77EC"/>
    <w:rsid w:val="006E7920"/>
    <w:rsid w:val="006E7B73"/>
    <w:rsid w:val="006E7BC6"/>
    <w:rsid w:val="006E7FF6"/>
    <w:rsid w:val="006F0EBB"/>
    <w:rsid w:val="006F0F17"/>
    <w:rsid w:val="006F0F2D"/>
    <w:rsid w:val="006F1039"/>
    <w:rsid w:val="006F1BC3"/>
    <w:rsid w:val="006F1C6E"/>
    <w:rsid w:val="006F248C"/>
    <w:rsid w:val="006F2C35"/>
    <w:rsid w:val="006F2E09"/>
    <w:rsid w:val="006F2ECA"/>
    <w:rsid w:val="006F36A8"/>
    <w:rsid w:val="006F3B05"/>
    <w:rsid w:val="006F5461"/>
    <w:rsid w:val="006F5522"/>
    <w:rsid w:val="006F556B"/>
    <w:rsid w:val="006F59C5"/>
    <w:rsid w:val="006F5F12"/>
    <w:rsid w:val="006F6212"/>
    <w:rsid w:val="006F70E4"/>
    <w:rsid w:val="0070025A"/>
    <w:rsid w:val="00700569"/>
    <w:rsid w:val="00700A7A"/>
    <w:rsid w:val="00700F9F"/>
    <w:rsid w:val="0070111A"/>
    <w:rsid w:val="007012BD"/>
    <w:rsid w:val="00702530"/>
    <w:rsid w:val="00702E0A"/>
    <w:rsid w:val="00702FAE"/>
    <w:rsid w:val="007034B1"/>
    <w:rsid w:val="007040FE"/>
    <w:rsid w:val="007041E5"/>
    <w:rsid w:val="00704714"/>
    <w:rsid w:val="00704821"/>
    <w:rsid w:val="00704A81"/>
    <w:rsid w:val="0070505D"/>
    <w:rsid w:val="00705766"/>
    <w:rsid w:val="00705ABE"/>
    <w:rsid w:val="00705B96"/>
    <w:rsid w:val="00705C2D"/>
    <w:rsid w:val="00706851"/>
    <w:rsid w:val="00706FB8"/>
    <w:rsid w:val="00707889"/>
    <w:rsid w:val="0071011F"/>
    <w:rsid w:val="00710674"/>
    <w:rsid w:val="0071090C"/>
    <w:rsid w:val="00710C2B"/>
    <w:rsid w:val="007116AB"/>
    <w:rsid w:val="0071175A"/>
    <w:rsid w:val="00712360"/>
    <w:rsid w:val="007123E5"/>
    <w:rsid w:val="007127F9"/>
    <w:rsid w:val="007129DD"/>
    <w:rsid w:val="007131CF"/>
    <w:rsid w:val="00713BE9"/>
    <w:rsid w:val="007140BA"/>
    <w:rsid w:val="0071415E"/>
    <w:rsid w:val="00714778"/>
    <w:rsid w:val="0071492D"/>
    <w:rsid w:val="00714AA0"/>
    <w:rsid w:val="00714C08"/>
    <w:rsid w:val="00715581"/>
    <w:rsid w:val="0071569B"/>
    <w:rsid w:val="007157F3"/>
    <w:rsid w:val="007162C7"/>
    <w:rsid w:val="007166D4"/>
    <w:rsid w:val="0071690E"/>
    <w:rsid w:val="007172D9"/>
    <w:rsid w:val="007173D0"/>
    <w:rsid w:val="0071749F"/>
    <w:rsid w:val="00717527"/>
    <w:rsid w:val="00717A63"/>
    <w:rsid w:val="00717D35"/>
    <w:rsid w:val="00717F94"/>
    <w:rsid w:val="00720118"/>
    <w:rsid w:val="00720888"/>
    <w:rsid w:val="00720CD2"/>
    <w:rsid w:val="00720DE5"/>
    <w:rsid w:val="00720EF8"/>
    <w:rsid w:val="00720FAD"/>
    <w:rsid w:val="0072138D"/>
    <w:rsid w:val="0072145B"/>
    <w:rsid w:val="00721A96"/>
    <w:rsid w:val="00721E53"/>
    <w:rsid w:val="0072206B"/>
    <w:rsid w:val="007220D8"/>
    <w:rsid w:val="00722324"/>
    <w:rsid w:val="0072252F"/>
    <w:rsid w:val="00724024"/>
    <w:rsid w:val="007240B3"/>
    <w:rsid w:val="007244E4"/>
    <w:rsid w:val="007247AF"/>
    <w:rsid w:val="00725680"/>
    <w:rsid w:val="00725B53"/>
    <w:rsid w:val="00725DBF"/>
    <w:rsid w:val="00726249"/>
    <w:rsid w:val="007266F0"/>
    <w:rsid w:val="00726E4C"/>
    <w:rsid w:val="00727410"/>
    <w:rsid w:val="0072746D"/>
    <w:rsid w:val="00727A53"/>
    <w:rsid w:val="00727AD4"/>
    <w:rsid w:val="00727CF0"/>
    <w:rsid w:val="00727DCD"/>
    <w:rsid w:val="00727F88"/>
    <w:rsid w:val="007300FC"/>
    <w:rsid w:val="00730269"/>
    <w:rsid w:val="00730437"/>
    <w:rsid w:val="007306A2"/>
    <w:rsid w:val="00730F3A"/>
    <w:rsid w:val="007312AA"/>
    <w:rsid w:val="007316D3"/>
    <w:rsid w:val="0073196F"/>
    <w:rsid w:val="00731B68"/>
    <w:rsid w:val="00731FE7"/>
    <w:rsid w:val="00732262"/>
    <w:rsid w:val="00732491"/>
    <w:rsid w:val="00733218"/>
    <w:rsid w:val="00733275"/>
    <w:rsid w:val="0073346F"/>
    <w:rsid w:val="007334B3"/>
    <w:rsid w:val="00733825"/>
    <w:rsid w:val="007338EC"/>
    <w:rsid w:val="00733DAF"/>
    <w:rsid w:val="007341B3"/>
    <w:rsid w:val="007347D6"/>
    <w:rsid w:val="007349A7"/>
    <w:rsid w:val="00734C1B"/>
    <w:rsid w:val="00734EA5"/>
    <w:rsid w:val="00735F12"/>
    <w:rsid w:val="00735F8D"/>
    <w:rsid w:val="00736A9F"/>
    <w:rsid w:val="00736AA8"/>
    <w:rsid w:val="00737609"/>
    <w:rsid w:val="00737A45"/>
    <w:rsid w:val="00737B69"/>
    <w:rsid w:val="00737D7B"/>
    <w:rsid w:val="00737FF1"/>
    <w:rsid w:val="00740CE4"/>
    <w:rsid w:val="00740D61"/>
    <w:rsid w:val="0074165A"/>
    <w:rsid w:val="00741931"/>
    <w:rsid w:val="00741A4F"/>
    <w:rsid w:val="00741B6C"/>
    <w:rsid w:val="00742174"/>
    <w:rsid w:val="007427DF"/>
    <w:rsid w:val="0074289A"/>
    <w:rsid w:val="00742AB6"/>
    <w:rsid w:val="00742D28"/>
    <w:rsid w:val="00742F28"/>
    <w:rsid w:val="0074303E"/>
    <w:rsid w:val="00743113"/>
    <w:rsid w:val="0074397F"/>
    <w:rsid w:val="00744C34"/>
    <w:rsid w:val="00744CFD"/>
    <w:rsid w:val="00745266"/>
    <w:rsid w:val="007459BF"/>
    <w:rsid w:val="0074606F"/>
    <w:rsid w:val="007460A4"/>
    <w:rsid w:val="007469A3"/>
    <w:rsid w:val="00746F86"/>
    <w:rsid w:val="00747087"/>
    <w:rsid w:val="0074771F"/>
    <w:rsid w:val="007477CE"/>
    <w:rsid w:val="00747A8E"/>
    <w:rsid w:val="00747A96"/>
    <w:rsid w:val="00747B5F"/>
    <w:rsid w:val="00747BD2"/>
    <w:rsid w:val="007508F2"/>
    <w:rsid w:val="00750A9B"/>
    <w:rsid w:val="00750D3B"/>
    <w:rsid w:val="00750FF1"/>
    <w:rsid w:val="007510B7"/>
    <w:rsid w:val="0075112E"/>
    <w:rsid w:val="00751334"/>
    <w:rsid w:val="007515B2"/>
    <w:rsid w:val="007516F0"/>
    <w:rsid w:val="0075183E"/>
    <w:rsid w:val="00751903"/>
    <w:rsid w:val="00751916"/>
    <w:rsid w:val="0075284E"/>
    <w:rsid w:val="0075377D"/>
    <w:rsid w:val="007537B5"/>
    <w:rsid w:val="00753A99"/>
    <w:rsid w:val="00753DEB"/>
    <w:rsid w:val="00753E04"/>
    <w:rsid w:val="0075465C"/>
    <w:rsid w:val="00754C05"/>
    <w:rsid w:val="007550AB"/>
    <w:rsid w:val="00755790"/>
    <w:rsid w:val="00755D32"/>
    <w:rsid w:val="00755D3F"/>
    <w:rsid w:val="00755E02"/>
    <w:rsid w:val="007575CB"/>
    <w:rsid w:val="00757658"/>
    <w:rsid w:val="00757B3C"/>
    <w:rsid w:val="00760476"/>
    <w:rsid w:val="0076092C"/>
    <w:rsid w:val="00760D6C"/>
    <w:rsid w:val="00760D9A"/>
    <w:rsid w:val="007615B3"/>
    <w:rsid w:val="007617E1"/>
    <w:rsid w:val="00761BDE"/>
    <w:rsid w:val="00761C3E"/>
    <w:rsid w:val="00762052"/>
    <w:rsid w:val="0076227F"/>
    <w:rsid w:val="007625F6"/>
    <w:rsid w:val="007629C6"/>
    <w:rsid w:val="00762A52"/>
    <w:rsid w:val="00762AB7"/>
    <w:rsid w:val="00762F27"/>
    <w:rsid w:val="00763AF7"/>
    <w:rsid w:val="007646BC"/>
    <w:rsid w:val="0076476B"/>
    <w:rsid w:val="00764922"/>
    <w:rsid w:val="00764BAF"/>
    <w:rsid w:val="00764CC7"/>
    <w:rsid w:val="00764E06"/>
    <w:rsid w:val="00764F10"/>
    <w:rsid w:val="007653DA"/>
    <w:rsid w:val="00765408"/>
    <w:rsid w:val="00765DC4"/>
    <w:rsid w:val="00765E25"/>
    <w:rsid w:val="0076614E"/>
    <w:rsid w:val="00766574"/>
    <w:rsid w:val="0076657D"/>
    <w:rsid w:val="00766789"/>
    <w:rsid w:val="007667F4"/>
    <w:rsid w:val="0076695A"/>
    <w:rsid w:val="00766962"/>
    <w:rsid w:val="00767084"/>
    <w:rsid w:val="007671FC"/>
    <w:rsid w:val="0076734F"/>
    <w:rsid w:val="0076772C"/>
    <w:rsid w:val="0077026C"/>
    <w:rsid w:val="00770704"/>
    <w:rsid w:val="007707F7"/>
    <w:rsid w:val="00770E58"/>
    <w:rsid w:val="00770EDB"/>
    <w:rsid w:val="00771BB7"/>
    <w:rsid w:val="00771F30"/>
    <w:rsid w:val="0077250E"/>
    <w:rsid w:val="0077280D"/>
    <w:rsid w:val="00773429"/>
    <w:rsid w:val="00773725"/>
    <w:rsid w:val="00773E4F"/>
    <w:rsid w:val="00774453"/>
    <w:rsid w:val="007746B3"/>
    <w:rsid w:val="00774AD4"/>
    <w:rsid w:val="00775485"/>
    <w:rsid w:val="0077594B"/>
    <w:rsid w:val="0077630B"/>
    <w:rsid w:val="0077662E"/>
    <w:rsid w:val="00776836"/>
    <w:rsid w:val="00776944"/>
    <w:rsid w:val="00776EE4"/>
    <w:rsid w:val="00776EEE"/>
    <w:rsid w:val="0077718A"/>
    <w:rsid w:val="0077742F"/>
    <w:rsid w:val="00777439"/>
    <w:rsid w:val="007775AA"/>
    <w:rsid w:val="00777700"/>
    <w:rsid w:val="00777733"/>
    <w:rsid w:val="007778C7"/>
    <w:rsid w:val="00777AA6"/>
    <w:rsid w:val="00777D66"/>
    <w:rsid w:val="007800CD"/>
    <w:rsid w:val="00780489"/>
    <w:rsid w:val="00780815"/>
    <w:rsid w:val="00780C06"/>
    <w:rsid w:val="00780E5C"/>
    <w:rsid w:val="00781B86"/>
    <w:rsid w:val="007825C0"/>
    <w:rsid w:val="00782A7A"/>
    <w:rsid w:val="00782BBB"/>
    <w:rsid w:val="00782BF7"/>
    <w:rsid w:val="00782C12"/>
    <w:rsid w:val="00783D9B"/>
    <w:rsid w:val="00784998"/>
    <w:rsid w:val="007849AA"/>
    <w:rsid w:val="00785063"/>
    <w:rsid w:val="0078540C"/>
    <w:rsid w:val="00785D9C"/>
    <w:rsid w:val="00786990"/>
    <w:rsid w:val="00786FA4"/>
    <w:rsid w:val="007873FF"/>
    <w:rsid w:val="00787553"/>
    <w:rsid w:val="00787936"/>
    <w:rsid w:val="007902E7"/>
    <w:rsid w:val="0079031A"/>
    <w:rsid w:val="007904D5"/>
    <w:rsid w:val="007905D2"/>
    <w:rsid w:val="00790833"/>
    <w:rsid w:val="007912B7"/>
    <w:rsid w:val="007915EC"/>
    <w:rsid w:val="00791A2A"/>
    <w:rsid w:val="00791F3F"/>
    <w:rsid w:val="00792722"/>
    <w:rsid w:val="00792B8B"/>
    <w:rsid w:val="00792E02"/>
    <w:rsid w:val="00792E8C"/>
    <w:rsid w:val="0079303D"/>
    <w:rsid w:val="0079305A"/>
    <w:rsid w:val="0079308D"/>
    <w:rsid w:val="00793248"/>
    <w:rsid w:val="007937AB"/>
    <w:rsid w:val="00793AC8"/>
    <w:rsid w:val="00793E4C"/>
    <w:rsid w:val="00793F58"/>
    <w:rsid w:val="00793FC8"/>
    <w:rsid w:val="00794A71"/>
    <w:rsid w:val="00794B65"/>
    <w:rsid w:val="00794D7D"/>
    <w:rsid w:val="00794E5D"/>
    <w:rsid w:val="0079541A"/>
    <w:rsid w:val="00795486"/>
    <w:rsid w:val="00795AC5"/>
    <w:rsid w:val="00795E62"/>
    <w:rsid w:val="00795F25"/>
    <w:rsid w:val="0079608D"/>
    <w:rsid w:val="00796128"/>
    <w:rsid w:val="0079624B"/>
    <w:rsid w:val="00796CDA"/>
    <w:rsid w:val="00796E8B"/>
    <w:rsid w:val="007973B4"/>
    <w:rsid w:val="007975C1"/>
    <w:rsid w:val="00797D62"/>
    <w:rsid w:val="007A029E"/>
    <w:rsid w:val="007A05BD"/>
    <w:rsid w:val="007A09DC"/>
    <w:rsid w:val="007A0E63"/>
    <w:rsid w:val="007A109A"/>
    <w:rsid w:val="007A1421"/>
    <w:rsid w:val="007A1ACF"/>
    <w:rsid w:val="007A1E07"/>
    <w:rsid w:val="007A24FE"/>
    <w:rsid w:val="007A254B"/>
    <w:rsid w:val="007A2A72"/>
    <w:rsid w:val="007A2D77"/>
    <w:rsid w:val="007A320D"/>
    <w:rsid w:val="007A3C02"/>
    <w:rsid w:val="007A4014"/>
    <w:rsid w:val="007A411D"/>
    <w:rsid w:val="007A4969"/>
    <w:rsid w:val="007A4E24"/>
    <w:rsid w:val="007A4FDF"/>
    <w:rsid w:val="007A50CD"/>
    <w:rsid w:val="007A52C4"/>
    <w:rsid w:val="007A551D"/>
    <w:rsid w:val="007A59C7"/>
    <w:rsid w:val="007A6006"/>
    <w:rsid w:val="007A67BF"/>
    <w:rsid w:val="007A69B6"/>
    <w:rsid w:val="007A6AAE"/>
    <w:rsid w:val="007A739B"/>
    <w:rsid w:val="007A7B18"/>
    <w:rsid w:val="007A7DA2"/>
    <w:rsid w:val="007A7FDB"/>
    <w:rsid w:val="007B0084"/>
    <w:rsid w:val="007B0A77"/>
    <w:rsid w:val="007B112D"/>
    <w:rsid w:val="007B12BE"/>
    <w:rsid w:val="007B13D5"/>
    <w:rsid w:val="007B15FD"/>
    <w:rsid w:val="007B1647"/>
    <w:rsid w:val="007B19BB"/>
    <w:rsid w:val="007B1D0C"/>
    <w:rsid w:val="007B2331"/>
    <w:rsid w:val="007B2753"/>
    <w:rsid w:val="007B29C4"/>
    <w:rsid w:val="007B2C33"/>
    <w:rsid w:val="007B2E76"/>
    <w:rsid w:val="007B2FB1"/>
    <w:rsid w:val="007B3241"/>
    <w:rsid w:val="007B37E0"/>
    <w:rsid w:val="007B3DAD"/>
    <w:rsid w:val="007B40E7"/>
    <w:rsid w:val="007B4261"/>
    <w:rsid w:val="007B48C4"/>
    <w:rsid w:val="007B4C0A"/>
    <w:rsid w:val="007B4DA3"/>
    <w:rsid w:val="007B53B4"/>
    <w:rsid w:val="007B56EF"/>
    <w:rsid w:val="007B62EB"/>
    <w:rsid w:val="007B68E5"/>
    <w:rsid w:val="007B6A12"/>
    <w:rsid w:val="007B6FA3"/>
    <w:rsid w:val="007B6FF9"/>
    <w:rsid w:val="007B737A"/>
    <w:rsid w:val="007B7485"/>
    <w:rsid w:val="007B78A1"/>
    <w:rsid w:val="007B7D0B"/>
    <w:rsid w:val="007B7F92"/>
    <w:rsid w:val="007C0077"/>
    <w:rsid w:val="007C008A"/>
    <w:rsid w:val="007C03F5"/>
    <w:rsid w:val="007C05D8"/>
    <w:rsid w:val="007C07A4"/>
    <w:rsid w:val="007C08EE"/>
    <w:rsid w:val="007C0B27"/>
    <w:rsid w:val="007C0C20"/>
    <w:rsid w:val="007C1760"/>
    <w:rsid w:val="007C1941"/>
    <w:rsid w:val="007C1C13"/>
    <w:rsid w:val="007C204C"/>
    <w:rsid w:val="007C2594"/>
    <w:rsid w:val="007C2759"/>
    <w:rsid w:val="007C2882"/>
    <w:rsid w:val="007C2E5D"/>
    <w:rsid w:val="007C30FE"/>
    <w:rsid w:val="007C3D7C"/>
    <w:rsid w:val="007C4BD9"/>
    <w:rsid w:val="007C512C"/>
    <w:rsid w:val="007C5264"/>
    <w:rsid w:val="007C6612"/>
    <w:rsid w:val="007C7313"/>
    <w:rsid w:val="007C7393"/>
    <w:rsid w:val="007C76BE"/>
    <w:rsid w:val="007C7944"/>
    <w:rsid w:val="007C7C55"/>
    <w:rsid w:val="007C7E1A"/>
    <w:rsid w:val="007D0EC6"/>
    <w:rsid w:val="007D12E7"/>
    <w:rsid w:val="007D14C5"/>
    <w:rsid w:val="007D178F"/>
    <w:rsid w:val="007D1BA9"/>
    <w:rsid w:val="007D1D6B"/>
    <w:rsid w:val="007D2194"/>
    <w:rsid w:val="007D22BC"/>
    <w:rsid w:val="007D22C5"/>
    <w:rsid w:val="007D270B"/>
    <w:rsid w:val="007D272E"/>
    <w:rsid w:val="007D29A1"/>
    <w:rsid w:val="007D2AE8"/>
    <w:rsid w:val="007D3348"/>
    <w:rsid w:val="007D33D7"/>
    <w:rsid w:val="007D4163"/>
    <w:rsid w:val="007D4B01"/>
    <w:rsid w:val="007D517C"/>
    <w:rsid w:val="007D5B4C"/>
    <w:rsid w:val="007D614A"/>
    <w:rsid w:val="007D63E0"/>
    <w:rsid w:val="007D67F1"/>
    <w:rsid w:val="007D6A4C"/>
    <w:rsid w:val="007D6EC1"/>
    <w:rsid w:val="007D6FD9"/>
    <w:rsid w:val="007D729C"/>
    <w:rsid w:val="007D73DC"/>
    <w:rsid w:val="007D7E23"/>
    <w:rsid w:val="007E03C0"/>
    <w:rsid w:val="007E0912"/>
    <w:rsid w:val="007E09EE"/>
    <w:rsid w:val="007E09FF"/>
    <w:rsid w:val="007E10DC"/>
    <w:rsid w:val="007E1612"/>
    <w:rsid w:val="007E1DDE"/>
    <w:rsid w:val="007E2034"/>
    <w:rsid w:val="007E26BA"/>
    <w:rsid w:val="007E2836"/>
    <w:rsid w:val="007E2938"/>
    <w:rsid w:val="007E3112"/>
    <w:rsid w:val="007E37C1"/>
    <w:rsid w:val="007E3C0F"/>
    <w:rsid w:val="007E3D2A"/>
    <w:rsid w:val="007E402A"/>
    <w:rsid w:val="007E4B4D"/>
    <w:rsid w:val="007E4B71"/>
    <w:rsid w:val="007E562B"/>
    <w:rsid w:val="007E568A"/>
    <w:rsid w:val="007E57DB"/>
    <w:rsid w:val="007E5BD1"/>
    <w:rsid w:val="007E5DB6"/>
    <w:rsid w:val="007E5E11"/>
    <w:rsid w:val="007E60A9"/>
    <w:rsid w:val="007E6785"/>
    <w:rsid w:val="007E6EA5"/>
    <w:rsid w:val="007E6EF5"/>
    <w:rsid w:val="007E71C2"/>
    <w:rsid w:val="007E7D93"/>
    <w:rsid w:val="007E7EDB"/>
    <w:rsid w:val="007F0D03"/>
    <w:rsid w:val="007F10E2"/>
    <w:rsid w:val="007F1745"/>
    <w:rsid w:val="007F197A"/>
    <w:rsid w:val="007F222B"/>
    <w:rsid w:val="007F2444"/>
    <w:rsid w:val="007F24A2"/>
    <w:rsid w:val="007F27A8"/>
    <w:rsid w:val="007F2C59"/>
    <w:rsid w:val="007F2EFF"/>
    <w:rsid w:val="007F336E"/>
    <w:rsid w:val="007F390F"/>
    <w:rsid w:val="007F3A54"/>
    <w:rsid w:val="007F3AB1"/>
    <w:rsid w:val="007F3E00"/>
    <w:rsid w:val="007F4215"/>
    <w:rsid w:val="007F4655"/>
    <w:rsid w:val="007F476E"/>
    <w:rsid w:val="007F4828"/>
    <w:rsid w:val="007F4FFD"/>
    <w:rsid w:val="007F5031"/>
    <w:rsid w:val="007F5200"/>
    <w:rsid w:val="007F5655"/>
    <w:rsid w:val="007F5720"/>
    <w:rsid w:val="007F5C2E"/>
    <w:rsid w:val="007F5ED9"/>
    <w:rsid w:val="007F5F34"/>
    <w:rsid w:val="007F637A"/>
    <w:rsid w:val="007F659B"/>
    <w:rsid w:val="007F6713"/>
    <w:rsid w:val="007F72E7"/>
    <w:rsid w:val="007F7617"/>
    <w:rsid w:val="007F780B"/>
    <w:rsid w:val="007F7A8C"/>
    <w:rsid w:val="0080001F"/>
    <w:rsid w:val="008005C8"/>
    <w:rsid w:val="008006BE"/>
    <w:rsid w:val="00800885"/>
    <w:rsid w:val="00800FD6"/>
    <w:rsid w:val="00801227"/>
    <w:rsid w:val="00801343"/>
    <w:rsid w:val="008014BA"/>
    <w:rsid w:val="0080172A"/>
    <w:rsid w:val="008019BC"/>
    <w:rsid w:val="008020EA"/>
    <w:rsid w:val="00802B3B"/>
    <w:rsid w:val="008036E9"/>
    <w:rsid w:val="0080397A"/>
    <w:rsid w:val="00803D9C"/>
    <w:rsid w:val="00803E8A"/>
    <w:rsid w:val="008044F4"/>
    <w:rsid w:val="008046C5"/>
    <w:rsid w:val="008049AD"/>
    <w:rsid w:val="008049C1"/>
    <w:rsid w:val="00804D29"/>
    <w:rsid w:val="00804F33"/>
    <w:rsid w:val="00805471"/>
    <w:rsid w:val="00805C3F"/>
    <w:rsid w:val="00807054"/>
    <w:rsid w:val="008070BB"/>
    <w:rsid w:val="0080710D"/>
    <w:rsid w:val="0080728A"/>
    <w:rsid w:val="0080736C"/>
    <w:rsid w:val="00810371"/>
    <w:rsid w:val="0081052F"/>
    <w:rsid w:val="00810889"/>
    <w:rsid w:val="00810ACA"/>
    <w:rsid w:val="00810AFD"/>
    <w:rsid w:val="00810D17"/>
    <w:rsid w:val="00811358"/>
    <w:rsid w:val="0081138A"/>
    <w:rsid w:val="008119EF"/>
    <w:rsid w:val="00811A22"/>
    <w:rsid w:val="0081206C"/>
    <w:rsid w:val="008126F4"/>
    <w:rsid w:val="008136F4"/>
    <w:rsid w:val="00813810"/>
    <w:rsid w:val="00813DBC"/>
    <w:rsid w:val="00813F7A"/>
    <w:rsid w:val="00814162"/>
    <w:rsid w:val="00814B5E"/>
    <w:rsid w:val="00814C5C"/>
    <w:rsid w:val="008150A5"/>
    <w:rsid w:val="00815204"/>
    <w:rsid w:val="00815557"/>
    <w:rsid w:val="0081557B"/>
    <w:rsid w:val="00816284"/>
    <w:rsid w:val="00816504"/>
    <w:rsid w:val="008169CB"/>
    <w:rsid w:val="00817F56"/>
    <w:rsid w:val="0082020C"/>
    <w:rsid w:val="00820280"/>
    <w:rsid w:val="008206A9"/>
    <w:rsid w:val="00820A5F"/>
    <w:rsid w:val="00820C27"/>
    <w:rsid w:val="00820E92"/>
    <w:rsid w:val="0082102D"/>
    <w:rsid w:val="00821682"/>
    <w:rsid w:val="00821F18"/>
    <w:rsid w:val="00821F7C"/>
    <w:rsid w:val="0082226D"/>
    <w:rsid w:val="008222B0"/>
    <w:rsid w:val="00822446"/>
    <w:rsid w:val="00822781"/>
    <w:rsid w:val="008227EF"/>
    <w:rsid w:val="00822995"/>
    <w:rsid w:val="008229B8"/>
    <w:rsid w:val="008229F9"/>
    <w:rsid w:val="00822FC7"/>
    <w:rsid w:val="008239AE"/>
    <w:rsid w:val="00824044"/>
    <w:rsid w:val="00824559"/>
    <w:rsid w:val="008254D8"/>
    <w:rsid w:val="008255CE"/>
    <w:rsid w:val="0082570D"/>
    <w:rsid w:val="00825719"/>
    <w:rsid w:val="00825CB7"/>
    <w:rsid w:val="0082617F"/>
    <w:rsid w:val="008261C5"/>
    <w:rsid w:val="00826890"/>
    <w:rsid w:val="00826965"/>
    <w:rsid w:val="00826CE4"/>
    <w:rsid w:val="008273D3"/>
    <w:rsid w:val="00827525"/>
    <w:rsid w:val="00827A8C"/>
    <w:rsid w:val="008306C2"/>
    <w:rsid w:val="00830810"/>
    <w:rsid w:val="0083088F"/>
    <w:rsid w:val="00830982"/>
    <w:rsid w:val="00831638"/>
    <w:rsid w:val="008323B9"/>
    <w:rsid w:val="00832650"/>
    <w:rsid w:val="00832798"/>
    <w:rsid w:val="00832E30"/>
    <w:rsid w:val="008330E5"/>
    <w:rsid w:val="008331A2"/>
    <w:rsid w:val="00833231"/>
    <w:rsid w:val="00833460"/>
    <w:rsid w:val="00833723"/>
    <w:rsid w:val="008338AC"/>
    <w:rsid w:val="008339DD"/>
    <w:rsid w:val="00833D00"/>
    <w:rsid w:val="00834202"/>
    <w:rsid w:val="008349C4"/>
    <w:rsid w:val="00834A2F"/>
    <w:rsid w:val="00835179"/>
    <w:rsid w:val="008353D9"/>
    <w:rsid w:val="00835A69"/>
    <w:rsid w:val="00835B44"/>
    <w:rsid w:val="00835E0B"/>
    <w:rsid w:val="00835E77"/>
    <w:rsid w:val="00835FDB"/>
    <w:rsid w:val="0083638F"/>
    <w:rsid w:val="008365A4"/>
    <w:rsid w:val="0083667D"/>
    <w:rsid w:val="00836B6F"/>
    <w:rsid w:val="00836D1E"/>
    <w:rsid w:val="00837560"/>
    <w:rsid w:val="00837807"/>
    <w:rsid w:val="00840122"/>
    <w:rsid w:val="00840798"/>
    <w:rsid w:val="0084085C"/>
    <w:rsid w:val="00840BCC"/>
    <w:rsid w:val="00840EBD"/>
    <w:rsid w:val="008412E1"/>
    <w:rsid w:val="00841F48"/>
    <w:rsid w:val="008433E4"/>
    <w:rsid w:val="00843474"/>
    <w:rsid w:val="00843748"/>
    <w:rsid w:val="0084389C"/>
    <w:rsid w:val="008446A1"/>
    <w:rsid w:val="00844CC4"/>
    <w:rsid w:val="00845667"/>
    <w:rsid w:val="00845A97"/>
    <w:rsid w:val="00845E6E"/>
    <w:rsid w:val="00846265"/>
    <w:rsid w:val="008468E3"/>
    <w:rsid w:val="008475BF"/>
    <w:rsid w:val="0084764A"/>
    <w:rsid w:val="00847819"/>
    <w:rsid w:val="00847BA3"/>
    <w:rsid w:val="00847BB1"/>
    <w:rsid w:val="00847F56"/>
    <w:rsid w:val="00850121"/>
    <w:rsid w:val="00850B63"/>
    <w:rsid w:val="00850D9A"/>
    <w:rsid w:val="00850FF9"/>
    <w:rsid w:val="008511DD"/>
    <w:rsid w:val="008512BD"/>
    <w:rsid w:val="008524E6"/>
    <w:rsid w:val="0085269B"/>
    <w:rsid w:val="008526F1"/>
    <w:rsid w:val="008527E4"/>
    <w:rsid w:val="008527EE"/>
    <w:rsid w:val="00852CB6"/>
    <w:rsid w:val="00852D2E"/>
    <w:rsid w:val="00852E42"/>
    <w:rsid w:val="008533EB"/>
    <w:rsid w:val="008538E4"/>
    <w:rsid w:val="00853CF8"/>
    <w:rsid w:val="00853E3C"/>
    <w:rsid w:val="00853F52"/>
    <w:rsid w:val="00853F5B"/>
    <w:rsid w:val="008544F7"/>
    <w:rsid w:val="00854E68"/>
    <w:rsid w:val="0085501F"/>
    <w:rsid w:val="00855A9A"/>
    <w:rsid w:val="00856189"/>
    <w:rsid w:val="008564A3"/>
    <w:rsid w:val="008564E9"/>
    <w:rsid w:val="00856506"/>
    <w:rsid w:val="00856669"/>
    <w:rsid w:val="00856689"/>
    <w:rsid w:val="00856A0E"/>
    <w:rsid w:val="00857596"/>
    <w:rsid w:val="0085770B"/>
    <w:rsid w:val="00860107"/>
    <w:rsid w:val="00860611"/>
    <w:rsid w:val="00861173"/>
    <w:rsid w:val="008612DC"/>
    <w:rsid w:val="008617F8"/>
    <w:rsid w:val="00861CB2"/>
    <w:rsid w:val="00861F88"/>
    <w:rsid w:val="00862100"/>
    <w:rsid w:val="008622F7"/>
    <w:rsid w:val="008631CE"/>
    <w:rsid w:val="00863378"/>
    <w:rsid w:val="008635E6"/>
    <w:rsid w:val="00864268"/>
    <w:rsid w:val="0086443E"/>
    <w:rsid w:val="0086488E"/>
    <w:rsid w:val="00864B8C"/>
    <w:rsid w:val="00864DE4"/>
    <w:rsid w:val="008662BE"/>
    <w:rsid w:val="0086697C"/>
    <w:rsid w:val="0086731C"/>
    <w:rsid w:val="00867925"/>
    <w:rsid w:val="008679ED"/>
    <w:rsid w:val="00867AC8"/>
    <w:rsid w:val="008701B0"/>
    <w:rsid w:val="00870292"/>
    <w:rsid w:val="00870881"/>
    <w:rsid w:val="0087149B"/>
    <w:rsid w:val="00871744"/>
    <w:rsid w:val="00871C75"/>
    <w:rsid w:val="00871CC4"/>
    <w:rsid w:val="0087277F"/>
    <w:rsid w:val="00872A46"/>
    <w:rsid w:val="00872A60"/>
    <w:rsid w:val="00872FD2"/>
    <w:rsid w:val="008732C5"/>
    <w:rsid w:val="00873414"/>
    <w:rsid w:val="00873D35"/>
    <w:rsid w:val="00873F25"/>
    <w:rsid w:val="00873F92"/>
    <w:rsid w:val="0087442D"/>
    <w:rsid w:val="00874677"/>
    <w:rsid w:val="00874812"/>
    <w:rsid w:val="008749CF"/>
    <w:rsid w:val="00874A31"/>
    <w:rsid w:val="00874C86"/>
    <w:rsid w:val="00875568"/>
    <w:rsid w:val="0087560E"/>
    <w:rsid w:val="008757F1"/>
    <w:rsid w:val="00876341"/>
    <w:rsid w:val="00876869"/>
    <w:rsid w:val="0087686F"/>
    <w:rsid w:val="00876CFF"/>
    <w:rsid w:val="00876EB4"/>
    <w:rsid w:val="00876FD9"/>
    <w:rsid w:val="00877076"/>
    <w:rsid w:val="008773D6"/>
    <w:rsid w:val="00877E03"/>
    <w:rsid w:val="00880497"/>
    <w:rsid w:val="008809CB"/>
    <w:rsid w:val="008811DB"/>
    <w:rsid w:val="008813A9"/>
    <w:rsid w:val="008813DC"/>
    <w:rsid w:val="00881A1B"/>
    <w:rsid w:val="00881C9E"/>
    <w:rsid w:val="00881D3F"/>
    <w:rsid w:val="00882A8C"/>
    <w:rsid w:val="00882B1D"/>
    <w:rsid w:val="0088305C"/>
    <w:rsid w:val="008832F3"/>
    <w:rsid w:val="0088366C"/>
    <w:rsid w:val="0088367F"/>
    <w:rsid w:val="00883A74"/>
    <w:rsid w:val="00883B08"/>
    <w:rsid w:val="00883D17"/>
    <w:rsid w:val="00884660"/>
    <w:rsid w:val="008848CD"/>
    <w:rsid w:val="00884FE5"/>
    <w:rsid w:val="0088528E"/>
    <w:rsid w:val="00885879"/>
    <w:rsid w:val="00885DC0"/>
    <w:rsid w:val="00886207"/>
    <w:rsid w:val="00886783"/>
    <w:rsid w:val="00886829"/>
    <w:rsid w:val="00886BD5"/>
    <w:rsid w:val="00886CDF"/>
    <w:rsid w:val="00886CE8"/>
    <w:rsid w:val="008871C9"/>
    <w:rsid w:val="00887793"/>
    <w:rsid w:val="00887ADC"/>
    <w:rsid w:val="00887C48"/>
    <w:rsid w:val="008901EB"/>
    <w:rsid w:val="008903AC"/>
    <w:rsid w:val="00890556"/>
    <w:rsid w:val="0089062E"/>
    <w:rsid w:val="00890EA7"/>
    <w:rsid w:val="008911BD"/>
    <w:rsid w:val="00891CE6"/>
    <w:rsid w:val="00891EAE"/>
    <w:rsid w:val="008924CD"/>
    <w:rsid w:val="00892691"/>
    <w:rsid w:val="00892697"/>
    <w:rsid w:val="00892736"/>
    <w:rsid w:val="00892A07"/>
    <w:rsid w:val="00892AA6"/>
    <w:rsid w:val="00892E65"/>
    <w:rsid w:val="00892F41"/>
    <w:rsid w:val="008930B2"/>
    <w:rsid w:val="008931DD"/>
    <w:rsid w:val="00893A4F"/>
    <w:rsid w:val="00893D71"/>
    <w:rsid w:val="008942D9"/>
    <w:rsid w:val="0089448B"/>
    <w:rsid w:val="008947E0"/>
    <w:rsid w:val="00894F9A"/>
    <w:rsid w:val="0089522D"/>
    <w:rsid w:val="008953CB"/>
    <w:rsid w:val="00895BAC"/>
    <w:rsid w:val="00895D57"/>
    <w:rsid w:val="0089635C"/>
    <w:rsid w:val="00896379"/>
    <w:rsid w:val="008966AB"/>
    <w:rsid w:val="0089670E"/>
    <w:rsid w:val="00896BD0"/>
    <w:rsid w:val="00896D99"/>
    <w:rsid w:val="00896E3F"/>
    <w:rsid w:val="0089741A"/>
    <w:rsid w:val="00897AD5"/>
    <w:rsid w:val="00897EE4"/>
    <w:rsid w:val="00897FFC"/>
    <w:rsid w:val="008A0223"/>
    <w:rsid w:val="008A0A16"/>
    <w:rsid w:val="008A149F"/>
    <w:rsid w:val="008A1510"/>
    <w:rsid w:val="008A1E27"/>
    <w:rsid w:val="008A1F62"/>
    <w:rsid w:val="008A2571"/>
    <w:rsid w:val="008A264F"/>
    <w:rsid w:val="008A26EE"/>
    <w:rsid w:val="008A2825"/>
    <w:rsid w:val="008A28AF"/>
    <w:rsid w:val="008A2BAF"/>
    <w:rsid w:val="008A4606"/>
    <w:rsid w:val="008A47A3"/>
    <w:rsid w:val="008A4A56"/>
    <w:rsid w:val="008A4DF2"/>
    <w:rsid w:val="008A503B"/>
    <w:rsid w:val="008A52E8"/>
    <w:rsid w:val="008A5BB0"/>
    <w:rsid w:val="008A5E2A"/>
    <w:rsid w:val="008A5F80"/>
    <w:rsid w:val="008A7313"/>
    <w:rsid w:val="008A748D"/>
    <w:rsid w:val="008A74C0"/>
    <w:rsid w:val="008A7617"/>
    <w:rsid w:val="008B0848"/>
    <w:rsid w:val="008B1FA5"/>
    <w:rsid w:val="008B20E8"/>
    <w:rsid w:val="008B2118"/>
    <w:rsid w:val="008B2250"/>
    <w:rsid w:val="008B262B"/>
    <w:rsid w:val="008B2639"/>
    <w:rsid w:val="008B26FD"/>
    <w:rsid w:val="008B2E86"/>
    <w:rsid w:val="008B32DF"/>
    <w:rsid w:val="008B34DC"/>
    <w:rsid w:val="008B3A3E"/>
    <w:rsid w:val="008B3D55"/>
    <w:rsid w:val="008B3DE7"/>
    <w:rsid w:val="008B4039"/>
    <w:rsid w:val="008B404C"/>
    <w:rsid w:val="008B4506"/>
    <w:rsid w:val="008B458D"/>
    <w:rsid w:val="008B4817"/>
    <w:rsid w:val="008B4BA9"/>
    <w:rsid w:val="008B518D"/>
    <w:rsid w:val="008B5192"/>
    <w:rsid w:val="008B5246"/>
    <w:rsid w:val="008B524F"/>
    <w:rsid w:val="008B52CC"/>
    <w:rsid w:val="008B5FD3"/>
    <w:rsid w:val="008B737C"/>
    <w:rsid w:val="008B77E7"/>
    <w:rsid w:val="008B7F6E"/>
    <w:rsid w:val="008C056D"/>
    <w:rsid w:val="008C066F"/>
    <w:rsid w:val="008C0907"/>
    <w:rsid w:val="008C09AF"/>
    <w:rsid w:val="008C0AD5"/>
    <w:rsid w:val="008C0CBE"/>
    <w:rsid w:val="008C0EAA"/>
    <w:rsid w:val="008C16DC"/>
    <w:rsid w:val="008C18C5"/>
    <w:rsid w:val="008C18F3"/>
    <w:rsid w:val="008C1BF7"/>
    <w:rsid w:val="008C1D31"/>
    <w:rsid w:val="008C2885"/>
    <w:rsid w:val="008C2A3B"/>
    <w:rsid w:val="008C2A83"/>
    <w:rsid w:val="008C3002"/>
    <w:rsid w:val="008C3255"/>
    <w:rsid w:val="008C370D"/>
    <w:rsid w:val="008C3CD8"/>
    <w:rsid w:val="008C3E37"/>
    <w:rsid w:val="008C4FD0"/>
    <w:rsid w:val="008C510C"/>
    <w:rsid w:val="008C5255"/>
    <w:rsid w:val="008C5A91"/>
    <w:rsid w:val="008C5B36"/>
    <w:rsid w:val="008C62B8"/>
    <w:rsid w:val="008C6A3B"/>
    <w:rsid w:val="008C6A9E"/>
    <w:rsid w:val="008C7273"/>
    <w:rsid w:val="008C7C13"/>
    <w:rsid w:val="008D0098"/>
    <w:rsid w:val="008D0356"/>
    <w:rsid w:val="008D0B33"/>
    <w:rsid w:val="008D0C94"/>
    <w:rsid w:val="008D1488"/>
    <w:rsid w:val="008D151C"/>
    <w:rsid w:val="008D1AC7"/>
    <w:rsid w:val="008D1E65"/>
    <w:rsid w:val="008D2AE1"/>
    <w:rsid w:val="008D2B7C"/>
    <w:rsid w:val="008D2D98"/>
    <w:rsid w:val="008D2FEF"/>
    <w:rsid w:val="008D39BA"/>
    <w:rsid w:val="008D3BCC"/>
    <w:rsid w:val="008D3C3F"/>
    <w:rsid w:val="008D3DB0"/>
    <w:rsid w:val="008D43EF"/>
    <w:rsid w:val="008D468E"/>
    <w:rsid w:val="008D51A2"/>
    <w:rsid w:val="008D555C"/>
    <w:rsid w:val="008D59B9"/>
    <w:rsid w:val="008D59DC"/>
    <w:rsid w:val="008D5C4A"/>
    <w:rsid w:val="008D5C55"/>
    <w:rsid w:val="008D5F9B"/>
    <w:rsid w:val="008D656F"/>
    <w:rsid w:val="008D6EE0"/>
    <w:rsid w:val="008D6F8A"/>
    <w:rsid w:val="008D7B64"/>
    <w:rsid w:val="008E032C"/>
    <w:rsid w:val="008E06EF"/>
    <w:rsid w:val="008E085C"/>
    <w:rsid w:val="008E0A1F"/>
    <w:rsid w:val="008E0BDC"/>
    <w:rsid w:val="008E0C98"/>
    <w:rsid w:val="008E0D2F"/>
    <w:rsid w:val="008E0DBB"/>
    <w:rsid w:val="008E1967"/>
    <w:rsid w:val="008E1EBB"/>
    <w:rsid w:val="008E2577"/>
    <w:rsid w:val="008E263F"/>
    <w:rsid w:val="008E2E81"/>
    <w:rsid w:val="008E3EC7"/>
    <w:rsid w:val="008E4103"/>
    <w:rsid w:val="008E4117"/>
    <w:rsid w:val="008E4401"/>
    <w:rsid w:val="008E44A3"/>
    <w:rsid w:val="008E481E"/>
    <w:rsid w:val="008E4A20"/>
    <w:rsid w:val="008E518E"/>
    <w:rsid w:val="008E53D4"/>
    <w:rsid w:val="008E5ADC"/>
    <w:rsid w:val="008E5CB0"/>
    <w:rsid w:val="008E5F57"/>
    <w:rsid w:val="008E65D6"/>
    <w:rsid w:val="008E6867"/>
    <w:rsid w:val="008E784F"/>
    <w:rsid w:val="008E7B8E"/>
    <w:rsid w:val="008E7DEE"/>
    <w:rsid w:val="008E7ED3"/>
    <w:rsid w:val="008F037C"/>
    <w:rsid w:val="008F03EC"/>
    <w:rsid w:val="008F075D"/>
    <w:rsid w:val="008F080E"/>
    <w:rsid w:val="008F0E02"/>
    <w:rsid w:val="008F106E"/>
    <w:rsid w:val="008F112E"/>
    <w:rsid w:val="008F16FC"/>
    <w:rsid w:val="008F1865"/>
    <w:rsid w:val="008F2145"/>
    <w:rsid w:val="008F236C"/>
    <w:rsid w:val="008F2B51"/>
    <w:rsid w:val="008F2BA4"/>
    <w:rsid w:val="008F2BDC"/>
    <w:rsid w:val="008F2EFC"/>
    <w:rsid w:val="008F31BA"/>
    <w:rsid w:val="008F31EA"/>
    <w:rsid w:val="008F35AC"/>
    <w:rsid w:val="008F42E1"/>
    <w:rsid w:val="008F433A"/>
    <w:rsid w:val="008F4A2F"/>
    <w:rsid w:val="008F66BA"/>
    <w:rsid w:val="008F68A5"/>
    <w:rsid w:val="008F6C93"/>
    <w:rsid w:val="008F7269"/>
    <w:rsid w:val="008F73FE"/>
    <w:rsid w:val="008F7BEC"/>
    <w:rsid w:val="00900961"/>
    <w:rsid w:val="00900C1C"/>
    <w:rsid w:val="00900D12"/>
    <w:rsid w:val="009013F8"/>
    <w:rsid w:val="00901BB5"/>
    <w:rsid w:val="00902547"/>
    <w:rsid w:val="009025EB"/>
    <w:rsid w:val="00902977"/>
    <w:rsid w:val="00902B0E"/>
    <w:rsid w:val="00903182"/>
    <w:rsid w:val="00903C1F"/>
    <w:rsid w:val="00904097"/>
    <w:rsid w:val="009044C2"/>
    <w:rsid w:val="009049B1"/>
    <w:rsid w:val="00904A9E"/>
    <w:rsid w:val="0090507A"/>
    <w:rsid w:val="009053F7"/>
    <w:rsid w:val="00905422"/>
    <w:rsid w:val="009058E0"/>
    <w:rsid w:val="009059D2"/>
    <w:rsid w:val="00905A43"/>
    <w:rsid w:val="00905C33"/>
    <w:rsid w:val="00905D39"/>
    <w:rsid w:val="00906264"/>
    <w:rsid w:val="00906920"/>
    <w:rsid w:val="00906C57"/>
    <w:rsid w:val="009072F1"/>
    <w:rsid w:val="00907386"/>
    <w:rsid w:val="00907483"/>
    <w:rsid w:val="00907C86"/>
    <w:rsid w:val="00907C92"/>
    <w:rsid w:val="00910B72"/>
    <w:rsid w:val="00910C04"/>
    <w:rsid w:val="00911242"/>
    <w:rsid w:val="0091158B"/>
    <w:rsid w:val="00912272"/>
    <w:rsid w:val="0091277D"/>
    <w:rsid w:val="00912AD3"/>
    <w:rsid w:val="00912DD7"/>
    <w:rsid w:val="00912FC1"/>
    <w:rsid w:val="00912FF0"/>
    <w:rsid w:val="0091309A"/>
    <w:rsid w:val="009130E8"/>
    <w:rsid w:val="0091352D"/>
    <w:rsid w:val="00913F7F"/>
    <w:rsid w:val="00914133"/>
    <w:rsid w:val="009141DC"/>
    <w:rsid w:val="00914595"/>
    <w:rsid w:val="009149D9"/>
    <w:rsid w:val="00914BD3"/>
    <w:rsid w:val="00915E59"/>
    <w:rsid w:val="0091655D"/>
    <w:rsid w:val="00916621"/>
    <w:rsid w:val="00916895"/>
    <w:rsid w:val="00916AEA"/>
    <w:rsid w:val="00916BC9"/>
    <w:rsid w:val="00917056"/>
    <w:rsid w:val="009176EF"/>
    <w:rsid w:val="009206ED"/>
    <w:rsid w:val="00920839"/>
    <w:rsid w:val="00920A55"/>
    <w:rsid w:val="00920CB4"/>
    <w:rsid w:val="00921202"/>
    <w:rsid w:val="00921B98"/>
    <w:rsid w:val="00922439"/>
    <w:rsid w:val="009228B6"/>
    <w:rsid w:val="00922AC1"/>
    <w:rsid w:val="009232DC"/>
    <w:rsid w:val="00923969"/>
    <w:rsid w:val="00923EBE"/>
    <w:rsid w:val="00923EC1"/>
    <w:rsid w:val="00924108"/>
    <w:rsid w:val="009241F8"/>
    <w:rsid w:val="0092427E"/>
    <w:rsid w:val="009253AF"/>
    <w:rsid w:val="009269C7"/>
    <w:rsid w:val="00926DFD"/>
    <w:rsid w:val="009270C5"/>
    <w:rsid w:val="00927258"/>
    <w:rsid w:val="0092737D"/>
    <w:rsid w:val="009273C8"/>
    <w:rsid w:val="0092742B"/>
    <w:rsid w:val="009277B9"/>
    <w:rsid w:val="00927C50"/>
    <w:rsid w:val="00930258"/>
    <w:rsid w:val="009302A5"/>
    <w:rsid w:val="009303CE"/>
    <w:rsid w:val="009304DD"/>
    <w:rsid w:val="009305F5"/>
    <w:rsid w:val="00930644"/>
    <w:rsid w:val="00930968"/>
    <w:rsid w:val="00930A39"/>
    <w:rsid w:val="00930C70"/>
    <w:rsid w:val="00930D9B"/>
    <w:rsid w:val="0093192E"/>
    <w:rsid w:val="00931DF7"/>
    <w:rsid w:val="00932057"/>
    <w:rsid w:val="0093210B"/>
    <w:rsid w:val="009324A8"/>
    <w:rsid w:val="00932E52"/>
    <w:rsid w:val="00933BCF"/>
    <w:rsid w:val="00933FB1"/>
    <w:rsid w:val="0093464E"/>
    <w:rsid w:val="00934727"/>
    <w:rsid w:val="009349B7"/>
    <w:rsid w:val="00934A58"/>
    <w:rsid w:val="00934C2B"/>
    <w:rsid w:val="009350F0"/>
    <w:rsid w:val="0093521A"/>
    <w:rsid w:val="009358A7"/>
    <w:rsid w:val="00935A3E"/>
    <w:rsid w:val="009362E7"/>
    <w:rsid w:val="00936AB1"/>
    <w:rsid w:val="00936C59"/>
    <w:rsid w:val="00936D49"/>
    <w:rsid w:val="009373F1"/>
    <w:rsid w:val="009376B5"/>
    <w:rsid w:val="00937C5D"/>
    <w:rsid w:val="00940D12"/>
    <w:rsid w:val="00940FD6"/>
    <w:rsid w:val="0094115E"/>
    <w:rsid w:val="00941542"/>
    <w:rsid w:val="00941824"/>
    <w:rsid w:val="009419A4"/>
    <w:rsid w:val="00941ACF"/>
    <w:rsid w:val="0094212A"/>
    <w:rsid w:val="00942547"/>
    <w:rsid w:val="009438E1"/>
    <w:rsid w:val="009439C9"/>
    <w:rsid w:val="00943BEE"/>
    <w:rsid w:val="00943C46"/>
    <w:rsid w:val="00943CED"/>
    <w:rsid w:val="0094445F"/>
    <w:rsid w:val="00944C55"/>
    <w:rsid w:val="00944ED3"/>
    <w:rsid w:val="00944FEE"/>
    <w:rsid w:val="009450F4"/>
    <w:rsid w:val="00945130"/>
    <w:rsid w:val="00945D6A"/>
    <w:rsid w:val="00945E81"/>
    <w:rsid w:val="0094605C"/>
    <w:rsid w:val="0094609E"/>
    <w:rsid w:val="0094610C"/>
    <w:rsid w:val="00946A26"/>
    <w:rsid w:val="00947367"/>
    <w:rsid w:val="009474D0"/>
    <w:rsid w:val="0094750D"/>
    <w:rsid w:val="0095038B"/>
    <w:rsid w:val="00950A1E"/>
    <w:rsid w:val="00950CA4"/>
    <w:rsid w:val="0095123F"/>
    <w:rsid w:val="00951444"/>
    <w:rsid w:val="00951511"/>
    <w:rsid w:val="009518C3"/>
    <w:rsid w:val="00951E11"/>
    <w:rsid w:val="0095250D"/>
    <w:rsid w:val="00952740"/>
    <w:rsid w:val="009528F8"/>
    <w:rsid w:val="00952B2C"/>
    <w:rsid w:val="00952D27"/>
    <w:rsid w:val="00952E52"/>
    <w:rsid w:val="009531C6"/>
    <w:rsid w:val="009533BF"/>
    <w:rsid w:val="009533D4"/>
    <w:rsid w:val="009534A2"/>
    <w:rsid w:val="009534DE"/>
    <w:rsid w:val="009535C6"/>
    <w:rsid w:val="009538B8"/>
    <w:rsid w:val="009543AA"/>
    <w:rsid w:val="0095463F"/>
    <w:rsid w:val="009547EF"/>
    <w:rsid w:val="00954C4D"/>
    <w:rsid w:val="00954EF8"/>
    <w:rsid w:val="00954FE8"/>
    <w:rsid w:val="0095597F"/>
    <w:rsid w:val="00955FF6"/>
    <w:rsid w:val="00956070"/>
    <w:rsid w:val="009564F7"/>
    <w:rsid w:val="00956593"/>
    <w:rsid w:val="0095694D"/>
    <w:rsid w:val="00956B9A"/>
    <w:rsid w:val="00956CD1"/>
    <w:rsid w:val="00957181"/>
    <w:rsid w:val="00957575"/>
    <w:rsid w:val="00957BA0"/>
    <w:rsid w:val="00957E1C"/>
    <w:rsid w:val="00960115"/>
    <w:rsid w:val="00960576"/>
    <w:rsid w:val="009606B9"/>
    <w:rsid w:val="00960846"/>
    <w:rsid w:val="00960CD6"/>
    <w:rsid w:val="009614F4"/>
    <w:rsid w:val="009617FB"/>
    <w:rsid w:val="00961804"/>
    <w:rsid w:val="0096189F"/>
    <w:rsid w:val="00961A58"/>
    <w:rsid w:val="009621BD"/>
    <w:rsid w:val="00962688"/>
    <w:rsid w:val="00962787"/>
    <w:rsid w:val="0096278A"/>
    <w:rsid w:val="00962853"/>
    <w:rsid w:val="009628E6"/>
    <w:rsid w:val="00962975"/>
    <w:rsid w:val="00963446"/>
    <w:rsid w:val="009634A6"/>
    <w:rsid w:val="00963D0E"/>
    <w:rsid w:val="00964390"/>
    <w:rsid w:val="00964A9B"/>
    <w:rsid w:val="00964CC0"/>
    <w:rsid w:val="00964F4A"/>
    <w:rsid w:val="00965031"/>
    <w:rsid w:val="0096557A"/>
    <w:rsid w:val="00965A98"/>
    <w:rsid w:val="00965B62"/>
    <w:rsid w:val="00966CF6"/>
    <w:rsid w:val="009674CB"/>
    <w:rsid w:val="0096777F"/>
    <w:rsid w:val="0097090B"/>
    <w:rsid w:val="00970CC7"/>
    <w:rsid w:val="00971328"/>
    <w:rsid w:val="009716E2"/>
    <w:rsid w:val="009717F3"/>
    <w:rsid w:val="00971914"/>
    <w:rsid w:val="00971B2A"/>
    <w:rsid w:val="00971BC4"/>
    <w:rsid w:val="00972000"/>
    <w:rsid w:val="00972726"/>
    <w:rsid w:val="00972869"/>
    <w:rsid w:val="00972946"/>
    <w:rsid w:val="00972D37"/>
    <w:rsid w:val="00973508"/>
    <w:rsid w:val="00973836"/>
    <w:rsid w:val="009739C0"/>
    <w:rsid w:val="00973AB9"/>
    <w:rsid w:val="00973F94"/>
    <w:rsid w:val="0097413B"/>
    <w:rsid w:val="009747C7"/>
    <w:rsid w:val="00974E92"/>
    <w:rsid w:val="00975290"/>
    <w:rsid w:val="0097552B"/>
    <w:rsid w:val="009756C4"/>
    <w:rsid w:val="0097571B"/>
    <w:rsid w:val="00975AA4"/>
    <w:rsid w:val="00975B83"/>
    <w:rsid w:val="00976427"/>
    <w:rsid w:val="009765F2"/>
    <w:rsid w:val="0097673E"/>
    <w:rsid w:val="0097677E"/>
    <w:rsid w:val="009775B4"/>
    <w:rsid w:val="0097773B"/>
    <w:rsid w:val="00977BEA"/>
    <w:rsid w:val="00977DC9"/>
    <w:rsid w:val="009806E5"/>
    <w:rsid w:val="00980858"/>
    <w:rsid w:val="00980984"/>
    <w:rsid w:val="00980D19"/>
    <w:rsid w:val="00980F6F"/>
    <w:rsid w:val="00980FB0"/>
    <w:rsid w:val="00981018"/>
    <w:rsid w:val="00981886"/>
    <w:rsid w:val="00981C27"/>
    <w:rsid w:val="00981D13"/>
    <w:rsid w:val="00981D59"/>
    <w:rsid w:val="0098285F"/>
    <w:rsid w:val="00982922"/>
    <w:rsid w:val="00983089"/>
    <w:rsid w:val="00983201"/>
    <w:rsid w:val="009838D0"/>
    <w:rsid w:val="00983929"/>
    <w:rsid w:val="00983A25"/>
    <w:rsid w:val="00983EC1"/>
    <w:rsid w:val="0098400F"/>
    <w:rsid w:val="0098432D"/>
    <w:rsid w:val="00984584"/>
    <w:rsid w:val="009845C6"/>
    <w:rsid w:val="00984960"/>
    <w:rsid w:val="00984AAB"/>
    <w:rsid w:val="00985402"/>
    <w:rsid w:val="0098592E"/>
    <w:rsid w:val="00985984"/>
    <w:rsid w:val="00985A93"/>
    <w:rsid w:val="00985B24"/>
    <w:rsid w:val="00986002"/>
    <w:rsid w:val="00986107"/>
    <w:rsid w:val="0098613A"/>
    <w:rsid w:val="009863A5"/>
    <w:rsid w:val="0098662B"/>
    <w:rsid w:val="00987117"/>
    <w:rsid w:val="009872FF"/>
    <w:rsid w:val="009873D3"/>
    <w:rsid w:val="00987590"/>
    <w:rsid w:val="00990859"/>
    <w:rsid w:val="00990C1E"/>
    <w:rsid w:val="00990D71"/>
    <w:rsid w:val="00991000"/>
    <w:rsid w:val="00991538"/>
    <w:rsid w:val="00991C2B"/>
    <w:rsid w:val="00991CA0"/>
    <w:rsid w:val="00991E76"/>
    <w:rsid w:val="009923D8"/>
    <w:rsid w:val="00992537"/>
    <w:rsid w:val="00992D67"/>
    <w:rsid w:val="0099342A"/>
    <w:rsid w:val="0099372E"/>
    <w:rsid w:val="009938EC"/>
    <w:rsid w:val="0099489A"/>
    <w:rsid w:val="009948D3"/>
    <w:rsid w:val="00994C96"/>
    <w:rsid w:val="00994CA4"/>
    <w:rsid w:val="00995104"/>
    <w:rsid w:val="009951C9"/>
    <w:rsid w:val="0099596A"/>
    <w:rsid w:val="00995DC6"/>
    <w:rsid w:val="00995EEC"/>
    <w:rsid w:val="0099620C"/>
    <w:rsid w:val="0099621D"/>
    <w:rsid w:val="009973EE"/>
    <w:rsid w:val="009977F9"/>
    <w:rsid w:val="00997FA6"/>
    <w:rsid w:val="009A0464"/>
    <w:rsid w:val="009A0B9B"/>
    <w:rsid w:val="009A0CF7"/>
    <w:rsid w:val="009A146C"/>
    <w:rsid w:val="009A1483"/>
    <w:rsid w:val="009A1B1F"/>
    <w:rsid w:val="009A1B6A"/>
    <w:rsid w:val="009A1FFF"/>
    <w:rsid w:val="009A20D2"/>
    <w:rsid w:val="009A274C"/>
    <w:rsid w:val="009A28B3"/>
    <w:rsid w:val="009A2C04"/>
    <w:rsid w:val="009A2C22"/>
    <w:rsid w:val="009A2F6A"/>
    <w:rsid w:val="009A343A"/>
    <w:rsid w:val="009A387C"/>
    <w:rsid w:val="009A3C4F"/>
    <w:rsid w:val="009A3D4B"/>
    <w:rsid w:val="009A40F2"/>
    <w:rsid w:val="009A44A5"/>
    <w:rsid w:val="009A48CD"/>
    <w:rsid w:val="009A4CEA"/>
    <w:rsid w:val="009A506D"/>
    <w:rsid w:val="009A5123"/>
    <w:rsid w:val="009A5B6F"/>
    <w:rsid w:val="009A5CAB"/>
    <w:rsid w:val="009A5E5C"/>
    <w:rsid w:val="009A6333"/>
    <w:rsid w:val="009A64BE"/>
    <w:rsid w:val="009A70BA"/>
    <w:rsid w:val="009A7E53"/>
    <w:rsid w:val="009B058D"/>
    <w:rsid w:val="009B074A"/>
    <w:rsid w:val="009B09A8"/>
    <w:rsid w:val="009B119C"/>
    <w:rsid w:val="009B11C2"/>
    <w:rsid w:val="009B139F"/>
    <w:rsid w:val="009B14CF"/>
    <w:rsid w:val="009B1CA5"/>
    <w:rsid w:val="009B1DF8"/>
    <w:rsid w:val="009B2819"/>
    <w:rsid w:val="009B2B40"/>
    <w:rsid w:val="009B2D95"/>
    <w:rsid w:val="009B3358"/>
    <w:rsid w:val="009B35D9"/>
    <w:rsid w:val="009B35F0"/>
    <w:rsid w:val="009B3BAB"/>
    <w:rsid w:val="009B4048"/>
    <w:rsid w:val="009B41F5"/>
    <w:rsid w:val="009B4B47"/>
    <w:rsid w:val="009B4DC3"/>
    <w:rsid w:val="009B5493"/>
    <w:rsid w:val="009B59FB"/>
    <w:rsid w:val="009B5A47"/>
    <w:rsid w:val="009B5EF0"/>
    <w:rsid w:val="009B60B8"/>
    <w:rsid w:val="009B6778"/>
    <w:rsid w:val="009B67C3"/>
    <w:rsid w:val="009B6A78"/>
    <w:rsid w:val="009B6E9F"/>
    <w:rsid w:val="009B7350"/>
    <w:rsid w:val="009B74BF"/>
    <w:rsid w:val="009B752D"/>
    <w:rsid w:val="009B7718"/>
    <w:rsid w:val="009B77C2"/>
    <w:rsid w:val="009B7B46"/>
    <w:rsid w:val="009B7D4A"/>
    <w:rsid w:val="009B7F50"/>
    <w:rsid w:val="009C02E6"/>
    <w:rsid w:val="009C0C28"/>
    <w:rsid w:val="009C0C5B"/>
    <w:rsid w:val="009C0F58"/>
    <w:rsid w:val="009C1120"/>
    <w:rsid w:val="009C164F"/>
    <w:rsid w:val="009C17A3"/>
    <w:rsid w:val="009C17ED"/>
    <w:rsid w:val="009C1A55"/>
    <w:rsid w:val="009C2AD6"/>
    <w:rsid w:val="009C3E50"/>
    <w:rsid w:val="009C3ED2"/>
    <w:rsid w:val="009C3FEE"/>
    <w:rsid w:val="009C403B"/>
    <w:rsid w:val="009C4BCA"/>
    <w:rsid w:val="009C5350"/>
    <w:rsid w:val="009C53BD"/>
    <w:rsid w:val="009C53C7"/>
    <w:rsid w:val="009C576E"/>
    <w:rsid w:val="009C5E62"/>
    <w:rsid w:val="009C6715"/>
    <w:rsid w:val="009C6B02"/>
    <w:rsid w:val="009C6C5B"/>
    <w:rsid w:val="009C73DF"/>
    <w:rsid w:val="009C7874"/>
    <w:rsid w:val="009C7A25"/>
    <w:rsid w:val="009C7D95"/>
    <w:rsid w:val="009C7F7F"/>
    <w:rsid w:val="009C7FC8"/>
    <w:rsid w:val="009D0581"/>
    <w:rsid w:val="009D0E67"/>
    <w:rsid w:val="009D11EB"/>
    <w:rsid w:val="009D1A15"/>
    <w:rsid w:val="009D1B0F"/>
    <w:rsid w:val="009D1E01"/>
    <w:rsid w:val="009D1F41"/>
    <w:rsid w:val="009D2ACF"/>
    <w:rsid w:val="009D2D3D"/>
    <w:rsid w:val="009D3040"/>
    <w:rsid w:val="009D30C1"/>
    <w:rsid w:val="009D344B"/>
    <w:rsid w:val="009D3564"/>
    <w:rsid w:val="009D3865"/>
    <w:rsid w:val="009D3C33"/>
    <w:rsid w:val="009D3CAD"/>
    <w:rsid w:val="009D3F4F"/>
    <w:rsid w:val="009D4DC5"/>
    <w:rsid w:val="009D5000"/>
    <w:rsid w:val="009D50C5"/>
    <w:rsid w:val="009D5174"/>
    <w:rsid w:val="009D53D5"/>
    <w:rsid w:val="009D55D1"/>
    <w:rsid w:val="009D57E3"/>
    <w:rsid w:val="009D5BDF"/>
    <w:rsid w:val="009D5F74"/>
    <w:rsid w:val="009D634D"/>
    <w:rsid w:val="009D6BD7"/>
    <w:rsid w:val="009D70F8"/>
    <w:rsid w:val="009D7204"/>
    <w:rsid w:val="009D7268"/>
    <w:rsid w:val="009D72F1"/>
    <w:rsid w:val="009D736F"/>
    <w:rsid w:val="009D73DA"/>
    <w:rsid w:val="009D7A00"/>
    <w:rsid w:val="009D7B46"/>
    <w:rsid w:val="009D7F58"/>
    <w:rsid w:val="009E006D"/>
    <w:rsid w:val="009E0211"/>
    <w:rsid w:val="009E03CC"/>
    <w:rsid w:val="009E0A4D"/>
    <w:rsid w:val="009E0A65"/>
    <w:rsid w:val="009E1293"/>
    <w:rsid w:val="009E12C0"/>
    <w:rsid w:val="009E1489"/>
    <w:rsid w:val="009E1EFA"/>
    <w:rsid w:val="009E248A"/>
    <w:rsid w:val="009E24F0"/>
    <w:rsid w:val="009E2F0D"/>
    <w:rsid w:val="009E2F33"/>
    <w:rsid w:val="009E354E"/>
    <w:rsid w:val="009E36EC"/>
    <w:rsid w:val="009E39BD"/>
    <w:rsid w:val="009E4A84"/>
    <w:rsid w:val="009E5027"/>
    <w:rsid w:val="009E5122"/>
    <w:rsid w:val="009E5312"/>
    <w:rsid w:val="009E5BAF"/>
    <w:rsid w:val="009E647E"/>
    <w:rsid w:val="009E66B4"/>
    <w:rsid w:val="009E6A6D"/>
    <w:rsid w:val="009E6C22"/>
    <w:rsid w:val="009E7335"/>
    <w:rsid w:val="009E74F1"/>
    <w:rsid w:val="009E7B21"/>
    <w:rsid w:val="009E7B7B"/>
    <w:rsid w:val="009E7DAD"/>
    <w:rsid w:val="009F13F3"/>
    <w:rsid w:val="009F1D3C"/>
    <w:rsid w:val="009F1F36"/>
    <w:rsid w:val="009F217F"/>
    <w:rsid w:val="009F259B"/>
    <w:rsid w:val="009F2F40"/>
    <w:rsid w:val="009F3517"/>
    <w:rsid w:val="009F3556"/>
    <w:rsid w:val="009F35C0"/>
    <w:rsid w:val="009F3745"/>
    <w:rsid w:val="009F378E"/>
    <w:rsid w:val="009F3DBD"/>
    <w:rsid w:val="009F4FE1"/>
    <w:rsid w:val="009F53FC"/>
    <w:rsid w:val="009F5448"/>
    <w:rsid w:val="009F5B2B"/>
    <w:rsid w:val="009F5D20"/>
    <w:rsid w:val="009F5D21"/>
    <w:rsid w:val="009F69C8"/>
    <w:rsid w:val="009F753C"/>
    <w:rsid w:val="009F7ECE"/>
    <w:rsid w:val="00A002AF"/>
    <w:rsid w:val="00A00565"/>
    <w:rsid w:val="00A007E9"/>
    <w:rsid w:val="00A00939"/>
    <w:rsid w:val="00A00978"/>
    <w:rsid w:val="00A01035"/>
    <w:rsid w:val="00A01BFC"/>
    <w:rsid w:val="00A01DA8"/>
    <w:rsid w:val="00A0243A"/>
    <w:rsid w:val="00A025DC"/>
    <w:rsid w:val="00A02618"/>
    <w:rsid w:val="00A026DC"/>
    <w:rsid w:val="00A02A58"/>
    <w:rsid w:val="00A03431"/>
    <w:rsid w:val="00A03506"/>
    <w:rsid w:val="00A04888"/>
    <w:rsid w:val="00A04C09"/>
    <w:rsid w:val="00A0529B"/>
    <w:rsid w:val="00A0551E"/>
    <w:rsid w:val="00A05548"/>
    <w:rsid w:val="00A058DB"/>
    <w:rsid w:val="00A059B0"/>
    <w:rsid w:val="00A05C68"/>
    <w:rsid w:val="00A063EE"/>
    <w:rsid w:val="00A0649F"/>
    <w:rsid w:val="00A07144"/>
    <w:rsid w:val="00A0787E"/>
    <w:rsid w:val="00A0790B"/>
    <w:rsid w:val="00A07A28"/>
    <w:rsid w:val="00A07CA3"/>
    <w:rsid w:val="00A07E5F"/>
    <w:rsid w:val="00A07FDF"/>
    <w:rsid w:val="00A100D0"/>
    <w:rsid w:val="00A10182"/>
    <w:rsid w:val="00A10224"/>
    <w:rsid w:val="00A109F9"/>
    <w:rsid w:val="00A10C35"/>
    <w:rsid w:val="00A11779"/>
    <w:rsid w:val="00A11B83"/>
    <w:rsid w:val="00A12163"/>
    <w:rsid w:val="00A121BC"/>
    <w:rsid w:val="00A12F74"/>
    <w:rsid w:val="00A13B48"/>
    <w:rsid w:val="00A1432D"/>
    <w:rsid w:val="00A14C48"/>
    <w:rsid w:val="00A14C61"/>
    <w:rsid w:val="00A14D44"/>
    <w:rsid w:val="00A14E3A"/>
    <w:rsid w:val="00A14FF3"/>
    <w:rsid w:val="00A1500B"/>
    <w:rsid w:val="00A15093"/>
    <w:rsid w:val="00A15398"/>
    <w:rsid w:val="00A153A0"/>
    <w:rsid w:val="00A1581B"/>
    <w:rsid w:val="00A1587D"/>
    <w:rsid w:val="00A161A4"/>
    <w:rsid w:val="00A162CE"/>
    <w:rsid w:val="00A1719A"/>
    <w:rsid w:val="00A17957"/>
    <w:rsid w:val="00A17E28"/>
    <w:rsid w:val="00A17E73"/>
    <w:rsid w:val="00A207E0"/>
    <w:rsid w:val="00A20A23"/>
    <w:rsid w:val="00A20DF7"/>
    <w:rsid w:val="00A20EB8"/>
    <w:rsid w:val="00A211EF"/>
    <w:rsid w:val="00A21721"/>
    <w:rsid w:val="00A22099"/>
    <w:rsid w:val="00A222CC"/>
    <w:rsid w:val="00A2235F"/>
    <w:rsid w:val="00A22B56"/>
    <w:rsid w:val="00A22C63"/>
    <w:rsid w:val="00A22E88"/>
    <w:rsid w:val="00A23189"/>
    <w:rsid w:val="00A2321A"/>
    <w:rsid w:val="00A23608"/>
    <w:rsid w:val="00A23654"/>
    <w:rsid w:val="00A23AD0"/>
    <w:rsid w:val="00A23D39"/>
    <w:rsid w:val="00A242DE"/>
    <w:rsid w:val="00A24680"/>
    <w:rsid w:val="00A24DF7"/>
    <w:rsid w:val="00A24E70"/>
    <w:rsid w:val="00A25328"/>
    <w:rsid w:val="00A255C6"/>
    <w:rsid w:val="00A257B3"/>
    <w:rsid w:val="00A25C4C"/>
    <w:rsid w:val="00A25D78"/>
    <w:rsid w:val="00A2675E"/>
    <w:rsid w:val="00A26E79"/>
    <w:rsid w:val="00A277DD"/>
    <w:rsid w:val="00A278F7"/>
    <w:rsid w:val="00A30976"/>
    <w:rsid w:val="00A309D9"/>
    <w:rsid w:val="00A30A81"/>
    <w:rsid w:val="00A30E06"/>
    <w:rsid w:val="00A3129D"/>
    <w:rsid w:val="00A3160A"/>
    <w:rsid w:val="00A3173A"/>
    <w:rsid w:val="00A3176B"/>
    <w:rsid w:val="00A31EF9"/>
    <w:rsid w:val="00A32258"/>
    <w:rsid w:val="00A323D0"/>
    <w:rsid w:val="00A32730"/>
    <w:rsid w:val="00A3287A"/>
    <w:rsid w:val="00A32AC3"/>
    <w:rsid w:val="00A330C8"/>
    <w:rsid w:val="00A331C1"/>
    <w:rsid w:val="00A33333"/>
    <w:rsid w:val="00A33639"/>
    <w:rsid w:val="00A33985"/>
    <w:rsid w:val="00A33EAC"/>
    <w:rsid w:val="00A34C26"/>
    <w:rsid w:val="00A34C3C"/>
    <w:rsid w:val="00A34C57"/>
    <w:rsid w:val="00A353D7"/>
    <w:rsid w:val="00A353F8"/>
    <w:rsid w:val="00A35680"/>
    <w:rsid w:val="00A36851"/>
    <w:rsid w:val="00A36D6B"/>
    <w:rsid w:val="00A37255"/>
    <w:rsid w:val="00A3748B"/>
    <w:rsid w:val="00A37554"/>
    <w:rsid w:val="00A3780F"/>
    <w:rsid w:val="00A37AED"/>
    <w:rsid w:val="00A37DC9"/>
    <w:rsid w:val="00A40496"/>
    <w:rsid w:val="00A40CCE"/>
    <w:rsid w:val="00A41E3C"/>
    <w:rsid w:val="00A41EFB"/>
    <w:rsid w:val="00A420FE"/>
    <w:rsid w:val="00A422C0"/>
    <w:rsid w:val="00A42498"/>
    <w:rsid w:val="00A424B9"/>
    <w:rsid w:val="00A43048"/>
    <w:rsid w:val="00A43203"/>
    <w:rsid w:val="00A4355E"/>
    <w:rsid w:val="00A436A1"/>
    <w:rsid w:val="00A43768"/>
    <w:rsid w:val="00A438A3"/>
    <w:rsid w:val="00A43B3E"/>
    <w:rsid w:val="00A440F0"/>
    <w:rsid w:val="00A441A3"/>
    <w:rsid w:val="00A44B78"/>
    <w:rsid w:val="00A44CB0"/>
    <w:rsid w:val="00A44CE1"/>
    <w:rsid w:val="00A45AF2"/>
    <w:rsid w:val="00A45BBF"/>
    <w:rsid w:val="00A46071"/>
    <w:rsid w:val="00A4623E"/>
    <w:rsid w:val="00A46351"/>
    <w:rsid w:val="00A46F33"/>
    <w:rsid w:val="00A47283"/>
    <w:rsid w:val="00A473AF"/>
    <w:rsid w:val="00A47491"/>
    <w:rsid w:val="00A502A3"/>
    <w:rsid w:val="00A504A2"/>
    <w:rsid w:val="00A50A1F"/>
    <w:rsid w:val="00A50A7C"/>
    <w:rsid w:val="00A50D02"/>
    <w:rsid w:val="00A51157"/>
    <w:rsid w:val="00A512E5"/>
    <w:rsid w:val="00A514F6"/>
    <w:rsid w:val="00A5177A"/>
    <w:rsid w:val="00A527D3"/>
    <w:rsid w:val="00A52C61"/>
    <w:rsid w:val="00A52CB6"/>
    <w:rsid w:val="00A535C4"/>
    <w:rsid w:val="00A53697"/>
    <w:rsid w:val="00A5372C"/>
    <w:rsid w:val="00A53AB8"/>
    <w:rsid w:val="00A53EA9"/>
    <w:rsid w:val="00A54559"/>
    <w:rsid w:val="00A54B32"/>
    <w:rsid w:val="00A54C9F"/>
    <w:rsid w:val="00A54DFD"/>
    <w:rsid w:val="00A5511B"/>
    <w:rsid w:val="00A555F7"/>
    <w:rsid w:val="00A556E1"/>
    <w:rsid w:val="00A55900"/>
    <w:rsid w:val="00A55D78"/>
    <w:rsid w:val="00A55DE1"/>
    <w:rsid w:val="00A560E0"/>
    <w:rsid w:val="00A56290"/>
    <w:rsid w:val="00A5632B"/>
    <w:rsid w:val="00A5634A"/>
    <w:rsid w:val="00A56418"/>
    <w:rsid w:val="00A5643A"/>
    <w:rsid w:val="00A5696A"/>
    <w:rsid w:val="00A56B3C"/>
    <w:rsid w:val="00A56C4A"/>
    <w:rsid w:val="00A56DB8"/>
    <w:rsid w:val="00A570CC"/>
    <w:rsid w:val="00A57241"/>
    <w:rsid w:val="00A57562"/>
    <w:rsid w:val="00A604F3"/>
    <w:rsid w:val="00A607CA"/>
    <w:rsid w:val="00A6110A"/>
    <w:rsid w:val="00A6182B"/>
    <w:rsid w:val="00A61CDB"/>
    <w:rsid w:val="00A61F43"/>
    <w:rsid w:val="00A6242D"/>
    <w:rsid w:val="00A62602"/>
    <w:rsid w:val="00A627BA"/>
    <w:rsid w:val="00A62F6D"/>
    <w:rsid w:val="00A636B9"/>
    <w:rsid w:val="00A63C69"/>
    <w:rsid w:val="00A63EFA"/>
    <w:rsid w:val="00A6470C"/>
    <w:rsid w:val="00A6527D"/>
    <w:rsid w:val="00A65400"/>
    <w:rsid w:val="00A6563E"/>
    <w:rsid w:val="00A65924"/>
    <w:rsid w:val="00A659E1"/>
    <w:rsid w:val="00A66FDD"/>
    <w:rsid w:val="00A676A3"/>
    <w:rsid w:val="00A67CAE"/>
    <w:rsid w:val="00A67CEB"/>
    <w:rsid w:val="00A701B4"/>
    <w:rsid w:val="00A70432"/>
    <w:rsid w:val="00A70894"/>
    <w:rsid w:val="00A70A85"/>
    <w:rsid w:val="00A70CFB"/>
    <w:rsid w:val="00A70FC3"/>
    <w:rsid w:val="00A71294"/>
    <w:rsid w:val="00A71331"/>
    <w:rsid w:val="00A716BC"/>
    <w:rsid w:val="00A717E1"/>
    <w:rsid w:val="00A71C7B"/>
    <w:rsid w:val="00A7281A"/>
    <w:rsid w:val="00A7327B"/>
    <w:rsid w:val="00A7330E"/>
    <w:rsid w:val="00A73387"/>
    <w:rsid w:val="00A73BF7"/>
    <w:rsid w:val="00A74102"/>
    <w:rsid w:val="00A74556"/>
    <w:rsid w:val="00A74778"/>
    <w:rsid w:val="00A74C0E"/>
    <w:rsid w:val="00A74E4A"/>
    <w:rsid w:val="00A74F43"/>
    <w:rsid w:val="00A751D4"/>
    <w:rsid w:val="00A75735"/>
    <w:rsid w:val="00A758EA"/>
    <w:rsid w:val="00A75A20"/>
    <w:rsid w:val="00A75E47"/>
    <w:rsid w:val="00A75FA0"/>
    <w:rsid w:val="00A7614A"/>
    <w:rsid w:val="00A762CD"/>
    <w:rsid w:val="00A7639C"/>
    <w:rsid w:val="00A775A5"/>
    <w:rsid w:val="00A77660"/>
    <w:rsid w:val="00A776D0"/>
    <w:rsid w:val="00A77ABB"/>
    <w:rsid w:val="00A77C75"/>
    <w:rsid w:val="00A80E26"/>
    <w:rsid w:val="00A81035"/>
    <w:rsid w:val="00A814E2"/>
    <w:rsid w:val="00A81580"/>
    <w:rsid w:val="00A81B9C"/>
    <w:rsid w:val="00A81D4D"/>
    <w:rsid w:val="00A81EB0"/>
    <w:rsid w:val="00A822F9"/>
    <w:rsid w:val="00A82384"/>
    <w:rsid w:val="00A8295F"/>
    <w:rsid w:val="00A82D46"/>
    <w:rsid w:val="00A830B7"/>
    <w:rsid w:val="00A83C4B"/>
    <w:rsid w:val="00A83FBA"/>
    <w:rsid w:val="00A8453F"/>
    <w:rsid w:val="00A847D2"/>
    <w:rsid w:val="00A84B73"/>
    <w:rsid w:val="00A84BF7"/>
    <w:rsid w:val="00A85058"/>
    <w:rsid w:val="00A85212"/>
    <w:rsid w:val="00A85445"/>
    <w:rsid w:val="00A855EC"/>
    <w:rsid w:val="00A86ACA"/>
    <w:rsid w:val="00A86B17"/>
    <w:rsid w:val="00A86F26"/>
    <w:rsid w:val="00A8736B"/>
    <w:rsid w:val="00A87410"/>
    <w:rsid w:val="00A8756D"/>
    <w:rsid w:val="00A900CC"/>
    <w:rsid w:val="00A9046F"/>
    <w:rsid w:val="00A904F6"/>
    <w:rsid w:val="00A9076E"/>
    <w:rsid w:val="00A9095F"/>
    <w:rsid w:val="00A90AB9"/>
    <w:rsid w:val="00A91749"/>
    <w:rsid w:val="00A917B8"/>
    <w:rsid w:val="00A91B8A"/>
    <w:rsid w:val="00A92051"/>
    <w:rsid w:val="00A92398"/>
    <w:rsid w:val="00A925F4"/>
    <w:rsid w:val="00A92F56"/>
    <w:rsid w:val="00A931B6"/>
    <w:rsid w:val="00A93323"/>
    <w:rsid w:val="00A93952"/>
    <w:rsid w:val="00A93A07"/>
    <w:rsid w:val="00A93B5C"/>
    <w:rsid w:val="00A9428E"/>
    <w:rsid w:val="00A944FA"/>
    <w:rsid w:val="00A94712"/>
    <w:rsid w:val="00A94E55"/>
    <w:rsid w:val="00A95143"/>
    <w:rsid w:val="00A95423"/>
    <w:rsid w:val="00A95553"/>
    <w:rsid w:val="00A959A7"/>
    <w:rsid w:val="00A96072"/>
    <w:rsid w:val="00A961CB"/>
    <w:rsid w:val="00A9729B"/>
    <w:rsid w:val="00A9733E"/>
    <w:rsid w:val="00A97B53"/>
    <w:rsid w:val="00A97D96"/>
    <w:rsid w:val="00A97E08"/>
    <w:rsid w:val="00A97EDE"/>
    <w:rsid w:val="00AA028A"/>
    <w:rsid w:val="00AA02C2"/>
    <w:rsid w:val="00AA0413"/>
    <w:rsid w:val="00AA0A83"/>
    <w:rsid w:val="00AA0CC6"/>
    <w:rsid w:val="00AA0D4A"/>
    <w:rsid w:val="00AA0F2B"/>
    <w:rsid w:val="00AA14B6"/>
    <w:rsid w:val="00AA1A70"/>
    <w:rsid w:val="00AA1EF9"/>
    <w:rsid w:val="00AA21DE"/>
    <w:rsid w:val="00AA2660"/>
    <w:rsid w:val="00AA26E4"/>
    <w:rsid w:val="00AA2CAB"/>
    <w:rsid w:val="00AA34E3"/>
    <w:rsid w:val="00AA352A"/>
    <w:rsid w:val="00AA352C"/>
    <w:rsid w:val="00AA3533"/>
    <w:rsid w:val="00AA3BA6"/>
    <w:rsid w:val="00AA40E8"/>
    <w:rsid w:val="00AA4902"/>
    <w:rsid w:val="00AA4905"/>
    <w:rsid w:val="00AA497F"/>
    <w:rsid w:val="00AA570D"/>
    <w:rsid w:val="00AA5B11"/>
    <w:rsid w:val="00AA5B76"/>
    <w:rsid w:val="00AA6553"/>
    <w:rsid w:val="00AA66FF"/>
    <w:rsid w:val="00AA6897"/>
    <w:rsid w:val="00AA6A0D"/>
    <w:rsid w:val="00AA6ADA"/>
    <w:rsid w:val="00AA715B"/>
    <w:rsid w:val="00AA7297"/>
    <w:rsid w:val="00AA7FCF"/>
    <w:rsid w:val="00AB0E8E"/>
    <w:rsid w:val="00AB1142"/>
    <w:rsid w:val="00AB13E6"/>
    <w:rsid w:val="00AB1AFC"/>
    <w:rsid w:val="00AB1D2C"/>
    <w:rsid w:val="00AB23C3"/>
    <w:rsid w:val="00AB2608"/>
    <w:rsid w:val="00AB32A9"/>
    <w:rsid w:val="00AB32FC"/>
    <w:rsid w:val="00AB35F8"/>
    <w:rsid w:val="00AB3698"/>
    <w:rsid w:val="00AB3AE1"/>
    <w:rsid w:val="00AB3BB7"/>
    <w:rsid w:val="00AB3DD5"/>
    <w:rsid w:val="00AB3E96"/>
    <w:rsid w:val="00AB45B8"/>
    <w:rsid w:val="00AB4C8D"/>
    <w:rsid w:val="00AB5302"/>
    <w:rsid w:val="00AB5405"/>
    <w:rsid w:val="00AB56AF"/>
    <w:rsid w:val="00AB59BC"/>
    <w:rsid w:val="00AB609D"/>
    <w:rsid w:val="00AB6713"/>
    <w:rsid w:val="00AB6B12"/>
    <w:rsid w:val="00AB6E5C"/>
    <w:rsid w:val="00AB6EA6"/>
    <w:rsid w:val="00AB6F2A"/>
    <w:rsid w:val="00AB6FEB"/>
    <w:rsid w:val="00AB71E1"/>
    <w:rsid w:val="00AB7F4F"/>
    <w:rsid w:val="00AC02AA"/>
    <w:rsid w:val="00AC0AB6"/>
    <w:rsid w:val="00AC0BC7"/>
    <w:rsid w:val="00AC1D94"/>
    <w:rsid w:val="00AC2081"/>
    <w:rsid w:val="00AC22BA"/>
    <w:rsid w:val="00AC2805"/>
    <w:rsid w:val="00AC2899"/>
    <w:rsid w:val="00AC299D"/>
    <w:rsid w:val="00AC2B9D"/>
    <w:rsid w:val="00AC2EE8"/>
    <w:rsid w:val="00AC31E7"/>
    <w:rsid w:val="00AC356E"/>
    <w:rsid w:val="00AC3697"/>
    <w:rsid w:val="00AC3733"/>
    <w:rsid w:val="00AC3768"/>
    <w:rsid w:val="00AC3E7E"/>
    <w:rsid w:val="00AC5801"/>
    <w:rsid w:val="00AC5B3C"/>
    <w:rsid w:val="00AC5FBD"/>
    <w:rsid w:val="00AC5FC9"/>
    <w:rsid w:val="00AC6938"/>
    <w:rsid w:val="00AC6D72"/>
    <w:rsid w:val="00AC6D8C"/>
    <w:rsid w:val="00AC784F"/>
    <w:rsid w:val="00AC7AB9"/>
    <w:rsid w:val="00AC7B29"/>
    <w:rsid w:val="00AC7FF9"/>
    <w:rsid w:val="00AD0128"/>
    <w:rsid w:val="00AD0BEB"/>
    <w:rsid w:val="00AD0CCA"/>
    <w:rsid w:val="00AD0DC4"/>
    <w:rsid w:val="00AD10CC"/>
    <w:rsid w:val="00AD1505"/>
    <w:rsid w:val="00AD1AB4"/>
    <w:rsid w:val="00AD1B89"/>
    <w:rsid w:val="00AD1EEA"/>
    <w:rsid w:val="00AD243B"/>
    <w:rsid w:val="00AD2B0F"/>
    <w:rsid w:val="00AD3289"/>
    <w:rsid w:val="00AD3648"/>
    <w:rsid w:val="00AD38DC"/>
    <w:rsid w:val="00AD3A2C"/>
    <w:rsid w:val="00AD3B15"/>
    <w:rsid w:val="00AD3B75"/>
    <w:rsid w:val="00AD3D91"/>
    <w:rsid w:val="00AD41F0"/>
    <w:rsid w:val="00AD42A1"/>
    <w:rsid w:val="00AD47EB"/>
    <w:rsid w:val="00AD54AA"/>
    <w:rsid w:val="00AD54AF"/>
    <w:rsid w:val="00AD5FB1"/>
    <w:rsid w:val="00AD6790"/>
    <w:rsid w:val="00AD69BB"/>
    <w:rsid w:val="00AD6E40"/>
    <w:rsid w:val="00AD6E82"/>
    <w:rsid w:val="00AD7336"/>
    <w:rsid w:val="00AD783A"/>
    <w:rsid w:val="00AD7C5B"/>
    <w:rsid w:val="00AD7F35"/>
    <w:rsid w:val="00AE00CE"/>
    <w:rsid w:val="00AE0BB5"/>
    <w:rsid w:val="00AE0FC7"/>
    <w:rsid w:val="00AE1313"/>
    <w:rsid w:val="00AE13B6"/>
    <w:rsid w:val="00AE1566"/>
    <w:rsid w:val="00AE177F"/>
    <w:rsid w:val="00AE1A4E"/>
    <w:rsid w:val="00AE1A96"/>
    <w:rsid w:val="00AE2605"/>
    <w:rsid w:val="00AE2615"/>
    <w:rsid w:val="00AE33CC"/>
    <w:rsid w:val="00AE352E"/>
    <w:rsid w:val="00AE383F"/>
    <w:rsid w:val="00AE3EB7"/>
    <w:rsid w:val="00AE41F6"/>
    <w:rsid w:val="00AE4284"/>
    <w:rsid w:val="00AE4A41"/>
    <w:rsid w:val="00AE4C7F"/>
    <w:rsid w:val="00AE503D"/>
    <w:rsid w:val="00AE538A"/>
    <w:rsid w:val="00AE57C7"/>
    <w:rsid w:val="00AE5DE7"/>
    <w:rsid w:val="00AE6081"/>
    <w:rsid w:val="00AE6C40"/>
    <w:rsid w:val="00AE710A"/>
    <w:rsid w:val="00AE74FC"/>
    <w:rsid w:val="00AE77E1"/>
    <w:rsid w:val="00AE792C"/>
    <w:rsid w:val="00AE7A50"/>
    <w:rsid w:val="00AF034B"/>
    <w:rsid w:val="00AF0364"/>
    <w:rsid w:val="00AF0A86"/>
    <w:rsid w:val="00AF0E67"/>
    <w:rsid w:val="00AF1243"/>
    <w:rsid w:val="00AF1401"/>
    <w:rsid w:val="00AF1CCA"/>
    <w:rsid w:val="00AF204C"/>
    <w:rsid w:val="00AF26E7"/>
    <w:rsid w:val="00AF2A3C"/>
    <w:rsid w:val="00AF2B63"/>
    <w:rsid w:val="00AF30BF"/>
    <w:rsid w:val="00AF35AE"/>
    <w:rsid w:val="00AF3985"/>
    <w:rsid w:val="00AF3B04"/>
    <w:rsid w:val="00AF3B9F"/>
    <w:rsid w:val="00AF45FD"/>
    <w:rsid w:val="00AF4862"/>
    <w:rsid w:val="00AF4D14"/>
    <w:rsid w:val="00AF4FF4"/>
    <w:rsid w:val="00AF551D"/>
    <w:rsid w:val="00AF56E0"/>
    <w:rsid w:val="00AF56EA"/>
    <w:rsid w:val="00AF5CB5"/>
    <w:rsid w:val="00AF62CA"/>
    <w:rsid w:val="00AF6B07"/>
    <w:rsid w:val="00AF6C64"/>
    <w:rsid w:val="00AF7465"/>
    <w:rsid w:val="00AF7B72"/>
    <w:rsid w:val="00B00064"/>
    <w:rsid w:val="00B000F1"/>
    <w:rsid w:val="00B008C7"/>
    <w:rsid w:val="00B00FF6"/>
    <w:rsid w:val="00B020E4"/>
    <w:rsid w:val="00B0222C"/>
    <w:rsid w:val="00B03366"/>
    <w:rsid w:val="00B0351F"/>
    <w:rsid w:val="00B036BB"/>
    <w:rsid w:val="00B03EF1"/>
    <w:rsid w:val="00B04053"/>
    <w:rsid w:val="00B04499"/>
    <w:rsid w:val="00B04A2A"/>
    <w:rsid w:val="00B04CCD"/>
    <w:rsid w:val="00B04CFC"/>
    <w:rsid w:val="00B04E77"/>
    <w:rsid w:val="00B04F9D"/>
    <w:rsid w:val="00B05091"/>
    <w:rsid w:val="00B055B1"/>
    <w:rsid w:val="00B05BCF"/>
    <w:rsid w:val="00B06568"/>
    <w:rsid w:val="00B0660D"/>
    <w:rsid w:val="00B06621"/>
    <w:rsid w:val="00B06697"/>
    <w:rsid w:val="00B06A96"/>
    <w:rsid w:val="00B070A5"/>
    <w:rsid w:val="00B07603"/>
    <w:rsid w:val="00B078AF"/>
    <w:rsid w:val="00B10469"/>
    <w:rsid w:val="00B104FF"/>
    <w:rsid w:val="00B10794"/>
    <w:rsid w:val="00B10E73"/>
    <w:rsid w:val="00B11169"/>
    <w:rsid w:val="00B1128A"/>
    <w:rsid w:val="00B11538"/>
    <w:rsid w:val="00B11B9B"/>
    <w:rsid w:val="00B11C34"/>
    <w:rsid w:val="00B11EC5"/>
    <w:rsid w:val="00B124A0"/>
    <w:rsid w:val="00B128B5"/>
    <w:rsid w:val="00B12C1A"/>
    <w:rsid w:val="00B12D58"/>
    <w:rsid w:val="00B12F05"/>
    <w:rsid w:val="00B1305A"/>
    <w:rsid w:val="00B13332"/>
    <w:rsid w:val="00B13373"/>
    <w:rsid w:val="00B13DBB"/>
    <w:rsid w:val="00B14461"/>
    <w:rsid w:val="00B14604"/>
    <w:rsid w:val="00B14AB4"/>
    <w:rsid w:val="00B14E2F"/>
    <w:rsid w:val="00B14E39"/>
    <w:rsid w:val="00B150EC"/>
    <w:rsid w:val="00B150F6"/>
    <w:rsid w:val="00B15126"/>
    <w:rsid w:val="00B15639"/>
    <w:rsid w:val="00B1597E"/>
    <w:rsid w:val="00B15AEF"/>
    <w:rsid w:val="00B15F41"/>
    <w:rsid w:val="00B164FD"/>
    <w:rsid w:val="00B16757"/>
    <w:rsid w:val="00B16888"/>
    <w:rsid w:val="00B169AC"/>
    <w:rsid w:val="00B16F6E"/>
    <w:rsid w:val="00B17100"/>
    <w:rsid w:val="00B171C6"/>
    <w:rsid w:val="00B17535"/>
    <w:rsid w:val="00B175BD"/>
    <w:rsid w:val="00B176C3"/>
    <w:rsid w:val="00B17EA1"/>
    <w:rsid w:val="00B17F48"/>
    <w:rsid w:val="00B20BCC"/>
    <w:rsid w:val="00B20E03"/>
    <w:rsid w:val="00B21087"/>
    <w:rsid w:val="00B21161"/>
    <w:rsid w:val="00B21BF8"/>
    <w:rsid w:val="00B21F60"/>
    <w:rsid w:val="00B2257A"/>
    <w:rsid w:val="00B22649"/>
    <w:rsid w:val="00B22954"/>
    <w:rsid w:val="00B22A23"/>
    <w:rsid w:val="00B22A78"/>
    <w:rsid w:val="00B22BD6"/>
    <w:rsid w:val="00B22F57"/>
    <w:rsid w:val="00B2373F"/>
    <w:rsid w:val="00B23D09"/>
    <w:rsid w:val="00B24048"/>
    <w:rsid w:val="00B24426"/>
    <w:rsid w:val="00B24F53"/>
    <w:rsid w:val="00B25197"/>
    <w:rsid w:val="00B251A5"/>
    <w:rsid w:val="00B25387"/>
    <w:rsid w:val="00B253A1"/>
    <w:rsid w:val="00B25A44"/>
    <w:rsid w:val="00B2610E"/>
    <w:rsid w:val="00B2627A"/>
    <w:rsid w:val="00B262AB"/>
    <w:rsid w:val="00B2674E"/>
    <w:rsid w:val="00B26979"/>
    <w:rsid w:val="00B26B63"/>
    <w:rsid w:val="00B276D0"/>
    <w:rsid w:val="00B27828"/>
    <w:rsid w:val="00B2792A"/>
    <w:rsid w:val="00B27AE9"/>
    <w:rsid w:val="00B27D3C"/>
    <w:rsid w:val="00B27E73"/>
    <w:rsid w:val="00B30008"/>
    <w:rsid w:val="00B3010C"/>
    <w:rsid w:val="00B30111"/>
    <w:rsid w:val="00B301C6"/>
    <w:rsid w:val="00B308C9"/>
    <w:rsid w:val="00B309FB"/>
    <w:rsid w:val="00B30B19"/>
    <w:rsid w:val="00B30BA6"/>
    <w:rsid w:val="00B30BA9"/>
    <w:rsid w:val="00B30DE7"/>
    <w:rsid w:val="00B30FB9"/>
    <w:rsid w:val="00B31638"/>
    <w:rsid w:val="00B319A7"/>
    <w:rsid w:val="00B31AEF"/>
    <w:rsid w:val="00B320A5"/>
    <w:rsid w:val="00B320B7"/>
    <w:rsid w:val="00B32453"/>
    <w:rsid w:val="00B32A33"/>
    <w:rsid w:val="00B32BD0"/>
    <w:rsid w:val="00B32CB3"/>
    <w:rsid w:val="00B32E37"/>
    <w:rsid w:val="00B3361C"/>
    <w:rsid w:val="00B33CB7"/>
    <w:rsid w:val="00B33EDA"/>
    <w:rsid w:val="00B3446F"/>
    <w:rsid w:val="00B352FA"/>
    <w:rsid w:val="00B3539F"/>
    <w:rsid w:val="00B35DB2"/>
    <w:rsid w:val="00B36213"/>
    <w:rsid w:val="00B3669D"/>
    <w:rsid w:val="00B3693C"/>
    <w:rsid w:val="00B36B1E"/>
    <w:rsid w:val="00B36B5C"/>
    <w:rsid w:val="00B36D09"/>
    <w:rsid w:val="00B36D31"/>
    <w:rsid w:val="00B37267"/>
    <w:rsid w:val="00B372FE"/>
    <w:rsid w:val="00B373C9"/>
    <w:rsid w:val="00B374EB"/>
    <w:rsid w:val="00B37B6B"/>
    <w:rsid w:val="00B37D81"/>
    <w:rsid w:val="00B37FE7"/>
    <w:rsid w:val="00B400B9"/>
    <w:rsid w:val="00B401B6"/>
    <w:rsid w:val="00B407D4"/>
    <w:rsid w:val="00B40934"/>
    <w:rsid w:val="00B40AC2"/>
    <w:rsid w:val="00B40B73"/>
    <w:rsid w:val="00B41234"/>
    <w:rsid w:val="00B41496"/>
    <w:rsid w:val="00B4152E"/>
    <w:rsid w:val="00B417D1"/>
    <w:rsid w:val="00B419E7"/>
    <w:rsid w:val="00B41A09"/>
    <w:rsid w:val="00B41AC4"/>
    <w:rsid w:val="00B41DBB"/>
    <w:rsid w:val="00B41E38"/>
    <w:rsid w:val="00B4203C"/>
    <w:rsid w:val="00B420EA"/>
    <w:rsid w:val="00B4295A"/>
    <w:rsid w:val="00B43146"/>
    <w:rsid w:val="00B432E7"/>
    <w:rsid w:val="00B4372E"/>
    <w:rsid w:val="00B438E6"/>
    <w:rsid w:val="00B43FA3"/>
    <w:rsid w:val="00B44F18"/>
    <w:rsid w:val="00B453E1"/>
    <w:rsid w:val="00B458F0"/>
    <w:rsid w:val="00B45AAB"/>
    <w:rsid w:val="00B463ED"/>
    <w:rsid w:val="00B464C3"/>
    <w:rsid w:val="00B46969"/>
    <w:rsid w:val="00B46A78"/>
    <w:rsid w:val="00B479E0"/>
    <w:rsid w:val="00B47A1D"/>
    <w:rsid w:val="00B47B9B"/>
    <w:rsid w:val="00B47C46"/>
    <w:rsid w:val="00B47FCF"/>
    <w:rsid w:val="00B5074E"/>
    <w:rsid w:val="00B5085F"/>
    <w:rsid w:val="00B50AD2"/>
    <w:rsid w:val="00B50E79"/>
    <w:rsid w:val="00B513EB"/>
    <w:rsid w:val="00B51920"/>
    <w:rsid w:val="00B52619"/>
    <w:rsid w:val="00B535A8"/>
    <w:rsid w:val="00B539B2"/>
    <w:rsid w:val="00B539B5"/>
    <w:rsid w:val="00B53A87"/>
    <w:rsid w:val="00B53B62"/>
    <w:rsid w:val="00B53C0C"/>
    <w:rsid w:val="00B543C4"/>
    <w:rsid w:val="00B5479F"/>
    <w:rsid w:val="00B54E28"/>
    <w:rsid w:val="00B55174"/>
    <w:rsid w:val="00B556F8"/>
    <w:rsid w:val="00B55E2D"/>
    <w:rsid w:val="00B55F4A"/>
    <w:rsid w:val="00B5608F"/>
    <w:rsid w:val="00B563C0"/>
    <w:rsid w:val="00B5651B"/>
    <w:rsid w:val="00B5661F"/>
    <w:rsid w:val="00B57127"/>
    <w:rsid w:val="00B60216"/>
    <w:rsid w:val="00B6023E"/>
    <w:rsid w:val="00B6050B"/>
    <w:rsid w:val="00B617CD"/>
    <w:rsid w:val="00B61E27"/>
    <w:rsid w:val="00B61EB2"/>
    <w:rsid w:val="00B61F01"/>
    <w:rsid w:val="00B62F91"/>
    <w:rsid w:val="00B63A64"/>
    <w:rsid w:val="00B64CE1"/>
    <w:rsid w:val="00B6521C"/>
    <w:rsid w:val="00B65323"/>
    <w:rsid w:val="00B6570D"/>
    <w:rsid w:val="00B65B5C"/>
    <w:rsid w:val="00B65F5E"/>
    <w:rsid w:val="00B66A05"/>
    <w:rsid w:val="00B66D6B"/>
    <w:rsid w:val="00B66F45"/>
    <w:rsid w:val="00B66FCB"/>
    <w:rsid w:val="00B670DD"/>
    <w:rsid w:val="00B673C3"/>
    <w:rsid w:val="00B67427"/>
    <w:rsid w:val="00B67429"/>
    <w:rsid w:val="00B67BE3"/>
    <w:rsid w:val="00B67C3A"/>
    <w:rsid w:val="00B700F1"/>
    <w:rsid w:val="00B70185"/>
    <w:rsid w:val="00B7022A"/>
    <w:rsid w:val="00B70300"/>
    <w:rsid w:val="00B70429"/>
    <w:rsid w:val="00B70B72"/>
    <w:rsid w:val="00B712A1"/>
    <w:rsid w:val="00B72667"/>
    <w:rsid w:val="00B726D3"/>
    <w:rsid w:val="00B729B7"/>
    <w:rsid w:val="00B72ADE"/>
    <w:rsid w:val="00B72B41"/>
    <w:rsid w:val="00B72FDA"/>
    <w:rsid w:val="00B738BF"/>
    <w:rsid w:val="00B73D89"/>
    <w:rsid w:val="00B74063"/>
    <w:rsid w:val="00B7416F"/>
    <w:rsid w:val="00B742D3"/>
    <w:rsid w:val="00B7434D"/>
    <w:rsid w:val="00B744A4"/>
    <w:rsid w:val="00B74691"/>
    <w:rsid w:val="00B74A70"/>
    <w:rsid w:val="00B74EEF"/>
    <w:rsid w:val="00B74EF8"/>
    <w:rsid w:val="00B74FA4"/>
    <w:rsid w:val="00B75D67"/>
    <w:rsid w:val="00B75E1E"/>
    <w:rsid w:val="00B75F03"/>
    <w:rsid w:val="00B764D6"/>
    <w:rsid w:val="00B76AF5"/>
    <w:rsid w:val="00B76E4D"/>
    <w:rsid w:val="00B7731A"/>
    <w:rsid w:val="00B8017F"/>
    <w:rsid w:val="00B803D0"/>
    <w:rsid w:val="00B805E0"/>
    <w:rsid w:val="00B807C5"/>
    <w:rsid w:val="00B80B68"/>
    <w:rsid w:val="00B80C28"/>
    <w:rsid w:val="00B80C3E"/>
    <w:rsid w:val="00B80FCB"/>
    <w:rsid w:val="00B80FF3"/>
    <w:rsid w:val="00B814A7"/>
    <w:rsid w:val="00B81583"/>
    <w:rsid w:val="00B81749"/>
    <w:rsid w:val="00B81A98"/>
    <w:rsid w:val="00B81D4A"/>
    <w:rsid w:val="00B81F26"/>
    <w:rsid w:val="00B82234"/>
    <w:rsid w:val="00B82A60"/>
    <w:rsid w:val="00B82AF2"/>
    <w:rsid w:val="00B82B58"/>
    <w:rsid w:val="00B83130"/>
    <w:rsid w:val="00B83796"/>
    <w:rsid w:val="00B83A56"/>
    <w:rsid w:val="00B84127"/>
    <w:rsid w:val="00B84396"/>
    <w:rsid w:val="00B84667"/>
    <w:rsid w:val="00B8472D"/>
    <w:rsid w:val="00B84999"/>
    <w:rsid w:val="00B8499E"/>
    <w:rsid w:val="00B8531E"/>
    <w:rsid w:val="00B853BF"/>
    <w:rsid w:val="00B85857"/>
    <w:rsid w:val="00B85CC5"/>
    <w:rsid w:val="00B85D79"/>
    <w:rsid w:val="00B862B2"/>
    <w:rsid w:val="00B8675E"/>
    <w:rsid w:val="00B86B5D"/>
    <w:rsid w:val="00B86B68"/>
    <w:rsid w:val="00B86C9B"/>
    <w:rsid w:val="00B86E85"/>
    <w:rsid w:val="00B8774C"/>
    <w:rsid w:val="00B8798C"/>
    <w:rsid w:val="00B87F73"/>
    <w:rsid w:val="00B90494"/>
    <w:rsid w:val="00B9058C"/>
    <w:rsid w:val="00B90727"/>
    <w:rsid w:val="00B91038"/>
    <w:rsid w:val="00B91142"/>
    <w:rsid w:val="00B912CF"/>
    <w:rsid w:val="00B91323"/>
    <w:rsid w:val="00B91B7A"/>
    <w:rsid w:val="00B91CA0"/>
    <w:rsid w:val="00B920FF"/>
    <w:rsid w:val="00B92343"/>
    <w:rsid w:val="00B927E0"/>
    <w:rsid w:val="00B92C1A"/>
    <w:rsid w:val="00B92E36"/>
    <w:rsid w:val="00B92EDD"/>
    <w:rsid w:val="00B936C6"/>
    <w:rsid w:val="00B93B55"/>
    <w:rsid w:val="00B93D04"/>
    <w:rsid w:val="00B93E71"/>
    <w:rsid w:val="00B941A8"/>
    <w:rsid w:val="00B945C7"/>
    <w:rsid w:val="00B9465A"/>
    <w:rsid w:val="00B94CF9"/>
    <w:rsid w:val="00B954E8"/>
    <w:rsid w:val="00B955FF"/>
    <w:rsid w:val="00B956BF"/>
    <w:rsid w:val="00B95708"/>
    <w:rsid w:val="00B95768"/>
    <w:rsid w:val="00B95DA2"/>
    <w:rsid w:val="00B95F6D"/>
    <w:rsid w:val="00B96050"/>
    <w:rsid w:val="00B960A6"/>
    <w:rsid w:val="00B9622C"/>
    <w:rsid w:val="00B962CB"/>
    <w:rsid w:val="00B9632B"/>
    <w:rsid w:val="00B96805"/>
    <w:rsid w:val="00B969F8"/>
    <w:rsid w:val="00B96B87"/>
    <w:rsid w:val="00B96BC8"/>
    <w:rsid w:val="00B96D54"/>
    <w:rsid w:val="00B96EEE"/>
    <w:rsid w:val="00B9721D"/>
    <w:rsid w:val="00B973A9"/>
    <w:rsid w:val="00B9743E"/>
    <w:rsid w:val="00B97683"/>
    <w:rsid w:val="00B976FB"/>
    <w:rsid w:val="00B97F64"/>
    <w:rsid w:val="00BA0C92"/>
    <w:rsid w:val="00BA0D2E"/>
    <w:rsid w:val="00BA0DD6"/>
    <w:rsid w:val="00BA1781"/>
    <w:rsid w:val="00BA1910"/>
    <w:rsid w:val="00BA19E8"/>
    <w:rsid w:val="00BA1F76"/>
    <w:rsid w:val="00BA225E"/>
    <w:rsid w:val="00BA2475"/>
    <w:rsid w:val="00BA2810"/>
    <w:rsid w:val="00BA28A2"/>
    <w:rsid w:val="00BA2A86"/>
    <w:rsid w:val="00BA2D9F"/>
    <w:rsid w:val="00BA2EF1"/>
    <w:rsid w:val="00BA320F"/>
    <w:rsid w:val="00BA386C"/>
    <w:rsid w:val="00BA3A63"/>
    <w:rsid w:val="00BA3A8C"/>
    <w:rsid w:val="00BA3BD8"/>
    <w:rsid w:val="00BA3DFF"/>
    <w:rsid w:val="00BA3E9F"/>
    <w:rsid w:val="00BA442D"/>
    <w:rsid w:val="00BA498E"/>
    <w:rsid w:val="00BA4A12"/>
    <w:rsid w:val="00BA4B57"/>
    <w:rsid w:val="00BA4ED3"/>
    <w:rsid w:val="00BA5B21"/>
    <w:rsid w:val="00BA6011"/>
    <w:rsid w:val="00BA7741"/>
    <w:rsid w:val="00BA7BB8"/>
    <w:rsid w:val="00BA7CA2"/>
    <w:rsid w:val="00BB0337"/>
    <w:rsid w:val="00BB0CFB"/>
    <w:rsid w:val="00BB0EB9"/>
    <w:rsid w:val="00BB1428"/>
    <w:rsid w:val="00BB1AFF"/>
    <w:rsid w:val="00BB1C70"/>
    <w:rsid w:val="00BB1DBE"/>
    <w:rsid w:val="00BB25B5"/>
    <w:rsid w:val="00BB2FB4"/>
    <w:rsid w:val="00BB341F"/>
    <w:rsid w:val="00BB368C"/>
    <w:rsid w:val="00BB3A67"/>
    <w:rsid w:val="00BB41F2"/>
    <w:rsid w:val="00BB42E9"/>
    <w:rsid w:val="00BB4383"/>
    <w:rsid w:val="00BB4A7A"/>
    <w:rsid w:val="00BB4AD9"/>
    <w:rsid w:val="00BB5275"/>
    <w:rsid w:val="00BB5688"/>
    <w:rsid w:val="00BB59C0"/>
    <w:rsid w:val="00BB5A84"/>
    <w:rsid w:val="00BB5B35"/>
    <w:rsid w:val="00BB5BF1"/>
    <w:rsid w:val="00BB5DA1"/>
    <w:rsid w:val="00BB66BC"/>
    <w:rsid w:val="00BB6CB3"/>
    <w:rsid w:val="00BB7633"/>
    <w:rsid w:val="00BB786A"/>
    <w:rsid w:val="00BB7DDD"/>
    <w:rsid w:val="00BB7E14"/>
    <w:rsid w:val="00BB7FD8"/>
    <w:rsid w:val="00BC0039"/>
    <w:rsid w:val="00BC0047"/>
    <w:rsid w:val="00BC040A"/>
    <w:rsid w:val="00BC05E6"/>
    <w:rsid w:val="00BC14D0"/>
    <w:rsid w:val="00BC1660"/>
    <w:rsid w:val="00BC196C"/>
    <w:rsid w:val="00BC1AC9"/>
    <w:rsid w:val="00BC1B76"/>
    <w:rsid w:val="00BC20D0"/>
    <w:rsid w:val="00BC266F"/>
    <w:rsid w:val="00BC26CC"/>
    <w:rsid w:val="00BC2EC2"/>
    <w:rsid w:val="00BC33C6"/>
    <w:rsid w:val="00BC3828"/>
    <w:rsid w:val="00BC4480"/>
    <w:rsid w:val="00BC46DC"/>
    <w:rsid w:val="00BC4A29"/>
    <w:rsid w:val="00BC4D06"/>
    <w:rsid w:val="00BC4D0B"/>
    <w:rsid w:val="00BC4F2E"/>
    <w:rsid w:val="00BC4F87"/>
    <w:rsid w:val="00BC5446"/>
    <w:rsid w:val="00BC5724"/>
    <w:rsid w:val="00BC622D"/>
    <w:rsid w:val="00BC64DD"/>
    <w:rsid w:val="00BC6725"/>
    <w:rsid w:val="00BC68D0"/>
    <w:rsid w:val="00BC6BBB"/>
    <w:rsid w:val="00BC6CCA"/>
    <w:rsid w:val="00BC70B5"/>
    <w:rsid w:val="00BC72AE"/>
    <w:rsid w:val="00BC766D"/>
    <w:rsid w:val="00BC7907"/>
    <w:rsid w:val="00BD0176"/>
    <w:rsid w:val="00BD07A4"/>
    <w:rsid w:val="00BD1166"/>
    <w:rsid w:val="00BD1360"/>
    <w:rsid w:val="00BD1B77"/>
    <w:rsid w:val="00BD1F89"/>
    <w:rsid w:val="00BD2A43"/>
    <w:rsid w:val="00BD2D86"/>
    <w:rsid w:val="00BD30B6"/>
    <w:rsid w:val="00BD32A3"/>
    <w:rsid w:val="00BD33AD"/>
    <w:rsid w:val="00BD37C6"/>
    <w:rsid w:val="00BD481A"/>
    <w:rsid w:val="00BD4D21"/>
    <w:rsid w:val="00BD4FC7"/>
    <w:rsid w:val="00BD503A"/>
    <w:rsid w:val="00BD51A7"/>
    <w:rsid w:val="00BD575F"/>
    <w:rsid w:val="00BD5858"/>
    <w:rsid w:val="00BD5966"/>
    <w:rsid w:val="00BD5ACE"/>
    <w:rsid w:val="00BD5C32"/>
    <w:rsid w:val="00BD6BA2"/>
    <w:rsid w:val="00BD7322"/>
    <w:rsid w:val="00BD7492"/>
    <w:rsid w:val="00BD7BD7"/>
    <w:rsid w:val="00BD7ECC"/>
    <w:rsid w:val="00BD7F1F"/>
    <w:rsid w:val="00BE03E3"/>
    <w:rsid w:val="00BE0711"/>
    <w:rsid w:val="00BE0800"/>
    <w:rsid w:val="00BE0951"/>
    <w:rsid w:val="00BE114C"/>
    <w:rsid w:val="00BE1CF6"/>
    <w:rsid w:val="00BE1FAB"/>
    <w:rsid w:val="00BE2095"/>
    <w:rsid w:val="00BE2170"/>
    <w:rsid w:val="00BE21EF"/>
    <w:rsid w:val="00BE270D"/>
    <w:rsid w:val="00BE294B"/>
    <w:rsid w:val="00BE3278"/>
    <w:rsid w:val="00BE3B0A"/>
    <w:rsid w:val="00BE3CFB"/>
    <w:rsid w:val="00BE3DFC"/>
    <w:rsid w:val="00BE4312"/>
    <w:rsid w:val="00BE445F"/>
    <w:rsid w:val="00BE4462"/>
    <w:rsid w:val="00BE48D2"/>
    <w:rsid w:val="00BE4A31"/>
    <w:rsid w:val="00BE4D80"/>
    <w:rsid w:val="00BE57E4"/>
    <w:rsid w:val="00BE5921"/>
    <w:rsid w:val="00BE5F7C"/>
    <w:rsid w:val="00BE64B7"/>
    <w:rsid w:val="00BE68B5"/>
    <w:rsid w:val="00BE6E5D"/>
    <w:rsid w:val="00BE76D5"/>
    <w:rsid w:val="00BE776C"/>
    <w:rsid w:val="00BE77B1"/>
    <w:rsid w:val="00BF052F"/>
    <w:rsid w:val="00BF0703"/>
    <w:rsid w:val="00BF1095"/>
    <w:rsid w:val="00BF1315"/>
    <w:rsid w:val="00BF13EE"/>
    <w:rsid w:val="00BF1B35"/>
    <w:rsid w:val="00BF1DDC"/>
    <w:rsid w:val="00BF1E38"/>
    <w:rsid w:val="00BF1F59"/>
    <w:rsid w:val="00BF2188"/>
    <w:rsid w:val="00BF2199"/>
    <w:rsid w:val="00BF23C1"/>
    <w:rsid w:val="00BF262A"/>
    <w:rsid w:val="00BF271D"/>
    <w:rsid w:val="00BF28AA"/>
    <w:rsid w:val="00BF2B9C"/>
    <w:rsid w:val="00BF3024"/>
    <w:rsid w:val="00BF3260"/>
    <w:rsid w:val="00BF3430"/>
    <w:rsid w:val="00BF369E"/>
    <w:rsid w:val="00BF4216"/>
    <w:rsid w:val="00BF43B4"/>
    <w:rsid w:val="00BF4B29"/>
    <w:rsid w:val="00BF50F1"/>
    <w:rsid w:val="00BF54A3"/>
    <w:rsid w:val="00BF5AFB"/>
    <w:rsid w:val="00BF60EA"/>
    <w:rsid w:val="00BF61C2"/>
    <w:rsid w:val="00BF66F8"/>
    <w:rsid w:val="00BF67EE"/>
    <w:rsid w:val="00BF6F8B"/>
    <w:rsid w:val="00BF71B2"/>
    <w:rsid w:val="00BF73EC"/>
    <w:rsid w:val="00BF741F"/>
    <w:rsid w:val="00BF75F2"/>
    <w:rsid w:val="00BF760C"/>
    <w:rsid w:val="00BF7637"/>
    <w:rsid w:val="00BF7736"/>
    <w:rsid w:val="00BF7AB1"/>
    <w:rsid w:val="00BF7AD2"/>
    <w:rsid w:val="00C00032"/>
    <w:rsid w:val="00C00590"/>
    <w:rsid w:val="00C006EB"/>
    <w:rsid w:val="00C00949"/>
    <w:rsid w:val="00C00B5A"/>
    <w:rsid w:val="00C014AB"/>
    <w:rsid w:val="00C016AE"/>
    <w:rsid w:val="00C01C61"/>
    <w:rsid w:val="00C01F2F"/>
    <w:rsid w:val="00C02146"/>
    <w:rsid w:val="00C02748"/>
    <w:rsid w:val="00C02B78"/>
    <w:rsid w:val="00C034F1"/>
    <w:rsid w:val="00C0352C"/>
    <w:rsid w:val="00C03531"/>
    <w:rsid w:val="00C035F2"/>
    <w:rsid w:val="00C03DD8"/>
    <w:rsid w:val="00C0416A"/>
    <w:rsid w:val="00C047F6"/>
    <w:rsid w:val="00C04A14"/>
    <w:rsid w:val="00C04DCF"/>
    <w:rsid w:val="00C04DD9"/>
    <w:rsid w:val="00C05585"/>
    <w:rsid w:val="00C05B6A"/>
    <w:rsid w:val="00C05BC3"/>
    <w:rsid w:val="00C05BF2"/>
    <w:rsid w:val="00C05CDA"/>
    <w:rsid w:val="00C05D22"/>
    <w:rsid w:val="00C06127"/>
    <w:rsid w:val="00C06177"/>
    <w:rsid w:val="00C0617A"/>
    <w:rsid w:val="00C0715C"/>
    <w:rsid w:val="00C071B1"/>
    <w:rsid w:val="00C07481"/>
    <w:rsid w:val="00C075EA"/>
    <w:rsid w:val="00C0780B"/>
    <w:rsid w:val="00C07DF1"/>
    <w:rsid w:val="00C11155"/>
    <w:rsid w:val="00C113F0"/>
    <w:rsid w:val="00C11495"/>
    <w:rsid w:val="00C117FA"/>
    <w:rsid w:val="00C118C5"/>
    <w:rsid w:val="00C11A43"/>
    <w:rsid w:val="00C11DF4"/>
    <w:rsid w:val="00C127AE"/>
    <w:rsid w:val="00C127BA"/>
    <w:rsid w:val="00C1280C"/>
    <w:rsid w:val="00C12833"/>
    <w:rsid w:val="00C13425"/>
    <w:rsid w:val="00C135BA"/>
    <w:rsid w:val="00C13B00"/>
    <w:rsid w:val="00C1481A"/>
    <w:rsid w:val="00C1485A"/>
    <w:rsid w:val="00C1499E"/>
    <w:rsid w:val="00C1518A"/>
    <w:rsid w:val="00C1531D"/>
    <w:rsid w:val="00C1569C"/>
    <w:rsid w:val="00C158DA"/>
    <w:rsid w:val="00C15C43"/>
    <w:rsid w:val="00C15D33"/>
    <w:rsid w:val="00C15DFB"/>
    <w:rsid w:val="00C1626E"/>
    <w:rsid w:val="00C1627B"/>
    <w:rsid w:val="00C1656E"/>
    <w:rsid w:val="00C167F9"/>
    <w:rsid w:val="00C16B5B"/>
    <w:rsid w:val="00C17034"/>
    <w:rsid w:val="00C172F3"/>
    <w:rsid w:val="00C1743F"/>
    <w:rsid w:val="00C17CD3"/>
    <w:rsid w:val="00C17D94"/>
    <w:rsid w:val="00C17F0C"/>
    <w:rsid w:val="00C17F2F"/>
    <w:rsid w:val="00C203BD"/>
    <w:rsid w:val="00C2045C"/>
    <w:rsid w:val="00C2060B"/>
    <w:rsid w:val="00C207E1"/>
    <w:rsid w:val="00C20971"/>
    <w:rsid w:val="00C20E23"/>
    <w:rsid w:val="00C2111D"/>
    <w:rsid w:val="00C21638"/>
    <w:rsid w:val="00C21CD6"/>
    <w:rsid w:val="00C21E36"/>
    <w:rsid w:val="00C22A60"/>
    <w:rsid w:val="00C22ABE"/>
    <w:rsid w:val="00C234A9"/>
    <w:rsid w:val="00C23990"/>
    <w:rsid w:val="00C23B82"/>
    <w:rsid w:val="00C23C50"/>
    <w:rsid w:val="00C23FC8"/>
    <w:rsid w:val="00C24155"/>
    <w:rsid w:val="00C24A12"/>
    <w:rsid w:val="00C24E97"/>
    <w:rsid w:val="00C24EEE"/>
    <w:rsid w:val="00C252F0"/>
    <w:rsid w:val="00C257E6"/>
    <w:rsid w:val="00C259B9"/>
    <w:rsid w:val="00C25EC1"/>
    <w:rsid w:val="00C26059"/>
    <w:rsid w:val="00C26213"/>
    <w:rsid w:val="00C26341"/>
    <w:rsid w:val="00C2642D"/>
    <w:rsid w:val="00C27138"/>
    <w:rsid w:val="00C2784C"/>
    <w:rsid w:val="00C27F2B"/>
    <w:rsid w:val="00C27F3F"/>
    <w:rsid w:val="00C30348"/>
    <w:rsid w:val="00C305B6"/>
    <w:rsid w:val="00C309AD"/>
    <w:rsid w:val="00C30B9E"/>
    <w:rsid w:val="00C30C27"/>
    <w:rsid w:val="00C30CCD"/>
    <w:rsid w:val="00C31251"/>
    <w:rsid w:val="00C314AF"/>
    <w:rsid w:val="00C32165"/>
    <w:rsid w:val="00C32D2A"/>
    <w:rsid w:val="00C33F50"/>
    <w:rsid w:val="00C3404F"/>
    <w:rsid w:val="00C3436B"/>
    <w:rsid w:val="00C34A37"/>
    <w:rsid w:val="00C34C43"/>
    <w:rsid w:val="00C34CFA"/>
    <w:rsid w:val="00C34F94"/>
    <w:rsid w:val="00C355C7"/>
    <w:rsid w:val="00C35733"/>
    <w:rsid w:val="00C357E6"/>
    <w:rsid w:val="00C35A48"/>
    <w:rsid w:val="00C35DC8"/>
    <w:rsid w:val="00C3647D"/>
    <w:rsid w:val="00C36988"/>
    <w:rsid w:val="00C3699E"/>
    <w:rsid w:val="00C36AA8"/>
    <w:rsid w:val="00C36DF7"/>
    <w:rsid w:val="00C37004"/>
    <w:rsid w:val="00C37A42"/>
    <w:rsid w:val="00C37F22"/>
    <w:rsid w:val="00C40132"/>
    <w:rsid w:val="00C407C0"/>
    <w:rsid w:val="00C41028"/>
    <w:rsid w:val="00C41294"/>
    <w:rsid w:val="00C41485"/>
    <w:rsid w:val="00C415F5"/>
    <w:rsid w:val="00C41873"/>
    <w:rsid w:val="00C41A5A"/>
    <w:rsid w:val="00C41BEB"/>
    <w:rsid w:val="00C41C6A"/>
    <w:rsid w:val="00C41FB6"/>
    <w:rsid w:val="00C421D6"/>
    <w:rsid w:val="00C429C3"/>
    <w:rsid w:val="00C42B6B"/>
    <w:rsid w:val="00C43175"/>
    <w:rsid w:val="00C432BB"/>
    <w:rsid w:val="00C432D8"/>
    <w:rsid w:val="00C433B7"/>
    <w:rsid w:val="00C4348C"/>
    <w:rsid w:val="00C43574"/>
    <w:rsid w:val="00C43744"/>
    <w:rsid w:val="00C43B5D"/>
    <w:rsid w:val="00C43F40"/>
    <w:rsid w:val="00C44902"/>
    <w:rsid w:val="00C4526C"/>
    <w:rsid w:val="00C45436"/>
    <w:rsid w:val="00C45849"/>
    <w:rsid w:val="00C45C07"/>
    <w:rsid w:val="00C4616E"/>
    <w:rsid w:val="00C461A1"/>
    <w:rsid w:val="00C461B3"/>
    <w:rsid w:val="00C469D5"/>
    <w:rsid w:val="00C469E1"/>
    <w:rsid w:val="00C46B48"/>
    <w:rsid w:val="00C47068"/>
    <w:rsid w:val="00C471F8"/>
    <w:rsid w:val="00C4731D"/>
    <w:rsid w:val="00C474E0"/>
    <w:rsid w:val="00C47550"/>
    <w:rsid w:val="00C475A0"/>
    <w:rsid w:val="00C4799C"/>
    <w:rsid w:val="00C47F40"/>
    <w:rsid w:val="00C50447"/>
    <w:rsid w:val="00C50698"/>
    <w:rsid w:val="00C50A26"/>
    <w:rsid w:val="00C50BD6"/>
    <w:rsid w:val="00C50D47"/>
    <w:rsid w:val="00C51B69"/>
    <w:rsid w:val="00C52A0D"/>
    <w:rsid w:val="00C54431"/>
    <w:rsid w:val="00C544A3"/>
    <w:rsid w:val="00C54695"/>
    <w:rsid w:val="00C54995"/>
    <w:rsid w:val="00C54EF0"/>
    <w:rsid w:val="00C54FBD"/>
    <w:rsid w:val="00C550F8"/>
    <w:rsid w:val="00C5521C"/>
    <w:rsid w:val="00C553C4"/>
    <w:rsid w:val="00C554E0"/>
    <w:rsid w:val="00C56C69"/>
    <w:rsid w:val="00C56F7B"/>
    <w:rsid w:val="00C574C9"/>
    <w:rsid w:val="00C575DF"/>
    <w:rsid w:val="00C57BA9"/>
    <w:rsid w:val="00C57CC1"/>
    <w:rsid w:val="00C6048A"/>
    <w:rsid w:val="00C60AA8"/>
    <w:rsid w:val="00C615B1"/>
    <w:rsid w:val="00C618A2"/>
    <w:rsid w:val="00C61AC6"/>
    <w:rsid w:val="00C621DF"/>
    <w:rsid w:val="00C6273C"/>
    <w:rsid w:val="00C630DC"/>
    <w:rsid w:val="00C633D0"/>
    <w:rsid w:val="00C64739"/>
    <w:rsid w:val="00C6628E"/>
    <w:rsid w:val="00C66447"/>
    <w:rsid w:val="00C668A1"/>
    <w:rsid w:val="00C670F5"/>
    <w:rsid w:val="00C6712D"/>
    <w:rsid w:val="00C67E24"/>
    <w:rsid w:val="00C7009B"/>
    <w:rsid w:val="00C702C7"/>
    <w:rsid w:val="00C70D1A"/>
    <w:rsid w:val="00C70DCD"/>
    <w:rsid w:val="00C70EDB"/>
    <w:rsid w:val="00C70F51"/>
    <w:rsid w:val="00C71484"/>
    <w:rsid w:val="00C71E03"/>
    <w:rsid w:val="00C72164"/>
    <w:rsid w:val="00C723A2"/>
    <w:rsid w:val="00C728BB"/>
    <w:rsid w:val="00C72C93"/>
    <w:rsid w:val="00C7315F"/>
    <w:rsid w:val="00C73A85"/>
    <w:rsid w:val="00C73E1D"/>
    <w:rsid w:val="00C74104"/>
    <w:rsid w:val="00C7429C"/>
    <w:rsid w:val="00C75113"/>
    <w:rsid w:val="00C762EB"/>
    <w:rsid w:val="00C7645E"/>
    <w:rsid w:val="00C76B0D"/>
    <w:rsid w:val="00C76D28"/>
    <w:rsid w:val="00C77F9D"/>
    <w:rsid w:val="00C80083"/>
    <w:rsid w:val="00C801E0"/>
    <w:rsid w:val="00C803F3"/>
    <w:rsid w:val="00C80463"/>
    <w:rsid w:val="00C80598"/>
    <w:rsid w:val="00C80A1C"/>
    <w:rsid w:val="00C816C0"/>
    <w:rsid w:val="00C818A2"/>
    <w:rsid w:val="00C81E05"/>
    <w:rsid w:val="00C81F8D"/>
    <w:rsid w:val="00C82CDC"/>
    <w:rsid w:val="00C82E42"/>
    <w:rsid w:val="00C83232"/>
    <w:rsid w:val="00C83738"/>
    <w:rsid w:val="00C83929"/>
    <w:rsid w:val="00C8397B"/>
    <w:rsid w:val="00C840DE"/>
    <w:rsid w:val="00C842CE"/>
    <w:rsid w:val="00C85121"/>
    <w:rsid w:val="00C85319"/>
    <w:rsid w:val="00C8587D"/>
    <w:rsid w:val="00C864DD"/>
    <w:rsid w:val="00C8694A"/>
    <w:rsid w:val="00C869D2"/>
    <w:rsid w:val="00C86BD7"/>
    <w:rsid w:val="00C86E73"/>
    <w:rsid w:val="00C8703B"/>
    <w:rsid w:val="00C87088"/>
    <w:rsid w:val="00C87138"/>
    <w:rsid w:val="00C87AC7"/>
    <w:rsid w:val="00C87DAA"/>
    <w:rsid w:val="00C87EF2"/>
    <w:rsid w:val="00C87F27"/>
    <w:rsid w:val="00C906C7"/>
    <w:rsid w:val="00C908B9"/>
    <w:rsid w:val="00C91167"/>
    <w:rsid w:val="00C91715"/>
    <w:rsid w:val="00C9246E"/>
    <w:rsid w:val="00C92473"/>
    <w:rsid w:val="00C92A74"/>
    <w:rsid w:val="00C93868"/>
    <w:rsid w:val="00C93A33"/>
    <w:rsid w:val="00C93EFC"/>
    <w:rsid w:val="00C93F88"/>
    <w:rsid w:val="00C944FB"/>
    <w:rsid w:val="00C94675"/>
    <w:rsid w:val="00C94713"/>
    <w:rsid w:val="00C94DD8"/>
    <w:rsid w:val="00C94EC8"/>
    <w:rsid w:val="00C956A7"/>
    <w:rsid w:val="00C95B23"/>
    <w:rsid w:val="00C96073"/>
    <w:rsid w:val="00C960AD"/>
    <w:rsid w:val="00C96381"/>
    <w:rsid w:val="00C96628"/>
    <w:rsid w:val="00C9667C"/>
    <w:rsid w:val="00C9668C"/>
    <w:rsid w:val="00C96BFA"/>
    <w:rsid w:val="00C97249"/>
    <w:rsid w:val="00C97434"/>
    <w:rsid w:val="00C974E2"/>
    <w:rsid w:val="00C97598"/>
    <w:rsid w:val="00C97B17"/>
    <w:rsid w:val="00C97CBB"/>
    <w:rsid w:val="00C97DDF"/>
    <w:rsid w:val="00C97E8F"/>
    <w:rsid w:val="00CA029F"/>
    <w:rsid w:val="00CA0391"/>
    <w:rsid w:val="00CA0756"/>
    <w:rsid w:val="00CA0D75"/>
    <w:rsid w:val="00CA1AC9"/>
    <w:rsid w:val="00CA1EFF"/>
    <w:rsid w:val="00CA25D0"/>
    <w:rsid w:val="00CA2CFE"/>
    <w:rsid w:val="00CA30C3"/>
    <w:rsid w:val="00CA3224"/>
    <w:rsid w:val="00CA3252"/>
    <w:rsid w:val="00CA32E0"/>
    <w:rsid w:val="00CA37CB"/>
    <w:rsid w:val="00CA3964"/>
    <w:rsid w:val="00CA3EF6"/>
    <w:rsid w:val="00CA459F"/>
    <w:rsid w:val="00CA4698"/>
    <w:rsid w:val="00CA49C8"/>
    <w:rsid w:val="00CA4E63"/>
    <w:rsid w:val="00CA4F15"/>
    <w:rsid w:val="00CA56A4"/>
    <w:rsid w:val="00CA5B05"/>
    <w:rsid w:val="00CA5CB1"/>
    <w:rsid w:val="00CA61EE"/>
    <w:rsid w:val="00CA620F"/>
    <w:rsid w:val="00CA6344"/>
    <w:rsid w:val="00CA69B9"/>
    <w:rsid w:val="00CA7025"/>
    <w:rsid w:val="00CA74E3"/>
    <w:rsid w:val="00CA7881"/>
    <w:rsid w:val="00CA795F"/>
    <w:rsid w:val="00CA7A6B"/>
    <w:rsid w:val="00CA7A6C"/>
    <w:rsid w:val="00CA7D90"/>
    <w:rsid w:val="00CA7E7B"/>
    <w:rsid w:val="00CB018F"/>
    <w:rsid w:val="00CB03AE"/>
    <w:rsid w:val="00CB04BC"/>
    <w:rsid w:val="00CB04BD"/>
    <w:rsid w:val="00CB056C"/>
    <w:rsid w:val="00CB075A"/>
    <w:rsid w:val="00CB09D3"/>
    <w:rsid w:val="00CB18D1"/>
    <w:rsid w:val="00CB1E0E"/>
    <w:rsid w:val="00CB20E0"/>
    <w:rsid w:val="00CB23B8"/>
    <w:rsid w:val="00CB2442"/>
    <w:rsid w:val="00CB3A9E"/>
    <w:rsid w:val="00CB3EEB"/>
    <w:rsid w:val="00CB4DF5"/>
    <w:rsid w:val="00CB54D3"/>
    <w:rsid w:val="00CB564A"/>
    <w:rsid w:val="00CB57EF"/>
    <w:rsid w:val="00CB5A7F"/>
    <w:rsid w:val="00CB671B"/>
    <w:rsid w:val="00CB6828"/>
    <w:rsid w:val="00CB6F7A"/>
    <w:rsid w:val="00CB7519"/>
    <w:rsid w:val="00CB7681"/>
    <w:rsid w:val="00CB7871"/>
    <w:rsid w:val="00CB7D09"/>
    <w:rsid w:val="00CB7E0A"/>
    <w:rsid w:val="00CC008A"/>
    <w:rsid w:val="00CC01CC"/>
    <w:rsid w:val="00CC0668"/>
    <w:rsid w:val="00CC0797"/>
    <w:rsid w:val="00CC0B18"/>
    <w:rsid w:val="00CC0D16"/>
    <w:rsid w:val="00CC13CA"/>
    <w:rsid w:val="00CC18CD"/>
    <w:rsid w:val="00CC1B68"/>
    <w:rsid w:val="00CC2337"/>
    <w:rsid w:val="00CC2A1A"/>
    <w:rsid w:val="00CC3047"/>
    <w:rsid w:val="00CC4000"/>
    <w:rsid w:val="00CC4179"/>
    <w:rsid w:val="00CC42B0"/>
    <w:rsid w:val="00CC46ED"/>
    <w:rsid w:val="00CC4FB4"/>
    <w:rsid w:val="00CC5087"/>
    <w:rsid w:val="00CC557A"/>
    <w:rsid w:val="00CC55B0"/>
    <w:rsid w:val="00CC5966"/>
    <w:rsid w:val="00CC5B2C"/>
    <w:rsid w:val="00CC5E8F"/>
    <w:rsid w:val="00CC5FED"/>
    <w:rsid w:val="00CC68E4"/>
    <w:rsid w:val="00CC6A20"/>
    <w:rsid w:val="00CC702D"/>
    <w:rsid w:val="00CC7525"/>
    <w:rsid w:val="00CC757E"/>
    <w:rsid w:val="00CC75C4"/>
    <w:rsid w:val="00CC75FD"/>
    <w:rsid w:val="00CC7EB3"/>
    <w:rsid w:val="00CD0597"/>
    <w:rsid w:val="00CD0A1F"/>
    <w:rsid w:val="00CD1462"/>
    <w:rsid w:val="00CD14C8"/>
    <w:rsid w:val="00CD1501"/>
    <w:rsid w:val="00CD1F07"/>
    <w:rsid w:val="00CD207E"/>
    <w:rsid w:val="00CD2416"/>
    <w:rsid w:val="00CD2C2B"/>
    <w:rsid w:val="00CD3329"/>
    <w:rsid w:val="00CD3DCB"/>
    <w:rsid w:val="00CD4042"/>
    <w:rsid w:val="00CD4EFD"/>
    <w:rsid w:val="00CD57EE"/>
    <w:rsid w:val="00CD5D27"/>
    <w:rsid w:val="00CD656A"/>
    <w:rsid w:val="00CD69C2"/>
    <w:rsid w:val="00CD6F1E"/>
    <w:rsid w:val="00CD6F4F"/>
    <w:rsid w:val="00CD71B5"/>
    <w:rsid w:val="00CD757C"/>
    <w:rsid w:val="00CD793D"/>
    <w:rsid w:val="00CE0945"/>
    <w:rsid w:val="00CE0D4B"/>
    <w:rsid w:val="00CE126A"/>
    <w:rsid w:val="00CE1621"/>
    <w:rsid w:val="00CE17A5"/>
    <w:rsid w:val="00CE19C4"/>
    <w:rsid w:val="00CE1D9F"/>
    <w:rsid w:val="00CE1ED6"/>
    <w:rsid w:val="00CE20B7"/>
    <w:rsid w:val="00CE224F"/>
    <w:rsid w:val="00CE25CA"/>
    <w:rsid w:val="00CE2B62"/>
    <w:rsid w:val="00CE2CCE"/>
    <w:rsid w:val="00CE2CD9"/>
    <w:rsid w:val="00CE31C2"/>
    <w:rsid w:val="00CE31EE"/>
    <w:rsid w:val="00CE369C"/>
    <w:rsid w:val="00CE4264"/>
    <w:rsid w:val="00CE4278"/>
    <w:rsid w:val="00CE434A"/>
    <w:rsid w:val="00CE44D4"/>
    <w:rsid w:val="00CE490F"/>
    <w:rsid w:val="00CE4D96"/>
    <w:rsid w:val="00CE515E"/>
    <w:rsid w:val="00CE568A"/>
    <w:rsid w:val="00CE57CE"/>
    <w:rsid w:val="00CE5A1F"/>
    <w:rsid w:val="00CE5FF8"/>
    <w:rsid w:val="00CE610D"/>
    <w:rsid w:val="00CE644E"/>
    <w:rsid w:val="00CE6809"/>
    <w:rsid w:val="00CE6979"/>
    <w:rsid w:val="00CE6CDF"/>
    <w:rsid w:val="00CE6D5E"/>
    <w:rsid w:val="00CE7477"/>
    <w:rsid w:val="00CE7698"/>
    <w:rsid w:val="00CF0670"/>
    <w:rsid w:val="00CF09E4"/>
    <w:rsid w:val="00CF0EFA"/>
    <w:rsid w:val="00CF1609"/>
    <w:rsid w:val="00CF1F04"/>
    <w:rsid w:val="00CF23CD"/>
    <w:rsid w:val="00CF23F3"/>
    <w:rsid w:val="00CF26B2"/>
    <w:rsid w:val="00CF355E"/>
    <w:rsid w:val="00CF36A7"/>
    <w:rsid w:val="00CF3A7D"/>
    <w:rsid w:val="00CF3CA4"/>
    <w:rsid w:val="00CF42DF"/>
    <w:rsid w:val="00CF4330"/>
    <w:rsid w:val="00CF4341"/>
    <w:rsid w:val="00CF435D"/>
    <w:rsid w:val="00CF4472"/>
    <w:rsid w:val="00CF4DC7"/>
    <w:rsid w:val="00CF546E"/>
    <w:rsid w:val="00CF56C2"/>
    <w:rsid w:val="00CF5A6E"/>
    <w:rsid w:val="00CF5E15"/>
    <w:rsid w:val="00CF5E87"/>
    <w:rsid w:val="00CF62D8"/>
    <w:rsid w:val="00CF6DF9"/>
    <w:rsid w:val="00CF74DF"/>
    <w:rsid w:val="00CF76E0"/>
    <w:rsid w:val="00CF7874"/>
    <w:rsid w:val="00CF787C"/>
    <w:rsid w:val="00CF7B33"/>
    <w:rsid w:val="00CF7F7F"/>
    <w:rsid w:val="00CF7FA7"/>
    <w:rsid w:val="00D00037"/>
    <w:rsid w:val="00D0023B"/>
    <w:rsid w:val="00D0043A"/>
    <w:rsid w:val="00D00ED6"/>
    <w:rsid w:val="00D01239"/>
    <w:rsid w:val="00D01254"/>
    <w:rsid w:val="00D0127E"/>
    <w:rsid w:val="00D017A2"/>
    <w:rsid w:val="00D01963"/>
    <w:rsid w:val="00D01A98"/>
    <w:rsid w:val="00D01B91"/>
    <w:rsid w:val="00D02126"/>
    <w:rsid w:val="00D027AC"/>
    <w:rsid w:val="00D02A51"/>
    <w:rsid w:val="00D02E3D"/>
    <w:rsid w:val="00D03243"/>
    <w:rsid w:val="00D03AC1"/>
    <w:rsid w:val="00D03C0B"/>
    <w:rsid w:val="00D042D5"/>
    <w:rsid w:val="00D04767"/>
    <w:rsid w:val="00D048B8"/>
    <w:rsid w:val="00D049FD"/>
    <w:rsid w:val="00D04AAF"/>
    <w:rsid w:val="00D04C50"/>
    <w:rsid w:val="00D050F5"/>
    <w:rsid w:val="00D05A50"/>
    <w:rsid w:val="00D06268"/>
    <w:rsid w:val="00D06737"/>
    <w:rsid w:val="00D06986"/>
    <w:rsid w:val="00D06A51"/>
    <w:rsid w:val="00D075BE"/>
    <w:rsid w:val="00D101EA"/>
    <w:rsid w:val="00D1098D"/>
    <w:rsid w:val="00D10A18"/>
    <w:rsid w:val="00D118C9"/>
    <w:rsid w:val="00D11A22"/>
    <w:rsid w:val="00D11B31"/>
    <w:rsid w:val="00D12CBB"/>
    <w:rsid w:val="00D12F86"/>
    <w:rsid w:val="00D12FF4"/>
    <w:rsid w:val="00D13611"/>
    <w:rsid w:val="00D136B7"/>
    <w:rsid w:val="00D1393E"/>
    <w:rsid w:val="00D13975"/>
    <w:rsid w:val="00D13A94"/>
    <w:rsid w:val="00D14646"/>
    <w:rsid w:val="00D149EC"/>
    <w:rsid w:val="00D14F03"/>
    <w:rsid w:val="00D15119"/>
    <w:rsid w:val="00D15220"/>
    <w:rsid w:val="00D15420"/>
    <w:rsid w:val="00D15590"/>
    <w:rsid w:val="00D15720"/>
    <w:rsid w:val="00D157EE"/>
    <w:rsid w:val="00D1586A"/>
    <w:rsid w:val="00D158AA"/>
    <w:rsid w:val="00D1595B"/>
    <w:rsid w:val="00D16064"/>
    <w:rsid w:val="00D16204"/>
    <w:rsid w:val="00D16226"/>
    <w:rsid w:val="00D16588"/>
    <w:rsid w:val="00D166D5"/>
    <w:rsid w:val="00D17033"/>
    <w:rsid w:val="00D17BA9"/>
    <w:rsid w:val="00D20136"/>
    <w:rsid w:val="00D207BD"/>
    <w:rsid w:val="00D209C4"/>
    <w:rsid w:val="00D20B98"/>
    <w:rsid w:val="00D20C48"/>
    <w:rsid w:val="00D215ED"/>
    <w:rsid w:val="00D21816"/>
    <w:rsid w:val="00D21C32"/>
    <w:rsid w:val="00D22456"/>
    <w:rsid w:val="00D2290A"/>
    <w:rsid w:val="00D22993"/>
    <w:rsid w:val="00D236E8"/>
    <w:rsid w:val="00D23899"/>
    <w:rsid w:val="00D23935"/>
    <w:rsid w:val="00D23F18"/>
    <w:rsid w:val="00D243A5"/>
    <w:rsid w:val="00D24462"/>
    <w:rsid w:val="00D24870"/>
    <w:rsid w:val="00D25168"/>
    <w:rsid w:val="00D25341"/>
    <w:rsid w:val="00D27B73"/>
    <w:rsid w:val="00D27E6F"/>
    <w:rsid w:val="00D27FC5"/>
    <w:rsid w:val="00D3028F"/>
    <w:rsid w:val="00D307E7"/>
    <w:rsid w:val="00D308C0"/>
    <w:rsid w:val="00D30A5F"/>
    <w:rsid w:val="00D30CE2"/>
    <w:rsid w:val="00D30F07"/>
    <w:rsid w:val="00D3143F"/>
    <w:rsid w:val="00D3149C"/>
    <w:rsid w:val="00D31614"/>
    <w:rsid w:val="00D318FF"/>
    <w:rsid w:val="00D31CB8"/>
    <w:rsid w:val="00D323C3"/>
    <w:rsid w:val="00D32479"/>
    <w:rsid w:val="00D32643"/>
    <w:rsid w:val="00D3268E"/>
    <w:rsid w:val="00D3298D"/>
    <w:rsid w:val="00D329B0"/>
    <w:rsid w:val="00D329DF"/>
    <w:rsid w:val="00D32D06"/>
    <w:rsid w:val="00D33003"/>
    <w:rsid w:val="00D33022"/>
    <w:rsid w:val="00D33571"/>
    <w:rsid w:val="00D335FA"/>
    <w:rsid w:val="00D33A2B"/>
    <w:rsid w:val="00D33C2E"/>
    <w:rsid w:val="00D33C7B"/>
    <w:rsid w:val="00D33D1C"/>
    <w:rsid w:val="00D33F76"/>
    <w:rsid w:val="00D341B9"/>
    <w:rsid w:val="00D34210"/>
    <w:rsid w:val="00D34EDB"/>
    <w:rsid w:val="00D34F77"/>
    <w:rsid w:val="00D3522C"/>
    <w:rsid w:val="00D3545A"/>
    <w:rsid w:val="00D35C61"/>
    <w:rsid w:val="00D369AB"/>
    <w:rsid w:val="00D36E73"/>
    <w:rsid w:val="00D3726F"/>
    <w:rsid w:val="00D3767F"/>
    <w:rsid w:val="00D377AD"/>
    <w:rsid w:val="00D37E30"/>
    <w:rsid w:val="00D40502"/>
    <w:rsid w:val="00D413B0"/>
    <w:rsid w:val="00D416FA"/>
    <w:rsid w:val="00D41F8A"/>
    <w:rsid w:val="00D42148"/>
    <w:rsid w:val="00D427D5"/>
    <w:rsid w:val="00D4280C"/>
    <w:rsid w:val="00D42872"/>
    <w:rsid w:val="00D42D68"/>
    <w:rsid w:val="00D4319A"/>
    <w:rsid w:val="00D435AF"/>
    <w:rsid w:val="00D43890"/>
    <w:rsid w:val="00D446DB"/>
    <w:rsid w:val="00D44BE4"/>
    <w:rsid w:val="00D44EC1"/>
    <w:rsid w:val="00D45064"/>
    <w:rsid w:val="00D45746"/>
    <w:rsid w:val="00D45838"/>
    <w:rsid w:val="00D45A0A"/>
    <w:rsid w:val="00D45A55"/>
    <w:rsid w:val="00D45D9D"/>
    <w:rsid w:val="00D45F5E"/>
    <w:rsid w:val="00D4655B"/>
    <w:rsid w:val="00D46816"/>
    <w:rsid w:val="00D4681A"/>
    <w:rsid w:val="00D469CF"/>
    <w:rsid w:val="00D475D0"/>
    <w:rsid w:val="00D47890"/>
    <w:rsid w:val="00D478D5"/>
    <w:rsid w:val="00D47B50"/>
    <w:rsid w:val="00D50853"/>
    <w:rsid w:val="00D50D32"/>
    <w:rsid w:val="00D51316"/>
    <w:rsid w:val="00D51E9F"/>
    <w:rsid w:val="00D5216B"/>
    <w:rsid w:val="00D5278E"/>
    <w:rsid w:val="00D5297D"/>
    <w:rsid w:val="00D52A35"/>
    <w:rsid w:val="00D52A6A"/>
    <w:rsid w:val="00D52E1B"/>
    <w:rsid w:val="00D535C9"/>
    <w:rsid w:val="00D53735"/>
    <w:rsid w:val="00D53D13"/>
    <w:rsid w:val="00D54120"/>
    <w:rsid w:val="00D542B8"/>
    <w:rsid w:val="00D54FAA"/>
    <w:rsid w:val="00D550E5"/>
    <w:rsid w:val="00D55C11"/>
    <w:rsid w:val="00D561FF"/>
    <w:rsid w:val="00D56330"/>
    <w:rsid w:val="00D56453"/>
    <w:rsid w:val="00D566F2"/>
    <w:rsid w:val="00D567AD"/>
    <w:rsid w:val="00D567FE"/>
    <w:rsid w:val="00D569CB"/>
    <w:rsid w:val="00D56A5A"/>
    <w:rsid w:val="00D5765B"/>
    <w:rsid w:val="00D57A28"/>
    <w:rsid w:val="00D60062"/>
    <w:rsid w:val="00D60164"/>
    <w:rsid w:val="00D603E6"/>
    <w:rsid w:val="00D6054F"/>
    <w:rsid w:val="00D607E5"/>
    <w:rsid w:val="00D60D3B"/>
    <w:rsid w:val="00D60FFF"/>
    <w:rsid w:val="00D6101D"/>
    <w:rsid w:val="00D6129C"/>
    <w:rsid w:val="00D61975"/>
    <w:rsid w:val="00D619EE"/>
    <w:rsid w:val="00D61A2A"/>
    <w:rsid w:val="00D61D87"/>
    <w:rsid w:val="00D61DFC"/>
    <w:rsid w:val="00D622AA"/>
    <w:rsid w:val="00D624CC"/>
    <w:rsid w:val="00D62595"/>
    <w:rsid w:val="00D629B7"/>
    <w:rsid w:val="00D62C32"/>
    <w:rsid w:val="00D62E3D"/>
    <w:rsid w:val="00D6365A"/>
    <w:rsid w:val="00D63AF3"/>
    <w:rsid w:val="00D63BFA"/>
    <w:rsid w:val="00D63ED2"/>
    <w:rsid w:val="00D64BA6"/>
    <w:rsid w:val="00D64F84"/>
    <w:rsid w:val="00D65AE1"/>
    <w:rsid w:val="00D65FFB"/>
    <w:rsid w:val="00D663B1"/>
    <w:rsid w:val="00D66A65"/>
    <w:rsid w:val="00D66B9D"/>
    <w:rsid w:val="00D66F94"/>
    <w:rsid w:val="00D676E2"/>
    <w:rsid w:val="00D67ABD"/>
    <w:rsid w:val="00D67DF4"/>
    <w:rsid w:val="00D7014A"/>
    <w:rsid w:val="00D70406"/>
    <w:rsid w:val="00D7049F"/>
    <w:rsid w:val="00D70721"/>
    <w:rsid w:val="00D70CFE"/>
    <w:rsid w:val="00D71124"/>
    <w:rsid w:val="00D71495"/>
    <w:rsid w:val="00D71514"/>
    <w:rsid w:val="00D7276B"/>
    <w:rsid w:val="00D72C25"/>
    <w:rsid w:val="00D72E49"/>
    <w:rsid w:val="00D73947"/>
    <w:rsid w:val="00D73F8F"/>
    <w:rsid w:val="00D7414C"/>
    <w:rsid w:val="00D7495D"/>
    <w:rsid w:val="00D750E5"/>
    <w:rsid w:val="00D75AD0"/>
    <w:rsid w:val="00D75DDD"/>
    <w:rsid w:val="00D75F6E"/>
    <w:rsid w:val="00D761FC"/>
    <w:rsid w:val="00D762E5"/>
    <w:rsid w:val="00D7641A"/>
    <w:rsid w:val="00D766B2"/>
    <w:rsid w:val="00D768FD"/>
    <w:rsid w:val="00D7732D"/>
    <w:rsid w:val="00D7769C"/>
    <w:rsid w:val="00D77762"/>
    <w:rsid w:val="00D77C9D"/>
    <w:rsid w:val="00D77D69"/>
    <w:rsid w:val="00D77F9A"/>
    <w:rsid w:val="00D805B7"/>
    <w:rsid w:val="00D80636"/>
    <w:rsid w:val="00D810CB"/>
    <w:rsid w:val="00D8147E"/>
    <w:rsid w:val="00D815D0"/>
    <w:rsid w:val="00D8197B"/>
    <w:rsid w:val="00D8202F"/>
    <w:rsid w:val="00D82425"/>
    <w:rsid w:val="00D82EF6"/>
    <w:rsid w:val="00D82F4F"/>
    <w:rsid w:val="00D83444"/>
    <w:rsid w:val="00D8367B"/>
    <w:rsid w:val="00D837D9"/>
    <w:rsid w:val="00D84367"/>
    <w:rsid w:val="00D84A2E"/>
    <w:rsid w:val="00D8512B"/>
    <w:rsid w:val="00D8512D"/>
    <w:rsid w:val="00D851FC"/>
    <w:rsid w:val="00D85B13"/>
    <w:rsid w:val="00D85F78"/>
    <w:rsid w:val="00D8683E"/>
    <w:rsid w:val="00D8693B"/>
    <w:rsid w:val="00D869E7"/>
    <w:rsid w:val="00D903CF"/>
    <w:rsid w:val="00D90A71"/>
    <w:rsid w:val="00D90D8E"/>
    <w:rsid w:val="00D9106A"/>
    <w:rsid w:val="00D91252"/>
    <w:rsid w:val="00D9160B"/>
    <w:rsid w:val="00D91930"/>
    <w:rsid w:val="00D91C18"/>
    <w:rsid w:val="00D91C8C"/>
    <w:rsid w:val="00D928AA"/>
    <w:rsid w:val="00D93003"/>
    <w:rsid w:val="00D9303A"/>
    <w:rsid w:val="00D930A9"/>
    <w:rsid w:val="00D93859"/>
    <w:rsid w:val="00D93E76"/>
    <w:rsid w:val="00D93FF0"/>
    <w:rsid w:val="00D9434E"/>
    <w:rsid w:val="00D94634"/>
    <w:rsid w:val="00D949F7"/>
    <w:rsid w:val="00D94CDB"/>
    <w:rsid w:val="00D94D5A"/>
    <w:rsid w:val="00D94D77"/>
    <w:rsid w:val="00D9538B"/>
    <w:rsid w:val="00D959C5"/>
    <w:rsid w:val="00D95BCE"/>
    <w:rsid w:val="00D95E70"/>
    <w:rsid w:val="00D96064"/>
    <w:rsid w:val="00D96296"/>
    <w:rsid w:val="00D96581"/>
    <w:rsid w:val="00D966C5"/>
    <w:rsid w:val="00D96E63"/>
    <w:rsid w:val="00D9727C"/>
    <w:rsid w:val="00D972E7"/>
    <w:rsid w:val="00D973B4"/>
    <w:rsid w:val="00D976AE"/>
    <w:rsid w:val="00D97DE0"/>
    <w:rsid w:val="00D97F32"/>
    <w:rsid w:val="00DA0098"/>
    <w:rsid w:val="00DA055A"/>
    <w:rsid w:val="00DA06E3"/>
    <w:rsid w:val="00DA08F9"/>
    <w:rsid w:val="00DA0C1D"/>
    <w:rsid w:val="00DA0D39"/>
    <w:rsid w:val="00DA0DC0"/>
    <w:rsid w:val="00DA0F51"/>
    <w:rsid w:val="00DA12F3"/>
    <w:rsid w:val="00DA15C4"/>
    <w:rsid w:val="00DA16A0"/>
    <w:rsid w:val="00DA1777"/>
    <w:rsid w:val="00DA17A8"/>
    <w:rsid w:val="00DA1962"/>
    <w:rsid w:val="00DA1EFA"/>
    <w:rsid w:val="00DA237C"/>
    <w:rsid w:val="00DA2404"/>
    <w:rsid w:val="00DA25A4"/>
    <w:rsid w:val="00DA272D"/>
    <w:rsid w:val="00DA289B"/>
    <w:rsid w:val="00DA2A92"/>
    <w:rsid w:val="00DA2C06"/>
    <w:rsid w:val="00DA2ED1"/>
    <w:rsid w:val="00DA30BF"/>
    <w:rsid w:val="00DA3730"/>
    <w:rsid w:val="00DA43D2"/>
    <w:rsid w:val="00DA4795"/>
    <w:rsid w:val="00DA49A4"/>
    <w:rsid w:val="00DA4D8B"/>
    <w:rsid w:val="00DA5045"/>
    <w:rsid w:val="00DA5064"/>
    <w:rsid w:val="00DA5257"/>
    <w:rsid w:val="00DA52F3"/>
    <w:rsid w:val="00DA58C8"/>
    <w:rsid w:val="00DA596D"/>
    <w:rsid w:val="00DA5A74"/>
    <w:rsid w:val="00DA5B4F"/>
    <w:rsid w:val="00DA618D"/>
    <w:rsid w:val="00DA678F"/>
    <w:rsid w:val="00DA67D5"/>
    <w:rsid w:val="00DA6872"/>
    <w:rsid w:val="00DA6B5F"/>
    <w:rsid w:val="00DA6BCF"/>
    <w:rsid w:val="00DA6EDB"/>
    <w:rsid w:val="00DA7233"/>
    <w:rsid w:val="00DA7596"/>
    <w:rsid w:val="00DA780B"/>
    <w:rsid w:val="00DA7BA7"/>
    <w:rsid w:val="00DA7D4A"/>
    <w:rsid w:val="00DA7D7C"/>
    <w:rsid w:val="00DB01CD"/>
    <w:rsid w:val="00DB0CB1"/>
    <w:rsid w:val="00DB0FD8"/>
    <w:rsid w:val="00DB117A"/>
    <w:rsid w:val="00DB15ED"/>
    <w:rsid w:val="00DB173E"/>
    <w:rsid w:val="00DB189D"/>
    <w:rsid w:val="00DB1DFC"/>
    <w:rsid w:val="00DB1E61"/>
    <w:rsid w:val="00DB204C"/>
    <w:rsid w:val="00DB2AA9"/>
    <w:rsid w:val="00DB2B17"/>
    <w:rsid w:val="00DB2FD9"/>
    <w:rsid w:val="00DB3080"/>
    <w:rsid w:val="00DB3145"/>
    <w:rsid w:val="00DB31A6"/>
    <w:rsid w:val="00DB346A"/>
    <w:rsid w:val="00DB347E"/>
    <w:rsid w:val="00DB34A5"/>
    <w:rsid w:val="00DB354B"/>
    <w:rsid w:val="00DB382D"/>
    <w:rsid w:val="00DB4410"/>
    <w:rsid w:val="00DB4E90"/>
    <w:rsid w:val="00DB4F1D"/>
    <w:rsid w:val="00DB5087"/>
    <w:rsid w:val="00DB5656"/>
    <w:rsid w:val="00DB5D79"/>
    <w:rsid w:val="00DB5EB4"/>
    <w:rsid w:val="00DB62A8"/>
    <w:rsid w:val="00DB65E1"/>
    <w:rsid w:val="00DB6754"/>
    <w:rsid w:val="00DB6B22"/>
    <w:rsid w:val="00DB6D9E"/>
    <w:rsid w:val="00DB71D6"/>
    <w:rsid w:val="00DB72AF"/>
    <w:rsid w:val="00DB764A"/>
    <w:rsid w:val="00DB7658"/>
    <w:rsid w:val="00DB77B8"/>
    <w:rsid w:val="00DB788C"/>
    <w:rsid w:val="00DB79F1"/>
    <w:rsid w:val="00DB79FB"/>
    <w:rsid w:val="00DB7C9B"/>
    <w:rsid w:val="00DB7E69"/>
    <w:rsid w:val="00DC00AC"/>
    <w:rsid w:val="00DC0102"/>
    <w:rsid w:val="00DC04DF"/>
    <w:rsid w:val="00DC1069"/>
    <w:rsid w:val="00DC16F8"/>
    <w:rsid w:val="00DC18E6"/>
    <w:rsid w:val="00DC19A9"/>
    <w:rsid w:val="00DC1F0A"/>
    <w:rsid w:val="00DC1FEA"/>
    <w:rsid w:val="00DC21B4"/>
    <w:rsid w:val="00DC2763"/>
    <w:rsid w:val="00DC2C6A"/>
    <w:rsid w:val="00DC2C86"/>
    <w:rsid w:val="00DC3020"/>
    <w:rsid w:val="00DC3103"/>
    <w:rsid w:val="00DC321D"/>
    <w:rsid w:val="00DC322F"/>
    <w:rsid w:val="00DC352E"/>
    <w:rsid w:val="00DC3A10"/>
    <w:rsid w:val="00DC3B61"/>
    <w:rsid w:val="00DC3D8A"/>
    <w:rsid w:val="00DC3F57"/>
    <w:rsid w:val="00DC3F67"/>
    <w:rsid w:val="00DC434C"/>
    <w:rsid w:val="00DC4A7A"/>
    <w:rsid w:val="00DC4A89"/>
    <w:rsid w:val="00DC4D91"/>
    <w:rsid w:val="00DC52E7"/>
    <w:rsid w:val="00DC533A"/>
    <w:rsid w:val="00DC547D"/>
    <w:rsid w:val="00DC5528"/>
    <w:rsid w:val="00DC571A"/>
    <w:rsid w:val="00DC596A"/>
    <w:rsid w:val="00DC5B03"/>
    <w:rsid w:val="00DC5B64"/>
    <w:rsid w:val="00DC62E0"/>
    <w:rsid w:val="00DC65D0"/>
    <w:rsid w:val="00DC6682"/>
    <w:rsid w:val="00DC6BAD"/>
    <w:rsid w:val="00DC70DC"/>
    <w:rsid w:val="00DC75BB"/>
    <w:rsid w:val="00DC76C3"/>
    <w:rsid w:val="00DC79B5"/>
    <w:rsid w:val="00DC7F7B"/>
    <w:rsid w:val="00DD011D"/>
    <w:rsid w:val="00DD01F8"/>
    <w:rsid w:val="00DD04C4"/>
    <w:rsid w:val="00DD062F"/>
    <w:rsid w:val="00DD0711"/>
    <w:rsid w:val="00DD0CFD"/>
    <w:rsid w:val="00DD22FF"/>
    <w:rsid w:val="00DD275D"/>
    <w:rsid w:val="00DD2BD9"/>
    <w:rsid w:val="00DD2D66"/>
    <w:rsid w:val="00DD2D9B"/>
    <w:rsid w:val="00DD32FA"/>
    <w:rsid w:val="00DD36F7"/>
    <w:rsid w:val="00DD3771"/>
    <w:rsid w:val="00DD38BD"/>
    <w:rsid w:val="00DD3E8A"/>
    <w:rsid w:val="00DD3EC3"/>
    <w:rsid w:val="00DD4559"/>
    <w:rsid w:val="00DD47A5"/>
    <w:rsid w:val="00DD48A8"/>
    <w:rsid w:val="00DD4963"/>
    <w:rsid w:val="00DD4FBB"/>
    <w:rsid w:val="00DD528F"/>
    <w:rsid w:val="00DD5340"/>
    <w:rsid w:val="00DD547B"/>
    <w:rsid w:val="00DD569F"/>
    <w:rsid w:val="00DD57E2"/>
    <w:rsid w:val="00DD5A1B"/>
    <w:rsid w:val="00DD5C2F"/>
    <w:rsid w:val="00DD5CED"/>
    <w:rsid w:val="00DD60DD"/>
    <w:rsid w:val="00DD69C3"/>
    <w:rsid w:val="00DD6A19"/>
    <w:rsid w:val="00DD715C"/>
    <w:rsid w:val="00DD74E1"/>
    <w:rsid w:val="00DD7865"/>
    <w:rsid w:val="00DD7B6A"/>
    <w:rsid w:val="00DD7D1F"/>
    <w:rsid w:val="00DD7F70"/>
    <w:rsid w:val="00DD7F9B"/>
    <w:rsid w:val="00DE00F1"/>
    <w:rsid w:val="00DE04E1"/>
    <w:rsid w:val="00DE0960"/>
    <w:rsid w:val="00DE0AF5"/>
    <w:rsid w:val="00DE0E45"/>
    <w:rsid w:val="00DE1431"/>
    <w:rsid w:val="00DE159F"/>
    <w:rsid w:val="00DE1770"/>
    <w:rsid w:val="00DE18BC"/>
    <w:rsid w:val="00DE19C9"/>
    <w:rsid w:val="00DE1A44"/>
    <w:rsid w:val="00DE1C8B"/>
    <w:rsid w:val="00DE1CE8"/>
    <w:rsid w:val="00DE1EAB"/>
    <w:rsid w:val="00DE23F3"/>
    <w:rsid w:val="00DE2D95"/>
    <w:rsid w:val="00DE30BF"/>
    <w:rsid w:val="00DE3597"/>
    <w:rsid w:val="00DE3FE6"/>
    <w:rsid w:val="00DE4551"/>
    <w:rsid w:val="00DE480C"/>
    <w:rsid w:val="00DE49A2"/>
    <w:rsid w:val="00DE53E5"/>
    <w:rsid w:val="00DE5647"/>
    <w:rsid w:val="00DE57F7"/>
    <w:rsid w:val="00DE588C"/>
    <w:rsid w:val="00DE5970"/>
    <w:rsid w:val="00DE59D6"/>
    <w:rsid w:val="00DE59FB"/>
    <w:rsid w:val="00DE6053"/>
    <w:rsid w:val="00DE60C2"/>
    <w:rsid w:val="00DE61DB"/>
    <w:rsid w:val="00DE653B"/>
    <w:rsid w:val="00DE6B9B"/>
    <w:rsid w:val="00DE6CE8"/>
    <w:rsid w:val="00DE73F9"/>
    <w:rsid w:val="00DE7451"/>
    <w:rsid w:val="00DE796E"/>
    <w:rsid w:val="00DF0000"/>
    <w:rsid w:val="00DF06E7"/>
    <w:rsid w:val="00DF06E9"/>
    <w:rsid w:val="00DF0F31"/>
    <w:rsid w:val="00DF0FA4"/>
    <w:rsid w:val="00DF1EB5"/>
    <w:rsid w:val="00DF1FE8"/>
    <w:rsid w:val="00DF23C2"/>
    <w:rsid w:val="00DF2C76"/>
    <w:rsid w:val="00DF2EDB"/>
    <w:rsid w:val="00DF3596"/>
    <w:rsid w:val="00DF368F"/>
    <w:rsid w:val="00DF3EAB"/>
    <w:rsid w:val="00DF438E"/>
    <w:rsid w:val="00DF4B62"/>
    <w:rsid w:val="00DF56B1"/>
    <w:rsid w:val="00DF5AA1"/>
    <w:rsid w:val="00DF5F20"/>
    <w:rsid w:val="00DF6194"/>
    <w:rsid w:val="00DF64A9"/>
    <w:rsid w:val="00DF64AD"/>
    <w:rsid w:val="00DF660E"/>
    <w:rsid w:val="00DF78FE"/>
    <w:rsid w:val="00DF7AF4"/>
    <w:rsid w:val="00DF7C41"/>
    <w:rsid w:val="00E0039A"/>
    <w:rsid w:val="00E009F4"/>
    <w:rsid w:val="00E0112E"/>
    <w:rsid w:val="00E015C1"/>
    <w:rsid w:val="00E01889"/>
    <w:rsid w:val="00E019A4"/>
    <w:rsid w:val="00E01D3F"/>
    <w:rsid w:val="00E01F4E"/>
    <w:rsid w:val="00E01F89"/>
    <w:rsid w:val="00E01FB1"/>
    <w:rsid w:val="00E02482"/>
    <w:rsid w:val="00E0261B"/>
    <w:rsid w:val="00E0275D"/>
    <w:rsid w:val="00E02AEF"/>
    <w:rsid w:val="00E02D50"/>
    <w:rsid w:val="00E03CFF"/>
    <w:rsid w:val="00E041F0"/>
    <w:rsid w:val="00E04777"/>
    <w:rsid w:val="00E04DE3"/>
    <w:rsid w:val="00E0517E"/>
    <w:rsid w:val="00E05206"/>
    <w:rsid w:val="00E058F0"/>
    <w:rsid w:val="00E05B03"/>
    <w:rsid w:val="00E05D7F"/>
    <w:rsid w:val="00E06409"/>
    <w:rsid w:val="00E0642A"/>
    <w:rsid w:val="00E06675"/>
    <w:rsid w:val="00E06A05"/>
    <w:rsid w:val="00E06F2E"/>
    <w:rsid w:val="00E07359"/>
    <w:rsid w:val="00E07B3E"/>
    <w:rsid w:val="00E109A4"/>
    <w:rsid w:val="00E10FD6"/>
    <w:rsid w:val="00E1162F"/>
    <w:rsid w:val="00E11691"/>
    <w:rsid w:val="00E1215C"/>
    <w:rsid w:val="00E12475"/>
    <w:rsid w:val="00E1294C"/>
    <w:rsid w:val="00E129C7"/>
    <w:rsid w:val="00E12AF1"/>
    <w:rsid w:val="00E12BC1"/>
    <w:rsid w:val="00E12C6A"/>
    <w:rsid w:val="00E13342"/>
    <w:rsid w:val="00E133AD"/>
    <w:rsid w:val="00E13970"/>
    <w:rsid w:val="00E13B7A"/>
    <w:rsid w:val="00E1430D"/>
    <w:rsid w:val="00E144A9"/>
    <w:rsid w:val="00E1475A"/>
    <w:rsid w:val="00E1504C"/>
    <w:rsid w:val="00E15467"/>
    <w:rsid w:val="00E1581E"/>
    <w:rsid w:val="00E1589D"/>
    <w:rsid w:val="00E15DEF"/>
    <w:rsid w:val="00E15E9E"/>
    <w:rsid w:val="00E15FDE"/>
    <w:rsid w:val="00E16129"/>
    <w:rsid w:val="00E16532"/>
    <w:rsid w:val="00E16D27"/>
    <w:rsid w:val="00E17251"/>
    <w:rsid w:val="00E172A8"/>
    <w:rsid w:val="00E17446"/>
    <w:rsid w:val="00E17CB6"/>
    <w:rsid w:val="00E17E15"/>
    <w:rsid w:val="00E17E35"/>
    <w:rsid w:val="00E17E3D"/>
    <w:rsid w:val="00E206DB"/>
    <w:rsid w:val="00E207FC"/>
    <w:rsid w:val="00E20A09"/>
    <w:rsid w:val="00E21F18"/>
    <w:rsid w:val="00E2247E"/>
    <w:rsid w:val="00E2251C"/>
    <w:rsid w:val="00E2262B"/>
    <w:rsid w:val="00E2295F"/>
    <w:rsid w:val="00E22CBB"/>
    <w:rsid w:val="00E22F55"/>
    <w:rsid w:val="00E2301C"/>
    <w:rsid w:val="00E230DF"/>
    <w:rsid w:val="00E23C77"/>
    <w:rsid w:val="00E2458A"/>
    <w:rsid w:val="00E24A32"/>
    <w:rsid w:val="00E24B15"/>
    <w:rsid w:val="00E25103"/>
    <w:rsid w:val="00E252E8"/>
    <w:rsid w:val="00E254F9"/>
    <w:rsid w:val="00E2551C"/>
    <w:rsid w:val="00E257C4"/>
    <w:rsid w:val="00E25947"/>
    <w:rsid w:val="00E259FF"/>
    <w:rsid w:val="00E26113"/>
    <w:rsid w:val="00E26363"/>
    <w:rsid w:val="00E2662A"/>
    <w:rsid w:val="00E266A4"/>
    <w:rsid w:val="00E26898"/>
    <w:rsid w:val="00E26980"/>
    <w:rsid w:val="00E271C7"/>
    <w:rsid w:val="00E27320"/>
    <w:rsid w:val="00E27609"/>
    <w:rsid w:val="00E27B1A"/>
    <w:rsid w:val="00E27C98"/>
    <w:rsid w:val="00E27EE7"/>
    <w:rsid w:val="00E27F44"/>
    <w:rsid w:val="00E3063C"/>
    <w:rsid w:val="00E31230"/>
    <w:rsid w:val="00E3158E"/>
    <w:rsid w:val="00E31932"/>
    <w:rsid w:val="00E31FC9"/>
    <w:rsid w:val="00E3215B"/>
    <w:rsid w:val="00E321AC"/>
    <w:rsid w:val="00E323FA"/>
    <w:rsid w:val="00E325D8"/>
    <w:rsid w:val="00E33281"/>
    <w:rsid w:val="00E33567"/>
    <w:rsid w:val="00E336D5"/>
    <w:rsid w:val="00E33A85"/>
    <w:rsid w:val="00E33B5F"/>
    <w:rsid w:val="00E33E37"/>
    <w:rsid w:val="00E34012"/>
    <w:rsid w:val="00E3403E"/>
    <w:rsid w:val="00E34124"/>
    <w:rsid w:val="00E35226"/>
    <w:rsid w:val="00E35306"/>
    <w:rsid w:val="00E353A7"/>
    <w:rsid w:val="00E354DB"/>
    <w:rsid w:val="00E355AE"/>
    <w:rsid w:val="00E35847"/>
    <w:rsid w:val="00E3618B"/>
    <w:rsid w:val="00E36278"/>
    <w:rsid w:val="00E3663A"/>
    <w:rsid w:val="00E36C7A"/>
    <w:rsid w:val="00E36ED1"/>
    <w:rsid w:val="00E37048"/>
    <w:rsid w:val="00E3752A"/>
    <w:rsid w:val="00E37905"/>
    <w:rsid w:val="00E37AD7"/>
    <w:rsid w:val="00E37B86"/>
    <w:rsid w:val="00E37BF4"/>
    <w:rsid w:val="00E37E00"/>
    <w:rsid w:val="00E40082"/>
    <w:rsid w:val="00E400E5"/>
    <w:rsid w:val="00E4047B"/>
    <w:rsid w:val="00E409F0"/>
    <w:rsid w:val="00E41046"/>
    <w:rsid w:val="00E4131A"/>
    <w:rsid w:val="00E4135C"/>
    <w:rsid w:val="00E41BD3"/>
    <w:rsid w:val="00E41F68"/>
    <w:rsid w:val="00E421A4"/>
    <w:rsid w:val="00E42745"/>
    <w:rsid w:val="00E4276B"/>
    <w:rsid w:val="00E427A4"/>
    <w:rsid w:val="00E42D5E"/>
    <w:rsid w:val="00E42FA6"/>
    <w:rsid w:val="00E4304D"/>
    <w:rsid w:val="00E4326F"/>
    <w:rsid w:val="00E4362E"/>
    <w:rsid w:val="00E43A4C"/>
    <w:rsid w:val="00E43AB6"/>
    <w:rsid w:val="00E43D56"/>
    <w:rsid w:val="00E43E4E"/>
    <w:rsid w:val="00E44A25"/>
    <w:rsid w:val="00E44FF6"/>
    <w:rsid w:val="00E4528C"/>
    <w:rsid w:val="00E45535"/>
    <w:rsid w:val="00E457C4"/>
    <w:rsid w:val="00E45F05"/>
    <w:rsid w:val="00E46128"/>
    <w:rsid w:val="00E461D9"/>
    <w:rsid w:val="00E469FD"/>
    <w:rsid w:val="00E4710A"/>
    <w:rsid w:val="00E472DF"/>
    <w:rsid w:val="00E47500"/>
    <w:rsid w:val="00E47554"/>
    <w:rsid w:val="00E479A8"/>
    <w:rsid w:val="00E47B41"/>
    <w:rsid w:val="00E50586"/>
    <w:rsid w:val="00E51071"/>
    <w:rsid w:val="00E51563"/>
    <w:rsid w:val="00E5157B"/>
    <w:rsid w:val="00E51605"/>
    <w:rsid w:val="00E51740"/>
    <w:rsid w:val="00E51B6D"/>
    <w:rsid w:val="00E52092"/>
    <w:rsid w:val="00E52478"/>
    <w:rsid w:val="00E528B5"/>
    <w:rsid w:val="00E52D81"/>
    <w:rsid w:val="00E530EC"/>
    <w:rsid w:val="00E537E6"/>
    <w:rsid w:val="00E5408D"/>
    <w:rsid w:val="00E54196"/>
    <w:rsid w:val="00E5448C"/>
    <w:rsid w:val="00E54726"/>
    <w:rsid w:val="00E547D2"/>
    <w:rsid w:val="00E54B73"/>
    <w:rsid w:val="00E54BEF"/>
    <w:rsid w:val="00E55437"/>
    <w:rsid w:val="00E5597A"/>
    <w:rsid w:val="00E55F22"/>
    <w:rsid w:val="00E56185"/>
    <w:rsid w:val="00E56325"/>
    <w:rsid w:val="00E5640D"/>
    <w:rsid w:val="00E56555"/>
    <w:rsid w:val="00E56590"/>
    <w:rsid w:val="00E56993"/>
    <w:rsid w:val="00E56EA1"/>
    <w:rsid w:val="00E56F4A"/>
    <w:rsid w:val="00E57132"/>
    <w:rsid w:val="00E571FD"/>
    <w:rsid w:val="00E57766"/>
    <w:rsid w:val="00E57EF7"/>
    <w:rsid w:val="00E60380"/>
    <w:rsid w:val="00E6041D"/>
    <w:rsid w:val="00E607DD"/>
    <w:rsid w:val="00E60A08"/>
    <w:rsid w:val="00E612EB"/>
    <w:rsid w:val="00E61D3B"/>
    <w:rsid w:val="00E61F14"/>
    <w:rsid w:val="00E62625"/>
    <w:rsid w:val="00E629EB"/>
    <w:rsid w:val="00E62C9C"/>
    <w:rsid w:val="00E62CC4"/>
    <w:rsid w:val="00E62CE1"/>
    <w:rsid w:val="00E633DA"/>
    <w:rsid w:val="00E63ADF"/>
    <w:rsid w:val="00E63CE1"/>
    <w:rsid w:val="00E63D13"/>
    <w:rsid w:val="00E63F3A"/>
    <w:rsid w:val="00E64642"/>
    <w:rsid w:val="00E647BE"/>
    <w:rsid w:val="00E64A99"/>
    <w:rsid w:val="00E64ECA"/>
    <w:rsid w:val="00E64F31"/>
    <w:rsid w:val="00E65495"/>
    <w:rsid w:val="00E6583A"/>
    <w:rsid w:val="00E6597D"/>
    <w:rsid w:val="00E6634A"/>
    <w:rsid w:val="00E663F6"/>
    <w:rsid w:val="00E66512"/>
    <w:rsid w:val="00E6685E"/>
    <w:rsid w:val="00E66A92"/>
    <w:rsid w:val="00E66E60"/>
    <w:rsid w:val="00E66E6D"/>
    <w:rsid w:val="00E66F06"/>
    <w:rsid w:val="00E6756C"/>
    <w:rsid w:val="00E67D8F"/>
    <w:rsid w:val="00E700D2"/>
    <w:rsid w:val="00E70289"/>
    <w:rsid w:val="00E70E0E"/>
    <w:rsid w:val="00E72038"/>
    <w:rsid w:val="00E722FC"/>
    <w:rsid w:val="00E725AA"/>
    <w:rsid w:val="00E72875"/>
    <w:rsid w:val="00E72881"/>
    <w:rsid w:val="00E72A23"/>
    <w:rsid w:val="00E72DBD"/>
    <w:rsid w:val="00E72DC6"/>
    <w:rsid w:val="00E73177"/>
    <w:rsid w:val="00E733C0"/>
    <w:rsid w:val="00E73F81"/>
    <w:rsid w:val="00E7433F"/>
    <w:rsid w:val="00E7460C"/>
    <w:rsid w:val="00E747F7"/>
    <w:rsid w:val="00E7489C"/>
    <w:rsid w:val="00E74DEF"/>
    <w:rsid w:val="00E754BB"/>
    <w:rsid w:val="00E75629"/>
    <w:rsid w:val="00E756D8"/>
    <w:rsid w:val="00E75811"/>
    <w:rsid w:val="00E75BA6"/>
    <w:rsid w:val="00E76043"/>
    <w:rsid w:val="00E76298"/>
    <w:rsid w:val="00E7708F"/>
    <w:rsid w:val="00E77210"/>
    <w:rsid w:val="00E7791E"/>
    <w:rsid w:val="00E77935"/>
    <w:rsid w:val="00E77B2B"/>
    <w:rsid w:val="00E77F28"/>
    <w:rsid w:val="00E800BF"/>
    <w:rsid w:val="00E8033C"/>
    <w:rsid w:val="00E809B4"/>
    <w:rsid w:val="00E80B55"/>
    <w:rsid w:val="00E80D82"/>
    <w:rsid w:val="00E8110B"/>
    <w:rsid w:val="00E8125A"/>
    <w:rsid w:val="00E812C2"/>
    <w:rsid w:val="00E8156F"/>
    <w:rsid w:val="00E81662"/>
    <w:rsid w:val="00E819B7"/>
    <w:rsid w:val="00E81A13"/>
    <w:rsid w:val="00E81D08"/>
    <w:rsid w:val="00E81D4B"/>
    <w:rsid w:val="00E821BB"/>
    <w:rsid w:val="00E822FE"/>
    <w:rsid w:val="00E82807"/>
    <w:rsid w:val="00E83025"/>
    <w:rsid w:val="00E832F7"/>
    <w:rsid w:val="00E840A2"/>
    <w:rsid w:val="00E84BCE"/>
    <w:rsid w:val="00E8521B"/>
    <w:rsid w:val="00E85298"/>
    <w:rsid w:val="00E85614"/>
    <w:rsid w:val="00E85F62"/>
    <w:rsid w:val="00E86049"/>
    <w:rsid w:val="00E8641E"/>
    <w:rsid w:val="00E868CB"/>
    <w:rsid w:val="00E8693C"/>
    <w:rsid w:val="00E86FD4"/>
    <w:rsid w:val="00E8727B"/>
    <w:rsid w:val="00E87432"/>
    <w:rsid w:val="00E87A0B"/>
    <w:rsid w:val="00E87D48"/>
    <w:rsid w:val="00E9047C"/>
    <w:rsid w:val="00E90564"/>
    <w:rsid w:val="00E90C89"/>
    <w:rsid w:val="00E91547"/>
    <w:rsid w:val="00E9158D"/>
    <w:rsid w:val="00E915FC"/>
    <w:rsid w:val="00E91E1D"/>
    <w:rsid w:val="00E91FDF"/>
    <w:rsid w:val="00E92DB3"/>
    <w:rsid w:val="00E92E20"/>
    <w:rsid w:val="00E93769"/>
    <w:rsid w:val="00E937C4"/>
    <w:rsid w:val="00E93A8A"/>
    <w:rsid w:val="00E93BAE"/>
    <w:rsid w:val="00E943B8"/>
    <w:rsid w:val="00E94477"/>
    <w:rsid w:val="00E949E4"/>
    <w:rsid w:val="00E94C20"/>
    <w:rsid w:val="00E955BC"/>
    <w:rsid w:val="00E955BF"/>
    <w:rsid w:val="00E958E8"/>
    <w:rsid w:val="00E96081"/>
    <w:rsid w:val="00E965C6"/>
    <w:rsid w:val="00E96B48"/>
    <w:rsid w:val="00E970E0"/>
    <w:rsid w:val="00E9733F"/>
    <w:rsid w:val="00E97B25"/>
    <w:rsid w:val="00E97B60"/>
    <w:rsid w:val="00E97D8A"/>
    <w:rsid w:val="00E97E1B"/>
    <w:rsid w:val="00EA0557"/>
    <w:rsid w:val="00EA0D50"/>
    <w:rsid w:val="00EA10F5"/>
    <w:rsid w:val="00EA11DE"/>
    <w:rsid w:val="00EA1253"/>
    <w:rsid w:val="00EA14F6"/>
    <w:rsid w:val="00EA15D3"/>
    <w:rsid w:val="00EA16BF"/>
    <w:rsid w:val="00EA194A"/>
    <w:rsid w:val="00EA1D03"/>
    <w:rsid w:val="00EA216D"/>
    <w:rsid w:val="00EA22BA"/>
    <w:rsid w:val="00EA31EB"/>
    <w:rsid w:val="00EA3C3F"/>
    <w:rsid w:val="00EA4825"/>
    <w:rsid w:val="00EA48C7"/>
    <w:rsid w:val="00EA498A"/>
    <w:rsid w:val="00EA49B4"/>
    <w:rsid w:val="00EA4B90"/>
    <w:rsid w:val="00EA5049"/>
    <w:rsid w:val="00EA5927"/>
    <w:rsid w:val="00EA5AD9"/>
    <w:rsid w:val="00EA6260"/>
    <w:rsid w:val="00EA6554"/>
    <w:rsid w:val="00EA665F"/>
    <w:rsid w:val="00EA69BA"/>
    <w:rsid w:val="00EA70CB"/>
    <w:rsid w:val="00EA71EC"/>
    <w:rsid w:val="00EA74E3"/>
    <w:rsid w:val="00EA7939"/>
    <w:rsid w:val="00EA7CC2"/>
    <w:rsid w:val="00EA7FA3"/>
    <w:rsid w:val="00EB016C"/>
    <w:rsid w:val="00EB04A3"/>
    <w:rsid w:val="00EB058E"/>
    <w:rsid w:val="00EB065A"/>
    <w:rsid w:val="00EB0760"/>
    <w:rsid w:val="00EB077B"/>
    <w:rsid w:val="00EB092E"/>
    <w:rsid w:val="00EB09D0"/>
    <w:rsid w:val="00EB1906"/>
    <w:rsid w:val="00EB1A7A"/>
    <w:rsid w:val="00EB1DF3"/>
    <w:rsid w:val="00EB1E29"/>
    <w:rsid w:val="00EB1FA6"/>
    <w:rsid w:val="00EB209E"/>
    <w:rsid w:val="00EB249A"/>
    <w:rsid w:val="00EB2B81"/>
    <w:rsid w:val="00EB35FD"/>
    <w:rsid w:val="00EB3C8A"/>
    <w:rsid w:val="00EB45B6"/>
    <w:rsid w:val="00EB48F3"/>
    <w:rsid w:val="00EB4AB8"/>
    <w:rsid w:val="00EB5584"/>
    <w:rsid w:val="00EB5AF8"/>
    <w:rsid w:val="00EB5CD1"/>
    <w:rsid w:val="00EB5CEC"/>
    <w:rsid w:val="00EB5D14"/>
    <w:rsid w:val="00EB6049"/>
    <w:rsid w:val="00EB62B3"/>
    <w:rsid w:val="00EB6C3A"/>
    <w:rsid w:val="00EB7323"/>
    <w:rsid w:val="00EB77DC"/>
    <w:rsid w:val="00EB77E9"/>
    <w:rsid w:val="00EB7C04"/>
    <w:rsid w:val="00EC0227"/>
    <w:rsid w:val="00EC027B"/>
    <w:rsid w:val="00EC094C"/>
    <w:rsid w:val="00EC0DB9"/>
    <w:rsid w:val="00EC0EF6"/>
    <w:rsid w:val="00EC10DC"/>
    <w:rsid w:val="00EC229F"/>
    <w:rsid w:val="00EC23DC"/>
    <w:rsid w:val="00EC2484"/>
    <w:rsid w:val="00EC27C2"/>
    <w:rsid w:val="00EC27F3"/>
    <w:rsid w:val="00EC280A"/>
    <w:rsid w:val="00EC2C19"/>
    <w:rsid w:val="00EC2E6E"/>
    <w:rsid w:val="00EC350A"/>
    <w:rsid w:val="00EC3E98"/>
    <w:rsid w:val="00EC4C8D"/>
    <w:rsid w:val="00EC4D2C"/>
    <w:rsid w:val="00EC549D"/>
    <w:rsid w:val="00EC5508"/>
    <w:rsid w:val="00EC5528"/>
    <w:rsid w:val="00EC5E6C"/>
    <w:rsid w:val="00EC653E"/>
    <w:rsid w:val="00EC6561"/>
    <w:rsid w:val="00EC6628"/>
    <w:rsid w:val="00EC6AEE"/>
    <w:rsid w:val="00EC6CC9"/>
    <w:rsid w:val="00EC6F5A"/>
    <w:rsid w:val="00EC701A"/>
    <w:rsid w:val="00EC72F1"/>
    <w:rsid w:val="00EC749E"/>
    <w:rsid w:val="00EC74BD"/>
    <w:rsid w:val="00EC7562"/>
    <w:rsid w:val="00EC76AD"/>
    <w:rsid w:val="00EC7B82"/>
    <w:rsid w:val="00EC7BBB"/>
    <w:rsid w:val="00ED0202"/>
    <w:rsid w:val="00ED075E"/>
    <w:rsid w:val="00ED0CBE"/>
    <w:rsid w:val="00ED12C5"/>
    <w:rsid w:val="00ED1554"/>
    <w:rsid w:val="00ED1904"/>
    <w:rsid w:val="00ED1BEE"/>
    <w:rsid w:val="00ED2086"/>
    <w:rsid w:val="00ED2446"/>
    <w:rsid w:val="00ED2A66"/>
    <w:rsid w:val="00ED30F8"/>
    <w:rsid w:val="00ED358C"/>
    <w:rsid w:val="00ED4A5D"/>
    <w:rsid w:val="00ED4ABF"/>
    <w:rsid w:val="00ED4D84"/>
    <w:rsid w:val="00ED518B"/>
    <w:rsid w:val="00ED5287"/>
    <w:rsid w:val="00ED5423"/>
    <w:rsid w:val="00ED5693"/>
    <w:rsid w:val="00ED5ADF"/>
    <w:rsid w:val="00ED5D8A"/>
    <w:rsid w:val="00ED61FC"/>
    <w:rsid w:val="00ED75F7"/>
    <w:rsid w:val="00ED7610"/>
    <w:rsid w:val="00ED78BD"/>
    <w:rsid w:val="00EE0140"/>
    <w:rsid w:val="00EE0AA3"/>
    <w:rsid w:val="00EE0DCE"/>
    <w:rsid w:val="00EE0F84"/>
    <w:rsid w:val="00EE1112"/>
    <w:rsid w:val="00EE1401"/>
    <w:rsid w:val="00EE16D4"/>
    <w:rsid w:val="00EE17AC"/>
    <w:rsid w:val="00EE1935"/>
    <w:rsid w:val="00EE1A2C"/>
    <w:rsid w:val="00EE1A2F"/>
    <w:rsid w:val="00EE1F27"/>
    <w:rsid w:val="00EE206E"/>
    <w:rsid w:val="00EE2809"/>
    <w:rsid w:val="00EE2C87"/>
    <w:rsid w:val="00EE309B"/>
    <w:rsid w:val="00EE31DD"/>
    <w:rsid w:val="00EE3C5F"/>
    <w:rsid w:val="00EE4C1B"/>
    <w:rsid w:val="00EE4D0A"/>
    <w:rsid w:val="00EE4EAA"/>
    <w:rsid w:val="00EE5E28"/>
    <w:rsid w:val="00EE5F5E"/>
    <w:rsid w:val="00EE5F7E"/>
    <w:rsid w:val="00EE60B3"/>
    <w:rsid w:val="00EE61A2"/>
    <w:rsid w:val="00EE6261"/>
    <w:rsid w:val="00EE6273"/>
    <w:rsid w:val="00EE62F5"/>
    <w:rsid w:val="00EE63B1"/>
    <w:rsid w:val="00EE6A28"/>
    <w:rsid w:val="00EE6C59"/>
    <w:rsid w:val="00EE6DE6"/>
    <w:rsid w:val="00EE70EA"/>
    <w:rsid w:val="00EE725A"/>
    <w:rsid w:val="00EE734D"/>
    <w:rsid w:val="00EE7EA0"/>
    <w:rsid w:val="00EF078A"/>
    <w:rsid w:val="00EF0925"/>
    <w:rsid w:val="00EF0CFC"/>
    <w:rsid w:val="00EF0D34"/>
    <w:rsid w:val="00EF1107"/>
    <w:rsid w:val="00EF1F50"/>
    <w:rsid w:val="00EF2D71"/>
    <w:rsid w:val="00EF2E82"/>
    <w:rsid w:val="00EF2F6E"/>
    <w:rsid w:val="00EF2FF7"/>
    <w:rsid w:val="00EF3673"/>
    <w:rsid w:val="00EF3C0E"/>
    <w:rsid w:val="00EF3E70"/>
    <w:rsid w:val="00EF4086"/>
    <w:rsid w:val="00EF4716"/>
    <w:rsid w:val="00EF48BB"/>
    <w:rsid w:val="00EF48D4"/>
    <w:rsid w:val="00EF4DE4"/>
    <w:rsid w:val="00EF553C"/>
    <w:rsid w:val="00EF5B6A"/>
    <w:rsid w:val="00EF67A2"/>
    <w:rsid w:val="00EF6C2B"/>
    <w:rsid w:val="00EF7610"/>
    <w:rsid w:val="00EF7987"/>
    <w:rsid w:val="00EF7B8B"/>
    <w:rsid w:val="00F00484"/>
    <w:rsid w:val="00F00AD0"/>
    <w:rsid w:val="00F00E07"/>
    <w:rsid w:val="00F0115B"/>
    <w:rsid w:val="00F01574"/>
    <w:rsid w:val="00F016C9"/>
    <w:rsid w:val="00F0198D"/>
    <w:rsid w:val="00F01DE5"/>
    <w:rsid w:val="00F0232D"/>
    <w:rsid w:val="00F024F2"/>
    <w:rsid w:val="00F03064"/>
    <w:rsid w:val="00F03F85"/>
    <w:rsid w:val="00F045B9"/>
    <w:rsid w:val="00F04AFA"/>
    <w:rsid w:val="00F055B3"/>
    <w:rsid w:val="00F0579C"/>
    <w:rsid w:val="00F06513"/>
    <w:rsid w:val="00F069DB"/>
    <w:rsid w:val="00F06D14"/>
    <w:rsid w:val="00F07A78"/>
    <w:rsid w:val="00F07B9E"/>
    <w:rsid w:val="00F1014D"/>
    <w:rsid w:val="00F101B0"/>
    <w:rsid w:val="00F10AC7"/>
    <w:rsid w:val="00F10D06"/>
    <w:rsid w:val="00F111FB"/>
    <w:rsid w:val="00F11829"/>
    <w:rsid w:val="00F12296"/>
    <w:rsid w:val="00F12A3E"/>
    <w:rsid w:val="00F12EFB"/>
    <w:rsid w:val="00F13451"/>
    <w:rsid w:val="00F13BC3"/>
    <w:rsid w:val="00F144A3"/>
    <w:rsid w:val="00F14594"/>
    <w:rsid w:val="00F14DFB"/>
    <w:rsid w:val="00F14F18"/>
    <w:rsid w:val="00F14FBD"/>
    <w:rsid w:val="00F1518C"/>
    <w:rsid w:val="00F15299"/>
    <w:rsid w:val="00F15706"/>
    <w:rsid w:val="00F15DE3"/>
    <w:rsid w:val="00F15EAA"/>
    <w:rsid w:val="00F15F5C"/>
    <w:rsid w:val="00F162BB"/>
    <w:rsid w:val="00F16C08"/>
    <w:rsid w:val="00F1734A"/>
    <w:rsid w:val="00F200B3"/>
    <w:rsid w:val="00F20786"/>
    <w:rsid w:val="00F207EF"/>
    <w:rsid w:val="00F2099D"/>
    <w:rsid w:val="00F21260"/>
    <w:rsid w:val="00F21F5F"/>
    <w:rsid w:val="00F222BB"/>
    <w:rsid w:val="00F2275F"/>
    <w:rsid w:val="00F228AD"/>
    <w:rsid w:val="00F22FF0"/>
    <w:rsid w:val="00F23266"/>
    <w:rsid w:val="00F23337"/>
    <w:rsid w:val="00F235A4"/>
    <w:rsid w:val="00F23826"/>
    <w:rsid w:val="00F23859"/>
    <w:rsid w:val="00F2387A"/>
    <w:rsid w:val="00F23964"/>
    <w:rsid w:val="00F23AC8"/>
    <w:rsid w:val="00F23F96"/>
    <w:rsid w:val="00F241E2"/>
    <w:rsid w:val="00F249FA"/>
    <w:rsid w:val="00F24B05"/>
    <w:rsid w:val="00F25011"/>
    <w:rsid w:val="00F254FE"/>
    <w:rsid w:val="00F25610"/>
    <w:rsid w:val="00F257A6"/>
    <w:rsid w:val="00F25822"/>
    <w:rsid w:val="00F260F4"/>
    <w:rsid w:val="00F26721"/>
    <w:rsid w:val="00F26965"/>
    <w:rsid w:val="00F26A55"/>
    <w:rsid w:val="00F26D38"/>
    <w:rsid w:val="00F27A2F"/>
    <w:rsid w:val="00F3020E"/>
    <w:rsid w:val="00F302B0"/>
    <w:rsid w:val="00F302F8"/>
    <w:rsid w:val="00F304C6"/>
    <w:rsid w:val="00F3081C"/>
    <w:rsid w:val="00F3130F"/>
    <w:rsid w:val="00F3150F"/>
    <w:rsid w:val="00F321FB"/>
    <w:rsid w:val="00F325D2"/>
    <w:rsid w:val="00F32642"/>
    <w:rsid w:val="00F32AE7"/>
    <w:rsid w:val="00F32BED"/>
    <w:rsid w:val="00F331D4"/>
    <w:rsid w:val="00F33417"/>
    <w:rsid w:val="00F3372D"/>
    <w:rsid w:val="00F3430F"/>
    <w:rsid w:val="00F343CD"/>
    <w:rsid w:val="00F35B37"/>
    <w:rsid w:val="00F35E20"/>
    <w:rsid w:val="00F35E37"/>
    <w:rsid w:val="00F36519"/>
    <w:rsid w:val="00F36537"/>
    <w:rsid w:val="00F36898"/>
    <w:rsid w:val="00F36F6B"/>
    <w:rsid w:val="00F371D5"/>
    <w:rsid w:val="00F377A2"/>
    <w:rsid w:val="00F37A8C"/>
    <w:rsid w:val="00F37AD0"/>
    <w:rsid w:val="00F37FEC"/>
    <w:rsid w:val="00F403E1"/>
    <w:rsid w:val="00F4041C"/>
    <w:rsid w:val="00F40A07"/>
    <w:rsid w:val="00F40D37"/>
    <w:rsid w:val="00F41053"/>
    <w:rsid w:val="00F410A5"/>
    <w:rsid w:val="00F4138B"/>
    <w:rsid w:val="00F41653"/>
    <w:rsid w:val="00F4181F"/>
    <w:rsid w:val="00F4190E"/>
    <w:rsid w:val="00F4289A"/>
    <w:rsid w:val="00F42D48"/>
    <w:rsid w:val="00F42F9F"/>
    <w:rsid w:val="00F432EB"/>
    <w:rsid w:val="00F43960"/>
    <w:rsid w:val="00F43B26"/>
    <w:rsid w:val="00F445E4"/>
    <w:rsid w:val="00F448EC"/>
    <w:rsid w:val="00F455A3"/>
    <w:rsid w:val="00F455E9"/>
    <w:rsid w:val="00F45937"/>
    <w:rsid w:val="00F45B38"/>
    <w:rsid w:val="00F45BC7"/>
    <w:rsid w:val="00F45D93"/>
    <w:rsid w:val="00F46102"/>
    <w:rsid w:val="00F46103"/>
    <w:rsid w:val="00F46464"/>
    <w:rsid w:val="00F46465"/>
    <w:rsid w:val="00F46945"/>
    <w:rsid w:val="00F472D2"/>
    <w:rsid w:val="00F477BB"/>
    <w:rsid w:val="00F47AD4"/>
    <w:rsid w:val="00F47E6C"/>
    <w:rsid w:val="00F5019D"/>
    <w:rsid w:val="00F506EF"/>
    <w:rsid w:val="00F50DCA"/>
    <w:rsid w:val="00F510A9"/>
    <w:rsid w:val="00F5140D"/>
    <w:rsid w:val="00F517F0"/>
    <w:rsid w:val="00F51CE2"/>
    <w:rsid w:val="00F52063"/>
    <w:rsid w:val="00F52B2A"/>
    <w:rsid w:val="00F53AE8"/>
    <w:rsid w:val="00F53B05"/>
    <w:rsid w:val="00F53B53"/>
    <w:rsid w:val="00F53EB7"/>
    <w:rsid w:val="00F53F28"/>
    <w:rsid w:val="00F54143"/>
    <w:rsid w:val="00F5480E"/>
    <w:rsid w:val="00F54C27"/>
    <w:rsid w:val="00F54E9F"/>
    <w:rsid w:val="00F5507B"/>
    <w:rsid w:val="00F551AB"/>
    <w:rsid w:val="00F55CEE"/>
    <w:rsid w:val="00F55DFE"/>
    <w:rsid w:val="00F5640A"/>
    <w:rsid w:val="00F565A3"/>
    <w:rsid w:val="00F5660B"/>
    <w:rsid w:val="00F56752"/>
    <w:rsid w:val="00F56806"/>
    <w:rsid w:val="00F56953"/>
    <w:rsid w:val="00F569E9"/>
    <w:rsid w:val="00F56E0D"/>
    <w:rsid w:val="00F57783"/>
    <w:rsid w:val="00F57B87"/>
    <w:rsid w:val="00F6004B"/>
    <w:rsid w:val="00F600A2"/>
    <w:rsid w:val="00F60290"/>
    <w:rsid w:val="00F606B3"/>
    <w:rsid w:val="00F60A27"/>
    <w:rsid w:val="00F61979"/>
    <w:rsid w:val="00F61AA3"/>
    <w:rsid w:val="00F61C34"/>
    <w:rsid w:val="00F61DFD"/>
    <w:rsid w:val="00F621AA"/>
    <w:rsid w:val="00F62B43"/>
    <w:rsid w:val="00F63497"/>
    <w:rsid w:val="00F639E8"/>
    <w:rsid w:val="00F64024"/>
    <w:rsid w:val="00F64334"/>
    <w:rsid w:val="00F6434B"/>
    <w:rsid w:val="00F6458B"/>
    <w:rsid w:val="00F647EE"/>
    <w:rsid w:val="00F64DAB"/>
    <w:rsid w:val="00F65445"/>
    <w:rsid w:val="00F6576B"/>
    <w:rsid w:val="00F658A4"/>
    <w:rsid w:val="00F659C5"/>
    <w:rsid w:val="00F65E81"/>
    <w:rsid w:val="00F6622B"/>
    <w:rsid w:val="00F67110"/>
    <w:rsid w:val="00F6771E"/>
    <w:rsid w:val="00F67765"/>
    <w:rsid w:val="00F67B0A"/>
    <w:rsid w:val="00F67B78"/>
    <w:rsid w:val="00F70088"/>
    <w:rsid w:val="00F7088B"/>
    <w:rsid w:val="00F71333"/>
    <w:rsid w:val="00F7214E"/>
    <w:rsid w:val="00F7239E"/>
    <w:rsid w:val="00F72496"/>
    <w:rsid w:val="00F72AC8"/>
    <w:rsid w:val="00F72F44"/>
    <w:rsid w:val="00F73333"/>
    <w:rsid w:val="00F73569"/>
    <w:rsid w:val="00F735E2"/>
    <w:rsid w:val="00F73854"/>
    <w:rsid w:val="00F73C8A"/>
    <w:rsid w:val="00F74042"/>
    <w:rsid w:val="00F7435C"/>
    <w:rsid w:val="00F7443E"/>
    <w:rsid w:val="00F747D2"/>
    <w:rsid w:val="00F748A4"/>
    <w:rsid w:val="00F750B9"/>
    <w:rsid w:val="00F75183"/>
    <w:rsid w:val="00F75475"/>
    <w:rsid w:val="00F7556D"/>
    <w:rsid w:val="00F75AAC"/>
    <w:rsid w:val="00F75D5D"/>
    <w:rsid w:val="00F75EF2"/>
    <w:rsid w:val="00F7608E"/>
    <w:rsid w:val="00F7697B"/>
    <w:rsid w:val="00F769D2"/>
    <w:rsid w:val="00F76B2E"/>
    <w:rsid w:val="00F7701E"/>
    <w:rsid w:val="00F7726F"/>
    <w:rsid w:val="00F77AE6"/>
    <w:rsid w:val="00F77EA7"/>
    <w:rsid w:val="00F8021E"/>
    <w:rsid w:val="00F803C4"/>
    <w:rsid w:val="00F80B97"/>
    <w:rsid w:val="00F814F3"/>
    <w:rsid w:val="00F81B57"/>
    <w:rsid w:val="00F81E4D"/>
    <w:rsid w:val="00F8211B"/>
    <w:rsid w:val="00F821D2"/>
    <w:rsid w:val="00F82A63"/>
    <w:rsid w:val="00F82E90"/>
    <w:rsid w:val="00F83397"/>
    <w:rsid w:val="00F83A32"/>
    <w:rsid w:val="00F83E96"/>
    <w:rsid w:val="00F840D8"/>
    <w:rsid w:val="00F8462F"/>
    <w:rsid w:val="00F8473D"/>
    <w:rsid w:val="00F84828"/>
    <w:rsid w:val="00F84F7E"/>
    <w:rsid w:val="00F84FFE"/>
    <w:rsid w:val="00F85B74"/>
    <w:rsid w:val="00F85D67"/>
    <w:rsid w:val="00F86395"/>
    <w:rsid w:val="00F863BD"/>
    <w:rsid w:val="00F8644E"/>
    <w:rsid w:val="00F87122"/>
    <w:rsid w:val="00F87134"/>
    <w:rsid w:val="00F871DF"/>
    <w:rsid w:val="00F872BE"/>
    <w:rsid w:val="00F874E4"/>
    <w:rsid w:val="00F87539"/>
    <w:rsid w:val="00F87C82"/>
    <w:rsid w:val="00F87CB1"/>
    <w:rsid w:val="00F901A4"/>
    <w:rsid w:val="00F90690"/>
    <w:rsid w:val="00F909F4"/>
    <w:rsid w:val="00F90A9D"/>
    <w:rsid w:val="00F90DE2"/>
    <w:rsid w:val="00F9113D"/>
    <w:rsid w:val="00F9119D"/>
    <w:rsid w:val="00F9148B"/>
    <w:rsid w:val="00F91E17"/>
    <w:rsid w:val="00F91F32"/>
    <w:rsid w:val="00F91F5D"/>
    <w:rsid w:val="00F9215E"/>
    <w:rsid w:val="00F929D3"/>
    <w:rsid w:val="00F929F4"/>
    <w:rsid w:val="00F929F7"/>
    <w:rsid w:val="00F92AC5"/>
    <w:rsid w:val="00F92FED"/>
    <w:rsid w:val="00F93566"/>
    <w:rsid w:val="00F936EF"/>
    <w:rsid w:val="00F9379C"/>
    <w:rsid w:val="00F93865"/>
    <w:rsid w:val="00F93DFC"/>
    <w:rsid w:val="00F942F4"/>
    <w:rsid w:val="00F94B27"/>
    <w:rsid w:val="00F94D24"/>
    <w:rsid w:val="00F94DB6"/>
    <w:rsid w:val="00F94F06"/>
    <w:rsid w:val="00F9563C"/>
    <w:rsid w:val="00F9582F"/>
    <w:rsid w:val="00F9589A"/>
    <w:rsid w:val="00F9597D"/>
    <w:rsid w:val="00F9640C"/>
    <w:rsid w:val="00F9694B"/>
    <w:rsid w:val="00F9729F"/>
    <w:rsid w:val="00F973D7"/>
    <w:rsid w:val="00F97AAE"/>
    <w:rsid w:val="00FA0C10"/>
    <w:rsid w:val="00FA0C6F"/>
    <w:rsid w:val="00FA0EC6"/>
    <w:rsid w:val="00FA0F62"/>
    <w:rsid w:val="00FA197A"/>
    <w:rsid w:val="00FA1BF0"/>
    <w:rsid w:val="00FA21B7"/>
    <w:rsid w:val="00FA21FC"/>
    <w:rsid w:val="00FA2296"/>
    <w:rsid w:val="00FA2FA0"/>
    <w:rsid w:val="00FA3238"/>
    <w:rsid w:val="00FA3720"/>
    <w:rsid w:val="00FA3DB1"/>
    <w:rsid w:val="00FA3F94"/>
    <w:rsid w:val="00FA400B"/>
    <w:rsid w:val="00FA4193"/>
    <w:rsid w:val="00FA450D"/>
    <w:rsid w:val="00FA45FC"/>
    <w:rsid w:val="00FA4FDC"/>
    <w:rsid w:val="00FA4FED"/>
    <w:rsid w:val="00FA5726"/>
    <w:rsid w:val="00FA593D"/>
    <w:rsid w:val="00FA5953"/>
    <w:rsid w:val="00FA5A39"/>
    <w:rsid w:val="00FA5B22"/>
    <w:rsid w:val="00FA6660"/>
    <w:rsid w:val="00FA6678"/>
    <w:rsid w:val="00FA6C73"/>
    <w:rsid w:val="00FA6EC4"/>
    <w:rsid w:val="00FA6F8D"/>
    <w:rsid w:val="00FB025A"/>
    <w:rsid w:val="00FB02B3"/>
    <w:rsid w:val="00FB06D0"/>
    <w:rsid w:val="00FB091D"/>
    <w:rsid w:val="00FB0D7B"/>
    <w:rsid w:val="00FB0ED2"/>
    <w:rsid w:val="00FB1193"/>
    <w:rsid w:val="00FB1AEB"/>
    <w:rsid w:val="00FB1F72"/>
    <w:rsid w:val="00FB21E2"/>
    <w:rsid w:val="00FB25C1"/>
    <w:rsid w:val="00FB2807"/>
    <w:rsid w:val="00FB347B"/>
    <w:rsid w:val="00FB3498"/>
    <w:rsid w:val="00FB34CD"/>
    <w:rsid w:val="00FB3DD8"/>
    <w:rsid w:val="00FB4319"/>
    <w:rsid w:val="00FB47BA"/>
    <w:rsid w:val="00FB510F"/>
    <w:rsid w:val="00FB5315"/>
    <w:rsid w:val="00FB57DC"/>
    <w:rsid w:val="00FB6462"/>
    <w:rsid w:val="00FB6897"/>
    <w:rsid w:val="00FB6C38"/>
    <w:rsid w:val="00FB6F4C"/>
    <w:rsid w:val="00FB7082"/>
    <w:rsid w:val="00FB7386"/>
    <w:rsid w:val="00FB77B7"/>
    <w:rsid w:val="00FB798D"/>
    <w:rsid w:val="00FB7AFB"/>
    <w:rsid w:val="00FC032F"/>
    <w:rsid w:val="00FC06BC"/>
    <w:rsid w:val="00FC0D10"/>
    <w:rsid w:val="00FC1391"/>
    <w:rsid w:val="00FC1637"/>
    <w:rsid w:val="00FC1FE4"/>
    <w:rsid w:val="00FC2104"/>
    <w:rsid w:val="00FC2247"/>
    <w:rsid w:val="00FC2B0D"/>
    <w:rsid w:val="00FC2C55"/>
    <w:rsid w:val="00FC2C9D"/>
    <w:rsid w:val="00FC3A87"/>
    <w:rsid w:val="00FC3CCE"/>
    <w:rsid w:val="00FC3DB4"/>
    <w:rsid w:val="00FC5C06"/>
    <w:rsid w:val="00FC5C5A"/>
    <w:rsid w:val="00FC5D57"/>
    <w:rsid w:val="00FC5FE3"/>
    <w:rsid w:val="00FC6122"/>
    <w:rsid w:val="00FC6220"/>
    <w:rsid w:val="00FC7999"/>
    <w:rsid w:val="00FC7B61"/>
    <w:rsid w:val="00FC7E6A"/>
    <w:rsid w:val="00FC7E8E"/>
    <w:rsid w:val="00FC7F4C"/>
    <w:rsid w:val="00FD018F"/>
    <w:rsid w:val="00FD03AD"/>
    <w:rsid w:val="00FD04EC"/>
    <w:rsid w:val="00FD0824"/>
    <w:rsid w:val="00FD0AEA"/>
    <w:rsid w:val="00FD0B3A"/>
    <w:rsid w:val="00FD101F"/>
    <w:rsid w:val="00FD15C2"/>
    <w:rsid w:val="00FD1E8F"/>
    <w:rsid w:val="00FD2309"/>
    <w:rsid w:val="00FD2658"/>
    <w:rsid w:val="00FD2DAF"/>
    <w:rsid w:val="00FD2E81"/>
    <w:rsid w:val="00FD3285"/>
    <w:rsid w:val="00FD331B"/>
    <w:rsid w:val="00FD3426"/>
    <w:rsid w:val="00FD360A"/>
    <w:rsid w:val="00FD3B79"/>
    <w:rsid w:val="00FD3E06"/>
    <w:rsid w:val="00FD3FC1"/>
    <w:rsid w:val="00FD4049"/>
    <w:rsid w:val="00FD47A3"/>
    <w:rsid w:val="00FD4827"/>
    <w:rsid w:val="00FD505C"/>
    <w:rsid w:val="00FD50EB"/>
    <w:rsid w:val="00FD5421"/>
    <w:rsid w:val="00FD5BDD"/>
    <w:rsid w:val="00FD5C7E"/>
    <w:rsid w:val="00FD5CED"/>
    <w:rsid w:val="00FD6093"/>
    <w:rsid w:val="00FD6256"/>
    <w:rsid w:val="00FD634A"/>
    <w:rsid w:val="00FD6A95"/>
    <w:rsid w:val="00FD6E23"/>
    <w:rsid w:val="00FD74A6"/>
    <w:rsid w:val="00FD79F6"/>
    <w:rsid w:val="00FD7A70"/>
    <w:rsid w:val="00FD7D79"/>
    <w:rsid w:val="00FD7F6C"/>
    <w:rsid w:val="00FE03FA"/>
    <w:rsid w:val="00FE0491"/>
    <w:rsid w:val="00FE0542"/>
    <w:rsid w:val="00FE092F"/>
    <w:rsid w:val="00FE0990"/>
    <w:rsid w:val="00FE1693"/>
    <w:rsid w:val="00FE22B6"/>
    <w:rsid w:val="00FE27AA"/>
    <w:rsid w:val="00FE2C7D"/>
    <w:rsid w:val="00FE2FE4"/>
    <w:rsid w:val="00FE31BA"/>
    <w:rsid w:val="00FE39D6"/>
    <w:rsid w:val="00FE4216"/>
    <w:rsid w:val="00FE4435"/>
    <w:rsid w:val="00FE4780"/>
    <w:rsid w:val="00FE4952"/>
    <w:rsid w:val="00FE5094"/>
    <w:rsid w:val="00FE51D1"/>
    <w:rsid w:val="00FE53AA"/>
    <w:rsid w:val="00FE5737"/>
    <w:rsid w:val="00FE6005"/>
    <w:rsid w:val="00FE61AF"/>
    <w:rsid w:val="00FE6C88"/>
    <w:rsid w:val="00FE6D79"/>
    <w:rsid w:val="00FE6DB2"/>
    <w:rsid w:val="00FE7573"/>
    <w:rsid w:val="00FE7B78"/>
    <w:rsid w:val="00FE7C33"/>
    <w:rsid w:val="00FE7C45"/>
    <w:rsid w:val="00FE7E6F"/>
    <w:rsid w:val="00FE7F66"/>
    <w:rsid w:val="00FF038E"/>
    <w:rsid w:val="00FF0F31"/>
    <w:rsid w:val="00FF0F52"/>
    <w:rsid w:val="00FF14F6"/>
    <w:rsid w:val="00FF165D"/>
    <w:rsid w:val="00FF1865"/>
    <w:rsid w:val="00FF1A0B"/>
    <w:rsid w:val="00FF1A39"/>
    <w:rsid w:val="00FF1A79"/>
    <w:rsid w:val="00FF1E8D"/>
    <w:rsid w:val="00FF260D"/>
    <w:rsid w:val="00FF2F92"/>
    <w:rsid w:val="00FF2FFB"/>
    <w:rsid w:val="00FF304B"/>
    <w:rsid w:val="00FF34FF"/>
    <w:rsid w:val="00FF36CD"/>
    <w:rsid w:val="00FF3D1D"/>
    <w:rsid w:val="00FF3DA2"/>
    <w:rsid w:val="00FF4897"/>
    <w:rsid w:val="00FF582C"/>
    <w:rsid w:val="00FF5893"/>
    <w:rsid w:val="00FF5C77"/>
    <w:rsid w:val="00FF6094"/>
    <w:rsid w:val="00FF627D"/>
    <w:rsid w:val="00FF690D"/>
    <w:rsid w:val="00FF691F"/>
    <w:rsid w:val="00FF729C"/>
    <w:rsid w:val="00FF7333"/>
    <w:rsid w:val="00FF7A3A"/>
    <w:rsid w:val="00FF7AEE"/>
    <w:rsid w:val="00FF7D2B"/>
    <w:rsid w:val="016CC025"/>
    <w:rsid w:val="058978B9"/>
    <w:rsid w:val="0797ED7B"/>
    <w:rsid w:val="089609E2"/>
    <w:rsid w:val="091F6048"/>
    <w:rsid w:val="0B0E0870"/>
    <w:rsid w:val="0BEC8A9D"/>
    <w:rsid w:val="0D88E8B6"/>
    <w:rsid w:val="10AF3A29"/>
    <w:rsid w:val="11086B7B"/>
    <w:rsid w:val="1550BFD0"/>
    <w:rsid w:val="15AD1802"/>
    <w:rsid w:val="1AAF8092"/>
    <w:rsid w:val="20701D93"/>
    <w:rsid w:val="27C6F9CF"/>
    <w:rsid w:val="27F1E003"/>
    <w:rsid w:val="2B0DF492"/>
    <w:rsid w:val="2B688EC3"/>
    <w:rsid w:val="2C32298E"/>
    <w:rsid w:val="2E61BB05"/>
    <w:rsid w:val="3197BF39"/>
    <w:rsid w:val="3537C1D0"/>
    <w:rsid w:val="3AE96BD8"/>
    <w:rsid w:val="3B2E9EA9"/>
    <w:rsid w:val="3F4CD1C5"/>
    <w:rsid w:val="415001D8"/>
    <w:rsid w:val="487D1F28"/>
    <w:rsid w:val="4C2638D7"/>
    <w:rsid w:val="4D32CA12"/>
    <w:rsid w:val="4E8E4160"/>
    <w:rsid w:val="4E8ED8D8"/>
    <w:rsid w:val="50F329C2"/>
    <w:rsid w:val="52641B25"/>
    <w:rsid w:val="566D200C"/>
    <w:rsid w:val="5EE98EEA"/>
    <w:rsid w:val="5FFDF6CE"/>
    <w:rsid w:val="63FAFB40"/>
    <w:rsid w:val="6418FF3B"/>
    <w:rsid w:val="6B3EE30D"/>
    <w:rsid w:val="6E40CF79"/>
    <w:rsid w:val="74A89E7B"/>
    <w:rsid w:val="782CB171"/>
    <w:rsid w:val="785DAC94"/>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CE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8"/>
        <w:szCs w:val="18"/>
        <w:lang w:val="en-GB"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qFormat="1"/>
    <w:lsdException w:name="heading 4" w:uiPriority="0" w:qFormat="1"/>
    <w:lsdException w:name="heading 5" w:semiHidden="1" w:uiPriority="0" w:qFormat="1"/>
    <w:lsdException w:name="heading 6" w:semiHidden="1"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iPriority="10" w:unhideWhenUsed="1"/>
    <w:lsdException w:name="footer" w:uiPriority="10" w:unhideWhenUsed="1" w:qFormat="1"/>
    <w:lsdException w:name="index heading" w:semiHidden="1" w:unhideWhenUsed="1"/>
    <w:lsdException w:name="caption" w:uiPriority="3"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 w:unhideWhenUsed="1" w:qFormat="1"/>
    <w:lsdException w:name="List Number" w:uiPriority="3" w:qFormat="1"/>
    <w:lsdException w:name="List 2" w:semiHidden="1" w:unhideWhenUsed="1"/>
    <w:lsdException w:name="List 3" w:semiHidden="1" w:unhideWhenUsed="1"/>
    <w:lsdException w:name="List 4" w:semiHidden="1"/>
    <w:lsdException w:name="List 5" w:semiHidden="1"/>
    <w:lsdException w:name="List Bullet 2" w:uiPriority="3" w:unhideWhenUsed="1" w:qFormat="1"/>
    <w:lsdException w:name="List Bullet 3" w:semiHidden="1" w:unhideWhenUsed="1"/>
    <w:lsdException w:name="List Bullet 4" w:semiHidden="1" w:unhideWhenUsed="1"/>
    <w:lsdException w:name="List Bullet 5" w:semiHidden="1" w:unhideWhenUsed="1"/>
    <w:lsdException w:name="List Number 2" w:uiPriority="3"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10"/>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08"/>
    <w:pPr>
      <w:spacing w:after="170"/>
    </w:pPr>
    <w:rPr>
      <w:lang w:val="en-AU"/>
    </w:rPr>
  </w:style>
  <w:style w:type="paragraph" w:styleId="Heading1">
    <w:name w:val="heading 1"/>
    <w:basedOn w:val="Normal"/>
    <w:next w:val="Normal"/>
    <w:link w:val="Heading1Char"/>
    <w:uiPriority w:val="1"/>
    <w:qFormat/>
    <w:rsid w:val="009E2F33"/>
    <w:pPr>
      <w:keepNext/>
      <w:keepLines/>
      <w:pageBreakBefore/>
      <w:numPr>
        <w:numId w:val="1"/>
      </w:numPr>
      <w:spacing w:after="480" w:line="720" w:lineRule="atLeast"/>
      <w:contextualSpacing/>
      <w:outlineLvl w:val="0"/>
    </w:pPr>
    <w:rPr>
      <w:rFonts w:eastAsiaTheme="majorEastAsia" w:cstheme="majorBidi"/>
      <w:bCs/>
      <w:sz w:val="60"/>
      <w:szCs w:val="28"/>
    </w:rPr>
  </w:style>
  <w:style w:type="paragraph" w:styleId="Heading2">
    <w:name w:val="heading 2"/>
    <w:basedOn w:val="Normal"/>
    <w:next w:val="Normal"/>
    <w:link w:val="Heading2Char"/>
    <w:uiPriority w:val="1"/>
    <w:qFormat/>
    <w:rsid w:val="00B15639"/>
    <w:pPr>
      <w:keepNext/>
      <w:keepLines/>
      <w:numPr>
        <w:ilvl w:val="1"/>
        <w:numId w:val="1"/>
      </w:numPr>
      <w:spacing w:before="240" w:after="60" w:line="280" w:lineRule="atLeast"/>
      <w:outlineLvl w:val="1"/>
    </w:pPr>
    <w:rPr>
      <w:rFonts w:eastAsiaTheme="majorEastAsia" w:cstheme="majorBidi"/>
      <w:b/>
      <w:bCs/>
      <w:color w:val="62B5E5" w:themeColor="accent3"/>
      <w:sz w:val="22"/>
      <w:szCs w:val="26"/>
    </w:rPr>
  </w:style>
  <w:style w:type="paragraph" w:styleId="Heading3">
    <w:name w:val="heading 3"/>
    <w:basedOn w:val="Normal"/>
    <w:next w:val="Normal"/>
    <w:link w:val="Heading3Char"/>
    <w:uiPriority w:val="1"/>
    <w:qFormat/>
    <w:rsid w:val="00B15639"/>
    <w:pPr>
      <w:keepNext/>
      <w:keepLines/>
      <w:numPr>
        <w:ilvl w:val="2"/>
        <w:numId w:val="1"/>
      </w:numPr>
      <w:spacing w:after="120"/>
      <w:outlineLvl w:val="2"/>
    </w:pPr>
    <w:rPr>
      <w:rFonts w:eastAsiaTheme="majorEastAsia" w:cstheme="majorBidi"/>
      <w:b/>
      <w:bCs/>
    </w:rPr>
  </w:style>
  <w:style w:type="paragraph" w:styleId="Heading4">
    <w:name w:val="heading 4"/>
    <w:basedOn w:val="Normal"/>
    <w:next w:val="Normal"/>
    <w:link w:val="Heading4Char"/>
    <w:uiPriority w:val="1"/>
    <w:qFormat/>
    <w:rsid w:val="00C6273C"/>
    <w:pPr>
      <w:keepNext/>
      <w:keepLines/>
      <w:numPr>
        <w:ilvl w:val="3"/>
        <w:numId w:val="1"/>
      </w:numPr>
      <w:tabs>
        <w:tab w:val="left" w:pos="340"/>
      </w:tabs>
      <w:spacing w:after="120"/>
      <w:outlineLvl w:val="3"/>
    </w:pPr>
    <w:rPr>
      <w:rFonts w:eastAsiaTheme="majorEastAsia" w:cstheme="majorBidi"/>
      <w:b/>
      <w:bCs/>
      <w:iCs/>
      <w:color w:val="75787B" w:themeColor="accent6"/>
    </w:rPr>
  </w:style>
  <w:style w:type="paragraph" w:styleId="Heading5">
    <w:name w:val="heading 5"/>
    <w:basedOn w:val="Normal"/>
    <w:next w:val="Normal"/>
    <w:link w:val="Heading5Char"/>
    <w:uiPriority w:val="1"/>
    <w:qFormat/>
    <w:rsid w:val="00F9113D"/>
    <w:pPr>
      <w:keepNext/>
      <w:keepLines/>
      <w:numPr>
        <w:ilvl w:val="4"/>
        <w:numId w:val="1"/>
      </w:numPr>
      <w:spacing w:after="0"/>
      <w:outlineLvl w:val="4"/>
    </w:pPr>
    <w:rPr>
      <w:rFonts w:eastAsiaTheme="majorEastAsia" w:cstheme="majorBidi"/>
      <w:b/>
    </w:rPr>
  </w:style>
  <w:style w:type="paragraph" w:styleId="Heading6">
    <w:name w:val="heading 6"/>
    <w:basedOn w:val="Normal"/>
    <w:next w:val="Normal"/>
    <w:link w:val="Heading6Char"/>
    <w:uiPriority w:val="1"/>
    <w:semiHidden/>
    <w:qFormat/>
    <w:rsid w:val="00F9113D"/>
    <w:pPr>
      <w:keepNext/>
      <w:keepLines/>
      <w:numPr>
        <w:ilvl w:val="5"/>
        <w:numId w:val="1"/>
      </w:numPr>
      <w:spacing w:after="0"/>
      <w:outlineLvl w:val="5"/>
    </w:pPr>
    <w:rPr>
      <w:rFonts w:eastAsiaTheme="majorEastAsia" w:cstheme="majorBidi"/>
      <w:b/>
      <w:iCs/>
    </w:rPr>
  </w:style>
  <w:style w:type="paragraph" w:styleId="Heading7">
    <w:name w:val="heading 7"/>
    <w:basedOn w:val="Normal"/>
    <w:next w:val="Normal"/>
    <w:link w:val="Heading7Char"/>
    <w:uiPriority w:val="1"/>
    <w:semiHidden/>
    <w:qFormat/>
    <w:rsid w:val="00F9113D"/>
    <w:pPr>
      <w:keepNext/>
      <w:keepLines/>
      <w:spacing w:after="0"/>
      <w:outlineLvl w:val="6"/>
    </w:pPr>
    <w:rPr>
      <w:rFonts w:eastAsiaTheme="majorEastAsia" w:cstheme="majorBidi"/>
      <w:b/>
      <w:iCs/>
    </w:rPr>
  </w:style>
  <w:style w:type="paragraph" w:styleId="Heading8">
    <w:name w:val="heading 8"/>
    <w:basedOn w:val="Normal"/>
    <w:next w:val="Normal"/>
    <w:link w:val="Heading8Char"/>
    <w:uiPriority w:val="1"/>
    <w:semiHidden/>
    <w:qFormat/>
    <w:rsid w:val="00F9113D"/>
    <w:pPr>
      <w:keepNext/>
      <w:keepLines/>
      <w:spacing w:after="0"/>
      <w:outlineLvl w:val="7"/>
    </w:pPr>
    <w:rPr>
      <w:rFonts w:eastAsiaTheme="majorEastAsia" w:cstheme="majorBidi"/>
      <w:b/>
      <w:szCs w:val="20"/>
    </w:rPr>
  </w:style>
  <w:style w:type="paragraph" w:styleId="Heading9">
    <w:name w:val="heading 9"/>
    <w:basedOn w:val="Normal"/>
    <w:next w:val="Normal"/>
    <w:link w:val="Heading9Char"/>
    <w:uiPriority w:val="1"/>
    <w:semiHidden/>
    <w:qFormat/>
    <w:rsid w:val="00F9113D"/>
    <w:pPr>
      <w:keepNext/>
      <w:keepLines/>
      <w:spacing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2F33"/>
    <w:rPr>
      <w:rFonts w:eastAsiaTheme="majorEastAsia" w:cstheme="majorBidi"/>
      <w:bCs/>
      <w:sz w:val="60"/>
      <w:szCs w:val="28"/>
      <w:lang w:val="en-AU"/>
    </w:rPr>
  </w:style>
  <w:style w:type="character" w:customStyle="1" w:styleId="Heading2Char">
    <w:name w:val="Heading 2 Char"/>
    <w:basedOn w:val="DefaultParagraphFont"/>
    <w:link w:val="Heading2"/>
    <w:uiPriority w:val="1"/>
    <w:rsid w:val="00550003"/>
    <w:rPr>
      <w:rFonts w:eastAsiaTheme="majorEastAsia" w:cstheme="majorBidi"/>
      <w:b/>
      <w:bCs/>
      <w:color w:val="62B5E5" w:themeColor="accent3"/>
      <w:sz w:val="22"/>
      <w:szCs w:val="26"/>
      <w:lang w:val="en-AU"/>
    </w:rPr>
  </w:style>
  <w:style w:type="table" w:styleId="TableGrid">
    <w:name w:val="Table Grid"/>
    <w:basedOn w:val="TableNormal"/>
    <w:uiPriority w:val="99"/>
    <w:rsid w:val="00D93FF0"/>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10"/>
    <w:semiHidden/>
    <w:rsid w:val="000116B0"/>
    <w:pPr>
      <w:tabs>
        <w:tab w:val="center" w:pos="4513"/>
        <w:tab w:val="right" w:pos="9026"/>
      </w:tabs>
      <w:spacing w:line="240" w:lineRule="auto"/>
    </w:pPr>
    <w:rPr>
      <w:sz w:val="14"/>
      <w:lang w:val="en-AU"/>
    </w:rPr>
  </w:style>
  <w:style w:type="character" w:customStyle="1" w:styleId="HeaderChar">
    <w:name w:val="Header Char"/>
    <w:basedOn w:val="DefaultParagraphFont"/>
    <w:link w:val="Header"/>
    <w:uiPriority w:val="10"/>
    <w:semiHidden/>
    <w:rsid w:val="000116B0"/>
    <w:rPr>
      <w:sz w:val="14"/>
      <w:lang w:val="en-AU"/>
    </w:rPr>
  </w:style>
  <w:style w:type="paragraph" w:styleId="Footer">
    <w:name w:val="footer"/>
    <w:basedOn w:val="Normal"/>
    <w:link w:val="FooterChar"/>
    <w:uiPriority w:val="10"/>
    <w:semiHidden/>
    <w:qFormat/>
    <w:rsid w:val="00F9113D"/>
    <w:pPr>
      <w:tabs>
        <w:tab w:val="right" w:pos="7371"/>
      </w:tabs>
      <w:spacing w:after="0" w:line="200" w:lineRule="atLeast"/>
    </w:pPr>
    <w:rPr>
      <w:sz w:val="16"/>
    </w:rPr>
  </w:style>
  <w:style w:type="character" w:customStyle="1" w:styleId="FooterChar">
    <w:name w:val="Footer Char"/>
    <w:basedOn w:val="DefaultParagraphFont"/>
    <w:link w:val="Footer"/>
    <w:uiPriority w:val="10"/>
    <w:semiHidden/>
    <w:rsid w:val="00F9113D"/>
    <w:rPr>
      <w:sz w:val="16"/>
    </w:rPr>
  </w:style>
  <w:style w:type="paragraph" w:styleId="BalloonText">
    <w:name w:val="Balloon Text"/>
    <w:basedOn w:val="Normal"/>
    <w:link w:val="BalloonTextChar"/>
    <w:uiPriority w:val="99"/>
    <w:semiHidden/>
    <w:rsid w:val="00F911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3D"/>
    <w:rPr>
      <w:rFonts w:ascii="Tahoma" w:hAnsi="Tahoma" w:cs="Tahoma"/>
      <w:sz w:val="16"/>
      <w:szCs w:val="16"/>
    </w:rPr>
  </w:style>
  <w:style w:type="paragraph" w:customStyle="1" w:styleId="Subject">
    <w:name w:val="Subject"/>
    <w:basedOn w:val="Normal"/>
    <w:uiPriority w:val="6"/>
    <w:semiHidden/>
    <w:qFormat/>
    <w:rsid w:val="00F9113D"/>
    <w:pPr>
      <w:spacing w:after="0"/>
    </w:pPr>
    <w:rPr>
      <w:b/>
    </w:rPr>
  </w:style>
  <w:style w:type="character" w:styleId="PlaceholderText">
    <w:name w:val="Placeholder Text"/>
    <w:basedOn w:val="DefaultParagraphFont"/>
    <w:uiPriority w:val="10"/>
    <w:semiHidden/>
    <w:rsid w:val="00F9113D"/>
    <w:rPr>
      <w:color w:val="808080"/>
      <w:lang w:val="en-AU"/>
    </w:rPr>
  </w:style>
  <w:style w:type="paragraph" w:styleId="ListBullet">
    <w:name w:val="List Bullet"/>
    <w:basedOn w:val="Normal"/>
    <w:uiPriority w:val="3"/>
    <w:qFormat/>
    <w:rsid w:val="003A65F2"/>
    <w:pPr>
      <w:numPr>
        <w:numId w:val="13"/>
      </w:numPr>
      <w:spacing w:after="0"/>
      <w:contextualSpacing/>
    </w:pPr>
    <w:rPr>
      <w:szCs w:val="17"/>
    </w:rPr>
  </w:style>
  <w:style w:type="paragraph" w:styleId="ListBullet2">
    <w:name w:val="List Bullet 2"/>
    <w:basedOn w:val="Normal"/>
    <w:uiPriority w:val="3"/>
    <w:rsid w:val="003A65F2"/>
    <w:pPr>
      <w:numPr>
        <w:numId w:val="15"/>
      </w:numPr>
      <w:spacing w:after="0"/>
      <w:contextualSpacing/>
    </w:pPr>
    <w:rPr>
      <w:szCs w:val="17"/>
    </w:rPr>
  </w:style>
  <w:style w:type="paragraph" w:styleId="ListNumber">
    <w:name w:val="List Number"/>
    <w:basedOn w:val="Normal"/>
    <w:uiPriority w:val="3"/>
    <w:qFormat/>
    <w:rsid w:val="007F7A8C"/>
    <w:pPr>
      <w:numPr>
        <w:numId w:val="14"/>
      </w:numPr>
      <w:spacing w:after="0"/>
      <w:contextualSpacing/>
    </w:pPr>
    <w:rPr>
      <w:szCs w:val="17"/>
    </w:rPr>
  </w:style>
  <w:style w:type="paragraph" w:styleId="ListNumber2">
    <w:name w:val="List Number 2"/>
    <w:basedOn w:val="Normal"/>
    <w:uiPriority w:val="3"/>
    <w:qFormat/>
    <w:rsid w:val="007F7A8C"/>
    <w:pPr>
      <w:numPr>
        <w:ilvl w:val="1"/>
        <w:numId w:val="14"/>
      </w:numPr>
      <w:spacing w:after="0"/>
      <w:contextualSpacing/>
    </w:pPr>
  </w:style>
  <w:style w:type="character" w:customStyle="1" w:styleId="Heading3Char">
    <w:name w:val="Heading 3 Char"/>
    <w:basedOn w:val="DefaultParagraphFont"/>
    <w:link w:val="Heading3"/>
    <w:uiPriority w:val="1"/>
    <w:rsid w:val="00C50447"/>
    <w:rPr>
      <w:rFonts w:eastAsiaTheme="majorEastAsia" w:cstheme="majorBidi"/>
      <w:b/>
      <w:bCs/>
      <w:lang w:val="en-AU"/>
    </w:rPr>
  </w:style>
  <w:style w:type="character" w:customStyle="1" w:styleId="Heading4Char">
    <w:name w:val="Heading 4 Char"/>
    <w:basedOn w:val="DefaultParagraphFont"/>
    <w:link w:val="Heading4"/>
    <w:uiPriority w:val="1"/>
    <w:rsid w:val="00C50447"/>
    <w:rPr>
      <w:rFonts w:eastAsiaTheme="majorEastAsia" w:cstheme="majorBidi"/>
      <w:b/>
      <w:bCs/>
      <w:iCs/>
      <w:color w:val="75787B" w:themeColor="accent6"/>
      <w:lang w:val="en-AU"/>
    </w:rPr>
  </w:style>
  <w:style w:type="paragraph" w:styleId="FootnoteText">
    <w:name w:val="footnote text"/>
    <w:aliases w:val="Footnote Text Char1 Char,Footnote Text Char Char1 Char,Footnote Text Char Char Char Char Char1,Char Char,Footnote Text Char Char Char,Footnote Text Char Char Char Char,fn,FT,ft,SD Footnote Text,Footnote Text AG,(NECG) Footnote Text"/>
    <w:basedOn w:val="Normal"/>
    <w:link w:val="FootnoteTextChar"/>
    <w:uiPriority w:val="99"/>
    <w:qFormat/>
    <w:rsid w:val="00F9113D"/>
    <w:pPr>
      <w:spacing w:after="0" w:line="240" w:lineRule="auto"/>
    </w:pPr>
    <w:rPr>
      <w:sz w:val="16"/>
      <w:szCs w:val="20"/>
    </w:rPr>
  </w:style>
  <w:style w:type="character" w:customStyle="1" w:styleId="FootnoteTextChar">
    <w:name w:val="Footnote Text Char"/>
    <w:aliases w:val="Footnote Text Char1 Char Char,Footnote Text Char Char1 Char Char,Footnote Text Char Char Char Char Char1 Char,Char Char Char,Footnote Text Char Char Char Char1,Footnote Text Char Char Char Char Char,fn Char,FT Char,ft Char"/>
    <w:basedOn w:val="DefaultParagraphFont"/>
    <w:link w:val="FootnoteText"/>
    <w:uiPriority w:val="99"/>
    <w:rsid w:val="00F9113D"/>
    <w:rPr>
      <w:sz w:val="16"/>
      <w:szCs w:val="20"/>
    </w:rPr>
  </w:style>
  <w:style w:type="paragraph" w:customStyle="1" w:styleId="Documenttitle">
    <w:name w:val="Document title"/>
    <w:next w:val="Documentsubtitle"/>
    <w:uiPriority w:val="7"/>
    <w:rsid w:val="00EA4B90"/>
    <w:pPr>
      <w:spacing w:line="440" w:lineRule="atLeast"/>
    </w:pPr>
    <w:rPr>
      <w:rFonts w:eastAsiaTheme="majorEastAsia" w:cstheme="majorBidi"/>
      <w:b/>
      <w:bCs/>
      <w:color w:val="000000" w:themeColor="text1"/>
      <w:sz w:val="36"/>
      <w:szCs w:val="28"/>
      <w:lang w:val="en-AU"/>
    </w:rPr>
  </w:style>
  <w:style w:type="paragraph" w:customStyle="1" w:styleId="Subheading">
    <w:name w:val="Subheading"/>
    <w:basedOn w:val="Normal"/>
    <w:next w:val="Normal"/>
    <w:uiPriority w:val="6"/>
    <w:semiHidden/>
    <w:qFormat/>
    <w:rsid w:val="00F9113D"/>
    <w:pPr>
      <w:spacing w:after="0"/>
    </w:pPr>
    <w:rPr>
      <w:rFonts w:eastAsiaTheme="majorEastAsia" w:cstheme="majorBidi"/>
      <w:b/>
      <w:bCs/>
      <w:iCs/>
      <w:color w:val="000000" w:themeColor="text1"/>
    </w:rPr>
  </w:style>
  <w:style w:type="character" w:styleId="FootnoteReference">
    <w:name w:val="footnote reference"/>
    <w:aliases w:val="fr,(NECG) Footnote Reference,Ref,de nota al pie"/>
    <w:basedOn w:val="DefaultParagraphFont"/>
    <w:uiPriority w:val="99"/>
    <w:rsid w:val="00F9113D"/>
    <w:rPr>
      <w:vertAlign w:val="superscript"/>
      <w:lang w:val="en-AU"/>
    </w:rPr>
  </w:style>
  <w:style w:type="paragraph" w:customStyle="1" w:styleId="Sectionintro">
    <w:name w:val="Section intro"/>
    <w:basedOn w:val="Normal"/>
    <w:next w:val="Normal"/>
    <w:uiPriority w:val="2"/>
    <w:qFormat/>
    <w:rsid w:val="00F9113D"/>
    <w:pPr>
      <w:spacing w:after="360" w:line="360" w:lineRule="atLeast"/>
      <w:contextualSpacing/>
    </w:pPr>
    <w:rPr>
      <w:sz w:val="28"/>
    </w:rPr>
  </w:style>
  <w:style w:type="paragraph" w:customStyle="1" w:styleId="Documentdate">
    <w:name w:val="Document date"/>
    <w:uiPriority w:val="7"/>
    <w:rsid w:val="00F9113D"/>
    <w:rPr>
      <w:lang w:val="en-AU"/>
    </w:rPr>
  </w:style>
  <w:style w:type="paragraph" w:customStyle="1" w:styleId="Heading1un-numbered">
    <w:name w:val="Heading 1 (un-numbered)"/>
    <w:basedOn w:val="Normal"/>
    <w:next w:val="Normal"/>
    <w:uiPriority w:val="2"/>
    <w:qFormat/>
    <w:rsid w:val="00F9113D"/>
    <w:pPr>
      <w:keepNext/>
      <w:keepLines/>
      <w:pageBreakBefore/>
      <w:spacing w:after="480" w:line="720" w:lineRule="atLeast"/>
      <w:outlineLvl w:val="0"/>
    </w:pPr>
    <w:rPr>
      <w:sz w:val="60"/>
    </w:rPr>
  </w:style>
  <w:style w:type="paragraph" w:customStyle="1" w:styleId="PulloutBlue">
    <w:name w:val="Pullout Blue"/>
    <w:basedOn w:val="Normal"/>
    <w:next w:val="Normal"/>
    <w:uiPriority w:val="6"/>
    <w:rsid w:val="00F9113D"/>
    <w:pPr>
      <w:spacing w:after="0" w:line="360" w:lineRule="atLeast"/>
    </w:pPr>
    <w:rPr>
      <w:color w:val="62B5E5" w:themeColor="accent3"/>
      <w:sz w:val="28"/>
    </w:rPr>
  </w:style>
  <w:style w:type="paragraph" w:customStyle="1" w:styleId="Contacttext">
    <w:name w:val="Contact text"/>
    <w:basedOn w:val="Normal"/>
    <w:uiPriority w:val="7"/>
    <w:semiHidden/>
    <w:rsid w:val="00F9113D"/>
    <w:pPr>
      <w:spacing w:after="0"/>
    </w:pPr>
  </w:style>
  <w:style w:type="paragraph" w:customStyle="1" w:styleId="Contactus">
    <w:name w:val="Contact us"/>
    <w:basedOn w:val="Contacttext"/>
    <w:next w:val="Contacttext"/>
    <w:uiPriority w:val="7"/>
    <w:semiHidden/>
    <w:rsid w:val="00F9113D"/>
    <w:pPr>
      <w:spacing w:after="240" w:line="340" w:lineRule="atLeast"/>
    </w:pPr>
    <w:rPr>
      <w:sz w:val="28"/>
    </w:rPr>
  </w:style>
  <w:style w:type="paragraph" w:styleId="Caption">
    <w:name w:val="caption"/>
    <w:basedOn w:val="Normal"/>
    <w:next w:val="Normal"/>
    <w:uiPriority w:val="3"/>
    <w:qFormat/>
    <w:rsid w:val="005D6648"/>
    <w:pPr>
      <w:keepNext/>
      <w:keepLines/>
      <w:spacing w:before="240" w:after="240"/>
    </w:pPr>
    <w:rPr>
      <w:iCs/>
      <w:color w:val="75787B" w:themeColor="accent6"/>
      <w:sz w:val="17"/>
    </w:rPr>
  </w:style>
  <w:style w:type="character" w:styleId="Hyperlink">
    <w:name w:val="Hyperlink"/>
    <w:basedOn w:val="DefaultParagraphFont"/>
    <w:uiPriority w:val="99"/>
    <w:rsid w:val="00F9113D"/>
    <w:rPr>
      <w:color w:val="00A3E0" w:themeColor="hyperlink"/>
      <w:u w:val="single"/>
      <w:lang w:val="en-AU"/>
    </w:rPr>
  </w:style>
  <w:style w:type="paragraph" w:customStyle="1" w:styleId="PulloutGreen">
    <w:name w:val="Pullout Green"/>
    <w:basedOn w:val="PulloutBlue"/>
    <w:next w:val="Normal"/>
    <w:uiPriority w:val="6"/>
    <w:rsid w:val="00F9113D"/>
    <w:rPr>
      <w:color w:val="86BC25" w:themeColor="accent1"/>
    </w:rPr>
  </w:style>
  <w:style w:type="paragraph" w:customStyle="1" w:styleId="QuotesourceBlue">
    <w:name w:val="Quote source Blue"/>
    <w:basedOn w:val="Normal"/>
    <w:next w:val="Normal"/>
    <w:uiPriority w:val="6"/>
    <w:rsid w:val="00F9113D"/>
    <w:pPr>
      <w:spacing w:after="0" w:line="200" w:lineRule="atLeast"/>
      <w:contextualSpacing/>
    </w:pPr>
    <w:rPr>
      <w:b/>
      <w:color w:val="62B5E5" w:themeColor="accent3"/>
      <w:sz w:val="17"/>
    </w:rPr>
  </w:style>
  <w:style w:type="paragraph" w:customStyle="1" w:styleId="QuotesourceGreen">
    <w:name w:val="Quote source Green"/>
    <w:basedOn w:val="QuotesourceBlue"/>
    <w:next w:val="Normal"/>
    <w:uiPriority w:val="6"/>
    <w:rsid w:val="00F9113D"/>
    <w:rPr>
      <w:color w:val="86BC25" w:themeColor="accent1"/>
    </w:rPr>
  </w:style>
  <w:style w:type="paragraph" w:customStyle="1" w:styleId="Paneltext">
    <w:name w:val="Panel text"/>
    <w:basedOn w:val="Normal"/>
    <w:uiPriority w:val="6"/>
    <w:rsid w:val="00F9113D"/>
    <w:pPr>
      <w:spacing w:after="0"/>
    </w:pPr>
    <w:rPr>
      <w:color w:val="FFFFFF"/>
      <w:sz w:val="17"/>
    </w:rPr>
  </w:style>
  <w:style w:type="paragraph" w:customStyle="1" w:styleId="Paneltitle">
    <w:name w:val="Panel title"/>
    <w:basedOn w:val="Paneltext"/>
    <w:next w:val="Paneltext"/>
    <w:uiPriority w:val="6"/>
    <w:rsid w:val="00F9113D"/>
    <w:pPr>
      <w:spacing w:line="360" w:lineRule="atLeast"/>
    </w:pPr>
    <w:rPr>
      <w:b/>
      <w:sz w:val="28"/>
    </w:rPr>
  </w:style>
  <w:style w:type="paragraph" w:customStyle="1" w:styleId="Formoreinfocalloutwhite8512ptPullOutStyles">
    <w:name w:val="For more info call out (white 8.5/12pt) (Pull Out Styles)"/>
    <w:basedOn w:val="Normal"/>
    <w:uiPriority w:val="99"/>
    <w:semiHidden/>
    <w:rsid w:val="00F9113D"/>
    <w:pPr>
      <w:tabs>
        <w:tab w:val="left" w:pos="283"/>
        <w:tab w:val="left" w:pos="567"/>
      </w:tabs>
      <w:suppressAutoHyphens/>
      <w:autoSpaceDE w:val="0"/>
      <w:autoSpaceDN w:val="0"/>
      <w:adjustRightInd w:val="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uiPriority w:val="7"/>
    <w:rsid w:val="00F9113D"/>
    <w:pPr>
      <w:spacing w:after="120" w:line="440" w:lineRule="atLeast"/>
    </w:pPr>
    <w:rPr>
      <w:sz w:val="36"/>
    </w:rPr>
  </w:style>
  <w:style w:type="paragraph" w:customStyle="1" w:styleId="Contentstitle">
    <w:name w:val="Contents title"/>
    <w:basedOn w:val="Heading1un-numbered"/>
    <w:next w:val="Normal"/>
    <w:uiPriority w:val="7"/>
    <w:semiHidden/>
    <w:rsid w:val="00F9113D"/>
  </w:style>
  <w:style w:type="paragraph" w:styleId="TOC1">
    <w:name w:val="toc 1"/>
    <w:basedOn w:val="Normal"/>
    <w:next w:val="Normal"/>
    <w:uiPriority w:val="39"/>
    <w:rsid w:val="00B13DBB"/>
    <w:pPr>
      <w:tabs>
        <w:tab w:val="left" w:pos="567"/>
        <w:tab w:val="right" w:pos="6917"/>
        <w:tab w:val="left" w:pos="9072"/>
      </w:tabs>
      <w:spacing w:after="120" w:line="320" w:lineRule="atLeast"/>
      <w:ind w:left="567" w:right="567" w:hanging="567"/>
    </w:pPr>
  </w:style>
  <w:style w:type="paragraph" w:customStyle="1" w:styleId="Quotetext">
    <w:name w:val="Quote text"/>
    <w:basedOn w:val="PulloutBlue"/>
    <w:uiPriority w:val="6"/>
    <w:rsid w:val="00F9113D"/>
    <w:pPr>
      <w:spacing w:line="720" w:lineRule="atLeast"/>
    </w:pPr>
    <w:rPr>
      <w:color w:val="FFFFFF"/>
      <w:sz w:val="60"/>
    </w:rPr>
  </w:style>
  <w:style w:type="paragraph" w:customStyle="1" w:styleId="Legaltext">
    <w:name w:val="Legal text"/>
    <w:basedOn w:val="Normal"/>
    <w:uiPriority w:val="7"/>
    <w:semiHidden/>
    <w:qFormat/>
    <w:rsid w:val="00F9113D"/>
    <w:pPr>
      <w:spacing w:after="0" w:line="180" w:lineRule="atLeast"/>
    </w:pPr>
    <w:rPr>
      <w:sz w:val="14"/>
    </w:rPr>
  </w:style>
  <w:style w:type="table" w:customStyle="1" w:styleId="Deloittetable">
    <w:name w:val="Deloitte table"/>
    <w:basedOn w:val="TableNormal"/>
    <w:uiPriority w:val="99"/>
    <w:rsid w:val="00FC1637"/>
    <w:pPr>
      <w:ind w:left="57" w:right="57"/>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TabletextLeft">
    <w:name w:val="Table text Left"/>
    <w:basedOn w:val="Normal"/>
    <w:uiPriority w:val="5"/>
    <w:rsid w:val="00FC1637"/>
    <w:pPr>
      <w:spacing w:after="0" w:line="200" w:lineRule="atLeast"/>
      <w:ind w:left="57" w:right="57"/>
    </w:pPr>
    <w:rPr>
      <w:sz w:val="17"/>
    </w:rPr>
  </w:style>
  <w:style w:type="paragraph" w:customStyle="1" w:styleId="TableHeadingLeft">
    <w:name w:val="Table Heading Left"/>
    <w:basedOn w:val="TabletextLeft"/>
    <w:uiPriority w:val="5"/>
    <w:rsid w:val="00BD7322"/>
    <w:rPr>
      <w:b/>
      <w:color w:val="62B5E5" w:themeColor="accent3"/>
    </w:rPr>
  </w:style>
  <w:style w:type="paragraph" w:customStyle="1" w:styleId="Source">
    <w:name w:val="Source"/>
    <w:basedOn w:val="Caption"/>
    <w:next w:val="Normal"/>
    <w:uiPriority w:val="6"/>
    <w:rsid w:val="00B5479F"/>
    <w:pPr>
      <w:keepNext w:val="0"/>
      <w:keepLines w:val="0"/>
      <w:spacing w:before="120"/>
    </w:pPr>
    <w:rPr>
      <w:sz w:val="14"/>
    </w:rPr>
  </w:style>
  <w:style w:type="paragraph" w:customStyle="1" w:styleId="Tablebullets">
    <w:name w:val="Table bullets"/>
    <w:basedOn w:val="TabletextLeft"/>
    <w:uiPriority w:val="5"/>
    <w:rsid w:val="00F9113D"/>
    <w:pPr>
      <w:framePr w:hSpace="180" w:wrap="around" w:vAnchor="text" w:hAnchor="text" w:y="1"/>
      <w:numPr>
        <w:numId w:val="8"/>
      </w:numPr>
      <w:suppressOverlap/>
    </w:pPr>
  </w:style>
  <w:style w:type="paragraph" w:customStyle="1" w:styleId="Tablenumbered">
    <w:name w:val="Table numbered"/>
    <w:basedOn w:val="TabletextLeft"/>
    <w:uiPriority w:val="5"/>
    <w:rsid w:val="00F9113D"/>
    <w:pPr>
      <w:framePr w:hSpace="180" w:wrap="around" w:vAnchor="text" w:hAnchor="text" w:y="1"/>
      <w:numPr>
        <w:numId w:val="9"/>
      </w:numPr>
      <w:suppressOverlap/>
    </w:pPr>
  </w:style>
  <w:style w:type="paragraph" w:customStyle="1" w:styleId="Charttitle">
    <w:name w:val="Chart title"/>
    <w:uiPriority w:val="7"/>
    <w:rsid w:val="00F9113D"/>
    <w:pPr>
      <w:spacing w:before="120" w:after="120"/>
    </w:pPr>
    <w:rPr>
      <w:rFonts w:eastAsiaTheme="majorEastAsia" w:cstheme="majorBidi"/>
      <w:b/>
      <w:bCs/>
      <w:color w:val="62B5E5" w:themeColor="accent3"/>
      <w:szCs w:val="26"/>
      <w:lang w:val="en-AU"/>
    </w:rPr>
  </w:style>
  <w:style w:type="paragraph" w:styleId="Bibliography">
    <w:name w:val="Bibliography"/>
    <w:basedOn w:val="Normal"/>
    <w:next w:val="Normal"/>
    <w:uiPriority w:val="99"/>
    <w:semiHidden/>
    <w:rsid w:val="00F9113D"/>
  </w:style>
  <w:style w:type="paragraph" w:styleId="BlockText">
    <w:name w:val="Block Text"/>
    <w:basedOn w:val="Normal"/>
    <w:uiPriority w:val="99"/>
    <w:semiHidden/>
    <w:rsid w:val="00F9113D"/>
    <w:pPr>
      <w:pBdr>
        <w:top w:val="single" w:sz="2" w:space="10" w:color="86BC25" w:themeColor="accent1" w:frame="1"/>
        <w:left w:val="single" w:sz="2" w:space="10" w:color="86BC25" w:themeColor="accent1" w:frame="1"/>
        <w:bottom w:val="single" w:sz="2" w:space="10" w:color="86BC25" w:themeColor="accent1" w:frame="1"/>
        <w:right w:val="single" w:sz="2" w:space="10" w:color="86BC25" w:themeColor="accent1" w:frame="1"/>
      </w:pBdr>
      <w:ind w:left="1152" w:right="1152"/>
    </w:pPr>
    <w:rPr>
      <w:rFonts w:eastAsiaTheme="minorEastAsia"/>
      <w:i/>
      <w:iCs/>
      <w:color w:val="86BC25" w:themeColor="accent1"/>
    </w:rPr>
  </w:style>
  <w:style w:type="paragraph" w:styleId="BodyText">
    <w:name w:val="Body Text"/>
    <w:basedOn w:val="Normal"/>
    <w:link w:val="BodyTextChar"/>
    <w:semiHidden/>
    <w:rsid w:val="00F9113D"/>
    <w:pPr>
      <w:spacing w:after="240"/>
    </w:pPr>
  </w:style>
  <w:style w:type="character" w:customStyle="1" w:styleId="BodyTextChar">
    <w:name w:val="Body Text Char"/>
    <w:basedOn w:val="DefaultParagraphFont"/>
    <w:link w:val="BodyText"/>
    <w:semiHidden/>
    <w:rsid w:val="00D24870"/>
  </w:style>
  <w:style w:type="paragraph" w:styleId="BodyText2">
    <w:name w:val="Body Text 2"/>
    <w:basedOn w:val="Normal"/>
    <w:link w:val="BodyText2Char"/>
    <w:uiPriority w:val="99"/>
    <w:semiHidden/>
    <w:rsid w:val="00F9113D"/>
    <w:pPr>
      <w:spacing w:after="120" w:line="480" w:lineRule="auto"/>
    </w:pPr>
  </w:style>
  <w:style w:type="character" w:customStyle="1" w:styleId="BodyText2Char">
    <w:name w:val="Body Text 2 Char"/>
    <w:basedOn w:val="DefaultParagraphFont"/>
    <w:link w:val="BodyText2"/>
    <w:uiPriority w:val="99"/>
    <w:semiHidden/>
    <w:rsid w:val="00F9113D"/>
  </w:style>
  <w:style w:type="paragraph" w:styleId="BodyText3">
    <w:name w:val="Body Text 3"/>
    <w:basedOn w:val="Normal"/>
    <w:link w:val="BodyText3Char"/>
    <w:uiPriority w:val="99"/>
    <w:semiHidden/>
    <w:rsid w:val="00F9113D"/>
    <w:pPr>
      <w:spacing w:after="120"/>
    </w:pPr>
    <w:rPr>
      <w:sz w:val="16"/>
      <w:szCs w:val="16"/>
    </w:rPr>
  </w:style>
  <w:style w:type="character" w:customStyle="1" w:styleId="BodyText3Char">
    <w:name w:val="Body Text 3 Char"/>
    <w:basedOn w:val="DefaultParagraphFont"/>
    <w:link w:val="BodyText3"/>
    <w:uiPriority w:val="99"/>
    <w:semiHidden/>
    <w:rsid w:val="00F9113D"/>
    <w:rPr>
      <w:sz w:val="16"/>
      <w:szCs w:val="16"/>
    </w:rPr>
  </w:style>
  <w:style w:type="paragraph" w:styleId="BodyTextFirstIndent">
    <w:name w:val="Body Text First Indent"/>
    <w:basedOn w:val="BodyText"/>
    <w:link w:val="BodyTextFirstIndentChar"/>
    <w:uiPriority w:val="99"/>
    <w:semiHidden/>
    <w:rsid w:val="00F9113D"/>
    <w:pPr>
      <w:ind w:firstLine="360"/>
    </w:pPr>
  </w:style>
  <w:style w:type="character" w:customStyle="1" w:styleId="BodyTextFirstIndentChar">
    <w:name w:val="Body Text First Indent Char"/>
    <w:basedOn w:val="BodyTextChar"/>
    <w:link w:val="BodyTextFirstIndent"/>
    <w:uiPriority w:val="99"/>
    <w:semiHidden/>
    <w:rsid w:val="00F9113D"/>
  </w:style>
  <w:style w:type="paragraph" w:styleId="BodyTextIndent">
    <w:name w:val="Body Text Indent"/>
    <w:basedOn w:val="Normal"/>
    <w:link w:val="BodyTextIndentChar"/>
    <w:uiPriority w:val="99"/>
    <w:semiHidden/>
    <w:rsid w:val="00F9113D"/>
    <w:pPr>
      <w:spacing w:after="120"/>
      <w:ind w:left="283"/>
    </w:pPr>
  </w:style>
  <w:style w:type="character" w:customStyle="1" w:styleId="BodyTextIndentChar">
    <w:name w:val="Body Text Indent Char"/>
    <w:basedOn w:val="DefaultParagraphFont"/>
    <w:link w:val="BodyTextIndent"/>
    <w:uiPriority w:val="99"/>
    <w:semiHidden/>
    <w:rsid w:val="00F9113D"/>
  </w:style>
  <w:style w:type="paragraph" w:styleId="BodyTextFirstIndent2">
    <w:name w:val="Body Text First Indent 2"/>
    <w:basedOn w:val="BodyTextIndent"/>
    <w:link w:val="BodyTextFirstIndent2Char"/>
    <w:uiPriority w:val="99"/>
    <w:semiHidden/>
    <w:rsid w:val="00F9113D"/>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F9113D"/>
  </w:style>
  <w:style w:type="paragraph" w:styleId="BodyTextIndent2">
    <w:name w:val="Body Text Indent 2"/>
    <w:basedOn w:val="Normal"/>
    <w:link w:val="BodyTextIndent2Char"/>
    <w:uiPriority w:val="99"/>
    <w:semiHidden/>
    <w:rsid w:val="00F9113D"/>
    <w:pPr>
      <w:spacing w:after="120" w:line="480" w:lineRule="auto"/>
      <w:ind w:left="283"/>
    </w:pPr>
  </w:style>
  <w:style w:type="character" w:customStyle="1" w:styleId="BodyTextIndent2Char">
    <w:name w:val="Body Text Indent 2 Char"/>
    <w:basedOn w:val="DefaultParagraphFont"/>
    <w:link w:val="BodyTextIndent2"/>
    <w:uiPriority w:val="99"/>
    <w:semiHidden/>
    <w:rsid w:val="00F9113D"/>
  </w:style>
  <w:style w:type="paragraph" w:styleId="BodyTextIndent3">
    <w:name w:val="Body Text Indent 3"/>
    <w:basedOn w:val="Normal"/>
    <w:link w:val="BodyTextIndent3Char"/>
    <w:uiPriority w:val="99"/>
    <w:semiHidden/>
    <w:rsid w:val="00F9113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113D"/>
    <w:rPr>
      <w:sz w:val="16"/>
      <w:szCs w:val="16"/>
    </w:rPr>
  </w:style>
  <w:style w:type="character" w:styleId="BookTitle">
    <w:name w:val="Book Title"/>
    <w:basedOn w:val="DefaultParagraphFont"/>
    <w:uiPriority w:val="99"/>
    <w:semiHidden/>
    <w:qFormat/>
    <w:rsid w:val="00F9113D"/>
    <w:rPr>
      <w:b/>
      <w:bCs/>
      <w:smallCaps/>
      <w:spacing w:val="5"/>
      <w:lang w:val="en-AU"/>
    </w:rPr>
  </w:style>
  <w:style w:type="paragraph" w:styleId="Closing">
    <w:name w:val="Closing"/>
    <w:basedOn w:val="Normal"/>
    <w:link w:val="ClosingChar"/>
    <w:uiPriority w:val="99"/>
    <w:semiHidden/>
    <w:rsid w:val="00F9113D"/>
    <w:pPr>
      <w:spacing w:line="240" w:lineRule="auto"/>
      <w:ind w:left="4252"/>
    </w:pPr>
  </w:style>
  <w:style w:type="character" w:customStyle="1" w:styleId="ClosingChar">
    <w:name w:val="Closing Char"/>
    <w:basedOn w:val="DefaultParagraphFont"/>
    <w:link w:val="Closing"/>
    <w:uiPriority w:val="99"/>
    <w:semiHidden/>
    <w:rsid w:val="00F9113D"/>
  </w:style>
  <w:style w:type="table" w:styleId="ColorfulGrid">
    <w:name w:val="Colorful Grid"/>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7F5CF" w:themeFill="accent1" w:themeFillTint="33"/>
    </w:tcPr>
    <w:tblStylePr w:type="firstRow">
      <w:rPr>
        <w:b/>
        <w:bCs/>
      </w:rPr>
      <w:tblPr/>
      <w:tcPr>
        <w:shd w:val="clear" w:color="auto" w:fill="D0EC9F" w:themeFill="accent1" w:themeFillTint="66"/>
      </w:tcPr>
    </w:tblStylePr>
    <w:tblStylePr w:type="lastRow">
      <w:rPr>
        <w:b/>
        <w:bCs/>
        <w:color w:val="000000" w:themeColor="text1"/>
      </w:rPr>
      <w:tblPr/>
      <w:tcPr>
        <w:shd w:val="clear" w:color="auto" w:fill="D0EC9F" w:themeFill="accent1" w:themeFillTint="66"/>
      </w:tcPr>
    </w:tblStylePr>
    <w:tblStylePr w:type="firstCol">
      <w:rPr>
        <w:color w:val="FFFFFF" w:themeColor="background1"/>
      </w:rPr>
      <w:tblPr/>
      <w:tcPr>
        <w:shd w:val="clear" w:color="auto" w:fill="638C1B" w:themeFill="accent1" w:themeFillShade="BF"/>
      </w:tcPr>
    </w:tblStylePr>
    <w:tblStylePr w:type="lastCol">
      <w:rPr>
        <w:color w:val="FFFFFF" w:themeColor="background1"/>
      </w:rPr>
      <w:tblPr/>
      <w:tcPr>
        <w:shd w:val="clear" w:color="auto" w:fill="638C1B" w:themeFill="accent1" w:themeFillShade="BF"/>
      </w:tcPr>
    </w:tblStylePr>
    <w:tblStylePr w:type="band1Vert">
      <w:tblPr/>
      <w:tcPr>
        <w:shd w:val="clear" w:color="auto" w:fill="C5E788" w:themeFill="accent1" w:themeFillTint="7F"/>
      </w:tcPr>
    </w:tblStylePr>
    <w:tblStylePr w:type="band1Horz">
      <w:tblPr/>
      <w:tcPr>
        <w:shd w:val="clear" w:color="auto" w:fill="C5E788" w:themeFill="accent1" w:themeFillTint="7F"/>
      </w:tcPr>
    </w:tblStylePr>
  </w:style>
  <w:style w:type="table" w:styleId="ColorfulGrid-Accent2">
    <w:name w:val="Colorful Grid Accent 2"/>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1FCD7" w:themeFill="accent2" w:themeFillTint="33"/>
    </w:tcPr>
    <w:tblStylePr w:type="firstRow">
      <w:rPr>
        <w:b/>
        <w:bCs/>
      </w:rPr>
      <w:tblPr/>
      <w:tcPr>
        <w:shd w:val="clear" w:color="auto" w:fill="64F9B0" w:themeFill="accent2" w:themeFillTint="66"/>
      </w:tcPr>
    </w:tblStylePr>
    <w:tblStylePr w:type="lastRow">
      <w:rPr>
        <w:b/>
        <w:bCs/>
        <w:color w:val="000000" w:themeColor="text1"/>
      </w:rPr>
      <w:tblPr/>
      <w:tcPr>
        <w:shd w:val="clear" w:color="auto" w:fill="64F9B0" w:themeFill="accent2" w:themeFillTint="66"/>
      </w:tcPr>
    </w:tblStylePr>
    <w:tblStylePr w:type="firstCol">
      <w:rPr>
        <w:color w:val="FFFFFF" w:themeColor="background1"/>
      </w:rPr>
      <w:tblPr/>
      <w:tcPr>
        <w:shd w:val="clear" w:color="auto" w:fill="034F29" w:themeFill="accent2" w:themeFillShade="BF"/>
      </w:tcPr>
    </w:tblStylePr>
    <w:tblStylePr w:type="lastCol">
      <w:rPr>
        <w:color w:val="FFFFFF" w:themeColor="background1"/>
      </w:rPr>
      <w:tblPr/>
      <w:tcPr>
        <w:shd w:val="clear" w:color="auto" w:fill="034F29" w:themeFill="accent2" w:themeFillShade="BF"/>
      </w:tcPr>
    </w:tblStylePr>
    <w:tblStylePr w:type="band1Vert">
      <w:tblPr/>
      <w:tcPr>
        <w:shd w:val="clear" w:color="auto" w:fill="3EF79D" w:themeFill="accent2" w:themeFillTint="7F"/>
      </w:tcPr>
    </w:tblStylePr>
    <w:tblStylePr w:type="band1Horz">
      <w:tblPr/>
      <w:tcPr>
        <w:shd w:val="clear" w:color="auto" w:fill="3EF79D" w:themeFill="accent2" w:themeFillTint="7F"/>
      </w:tcPr>
    </w:tblStylePr>
  </w:style>
  <w:style w:type="table" w:styleId="ColorfulGrid-Accent3">
    <w:name w:val="Colorful Grid Accent 3"/>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F9" w:themeFill="accent3" w:themeFillTint="33"/>
    </w:tcPr>
    <w:tblStylePr w:type="firstRow">
      <w:rPr>
        <w:b/>
        <w:bCs/>
      </w:rPr>
      <w:tblPr/>
      <w:tcPr>
        <w:shd w:val="clear" w:color="auto" w:fill="C0E1F4" w:themeFill="accent3" w:themeFillTint="66"/>
      </w:tcPr>
    </w:tblStylePr>
    <w:tblStylePr w:type="lastRow">
      <w:rPr>
        <w:b/>
        <w:bCs/>
        <w:color w:val="000000" w:themeColor="text1"/>
      </w:rPr>
      <w:tblPr/>
      <w:tcPr>
        <w:shd w:val="clear" w:color="auto" w:fill="C0E1F4" w:themeFill="accent3" w:themeFillTint="66"/>
      </w:tcPr>
    </w:tblStylePr>
    <w:tblStylePr w:type="firstCol">
      <w:rPr>
        <w:color w:val="FFFFFF" w:themeColor="background1"/>
      </w:rPr>
      <w:tblPr/>
      <w:tcPr>
        <w:shd w:val="clear" w:color="auto" w:fill="2291D1" w:themeFill="accent3" w:themeFillShade="BF"/>
      </w:tcPr>
    </w:tblStylePr>
    <w:tblStylePr w:type="lastCol">
      <w:rPr>
        <w:color w:val="FFFFFF" w:themeColor="background1"/>
      </w:rPr>
      <w:tblPr/>
      <w:tcPr>
        <w:shd w:val="clear" w:color="auto" w:fill="2291D1" w:themeFill="accent3" w:themeFillShade="BF"/>
      </w:tcPr>
    </w:tblStylePr>
    <w:tblStylePr w:type="band1Vert">
      <w:tblPr/>
      <w:tcPr>
        <w:shd w:val="clear" w:color="auto" w:fill="B0D9F2" w:themeFill="accent3" w:themeFillTint="7F"/>
      </w:tcPr>
    </w:tblStylePr>
    <w:tblStylePr w:type="band1Horz">
      <w:tblPr/>
      <w:tcPr>
        <w:shd w:val="clear" w:color="auto" w:fill="B0D9F2" w:themeFill="accent3" w:themeFillTint="7F"/>
      </w:tcPr>
    </w:tblStylePr>
  </w:style>
  <w:style w:type="table" w:styleId="ColorfulGrid-Accent4">
    <w:name w:val="Colorful Grid Accent 4"/>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AEC7FE" w:themeFill="accent4" w:themeFillTint="33"/>
    </w:tcPr>
    <w:tblStylePr w:type="firstRow">
      <w:rPr>
        <w:b/>
        <w:bCs/>
      </w:rPr>
      <w:tblPr/>
      <w:tcPr>
        <w:shd w:val="clear" w:color="auto" w:fill="5E8FFD" w:themeFill="accent4" w:themeFillTint="66"/>
      </w:tcPr>
    </w:tblStylePr>
    <w:tblStylePr w:type="lastRow">
      <w:rPr>
        <w:b/>
        <w:bCs/>
        <w:color w:val="000000" w:themeColor="text1"/>
      </w:rPr>
      <w:tblPr/>
      <w:tcPr>
        <w:shd w:val="clear" w:color="auto" w:fill="5E8FFD" w:themeFill="accent4" w:themeFillTint="66"/>
      </w:tcPr>
    </w:tblStylePr>
    <w:tblStylePr w:type="firstCol">
      <w:rPr>
        <w:color w:val="FFFFFF" w:themeColor="background1"/>
      </w:rPr>
      <w:tblPr/>
      <w:tcPr>
        <w:shd w:val="clear" w:color="auto" w:fill="00184E" w:themeFill="accent4" w:themeFillShade="BF"/>
      </w:tcPr>
    </w:tblStylePr>
    <w:tblStylePr w:type="lastCol">
      <w:rPr>
        <w:color w:val="FFFFFF" w:themeColor="background1"/>
      </w:rPr>
      <w:tblPr/>
      <w:tcPr>
        <w:shd w:val="clear" w:color="auto" w:fill="00184E" w:themeFill="accent4" w:themeFillShade="BF"/>
      </w:tcPr>
    </w:tblStylePr>
    <w:tblStylePr w:type="band1Vert">
      <w:tblPr/>
      <w:tcPr>
        <w:shd w:val="clear" w:color="auto" w:fill="3773FD" w:themeFill="accent4" w:themeFillTint="7F"/>
      </w:tcPr>
    </w:tblStylePr>
    <w:tblStylePr w:type="band1Horz">
      <w:tblPr/>
      <w:tcPr>
        <w:shd w:val="clear" w:color="auto" w:fill="3773FD" w:themeFill="accent4" w:themeFillTint="7F"/>
      </w:tcPr>
    </w:tblStylePr>
  </w:style>
  <w:style w:type="table" w:styleId="ColorfulGrid-Accent5">
    <w:name w:val="Colorful Grid Accent 5"/>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AF7FF" w:themeFill="accent5" w:themeFillTint="33"/>
    </w:tcPr>
    <w:tblStylePr w:type="firstRow">
      <w:rPr>
        <w:b/>
        <w:bCs/>
      </w:rPr>
      <w:tblPr/>
      <w:tcPr>
        <w:shd w:val="clear" w:color="auto" w:fill="76EFFF" w:themeFill="accent5" w:themeFillTint="66"/>
      </w:tcPr>
    </w:tblStylePr>
    <w:tblStylePr w:type="lastRow">
      <w:rPr>
        <w:b/>
        <w:bCs/>
        <w:color w:val="000000" w:themeColor="text1"/>
      </w:rPr>
      <w:tblPr/>
      <w:tcPr>
        <w:shd w:val="clear" w:color="auto" w:fill="76EFFF" w:themeFill="accent5" w:themeFillTint="66"/>
      </w:tcPr>
    </w:tblStylePr>
    <w:tblStylePr w:type="firstCol">
      <w:rPr>
        <w:color w:val="FFFFFF" w:themeColor="background1"/>
      </w:rPr>
      <w:tblPr/>
      <w:tcPr>
        <w:shd w:val="clear" w:color="auto" w:fill="00707E" w:themeFill="accent5" w:themeFillShade="BF"/>
      </w:tcPr>
    </w:tblStylePr>
    <w:tblStylePr w:type="lastCol">
      <w:rPr>
        <w:color w:val="FFFFFF" w:themeColor="background1"/>
      </w:rPr>
      <w:tblPr/>
      <w:tcPr>
        <w:shd w:val="clear" w:color="auto" w:fill="00707E" w:themeFill="accent5" w:themeFillShade="BF"/>
      </w:tcPr>
    </w:tblStylePr>
    <w:tblStylePr w:type="band1Vert">
      <w:tblPr/>
      <w:tcPr>
        <w:shd w:val="clear" w:color="auto" w:fill="55ECFF" w:themeFill="accent5" w:themeFillTint="7F"/>
      </w:tcPr>
    </w:tblStylePr>
    <w:tblStylePr w:type="band1Horz">
      <w:tblPr/>
      <w:tcPr>
        <w:shd w:val="clear" w:color="auto" w:fill="55ECFF" w:themeFill="accent5" w:themeFillTint="7F"/>
      </w:tcPr>
    </w:tblStylePr>
  </w:style>
  <w:style w:type="table" w:styleId="ColorfulGrid-Accent6">
    <w:name w:val="Colorful Grid Accent 6"/>
    <w:basedOn w:val="TableNormal"/>
    <w:uiPriority w:val="73"/>
    <w:rsid w:val="00F9113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6" w:themeFillTint="33"/>
    </w:tcPr>
    <w:tblStylePr w:type="firstRow">
      <w:rPr>
        <w:b/>
        <w:bCs/>
      </w:rPr>
      <w:tblPr/>
      <w:tcPr>
        <w:shd w:val="clear" w:color="auto" w:fill="C7C8CA" w:themeFill="accent6" w:themeFillTint="66"/>
      </w:tcPr>
    </w:tblStylePr>
    <w:tblStylePr w:type="lastRow">
      <w:rPr>
        <w:b/>
        <w:bCs/>
        <w:color w:val="000000" w:themeColor="text1"/>
      </w:rPr>
      <w:tblPr/>
      <w:tcPr>
        <w:shd w:val="clear" w:color="auto" w:fill="C7C8CA" w:themeFill="accent6" w:themeFillTint="66"/>
      </w:tcPr>
    </w:tblStylePr>
    <w:tblStylePr w:type="firstCol">
      <w:rPr>
        <w:color w:val="FFFFFF" w:themeColor="background1"/>
      </w:rPr>
      <w:tblPr/>
      <w:tcPr>
        <w:shd w:val="clear" w:color="auto" w:fill="57595C" w:themeFill="accent6" w:themeFillShade="BF"/>
      </w:tcPr>
    </w:tblStylePr>
    <w:tblStylePr w:type="lastCol">
      <w:rPr>
        <w:color w:val="FFFFFF" w:themeColor="background1"/>
      </w:rPr>
      <w:tblPr/>
      <w:tcPr>
        <w:shd w:val="clear" w:color="auto" w:fill="57595C" w:themeFill="accent6" w:themeFillShade="BF"/>
      </w:tcPr>
    </w:tblStylePr>
    <w:tblStylePr w:type="band1Vert">
      <w:tblPr/>
      <w:tcPr>
        <w:shd w:val="clear" w:color="auto" w:fill="B9BBBD" w:themeFill="accent6" w:themeFillTint="7F"/>
      </w:tcPr>
    </w:tblStylePr>
    <w:tblStylePr w:type="band1Horz">
      <w:tblPr/>
      <w:tcPr>
        <w:shd w:val="clear" w:color="auto" w:fill="B9BBBD" w:themeFill="accent6" w:themeFillTint="7F"/>
      </w:tcPr>
    </w:tblStylePr>
  </w:style>
  <w:style w:type="table" w:styleId="ColorfulList">
    <w:name w:val="Colorful List"/>
    <w:basedOn w:val="TableNormal"/>
    <w:uiPriority w:val="72"/>
    <w:rsid w:val="00F9113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9113D"/>
    <w:pPr>
      <w:spacing w:line="240" w:lineRule="auto"/>
    </w:pPr>
    <w:rPr>
      <w:color w:val="000000" w:themeColor="text1"/>
    </w:rPr>
    <w:tblPr>
      <w:tblStyleRowBandSize w:val="1"/>
      <w:tblStyleColBandSize w:val="1"/>
    </w:tblPr>
    <w:tcPr>
      <w:shd w:val="clear" w:color="auto" w:fill="F3FAE7" w:themeFill="accent1"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C3" w:themeFill="accent1" w:themeFillTint="3F"/>
      </w:tcPr>
    </w:tblStylePr>
    <w:tblStylePr w:type="band1Horz">
      <w:tblPr/>
      <w:tcPr>
        <w:shd w:val="clear" w:color="auto" w:fill="E7F5CF" w:themeFill="accent1" w:themeFillTint="33"/>
      </w:tcPr>
    </w:tblStylePr>
  </w:style>
  <w:style w:type="table" w:styleId="ColorfulList-Accent2">
    <w:name w:val="Colorful List Accent 2"/>
    <w:basedOn w:val="TableNormal"/>
    <w:uiPriority w:val="72"/>
    <w:rsid w:val="00F9113D"/>
    <w:pPr>
      <w:spacing w:line="240" w:lineRule="auto"/>
    </w:pPr>
    <w:rPr>
      <w:color w:val="000000" w:themeColor="text1"/>
    </w:rPr>
    <w:tblPr>
      <w:tblStyleRowBandSize w:val="1"/>
      <w:tblStyleColBandSize w:val="1"/>
    </w:tblPr>
    <w:tcPr>
      <w:shd w:val="clear" w:color="auto" w:fill="D9FDEB" w:themeFill="accent2" w:themeFillTint="19"/>
    </w:tcPr>
    <w:tblStylePr w:type="firstRow">
      <w:rPr>
        <w:b/>
        <w:bCs/>
        <w:color w:val="FFFFFF" w:themeColor="background1"/>
      </w:rPr>
      <w:tblPr/>
      <w:tcPr>
        <w:tcBorders>
          <w:bottom w:val="single" w:sz="12" w:space="0" w:color="FFFFFF" w:themeColor="background1"/>
        </w:tcBorders>
        <w:shd w:val="clear" w:color="auto" w:fill="03542C" w:themeFill="accent2" w:themeFillShade="CC"/>
      </w:tcPr>
    </w:tblStylePr>
    <w:tblStylePr w:type="lastRow">
      <w:rPr>
        <w:b/>
        <w:bCs/>
        <w:color w:val="035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FBCE" w:themeFill="accent2" w:themeFillTint="3F"/>
      </w:tcPr>
    </w:tblStylePr>
    <w:tblStylePr w:type="band1Horz">
      <w:tblPr/>
      <w:tcPr>
        <w:shd w:val="clear" w:color="auto" w:fill="B1FCD7" w:themeFill="accent2" w:themeFillTint="33"/>
      </w:tcPr>
    </w:tblStylePr>
  </w:style>
  <w:style w:type="table" w:styleId="ColorfulList-Accent3">
    <w:name w:val="Colorful List Accent 3"/>
    <w:basedOn w:val="TableNormal"/>
    <w:uiPriority w:val="72"/>
    <w:rsid w:val="00F9113D"/>
    <w:pPr>
      <w:spacing w:line="240" w:lineRule="auto"/>
    </w:pPr>
    <w:rPr>
      <w:color w:val="000000" w:themeColor="text1"/>
    </w:rPr>
    <w:tblPr>
      <w:tblStyleRowBandSize w:val="1"/>
      <w:tblStyleColBandSize w:val="1"/>
    </w:tblPr>
    <w:tcPr>
      <w:shd w:val="clear" w:color="auto" w:fill="EFF7FC" w:themeFill="accent3" w:themeFillTint="19"/>
    </w:tcPr>
    <w:tblStylePr w:type="firstRow">
      <w:rPr>
        <w:b/>
        <w:bCs/>
        <w:color w:val="FFFFFF" w:themeColor="background1"/>
      </w:rPr>
      <w:tblPr/>
      <w:tcPr>
        <w:tcBorders>
          <w:bottom w:val="single" w:sz="12" w:space="0" w:color="FFFFFF" w:themeColor="background1"/>
        </w:tcBorders>
        <w:shd w:val="clear" w:color="auto" w:fill="001A53" w:themeFill="accent4" w:themeFillShade="CC"/>
      </w:tcPr>
    </w:tblStylePr>
    <w:tblStylePr w:type="lastRow">
      <w:rPr>
        <w:b/>
        <w:bCs/>
        <w:color w:val="001A5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CF8" w:themeFill="accent3" w:themeFillTint="3F"/>
      </w:tcPr>
    </w:tblStylePr>
    <w:tblStylePr w:type="band1Horz">
      <w:tblPr/>
      <w:tcPr>
        <w:shd w:val="clear" w:color="auto" w:fill="DFF0F9" w:themeFill="accent3" w:themeFillTint="33"/>
      </w:tcPr>
    </w:tblStylePr>
  </w:style>
  <w:style w:type="table" w:styleId="ColorfulList-Accent4">
    <w:name w:val="Colorful List Accent 4"/>
    <w:basedOn w:val="TableNormal"/>
    <w:uiPriority w:val="72"/>
    <w:rsid w:val="00F9113D"/>
    <w:pPr>
      <w:spacing w:line="240" w:lineRule="auto"/>
    </w:pPr>
    <w:rPr>
      <w:color w:val="000000" w:themeColor="text1"/>
    </w:rPr>
    <w:tblPr>
      <w:tblStyleRowBandSize w:val="1"/>
      <w:tblStyleColBandSize w:val="1"/>
    </w:tblPr>
    <w:tcPr>
      <w:shd w:val="clear" w:color="auto" w:fill="D7E3FE" w:themeFill="accent4" w:themeFillTint="19"/>
    </w:tcPr>
    <w:tblStylePr w:type="firstRow">
      <w:rPr>
        <w:b/>
        <w:bCs/>
        <w:color w:val="FFFFFF" w:themeColor="background1"/>
      </w:rPr>
      <w:tblPr/>
      <w:tcPr>
        <w:tcBorders>
          <w:bottom w:val="single" w:sz="12" w:space="0" w:color="FFFFFF" w:themeColor="background1"/>
        </w:tcBorders>
        <w:shd w:val="clear" w:color="auto" w:fill="299ADB" w:themeFill="accent3" w:themeFillShade="CC"/>
      </w:tcPr>
    </w:tblStylePr>
    <w:tblStylePr w:type="lastRow">
      <w:rPr>
        <w:b/>
        <w:bCs/>
        <w:color w:val="299AD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BB9FE" w:themeFill="accent4" w:themeFillTint="3F"/>
      </w:tcPr>
    </w:tblStylePr>
    <w:tblStylePr w:type="band1Horz">
      <w:tblPr/>
      <w:tcPr>
        <w:shd w:val="clear" w:color="auto" w:fill="AEC7FE" w:themeFill="accent4" w:themeFillTint="33"/>
      </w:tcPr>
    </w:tblStylePr>
  </w:style>
  <w:style w:type="table" w:styleId="ColorfulList-Accent5">
    <w:name w:val="Colorful List Accent 5"/>
    <w:basedOn w:val="TableNormal"/>
    <w:uiPriority w:val="72"/>
    <w:rsid w:val="00F9113D"/>
    <w:pPr>
      <w:spacing w:line="240" w:lineRule="auto"/>
    </w:pPr>
    <w:rPr>
      <w:color w:val="000000" w:themeColor="text1"/>
    </w:rPr>
    <w:tblPr>
      <w:tblStyleRowBandSize w:val="1"/>
      <w:tblStyleColBandSize w:val="1"/>
    </w:tblPr>
    <w:tcPr>
      <w:shd w:val="clear" w:color="auto" w:fill="DDFBFF" w:themeFill="accent5" w:themeFillTint="19"/>
    </w:tcPr>
    <w:tblStylePr w:type="firstRow">
      <w:rPr>
        <w:b/>
        <w:bCs/>
        <w:color w:val="FFFFFF" w:themeColor="background1"/>
      </w:rPr>
      <w:tblPr/>
      <w:tcPr>
        <w:tcBorders>
          <w:bottom w:val="single" w:sz="12" w:space="0" w:color="FFFFFF" w:themeColor="background1"/>
        </w:tcBorders>
        <w:shd w:val="clear" w:color="auto" w:fill="5D5F62" w:themeFill="accent6" w:themeFillShade="CC"/>
      </w:tcPr>
    </w:tblStylePr>
    <w:tblStylePr w:type="lastRow">
      <w:rPr>
        <w:b/>
        <w:bCs/>
        <w:color w:val="5D5F6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5FF" w:themeFill="accent5" w:themeFillTint="3F"/>
      </w:tcPr>
    </w:tblStylePr>
    <w:tblStylePr w:type="band1Horz">
      <w:tblPr/>
      <w:tcPr>
        <w:shd w:val="clear" w:color="auto" w:fill="BAF7FF" w:themeFill="accent5" w:themeFillTint="33"/>
      </w:tcPr>
    </w:tblStylePr>
  </w:style>
  <w:style w:type="table" w:styleId="ColorfulList-Accent6">
    <w:name w:val="Colorful List Accent 6"/>
    <w:basedOn w:val="TableNormal"/>
    <w:uiPriority w:val="72"/>
    <w:rsid w:val="00F9113D"/>
    <w:pPr>
      <w:spacing w:line="240" w:lineRule="auto"/>
    </w:pPr>
    <w:rPr>
      <w:color w:val="000000" w:themeColor="text1"/>
    </w:rPr>
    <w:tblPr>
      <w:tblStyleRowBandSize w:val="1"/>
      <w:tblStyleColBandSize w:val="1"/>
    </w:tblPr>
    <w:tcPr>
      <w:shd w:val="clear" w:color="auto" w:fill="F1F1F2" w:themeFill="accent6" w:themeFillTint="19"/>
    </w:tcPr>
    <w:tblStylePr w:type="firstRow">
      <w:rPr>
        <w:b/>
        <w:bCs/>
        <w:color w:val="FFFFFF" w:themeColor="background1"/>
      </w:rPr>
      <w:tblPr/>
      <w:tcPr>
        <w:tcBorders>
          <w:bottom w:val="single" w:sz="12" w:space="0" w:color="FFFFFF" w:themeColor="background1"/>
        </w:tcBorders>
        <w:shd w:val="clear" w:color="auto" w:fill="007887" w:themeFill="accent5" w:themeFillShade="CC"/>
      </w:tcPr>
    </w:tblStylePr>
    <w:tblStylePr w:type="lastRow">
      <w:rPr>
        <w:b/>
        <w:bCs/>
        <w:color w:val="00788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6" w:themeFillTint="3F"/>
      </w:tcPr>
    </w:tblStylePr>
    <w:tblStylePr w:type="band1Horz">
      <w:tblPr/>
      <w:tcPr>
        <w:shd w:val="clear" w:color="auto" w:fill="E3E3E4" w:themeFill="accent6" w:themeFillTint="33"/>
      </w:tcPr>
    </w:tblStylePr>
  </w:style>
  <w:style w:type="table" w:styleId="ColorfulShading">
    <w:name w:val="Colorful Shading"/>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86BC25" w:themeColor="accent1"/>
        <w:bottom w:val="single" w:sz="4" w:space="0" w:color="86BC25" w:themeColor="accent1"/>
        <w:right w:val="single" w:sz="4" w:space="0" w:color="86BC25" w:themeColor="accent1"/>
        <w:insideH w:val="single" w:sz="4" w:space="0" w:color="FFFFFF" w:themeColor="background1"/>
        <w:insideV w:val="single" w:sz="4" w:space="0" w:color="FFFFFF" w:themeColor="background1"/>
      </w:tblBorders>
    </w:tblPr>
    <w:tcPr>
      <w:shd w:val="clear" w:color="auto" w:fill="F3FAE7" w:themeFill="accent1"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7016" w:themeFill="accent1" w:themeFillShade="99"/>
      </w:tcPr>
    </w:tblStylePr>
    <w:tblStylePr w:type="firstCol">
      <w:rPr>
        <w:color w:val="FFFFFF" w:themeColor="background1"/>
      </w:rPr>
      <w:tblPr/>
      <w:tcPr>
        <w:tcBorders>
          <w:top w:val="nil"/>
          <w:left w:val="nil"/>
          <w:bottom w:val="nil"/>
          <w:right w:val="nil"/>
          <w:insideH w:val="single" w:sz="4" w:space="0" w:color="507016" w:themeColor="accent1" w:themeShade="99"/>
          <w:insideV w:val="nil"/>
        </w:tcBorders>
        <w:shd w:val="clear" w:color="auto" w:fill="5070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7016" w:themeFill="accent1" w:themeFillShade="99"/>
      </w:tcPr>
    </w:tblStylePr>
    <w:tblStylePr w:type="band1Vert">
      <w:tblPr/>
      <w:tcPr>
        <w:shd w:val="clear" w:color="auto" w:fill="D0EC9F" w:themeFill="accent1" w:themeFillTint="66"/>
      </w:tcPr>
    </w:tblStylePr>
    <w:tblStylePr w:type="band1Horz">
      <w:tblPr/>
      <w:tcPr>
        <w:shd w:val="clear" w:color="auto" w:fill="C5E7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9113D"/>
    <w:pPr>
      <w:spacing w:line="240" w:lineRule="auto"/>
    </w:pPr>
    <w:rPr>
      <w:color w:val="000000" w:themeColor="text1"/>
    </w:rPr>
    <w:tblPr>
      <w:tblStyleRowBandSize w:val="1"/>
      <w:tblStyleColBandSize w:val="1"/>
      <w:tblBorders>
        <w:top w:val="single" w:sz="24" w:space="0" w:color="046A38" w:themeColor="accent2"/>
        <w:left w:val="single" w:sz="4" w:space="0" w:color="046A38" w:themeColor="accent2"/>
        <w:bottom w:val="single" w:sz="4" w:space="0" w:color="046A38" w:themeColor="accent2"/>
        <w:right w:val="single" w:sz="4" w:space="0" w:color="046A38" w:themeColor="accent2"/>
        <w:insideH w:val="single" w:sz="4" w:space="0" w:color="FFFFFF" w:themeColor="background1"/>
        <w:insideV w:val="single" w:sz="4" w:space="0" w:color="FFFFFF" w:themeColor="background1"/>
      </w:tblBorders>
    </w:tblPr>
    <w:tcPr>
      <w:shd w:val="clear" w:color="auto" w:fill="D9FDEB" w:themeFill="accent2" w:themeFillTint="19"/>
    </w:tcPr>
    <w:tblStylePr w:type="firstRow">
      <w:rPr>
        <w:b/>
        <w:bCs/>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F21" w:themeFill="accent2" w:themeFillShade="99"/>
      </w:tcPr>
    </w:tblStylePr>
    <w:tblStylePr w:type="firstCol">
      <w:rPr>
        <w:color w:val="FFFFFF" w:themeColor="background1"/>
      </w:rPr>
      <w:tblPr/>
      <w:tcPr>
        <w:tcBorders>
          <w:top w:val="nil"/>
          <w:left w:val="nil"/>
          <w:bottom w:val="nil"/>
          <w:right w:val="nil"/>
          <w:insideH w:val="single" w:sz="4" w:space="0" w:color="023F21" w:themeColor="accent2" w:themeShade="99"/>
          <w:insideV w:val="nil"/>
        </w:tcBorders>
        <w:shd w:val="clear" w:color="auto" w:fill="023F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23F21" w:themeFill="accent2" w:themeFillShade="99"/>
      </w:tcPr>
    </w:tblStylePr>
    <w:tblStylePr w:type="band1Vert">
      <w:tblPr/>
      <w:tcPr>
        <w:shd w:val="clear" w:color="auto" w:fill="64F9B0" w:themeFill="accent2" w:themeFillTint="66"/>
      </w:tcPr>
    </w:tblStylePr>
    <w:tblStylePr w:type="band1Horz">
      <w:tblPr/>
      <w:tcPr>
        <w:shd w:val="clear" w:color="auto" w:fill="3EF7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9113D"/>
    <w:pPr>
      <w:spacing w:line="240" w:lineRule="auto"/>
    </w:pPr>
    <w:rPr>
      <w:color w:val="000000" w:themeColor="text1"/>
    </w:rPr>
    <w:tblPr>
      <w:tblStyleRowBandSize w:val="1"/>
      <w:tblStyleColBandSize w:val="1"/>
      <w:tblBorders>
        <w:top w:val="single" w:sz="24" w:space="0" w:color="012169" w:themeColor="accent4"/>
        <w:left w:val="single" w:sz="4" w:space="0" w:color="62B5E5" w:themeColor="accent3"/>
        <w:bottom w:val="single" w:sz="4" w:space="0" w:color="62B5E5" w:themeColor="accent3"/>
        <w:right w:val="single" w:sz="4" w:space="0" w:color="62B5E5" w:themeColor="accent3"/>
        <w:insideH w:val="single" w:sz="4" w:space="0" w:color="FFFFFF" w:themeColor="background1"/>
        <w:insideV w:val="single" w:sz="4" w:space="0" w:color="FFFFFF" w:themeColor="background1"/>
      </w:tblBorders>
    </w:tblPr>
    <w:tcPr>
      <w:shd w:val="clear" w:color="auto" w:fill="EFF7FC" w:themeFill="accent3" w:themeFillTint="19"/>
    </w:tcPr>
    <w:tblStylePr w:type="firstRow">
      <w:rPr>
        <w:b/>
        <w:bCs/>
      </w:rPr>
      <w:tblPr/>
      <w:tcPr>
        <w:tcBorders>
          <w:top w:val="nil"/>
          <w:left w:val="nil"/>
          <w:bottom w:val="single" w:sz="24" w:space="0" w:color="01216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74A8" w:themeFill="accent3" w:themeFillShade="99"/>
      </w:tcPr>
    </w:tblStylePr>
    <w:tblStylePr w:type="firstCol">
      <w:rPr>
        <w:color w:val="FFFFFF" w:themeColor="background1"/>
      </w:rPr>
      <w:tblPr/>
      <w:tcPr>
        <w:tcBorders>
          <w:top w:val="nil"/>
          <w:left w:val="nil"/>
          <w:bottom w:val="nil"/>
          <w:right w:val="nil"/>
          <w:insideH w:val="single" w:sz="4" w:space="0" w:color="1C74A8" w:themeColor="accent3" w:themeShade="99"/>
          <w:insideV w:val="nil"/>
        </w:tcBorders>
        <w:shd w:val="clear" w:color="auto" w:fill="1C74A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74A8" w:themeFill="accent3" w:themeFillShade="99"/>
      </w:tcPr>
    </w:tblStylePr>
    <w:tblStylePr w:type="band1Vert">
      <w:tblPr/>
      <w:tcPr>
        <w:shd w:val="clear" w:color="auto" w:fill="C0E1F4" w:themeFill="accent3" w:themeFillTint="66"/>
      </w:tcPr>
    </w:tblStylePr>
    <w:tblStylePr w:type="band1Horz">
      <w:tblPr/>
      <w:tcPr>
        <w:shd w:val="clear" w:color="auto" w:fill="B0D9F2" w:themeFill="accent3" w:themeFillTint="7F"/>
      </w:tcPr>
    </w:tblStylePr>
  </w:style>
  <w:style w:type="table" w:styleId="ColorfulShading-Accent4">
    <w:name w:val="Colorful Shading Accent 4"/>
    <w:basedOn w:val="TableNormal"/>
    <w:uiPriority w:val="71"/>
    <w:rsid w:val="00F9113D"/>
    <w:pPr>
      <w:spacing w:line="240" w:lineRule="auto"/>
    </w:pPr>
    <w:rPr>
      <w:color w:val="000000" w:themeColor="text1"/>
    </w:rPr>
    <w:tblPr>
      <w:tblStyleRowBandSize w:val="1"/>
      <w:tblStyleColBandSize w:val="1"/>
      <w:tblBorders>
        <w:top w:val="single" w:sz="24" w:space="0" w:color="62B5E5" w:themeColor="accent3"/>
        <w:left w:val="single" w:sz="4" w:space="0" w:color="012169" w:themeColor="accent4"/>
        <w:bottom w:val="single" w:sz="4" w:space="0" w:color="012169" w:themeColor="accent4"/>
        <w:right w:val="single" w:sz="4" w:space="0" w:color="012169" w:themeColor="accent4"/>
        <w:insideH w:val="single" w:sz="4" w:space="0" w:color="FFFFFF" w:themeColor="background1"/>
        <w:insideV w:val="single" w:sz="4" w:space="0" w:color="FFFFFF" w:themeColor="background1"/>
      </w:tblBorders>
    </w:tblPr>
    <w:tcPr>
      <w:shd w:val="clear" w:color="auto" w:fill="D7E3FE" w:themeFill="accent4" w:themeFillTint="19"/>
    </w:tcPr>
    <w:tblStylePr w:type="firstRow">
      <w:rPr>
        <w:b/>
        <w:bCs/>
      </w:rPr>
      <w:tblPr/>
      <w:tcPr>
        <w:tcBorders>
          <w:top w:val="nil"/>
          <w:left w:val="nil"/>
          <w:bottom w:val="single" w:sz="24" w:space="0" w:color="62B5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33E" w:themeFill="accent4" w:themeFillShade="99"/>
      </w:tcPr>
    </w:tblStylePr>
    <w:tblStylePr w:type="firstCol">
      <w:rPr>
        <w:color w:val="FFFFFF" w:themeColor="background1"/>
      </w:rPr>
      <w:tblPr/>
      <w:tcPr>
        <w:tcBorders>
          <w:top w:val="nil"/>
          <w:left w:val="nil"/>
          <w:bottom w:val="nil"/>
          <w:right w:val="nil"/>
          <w:insideH w:val="single" w:sz="4" w:space="0" w:color="00133E" w:themeColor="accent4" w:themeShade="99"/>
          <w:insideV w:val="nil"/>
        </w:tcBorders>
        <w:shd w:val="clear" w:color="auto" w:fill="00133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133E" w:themeFill="accent4" w:themeFillShade="99"/>
      </w:tcPr>
    </w:tblStylePr>
    <w:tblStylePr w:type="band1Vert">
      <w:tblPr/>
      <w:tcPr>
        <w:shd w:val="clear" w:color="auto" w:fill="5E8FFD" w:themeFill="accent4" w:themeFillTint="66"/>
      </w:tcPr>
    </w:tblStylePr>
    <w:tblStylePr w:type="band1Horz">
      <w:tblPr/>
      <w:tcPr>
        <w:shd w:val="clear" w:color="auto" w:fill="3773F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9113D"/>
    <w:pPr>
      <w:spacing w:line="240" w:lineRule="auto"/>
    </w:pPr>
    <w:rPr>
      <w:color w:val="000000" w:themeColor="text1"/>
    </w:rPr>
    <w:tblPr>
      <w:tblStyleRowBandSize w:val="1"/>
      <w:tblStyleColBandSize w:val="1"/>
      <w:tblBorders>
        <w:top w:val="single" w:sz="24" w:space="0" w:color="75787B" w:themeColor="accent6"/>
        <w:left w:val="single" w:sz="4" w:space="0" w:color="0097A9" w:themeColor="accent5"/>
        <w:bottom w:val="single" w:sz="4" w:space="0" w:color="0097A9" w:themeColor="accent5"/>
        <w:right w:val="single" w:sz="4" w:space="0" w:color="0097A9" w:themeColor="accent5"/>
        <w:insideH w:val="single" w:sz="4" w:space="0" w:color="FFFFFF" w:themeColor="background1"/>
        <w:insideV w:val="single" w:sz="4" w:space="0" w:color="FFFFFF" w:themeColor="background1"/>
      </w:tblBorders>
    </w:tblPr>
    <w:tcPr>
      <w:shd w:val="clear" w:color="auto" w:fill="DDFBFF" w:themeFill="accent5" w:themeFillTint="19"/>
    </w:tcPr>
    <w:tblStylePr w:type="firstRow">
      <w:rPr>
        <w:b/>
        <w:bCs/>
      </w:rPr>
      <w:tblPr/>
      <w:tcPr>
        <w:tcBorders>
          <w:top w:val="nil"/>
          <w:left w:val="nil"/>
          <w:bottom w:val="single" w:sz="24" w:space="0" w:color="75787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A65" w:themeFill="accent5" w:themeFillShade="99"/>
      </w:tcPr>
    </w:tblStylePr>
    <w:tblStylePr w:type="firstCol">
      <w:rPr>
        <w:color w:val="FFFFFF" w:themeColor="background1"/>
      </w:rPr>
      <w:tblPr/>
      <w:tcPr>
        <w:tcBorders>
          <w:top w:val="nil"/>
          <w:left w:val="nil"/>
          <w:bottom w:val="nil"/>
          <w:right w:val="nil"/>
          <w:insideH w:val="single" w:sz="4" w:space="0" w:color="005A65" w:themeColor="accent5" w:themeShade="99"/>
          <w:insideV w:val="nil"/>
        </w:tcBorders>
        <w:shd w:val="clear" w:color="auto" w:fill="005A6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A65" w:themeFill="accent5" w:themeFillShade="99"/>
      </w:tcPr>
    </w:tblStylePr>
    <w:tblStylePr w:type="band1Vert">
      <w:tblPr/>
      <w:tcPr>
        <w:shd w:val="clear" w:color="auto" w:fill="76EFFF" w:themeFill="accent5" w:themeFillTint="66"/>
      </w:tcPr>
    </w:tblStylePr>
    <w:tblStylePr w:type="band1Horz">
      <w:tblPr/>
      <w:tcPr>
        <w:shd w:val="clear" w:color="auto" w:fill="55EC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9113D"/>
    <w:pPr>
      <w:spacing w:line="240" w:lineRule="auto"/>
    </w:pPr>
    <w:rPr>
      <w:color w:val="000000" w:themeColor="text1"/>
    </w:rPr>
    <w:tblPr>
      <w:tblStyleRowBandSize w:val="1"/>
      <w:tblStyleColBandSize w:val="1"/>
      <w:tblBorders>
        <w:top w:val="single" w:sz="24" w:space="0" w:color="0097A9" w:themeColor="accent5"/>
        <w:left w:val="single" w:sz="4" w:space="0" w:color="75787B" w:themeColor="accent6"/>
        <w:bottom w:val="single" w:sz="4" w:space="0" w:color="75787B" w:themeColor="accent6"/>
        <w:right w:val="single" w:sz="4" w:space="0" w:color="75787B" w:themeColor="accent6"/>
        <w:insideH w:val="single" w:sz="4" w:space="0" w:color="FFFFFF" w:themeColor="background1"/>
        <w:insideV w:val="single" w:sz="4" w:space="0" w:color="FFFFFF" w:themeColor="background1"/>
      </w:tblBorders>
    </w:tblPr>
    <w:tcPr>
      <w:shd w:val="clear" w:color="auto" w:fill="F1F1F2" w:themeFill="accent6" w:themeFillTint="19"/>
    </w:tcPr>
    <w:tblStylePr w:type="firstRow">
      <w:rPr>
        <w:b/>
        <w:bCs/>
      </w:rPr>
      <w:tblPr/>
      <w:tcPr>
        <w:tcBorders>
          <w:top w:val="nil"/>
          <w:left w:val="nil"/>
          <w:bottom w:val="single" w:sz="24" w:space="0" w:color="0097A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6" w:themeFillShade="99"/>
      </w:tcPr>
    </w:tblStylePr>
    <w:tblStylePr w:type="firstCol">
      <w:rPr>
        <w:color w:val="FFFFFF" w:themeColor="background1"/>
      </w:rPr>
      <w:tblPr/>
      <w:tcPr>
        <w:tcBorders>
          <w:top w:val="nil"/>
          <w:left w:val="nil"/>
          <w:bottom w:val="nil"/>
          <w:right w:val="nil"/>
          <w:insideH w:val="single" w:sz="4" w:space="0" w:color="464749" w:themeColor="accent6" w:themeShade="99"/>
          <w:insideV w:val="nil"/>
        </w:tcBorders>
        <w:shd w:val="clear" w:color="auto" w:fill="46474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6" w:themeFillShade="99"/>
      </w:tcPr>
    </w:tblStylePr>
    <w:tblStylePr w:type="band1Vert">
      <w:tblPr/>
      <w:tcPr>
        <w:shd w:val="clear" w:color="auto" w:fill="C7C8CA" w:themeFill="accent6" w:themeFillTint="66"/>
      </w:tcPr>
    </w:tblStylePr>
    <w:tblStylePr w:type="band1Horz">
      <w:tblPr/>
      <w:tcPr>
        <w:shd w:val="clear" w:color="auto" w:fill="B9BBB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F9113D"/>
    <w:rPr>
      <w:sz w:val="16"/>
      <w:szCs w:val="16"/>
      <w:lang w:val="en-AU"/>
    </w:rPr>
  </w:style>
  <w:style w:type="paragraph" w:styleId="CommentText">
    <w:name w:val="annotation text"/>
    <w:basedOn w:val="Normal"/>
    <w:link w:val="CommentTextChar"/>
    <w:uiPriority w:val="99"/>
    <w:semiHidden/>
    <w:rsid w:val="00F9113D"/>
    <w:pPr>
      <w:spacing w:line="240" w:lineRule="auto"/>
    </w:pPr>
    <w:rPr>
      <w:sz w:val="20"/>
      <w:szCs w:val="20"/>
    </w:rPr>
  </w:style>
  <w:style w:type="character" w:customStyle="1" w:styleId="CommentTextChar">
    <w:name w:val="Comment Text Char"/>
    <w:basedOn w:val="DefaultParagraphFont"/>
    <w:link w:val="CommentText"/>
    <w:uiPriority w:val="99"/>
    <w:semiHidden/>
    <w:rsid w:val="00F9113D"/>
    <w:rPr>
      <w:sz w:val="20"/>
      <w:szCs w:val="20"/>
    </w:rPr>
  </w:style>
  <w:style w:type="paragraph" w:styleId="CommentSubject">
    <w:name w:val="annotation subject"/>
    <w:basedOn w:val="CommentText"/>
    <w:next w:val="CommentText"/>
    <w:link w:val="CommentSubjectChar"/>
    <w:uiPriority w:val="99"/>
    <w:semiHidden/>
    <w:rsid w:val="00F9113D"/>
    <w:rPr>
      <w:b/>
      <w:bCs/>
    </w:rPr>
  </w:style>
  <w:style w:type="character" w:customStyle="1" w:styleId="CommentSubjectChar">
    <w:name w:val="Comment Subject Char"/>
    <w:basedOn w:val="CommentTextChar"/>
    <w:link w:val="CommentSubject"/>
    <w:uiPriority w:val="99"/>
    <w:semiHidden/>
    <w:rsid w:val="00F9113D"/>
    <w:rPr>
      <w:b/>
      <w:bCs/>
      <w:sz w:val="20"/>
      <w:szCs w:val="20"/>
    </w:rPr>
  </w:style>
  <w:style w:type="table" w:styleId="DarkList">
    <w:name w:val="Dark List"/>
    <w:basedOn w:val="TableNormal"/>
    <w:uiPriority w:val="70"/>
    <w:rsid w:val="00F9113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9113D"/>
    <w:pPr>
      <w:spacing w:line="240" w:lineRule="auto"/>
    </w:pPr>
    <w:rPr>
      <w:color w:val="FFFFFF" w:themeColor="background1"/>
    </w:rPr>
    <w:tblPr>
      <w:tblStyleRowBandSize w:val="1"/>
      <w:tblStyleColBandSize w:val="1"/>
    </w:tblPr>
    <w:tcPr>
      <w:shd w:val="clear" w:color="auto" w:fill="86BC2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5D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38C1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38C1B" w:themeFill="accent1" w:themeFillShade="BF"/>
      </w:tcPr>
    </w:tblStylePr>
    <w:tblStylePr w:type="band1Vert">
      <w:tblPr/>
      <w:tcPr>
        <w:tcBorders>
          <w:top w:val="nil"/>
          <w:left w:val="nil"/>
          <w:bottom w:val="nil"/>
          <w:right w:val="nil"/>
          <w:insideH w:val="nil"/>
          <w:insideV w:val="nil"/>
        </w:tcBorders>
        <w:shd w:val="clear" w:color="auto" w:fill="638C1B" w:themeFill="accent1" w:themeFillShade="BF"/>
      </w:tcPr>
    </w:tblStylePr>
    <w:tblStylePr w:type="band1Horz">
      <w:tblPr/>
      <w:tcPr>
        <w:tcBorders>
          <w:top w:val="nil"/>
          <w:left w:val="nil"/>
          <w:bottom w:val="nil"/>
          <w:right w:val="nil"/>
          <w:insideH w:val="nil"/>
          <w:insideV w:val="nil"/>
        </w:tcBorders>
        <w:shd w:val="clear" w:color="auto" w:fill="638C1B" w:themeFill="accent1" w:themeFillShade="BF"/>
      </w:tcPr>
    </w:tblStylePr>
  </w:style>
  <w:style w:type="table" w:styleId="DarkList-Accent2">
    <w:name w:val="Dark List Accent 2"/>
    <w:basedOn w:val="TableNormal"/>
    <w:uiPriority w:val="70"/>
    <w:rsid w:val="00F9113D"/>
    <w:pPr>
      <w:spacing w:line="240" w:lineRule="auto"/>
    </w:pPr>
    <w:rPr>
      <w:color w:val="FFFFFF" w:themeColor="background1"/>
    </w:rPr>
    <w:tblPr>
      <w:tblStyleRowBandSize w:val="1"/>
      <w:tblStyleColBandSize w:val="1"/>
    </w:tblPr>
    <w:tcPr>
      <w:shd w:val="clear" w:color="auto" w:fill="046A3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34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34F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34F29" w:themeFill="accent2" w:themeFillShade="BF"/>
      </w:tcPr>
    </w:tblStylePr>
    <w:tblStylePr w:type="band1Vert">
      <w:tblPr/>
      <w:tcPr>
        <w:tcBorders>
          <w:top w:val="nil"/>
          <w:left w:val="nil"/>
          <w:bottom w:val="nil"/>
          <w:right w:val="nil"/>
          <w:insideH w:val="nil"/>
          <w:insideV w:val="nil"/>
        </w:tcBorders>
        <w:shd w:val="clear" w:color="auto" w:fill="034F29" w:themeFill="accent2" w:themeFillShade="BF"/>
      </w:tcPr>
    </w:tblStylePr>
    <w:tblStylePr w:type="band1Horz">
      <w:tblPr/>
      <w:tcPr>
        <w:tcBorders>
          <w:top w:val="nil"/>
          <w:left w:val="nil"/>
          <w:bottom w:val="nil"/>
          <w:right w:val="nil"/>
          <w:insideH w:val="nil"/>
          <w:insideV w:val="nil"/>
        </w:tcBorders>
        <w:shd w:val="clear" w:color="auto" w:fill="034F29" w:themeFill="accent2" w:themeFillShade="BF"/>
      </w:tcPr>
    </w:tblStylePr>
  </w:style>
  <w:style w:type="table" w:styleId="DarkList-Accent3">
    <w:name w:val="Dark List Accent 3"/>
    <w:basedOn w:val="TableNormal"/>
    <w:uiPriority w:val="70"/>
    <w:rsid w:val="00F9113D"/>
    <w:pPr>
      <w:spacing w:line="240" w:lineRule="auto"/>
    </w:pPr>
    <w:rPr>
      <w:color w:val="FFFFFF" w:themeColor="background1"/>
    </w:rPr>
    <w:tblPr>
      <w:tblStyleRowBandSize w:val="1"/>
      <w:tblStyleColBandSize w:val="1"/>
    </w:tblPr>
    <w:tcPr>
      <w:shd w:val="clear" w:color="auto" w:fill="62B5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608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291D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291D1" w:themeFill="accent3" w:themeFillShade="BF"/>
      </w:tcPr>
    </w:tblStylePr>
    <w:tblStylePr w:type="band1Vert">
      <w:tblPr/>
      <w:tcPr>
        <w:tcBorders>
          <w:top w:val="nil"/>
          <w:left w:val="nil"/>
          <w:bottom w:val="nil"/>
          <w:right w:val="nil"/>
          <w:insideH w:val="nil"/>
          <w:insideV w:val="nil"/>
        </w:tcBorders>
        <w:shd w:val="clear" w:color="auto" w:fill="2291D1" w:themeFill="accent3" w:themeFillShade="BF"/>
      </w:tcPr>
    </w:tblStylePr>
    <w:tblStylePr w:type="band1Horz">
      <w:tblPr/>
      <w:tcPr>
        <w:tcBorders>
          <w:top w:val="nil"/>
          <w:left w:val="nil"/>
          <w:bottom w:val="nil"/>
          <w:right w:val="nil"/>
          <w:insideH w:val="nil"/>
          <w:insideV w:val="nil"/>
        </w:tcBorders>
        <w:shd w:val="clear" w:color="auto" w:fill="2291D1" w:themeFill="accent3" w:themeFillShade="BF"/>
      </w:tcPr>
    </w:tblStylePr>
  </w:style>
  <w:style w:type="table" w:styleId="DarkList-Accent4">
    <w:name w:val="Dark List Accent 4"/>
    <w:basedOn w:val="TableNormal"/>
    <w:uiPriority w:val="70"/>
    <w:rsid w:val="00F9113D"/>
    <w:pPr>
      <w:spacing w:line="240" w:lineRule="auto"/>
    </w:pPr>
    <w:rPr>
      <w:color w:val="FFFFFF" w:themeColor="background1"/>
    </w:rPr>
    <w:tblPr>
      <w:tblStyleRowBandSize w:val="1"/>
      <w:tblStyleColBandSize w:val="1"/>
    </w:tblPr>
    <w:tcPr>
      <w:shd w:val="clear" w:color="auto" w:fill="01216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03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184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184E" w:themeFill="accent4" w:themeFillShade="BF"/>
      </w:tcPr>
    </w:tblStylePr>
    <w:tblStylePr w:type="band1Vert">
      <w:tblPr/>
      <w:tcPr>
        <w:tcBorders>
          <w:top w:val="nil"/>
          <w:left w:val="nil"/>
          <w:bottom w:val="nil"/>
          <w:right w:val="nil"/>
          <w:insideH w:val="nil"/>
          <w:insideV w:val="nil"/>
        </w:tcBorders>
        <w:shd w:val="clear" w:color="auto" w:fill="00184E" w:themeFill="accent4" w:themeFillShade="BF"/>
      </w:tcPr>
    </w:tblStylePr>
    <w:tblStylePr w:type="band1Horz">
      <w:tblPr/>
      <w:tcPr>
        <w:tcBorders>
          <w:top w:val="nil"/>
          <w:left w:val="nil"/>
          <w:bottom w:val="nil"/>
          <w:right w:val="nil"/>
          <w:insideH w:val="nil"/>
          <w:insideV w:val="nil"/>
        </w:tcBorders>
        <w:shd w:val="clear" w:color="auto" w:fill="00184E" w:themeFill="accent4" w:themeFillShade="BF"/>
      </w:tcPr>
    </w:tblStylePr>
  </w:style>
  <w:style w:type="table" w:styleId="DarkList-Accent5">
    <w:name w:val="Dark List Accent 5"/>
    <w:basedOn w:val="TableNormal"/>
    <w:uiPriority w:val="70"/>
    <w:rsid w:val="00F9113D"/>
    <w:pPr>
      <w:spacing w:line="240" w:lineRule="auto"/>
    </w:pPr>
    <w:rPr>
      <w:color w:val="FFFFFF" w:themeColor="background1"/>
    </w:rPr>
    <w:tblPr>
      <w:tblStyleRowBandSize w:val="1"/>
      <w:tblStyleColBandSize w:val="1"/>
    </w:tblPr>
    <w:tcPr>
      <w:shd w:val="clear" w:color="auto" w:fill="0097A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5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07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07E" w:themeFill="accent5" w:themeFillShade="BF"/>
      </w:tcPr>
    </w:tblStylePr>
    <w:tblStylePr w:type="band1Vert">
      <w:tblPr/>
      <w:tcPr>
        <w:tcBorders>
          <w:top w:val="nil"/>
          <w:left w:val="nil"/>
          <w:bottom w:val="nil"/>
          <w:right w:val="nil"/>
          <w:insideH w:val="nil"/>
          <w:insideV w:val="nil"/>
        </w:tcBorders>
        <w:shd w:val="clear" w:color="auto" w:fill="00707E" w:themeFill="accent5" w:themeFillShade="BF"/>
      </w:tcPr>
    </w:tblStylePr>
    <w:tblStylePr w:type="band1Horz">
      <w:tblPr/>
      <w:tcPr>
        <w:tcBorders>
          <w:top w:val="nil"/>
          <w:left w:val="nil"/>
          <w:bottom w:val="nil"/>
          <w:right w:val="nil"/>
          <w:insideH w:val="nil"/>
          <w:insideV w:val="nil"/>
        </w:tcBorders>
        <w:shd w:val="clear" w:color="auto" w:fill="00707E" w:themeFill="accent5" w:themeFillShade="BF"/>
      </w:tcPr>
    </w:tblStylePr>
  </w:style>
  <w:style w:type="table" w:styleId="DarkList-Accent6">
    <w:name w:val="Dark List Accent 6"/>
    <w:basedOn w:val="TableNormal"/>
    <w:uiPriority w:val="70"/>
    <w:rsid w:val="00F9113D"/>
    <w:pPr>
      <w:spacing w:line="240" w:lineRule="auto"/>
    </w:pPr>
    <w:rPr>
      <w:color w:val="FFFFFF" w:themeColor="background1"/>
    </w:rPr>
    <w:tblPr>
      <w:tblStyleRowBandSize w:val="1"/>
      <w:tblStyleColBandSize w:val="1"/>
    </w:tblPr>
    <w:tcPr>
      <w:shd w:val="clear" w:color="auto" w:fill="75787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6" w:themeFillShade="BF"/>
      </w:tcPr>
    </w:tblStylePr>
    <w:tblStylePr w:type="band1Vert">
      <w:tblPr/>
      <w:tcPr>
        <w:tcBorders>
          <w:top w:val="nil"/>
          <w:left w:val="nil"/>
          <w:bottom w:val="nil"/>
          <w:right w:val="nil"/>
          <w:insideH w:val="nil"/>
          <w:insideV w:val="nil"/>
        </w:tcBorders>
        <w:shd w:val="clear" w:color="auto" w:fill="57595C" w:themeFill="accent6" w:themeFillShade="BF"/>
      </w:tcPr>
    </w:tblStylePr>
    <w:tblStylePr w:type="band1Horz">
      <w:tblPr/>
      <w:tcPr>
        <w:tcBorders>
          <w:top w:val="nil"/>
          <w:left w:val="nil"/>
          <w:bottom w:val="nil"/>
          <w:right w:val="nil"/>
          <w:insideH w:val="nil"/>
          <w:insideV w:val="nil"/>
        </w:tcBorders>
        <w:shd w:val="clear" w:color="auto" w:fill="57595C" w:themeFill="accent6" w:themeFillShade="BF"/>
      </w:tcPr>
    </w:tblStylePr>
  </w:style>
  <w:style w:type="paragraph" w:styleId="Date">
    <w:name w:val="Date"/>
    <w:basedOn w:val="Normal"/>
    <w:next w:val="Normal"/>
    <w:link w:val="DateChar"/>
    <w:uiPriority w:val="99"/>
    <w:semiHidden/>
    <w:rsid w:val="00F9113D"/>
  </w:style>
  <w:style w:type="character" w:customStyle="1" w:styleId="DateChar">
    <w:name w:val="Date Char"/>
    <w:basedOn w:val="DefaultParagraphFont"/>
    <w:link w:val="Date"/>
    <w:uiPriority w:val="99"/>
    <w:semiHidden/>
    <w:rsid w:val="00F9113D"/>
  </w:style>
  <w:style w:type="paragraph" w:styleId="DocumentMap">
    <w:name w:val="Document Map"/>
    <w:basedOn w:val="Normal"/>
    <w:link w:val="DocumentMapChar"/>
    <w:uiPriority w:val="99"/>
    <w:semiHidden/>
    <w:rsid w:val="00F9113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113D"/>
    <w:rPr>
      <w:rFonts w:ascii="Tahoma" w:hAnsi="Tahoma" w:cs="Tahoma"/>
      <w:sz w:val="16"/>
      <w:szCs w:val="16"/>
    </w:rPr>
  </w:style>
  <w:style w:type="paragraph" w:styleId="E-mailSignature">
    <w:name w:val="E-mail Signature"/>
    <w:basedOn w:val="Normal"/>
    <w:link w:val="E-mailSignatureChar"/>
    <w:uiPriority w:val="99"/>
    <w:semiHidden/>
    <w:rsid w:val="00F9113D"/>
    <w:pPr>
      <w:spacing w:line="240" w:lineRule="auto"/>
    </w:pPr>
  </w:style>
  <w:style w:type="character" w:customStyle="1" w:styleId="E-mailSignatureChar">
    <w:name w:val="E-mail Signature Char"/>
    <w:basedOn w:val="DefaultParagraphFont"/>
    <w:link w:val="E-mailSignature"/>
    <w:uiPriority w:val="99"/>
    <w:semiHidden/>
    <w:rsid w:val="00F9113D"/>
  </w:style>
  <w:style w:type="character" w:styleId="Emphasis">
    <w:name w:val="Emphasis"/>
    <w:basedOn w:val="DefaultParagraphFont"/>
    <w:uiPriority w:val="20"/>
    <w:qFormat/>
    <w:rsid w:val="00DF06E9"/>
    <w:rPr>
      <w:b/>
      <w:i w:val="0"/>
      <w:iCs/>
      <w:color w:val="44546A" w:themeColor="text2"/>
      <w:lang w:val="en-AU"/>
    </w:rPr>
  </w:style>
  <w:style w:type="character" w:styleId="EndnoteReference">
    <w:name w:val="endnote reference"/>
    <w:basedOn w:val="DefaultParagraphFont"/>
    <w:uiPriority w:val="99"/>
    <w:semiHidden/>
    <w:rsid w:val="00F9113D"/>
    <w:rPr>
      <w:vertAlign w:val="superscript"/>
      <w:lang w:val="en-AU"/>
    </w:rPr>
  </w:style>
  <w:style w:type="paragraph" w:styleId="EndnoteText">
    <w:name w:val="endnote text"/>
    <w:basedOn w:val="Normal"/>
    <w:link w:val="EndnoteTextChar"/>
    <w:uiPriority w:val="99"/>
    <w:semiHidden/>
    <w:rsid w:val="00FE6C88"/>
    <w:pPr>
      <w:spacing w:line="240" w:lineRule="auto"/>
    </w:pPr>
    <w:rPr>
      <w:szCs w:val="20"/>
    </w:rPr>
  </w:style>
  <w:style w:type="character" w:customStyle="1" w:styleId="EndnoteTextChar">
    <w:name w:val="Endnote Text Char"/>
    <w:basedOn w:val="DefaultParagraphFont"/>
    <w:link w:val="EndnoteText"/>
    <w:uiPriority w:val="99"/>
    <w:semiHidden/>
    <w:rsid w:val="00FE6C88"/>
    <w:rPr>
      <w:szCs w:val="20"/>
      <w:lang w:val="en-AU"/>
    </w:rPr>
  </w:style>
  <w:style w:type="paragraph" w:styleId="EnvelopeAddress">
    <w:name w:val="envelope address"/>
    <w:basedOn w:val="Normal"/>
    <w:uiPriority w:val="99"/>
    <w:semiHidden/>
    <w:rsid w:val="00F9113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9113D"/>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9113D"/>
    <w:rPr>
      <w:color w:val="53565A"/>
      <w:u w:val="single"/>
      <w:lang w:val="en-AU"/>
    </w:rPr>
  </w:style>
  <w:style w:type="character" w:customStyle="1" w:styleId="Heading5Char">
    <w:name w:val="Heading 5 Char"/>
    <w:basedOn w:val="DefaultParagraphFont"/>
    <w:link w:val="Heading5"/>
    <w:uiPriority w:val="1"/>
    <w:rsid w:val="00C50447"/>
    <w:rPr>
      <w:rFonts w:eastAsiaTheme="majorEastAsia" w:cstheme="majorBidi"/>
      <w:b/>
      <w:lang w:val="en-AU"/>
    </w:rPr>
  </w:style>
  <w:style w:type="character" w:customStyle="1" w:styleId="Heading6Char">
    <w:name w:val="Heading 6 Char"/>
    <w:basedOn w:val="DefaultParagraphFont"/>
    <w:link w:val="Heading6"/>
    <w:uiPriority w:val="1"/>
    <w:semiHidden/>
    <w:rsid w:val="00F9113D"/>
    <w:rPr>
      <w:rFonts w:eastAsiaTheme="majorEastAsia" w:cstheme="majorBidi"/>
      <w:b/>
      <w:iCs/>
      <w:lang w:val="en-AU"/>
    </w:rPr>
  </w:style>
  <w:style w:type="character" w:customStyle="1" w:styleId="Heading7Char">
    <w:name w:val="Heading 7 Char"/>
    <w:basedOn w:val="DefaultParagraphFont"/>
    <w:link w:val="Heading7"/>
    <w:uiPriority w:val="1"/>
    <w:semiHidden/>
    <w:rsid w:val="00F9113D"/>
    <w:rPr>
      <w:rFonts w:eastAsiaTheme="majorEastAsia" w:cstheme="majorBidi"/>
      <w:b/>
      <w:iCs/>
    </w:rPr>
  </w:style>
  <w:style w:type="character" w:customStyle="1" w:styleId="Heading8Char">
    <w:name w:val="Heading 8 Char"/>
    <w:basedOn w:val="DefaultParagraphFont"/>
    <w:link w:val="Heading8"/>
    <w:uiPriority w:val="1"/>
    <w:semiHidden/>
    <w:rsid w:val="00F9113D"/>
    <w:rPr>
      <w:rFonts w:eastAsiaTheme="majorEastAsia" w:cstheme="majorBidi"/>
      <w:b/>
      <w:szCs w:val="20"/>
    </w:rPr>
  </w:style>
  <w:style w:type="character" w:customStyle="1" w:styleId="Heading9Char">
    <w:name w:val="Heading 9 Char"/>
    <w:basedOn w:val="DefaultParagraphFont"/>
    <w:link w:val="Heading9"/>
    <w:uiPriority w:val="1"/>
    <w:semiHidden/>
    <w:rsid w:val="00F9113D"/>
    <w:rPr>
      <w:rFonts w:eastAsiaTheme="majorEastAsia" w:cstheme="majorBidi"/>
      <w:b/>
      <w:iCs/>
      <w:szCs w:val="20"/>
    </w:rPr>
  </w:style>
  <w:style w:type="character" w:styleId="HTMLAcronym">
    <w:name w:val="HTML Acronym"/>
    <w:basedOn w:val="DefaultParagraphFont"/>
    <w:uiPriority w:val="99"/>
    <w:semiHidden/>
    <w:rsid w:val="00F9113D"/>
    <w:rPr>
      <w:lang w:val="en-AU"/>
    </w:rPr>
  </w:style>
  <w:style w:type="paragraph" w:styleId="HTMLAddress">
    <w:name w:val="HTML Address"/>
    <w:basedOn w:val="Normal"/>
    <w:link w:val="HTMLAddressChar"/>
    <w:uiPriority w:val="99"/>
    <w:semiHidden/>
    <w:rsid w:val="00F9113D"/>
    <w:pPr>
      <w:spacing w:line="240" w:lineRule="auto"/>
    </w:pPr>
    <w:rPr>
      <w:i/>
      <w:iCs/>
    </w:rPr>
  </w:style>
  <w:style w:type="character" w:customStyle="1" w:styleId="HTMLAddressChar">
    <w:name w:val="HTML Address Char"/>
    <w:basedOn w:val="DefaultParagraphFont"/>
    <w:link w:val="HTMLAddress"/>
    <w:uiPriority w:val="99"/>
    <w:semiHidden/>
    <w:rsid w:val="00F9113D"/>
    <w:rPr>
      <w:i/>
      <w:iCs/>
    </w:rPr>
  </w:style>
  <w:style w:type="character" w:styleId="HTMLCite">
    <w:name w:val="HTML Cite"/>
    <w:basedOn w:val="DefaultParagraphFont"/>
    <w:uiPriority w:val="99"/>
    <w:semiHidden/>
    <w:rsid w:val="00F9113D"/>
    <w:rPr>
      <w:i/>
      <w:iCs/>
      <w:lang w:val="en-AU"/>
    </w:rPr>
  </w:style>
  <w:style w:type="character" w:styleId="HTMLCode">
    <w:name w:val="HTML Code"/>
    <w:basedOn w:val="DefaultParagraphFont"/>
    <w:uiPriority w:val="99"/>
    <w:semiHidden/>
    <w:rsid w:val="00F9113D"/>
    <w:rPr>
      <w:rFonts w:ascii="Consolas" w:hAnsi="Consolas"/>
      <w:sz w:val="20"/>
      <w:szCs w:val="20"/>
      <w:lang w:val="en-AU"/>
    </w:rPr>
  </w:style>
  <w:style w:type="character" w:styleId="HTMLDefinition">
    <w:name w:val="HTML Definition"/>
    <w:basedOn w:val="DefaultParagraphFont"/>
    <w:uiPriority w:val="99"/>
    <w:semiHidden/>
    <w:rsid w:val="00F9113D"/>
    <w:rPr>
      <w:i/>
      <w:iCs/>
      <w:lang w:val="en-AU"/>
    </w:rPr>
  </w:style>
  <w:style w:type="character" w:styleId="HTMLKeyboard">
    <w:name w:val="HTML Keyboard"/>
    <w:basedOn w:val="DefaultParagraphFont"/>
    <w:uiPriority w:val="99"/>
    <w:semiHidden/>
    <w:rsid w:val="00F9113D"/>
    <w:rPr>
      <w:rFonts w:ascii="Consolas" w:hAnsi="Consolas"/>
      <w:sz w:val="20"/>
      <w:szCs w:val="20"/>
      <w:lang w:val="en-AU"/>
    </w:rPr>
  </w:style>
  <w:style w:type="paragraph" w:styleId="HTMLPreformatted">
    <w:name w:val="HTML Preformatted"/>
    <w:basedOn w:val="Normal"/>
    <w:link w:val="HTMLPreformattedChar"/>
    <w:uiPriority w:val="99"/>
    <w:semiHidden/>
    <w:rsid w:val="00F9113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113D"/>
    <w:rPr>
      <w:rFonts w:ascii="Consolas" w:hAnsi="Consolas"/>
      <w:sz w:val="20"/>
      <w:szCs w:val="20"/>
    </w:rPr>
  </w:style>
  <w:style w:type="character" w:styleId="HTMLSample">
    <w:name w:val="HTML Sample"/>
    <w:basedOn w:val="DefaultParagraphFont"/>
    <w:uiPriority w:val="99"/>
    <w:semiHidden/>
    <w:rsid w:val="00F9113D"/>
    <w:rPr>
      <w:rFonts w:ascii="Consolas" w:hAnsi="Consolas"/>
      <w:sz w:val="24"/>
      <w:szCs w:val="24"/>
      <w:lang w:val="en-AU"/>
    </w:rPr>
  </w:style>
  <w:style w:type="character" w:styleId="HTMLTypewriter">
    <w:name w:val="HTML Typewriter"/>
    <w:basedOn w:val="DefaultParagraphFont"/>
    <w:uiPriority w:val="99"/>
    <w:semiHidden/>
    <w:rsid w:val="00F9113D"/>
    <w:rPr>
      <w:rFonts w:ascii="Consolas" w:hAnsi="Consolas"/>
      <w:sz w:val="20"/>
      <w:szCs w:val="20"/>
      <w:lang w:val="en-AU"/>
    </w:rPr>
  </w:style>
  <w:style w:type="character" w:styleId="HTMLVariable">
    <w:name w:val="HTML Variable"/>
    <w:basedOn w:val="DefaultParagraphFont"/>
    <w:uiPriority w:val="99"/>
    <w:semiHidden/>
    <w:rsid w:val="00F9113D"/>
    <w:rPr>
      <w:i/>
      <w:iCs/>
      <w:lang w:val="en-AU"/>
    </w:rPr>
  </w:style>
  <w:style w:type="paragraph" w:styleId="Index1">
    <w:name w:val="index 1"/>
    <w:basedOn w:val="Normal"/>
    <w:next w:val="Normal"/>
    <w:autoRedefine/>
    <w:uiPriority w:val="99"/>
    <w:semiHidden/>
    <w:rsid w:val="00F9113D"/>
    <w:pPr>
      <w:spacing w:line="240" w:lineRule="auto"/>
      <w:ind w:left="180" w:hanging="180"/>
    </w:pPr>
  </w:style>
  <w:style w:type="paragraph" w:styleId="Index2">
    <w:name w:val="index 2"/>
    <w:basedOn w:val="Normal"/>
    <w:next w:val="Normal"/>
    <w:autoRedefine/>
    <w:uiPriority w:val="99"/>
    <w:semiHidden/>
    <w:rsid w:val="00F9113D"/>
    <w:pPr>
      <w:spacing w:line="240" w:lineRule="auto"/>
      <w:ind w:left="360" w:hanging="180"/>
    </w:pPr>
  </w:style>
  <w:style w:type="paragraph" w:styleId="Index3">
    <w:name w:val="index 3"/>
    <w:basedOn w:val="Normal"/>
    <w:next w:val="Normal"/>
    <w:autoRedefine/>
    <w:uiPriority w:val="99"/>
    <w:semiHidden/>
    <w:rsid w:val="00F9113D"/>
    <w:pPr>
      <w:spacing w:line="240" w:lineRule="auto"/>
      <w:ind w:left="540" w:hanging="180"/>
    </w:pPr>
  </w:style>
  <w:style w:type="paragraph" w:styleId="Index4">
    <w:name w:val="index 4"/>
    <w:basedOn w:val="Normal"/>
    <w:next w:val="Normal"/>
    <w:autoRedefine/>
    <w:uiPriority w:val="99"/>
    <w:semiHidden/>
    <w:rsid w:val="00F9113D"/>
    <w:pPr>
      <w:spacing w:line="240" w:lineRule="auto"/>
      <w:ind w:left="720" w:hanging="180"/>
    </w:pPr>
  </w:style>
  <w:style w:type="paragraph" w:styleId="Index5">
    <w:name w:val="index 5"/>
    <w:basedOn w:val="Normal"/>
    <w:next w:val="Normal"/>
    <w:autoRedefine/>
    <w:uiPriority w:val="99"/>
    <w:semiHidden/>
    <w:rsid w:val="00F9113D"/>
    <w:pPr>
      <w:spacing w:line="240" w:lineRule="auto"/>
      <w:ind w:left="900" w:hanging="180"/>
    </w:pPr>
  </w:style>
  <w:style w:type="paragraph" w:styleId="Index6">
    <w:name w:val="index 6"/>
    <w:basedOn w:val="Normal"/>
    <w:next w:val="Normal"/>
    <w:autoRedefine/>
    <w:uiPriority w:val="99"/>
    <w:semiHidden/>
    <w:rsid w:val="00F9113D"/>
    <w:pPr>
      <w:spacing w:line="240" w:lineRule="auto"/>
      <w:ind w:left="1080" w:hanging="180"/>
    </w:pPr>
  </w:style>
  <w:style w:type="paragraph" w:styleId="Index7">
    <w:name w:val="index 7"/>
    <w:basedOn w:val="Normal"/>
    <w:next w:val="Normal"/>
    <w:autoRedefine/>
    <w:uiPriority w:val="99"/>
    <w:semiHidden/>
    <w:rsid w:val="00F9113D"/>
    <w:pPr>
      <w:spacing w:line="240" w:lineRule="auto"/>
      <w:ind w:left="1260" w:hanging="180"/>
    </w:pPr>
  </w:style>
  <w:style w:type="paragraph" w:styleId="Index8">
    <w:name w:val="index 8"/>
    <w:basedOn w:val="Normal"/>
    <w:next w:val="Normal"/>
    <w:autoRedefine/>
    <w:uiPriority w:val="99"/>
    <w:semiHidden/>
    <w:rsid w:val="00F9113D"/>
    <w:pPr>
      <w:spacing w:line="240" w:lineRule="auto"/>
      <w:ind w:left="1440" w:hanging="180"/>
    </w:pPr>
  </w:style>
  <w:style w:type="paragraph" w:styleId="Index9">
    <w:name w:val="index 9"/>
    <w:basedOn w:val="Normal"/>
    <w:next w:val="Normal"/>
    <w:autoRedefine/>
    <w:uiPriority w:val="99"/>
    <w:semiHidden/>
    <w:rsid w:val="00F9113D"/>
    <w:pPr>
      <w:spacing w:line="240" w:lineRule="auto"/>
      <w:ind w:left="1620" w:hanging="180"/>
    </w:pPr>
  </w:style>
  <w:style w:type="paragraph" w:styleId="IndexHeading">
    <w:name w:val="index heading"/>
    <w:basedOn w:val="Normal"/>
    <w:next w:val="Index1"/>
    <w:uiPriority w:val="99"/>
    <w:semiHidden/>
    <w:rsid w:val="00F9113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F9113D"/>
    <w:rPr>
      <w:b/>
      <w:bCs/>
      <w:i/>
      <w:iCs/>
      <w:color w:val="86BC25" w:themeColor="accent1"/>
      <w:lang w:val="en-AU"/>
    </w:rPr>
  </w:style>
  <w:style w:type="paragraph" w:styleId="IntenseQuote">
    <w:name w:val="Intense Quote"/>
    <w:basedOn w:val="Normal"/>
    <w:next w:val="Normal"/>
    <w:link w:val="IntenseQuoteChar"/>
    <w:uiPriority w:val="30"/>
    <w:semiHidden/>
    <w:rsid w:val="00F9113D"/>
    <w:pPr>
      <w:pBdr>
        <w:bottom w:val="single" w:sz="4" w:space="4" w:color="86BC25" w:themeColor="accent1"/>
      </w:pBdr>
      <w:spacing w:before="200" w:after="280"/>
      <w:ind w:left="936" w:right="936"/>
    </w:pPr>
    <w:rPr>
      <w:b/>
      <w:bCs/>
      <w:i/>
      <w:iCs/>
      <w:color w:val="86BC25" w:themeColor="accent1"/>
    </w:rPr>
  </w:style>
  <w:style w:type="character" w:customStyle="1" w:styleId="IntenseQuoteChar">
    <w:name w:val="Intense Quote Char"/>
    <w:basedOn w:val="DefaultParagraphFont"/>
    <w:link w:val="IntenseQuote"/>
    <w:uiPriority w:val="30"/>
    <w:semiHidden/>
    <w:rsid w:val="00F9113D"/>
    <w:rPr>
      <w:b/>
      <w:bCs/>
      <w:i/>
      <w:iCs/>
      <w:color w:val="86BC25" w:themeColor="accent1"/>
    </w:rPr>
  </w:style>
  <w:style w:type="character" w:styleId="IntenseReference">
    <w:name w:val="Intense Reference"/>
    <w:basedOn w:val="DefaultParagraphFont"/>
    <w:uiPriority w:val="99"/>
    <w:semiHidden/>
    <w:qFormat/>
    <w:rsid w:val="00F9113D"/>
    <w:rPr>
      <w:b/>
      <w:bCs/>
      <w:smallCaps/>
      <w:color w:val="046A38" w:themeColor="accent2"/>
      <w:spacing w:val="5"/>
      <w:u w:val="single"/>
      <w:lang w:val="en-AU"/>
    </w:rPr>
  </w:style>
  <w:style w:type="table" w:styleId="LightGrid">
    <w:name w:val="Light Grid"/>
    <w:basedOn w:val="TableNormal"/>
    <w:uiPriority w:val="62"/>
    <w:rsid w:val="00F9113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9113D"/>
    <w:pPr>
      <w:spacing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18" w:space="0" w:color="86BC25" w:themeColor="accent1"/>
          <w:right w:val="single" w:sz="8" w:space="0" w:color="86BC25" w:themeColor="accent1"/>
          <w:insideH w:val="nil"/>
          <w:insideV w:val="single" w:sz="8" w:space="0" w:color="86BC2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insideH w:val="nil"/>
          <w:insideV w:val="single" w:sz="8" w:space="0" w:color="86BC2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shd w:val="clear" w:color="auto" w:fill="E2F3C3" w:themeFill="accent1" w:themeFillTint="3F"/>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shd w:val="clear" w:color="auto" w:fill="E2F3C3" w:themeFill="accent1" w:themeFillTint="3F"/>
      </w:tcPr>
    </w:tblStylePr>
    <w:tblStylePr w:type="band2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tcPr>
    </w:tblStylePr>
  </w:style>
  <w:style w:type="table" w:styleId="LightGrid-Accent2">
    <w:name w:val="Light Grid Accent 2"/>
    <w:basedOn w:val="TableNormal"/>
    <w:uiPriority w:val="62"/>
    <w:rsid w:val="00F9113D"/>
    <w:pPr>
      <w:spacing w:line="240" w:lineRule="auto"/>
    </w:p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insideH w:val="single" w:sz="8" w:space="0" w:color="046A38" w:themeColor="accent2"/>
        <w:insideV w:val="single" w:sz="8" w:space="0" w:color="046A3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18" w:space="0" w:color="046A38" w:themeColor="accent2"/>
          <w:right w:val="single" w:sz="8" w:space="0" w:color="046A38" w:themeColor="accent2"/>
          <w:insideH w:val="nil"/>
          <w:insideV w:val="single" w:sz="8" w:space="0" w:color="046A3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insideH w:val="nil"/>
          <w:insideV w:val="single" w:sz="8" w:space="0" w:color="046A3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shd w:val="clear" w:color="auto" w:fill="9FFBCE" w:themeFill="accent2" w:themeFillTint="3F"/>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shd w:val="clear" w:color="auto" w:fill="9FFBCE" w:themeFill="accent2" w:themeFillTint="3F"/>
      </w:tcPr>
    </w:tblStylePr>
    <w:tblStylePr w:type="band2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insideV w:val="single" w:sz="8" w:space="0" w:color="046A38" w:themeColor="accent2"/>
        </w:tcBorders>
      </w:tcPr>
    </w:tblStylePr>
  </w:style>
  <w:style w:type="table" w:styleId="LightGrid-Accent3">
    <w:name w:val="Light Grid Accent 3"/>
    <w:basedOn w:val="TableNormal"/>
    <w:uiPriority w:val="62"/>
    <w:rsid w:val="00F9113D"/>
    <w:pPr>
      <w:spacing w:line="240" w:lineRule="auto"/>
    </w:p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insideH w:val="single" w:sz="8" w:space="0" w:color="62B5E5" w:themeColor="accent3"/>
        <w:insideV w:val="single" w:sz="8" w:space="0" w:color="62B5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B5E5" w:themeColor="accent3"/>
          <w:left w:val="single" w:sz="8" w:space="0" w:color="62B5E5" w:themeColor="accent3"/>
          <w:bottom w:val="single" w:sz="18" w:space="0" w:color="62B5E5" w:themeColor="accent3"/>
          <w:right w:val="single" w:sz="8" w:space="0" w:color="62B5E5" w:themeColor="accent3"/>
          <w:insideH w:val="nil"/>
          <w:insideV w:val="single" w:sz="8" w:space="0" w:color="62B5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insideH w:val="nil"/>
          <w:insideV w:val="single" w:sz="8" w:space="0" w:color="62B5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shd w:val="clear" w:color="auto" w:fill="D8ECF8" w:themeFill="accent3" w:themeFillTint="3F"/>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insideV w:val="single" w:sz="8" w:space="0" w:color="62B5E5" w:themeColor="accent3"/>
        </w:tcBorders>
        <w:shd w:val="clear" w:color="auto" w:fill="D8ECF8" w:themeFill="accent3" w:themeFillTint="3F"/>
      </w:tcPr>
    </w:tblStylePr>
    <w:tblStylePr w:type="band2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insideV w:val="single" w:sz="8" w:space="0" w:color="62B5E5" w:themeColor="accent3"/>
        </w:tcBorders>
      </w:tcPr>
    </w:tblStylePr>
  </w:style>
  <w:style w:type="table" w:styleId="LightGrid-Accent4">
    <w:name w:val="Light Grid Accent 4"/>
    <w:basedOn w:val="TableNormal"/>
    <w:uiPriority w:val="62"/>
    <w:rsid w:val="00F9113D"/>
    <w:pPr>
      <w:spacing w:line="240" w:lineRule="auto"/>
    </w:p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insideH w:val="single" w:sz="8" w:space="0" w:color="012169" w:themeColor="accent4"/>
        <w:insideV w:val="single" w:sz="8" w:space="0" w:color="01216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18" w:space="0" w:color="012169" w:themeColor="accent4"/>
          <w:right w:val="single" w:sz="8" w:space="0" w:color="012169" w:themeColor="accent4"/>
          <w:insideH w:val="nil"/>
          <w:insideV w:val="single" w:sz="8" w:space="0" w:color="01216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insideH w:val="nil"/>
          <w:insideV w:val="single" w:sz="8" w:space="0" w:color="01216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shd w:val="clear" w:color="auto" w:fill="9BB9FE" w:themeFill="accent4" w:themeFillTint="3F"/>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shd w:val="clear" w:color="auto" w:fill="9BB9FE" w:themeFill="accent4" w:themeFillTint="3F"/>
      </w:tcPr>
    </w:tblStylePr>
    <w:tblStylePr w:type="band2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insideV w:val="single" w:sz="8" w:space="0" w:color="012169" w:themeColor="accent4"/>
        </w:tcBorders>
      </w:tcPr>
    </w:tblStylePr>
  </w:style>
  <w:style w:type="table" w:styleId="LightGrid-Accent5">
    <w:name w:val="Light Grid Accent 5"/>
    <w:basedOn w:val="TableNormal"/>
    <w:uiPriority w:val="62"/>
    <w:rsid w:val="00F9113D"/>
    <w:pPr>
      <w:spacing w:line="240" w:lineRule="auto"/>
    </w:p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insideH w:val="single" w:sz="8" w:space="0" w:color="0097A9" w:themeColor="accent5"/>
        <w:insideV w:val="single" w:sz="8" w:space="0" w:color="0097A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7A9" w:themeColor="accent5"/>
          <w:left w:val="single" w:sz="8" w:space="0" w:color="0097A9" w:themeColor="accent5"/>
          <w:bottom w:val="single" w:sz="18" w:space="0" w:color="0097A9" w:themeColor="accent5"/>
          <w:right w:val="single" w:sz="8" w:space="0" w:color="0097A9" w:themeColor="accent5"/>
          <w:insideH w:val="nil"/>
          <w:insideV w:val="single" w:sz="8" w:space="0" w:color="0097A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insideH w:val="nil"/>
          <w:insideV w:val="single" w:sz="8" w:space="0" w:color="0097A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shd w:val="clear" w:color="auto" w:fill="AAF5FF" w:themeFill="accent5" w:themeFillTint="3F"/>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shd w:val="clear" w:color="auto" w:fill="AAF5FF" w:themeFill="accent5" w:themeFillTint="3F"/>
      </w:tcPr>
    </w:tblStylePr>
    <w:tblStylePr w:type="band2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insideV w:val="single" w:sz="8" w:space="0" w:color="0097A9" w:themeColor="accent5"/>
        </w:tcBorders>
      </w:tcPr>
    </w:tblStylePr>
  </w:style>
  <w:style w:type="table" w:styleId="LightGrid-Accent6">
    <w:name w:val="Light Grid Accent 6"/>
    <w:basedOn w:val="TableNormal"/>
    <w:uiPriority w:val="62"/>
    <w:rsid w:val="00F9113D"/>
    <w:pPr>
      <w:spacing w:line="240" w:lineRule="auto"/>
    </w:p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insideH w:val="single" w:sz="8" w:space="0" w:color="75787B" w:themeColor="accent6"/>
        <w:insideV w:val="single" w:sz="8" w:space="0" w:color="75787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6"/>
          <w:left w:val="single" w:sz="8" w:space="0" w:color="75787B" w:themeColor="accent6"/>
          <w:bottom w:val="single" w:sz="18" w:space="0" w:color="75787B" w:themeColor="accent6"/>
          <w:right w:val="single" w:sz="8" w:space="0" w:color="75787B" w:themeColor="accent6"/>
          <w:insideH w:val="nil"/>
          <w:insideV w:val="single" w:sz="8" w:space="0" w:color="75787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6"/>
          <w:left w:val="single" w:sz="8" w:space="0" w:color="75787B" w:themeColor="accent6"/>
          <w:bottom w:val="single" w:sz="8" w:space="0" w:color="75787B" w:themeColor="accent6"/>
          <w:right w:val="single" w:sz="8" w:space="0" w:color="75787B" w:themeColor="accent6"/>
          <w:insideH w:val="nil"/>
          <w:insideV w:val="single" w:sz="8" w:space="0" w:color="75787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tblStylePr w:type="band1Vert">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shd w:val="clear" w:color="auto" w:fill="DCDDDE" w:themeFill="accent6" w:themeFillTint="3F"/>
      </w:tcPr>
    </w:tblStylePr>
    <w:tblStylePr w:type="band1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insideV w:val="single" w:sz="8" w:space="0" w:color="75787B" w:themeColor="accent6"/>
        </w:tcBorders>
        <w:shd w:val="clear" w:color="auto" w:fill="DCDDDE" w:themeFill="accent6" w:themeFillTint="3F"/>
      </w:tcPr>
    </w:tblStylePr>
    <w:tblStylePr w:type="band2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insideV w:val="single" w:sz="8" w:space="0" w:color="75787B" w:themeColor="accent6"/>
        </w:tcBorders>
      </w:tcPr>
    </w:tblStylePr>
  </w:style>
  <w:style w:type="table" w:styleId="LightList">
    <w:name w:val="Light List"/>
    <w:basedOn w:val="TableNormal"/>
    <w:uiPriority w:val="61"/>
    <w:rsid w:val="00F9113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9113D"/>
    <w:pPr>
      <w:spacing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pPr>
        <w:spacing w:before="0" w:after="0" w:line="240" w:lineRule="auto"/>
      </w:pPr>
      <w:rPr>
        <w:b/>
        <w:bCs/>
        <w:color w:val="FFFFFF" w:themeColor="background1"/>
      </w:rPr>
      <w:tblPr/>
      <w:tcPr>
        <w:shd w:val="clear" w:color="auto" w:fill="86BC25" w:themeFill="accent1"/>
      </w:tcPr>
    </w:tblStylePr>
    <w:tblStylePr w:type="lastRow">
      <w:pPr>
        <w:spacing w:before="0" w:after="0" w:line="240" w:lineRule="auto"/>
      </w:pPr>
      <w:rPr>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tcBorders>
      </w:tcPr>
    </w:tblStylePr>
    <w:tblStylePr w:type="firstCol">
      <w:rPr>
        <w:b/>
        <w:bCs/>
      </w:rPr>
    </w:tblStylePr>
    <w:tblStylePr w:type="lastCol">
      <w:rPr>
        <w:b/>
        <w:bCs/>
      </w:r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style>
  <w:style w:type="table" w:styleId="LightList-Accent2">
    <w:name w:val="Light List Accent 2"/>
    <w:basedOn w:val="TableNormal"/>
    <w:uiPriority w:val="61"/>
    <w:rsid w:val="00F9113D"/>
    <w:pPr>
      <w:spacing w:line="240" w:lineRule="auto"/>
    </w:p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tblBorders>
    </w:tblPr>
    <w:tblStylePr w:type="firstRow">
      <w:pPr>
        <w:spacing w:before="0" w:after="0" w:line="240" w:lineRule="auto"/>
      </w:pPr>
      <w:rPr>
        <w:b/>
        <w:bCs/>
        <w:color w:val="FFFFFF" w:themeColor="background1"/>
      </w:rPr>
      <w:tblPr/>
      <w:tcPr>
        <w:shd w:val="clear" w:color="auto" w:fill="046A38" w:themeFill="accent2"/>
      </w:tcPr>
    </w:tblStylePr>
    <w:tblStylePr w:type="lastRow">
      <w:pPr>
        <w:spacing w:before="0" w:after="0" w:line="240" w:lineRule="auto"/>
      </w:pPr>
      <w:rPr>
        <w:b/>
        <w:bCs/>
      </w:rPr>
      <w:tblPr/>
      <w:tcPr>
        <w:tcBorders>
          <w:top w:val="double" w:sz="6" w:space="0" w:color="046A38" w:themeColor="accent2"/>
          <w:left w:val="single" w:sz="8" w:space="0" w:color="046A38" w:themeColor="accent2"/>
          <w:bottom w:val="single" w:sz="8" w:space="0" w:color="046A38" w:themeColor="accent2"/>
          <w:right w:val="single" w:sz="8" w:space="0" w:color="046A38" w:themeColor="accent2"/>
        </w:tcBorders>
      </w:tcPr>
    </w:tblStylePr>
    <w:tblStylePr w:type="firstCol">
      <w:rPr>
        <w:b/>
        <w:bCs/>
      </w:rPr>
    </w:tblStylePr>
    <w:tblStylePr w:type="lastCol">
      <w:rPr>
        <w:b/>
        <w:bCs/>
      </w:rPr>
    </w:tblStylePr>
    <w:tblStylePr w:type="band1Vert">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tblStylePr w:type="band1Horz">
      <w:tblPr/>
      <w:tcPr>
        <w:tcBorders>
          <w:top w:val="single" w:sz="8" w:space="0" w:color="046A38" w:themeColor="accent2"/>
          <w:left w:val="single" w:sz="8" w:space="0" w:color="046A38" w:themeColor="accent2"/>
          <w:bottom w:val="single" w:sz="8" w:space="0" w:color="046A38" w:themeColor="accent2"/>
          <w:right w:val="single" w:sz="8" w:space="0" w:color="046A38" w:themeColor="accent2"/>
        </w:tcBorders>
      </w:tcPr>
    </w:tblStylePr>
  </w:style>
  <w:style w:type="table" w:styleId="LightList-Accent3">
    <w:name w:val="Light List Accent 3"/>
    <w:basedOn w:val="TableNormal"/>
    <w:uiPriority w:val="61"/>
    <w:rsid w:val="00F9113D"/>
    <w:pPr>
      <w:spacing w:line="240" w:lineRule="auto"/>
    </w:p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pPr>
        <w:spacing w:before="0" w:after="0" w:line="240" w:lineRule="auto"/>
      </w:pPr>
      <w:rPr>
        <w:b/>
        <w:bCs/>
        <w:color w:val="FFFFFF" w:themeColor="background1"/>
      </w:rPr>
      <w:tblPr/>
      <w:tcPr>
        <w:shd w:val="clear" w:color="auto" w:fill="62B5E5" w:themeFill="accent3"/>
      </w:tcPr>
    </w:tblStylePr>
    <w:tblStylePr w:type="lastRow">
      <w:pPr>
        <w:spacing w:before="0" w:after="0" w:line="240" w:lineRule="auto"/>
      </w:pPr>
      <w:rPr>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tcBorders>
      </w:tcPr>
    </w:tblStylePr>
    <w:tblStylePr w:type="firstCol">
      <w:rPr>
        <w:b/>
        <w:bCs/>
      </w:rPr>
    </w:tblStylePr>
    <w:tblStylePr w:type="lastCol">
      <w:rPr>
        <w:b/>
        <w:bCs/>
      </w:r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style>
  <w:style w:type="table" w:styleId="LightList-Accent4">
    <w:name w:val="Light List Accent 4"/>
    <w:basedOn w:val="TableNormal"/>
    <w:uiPriority w:val="61"/>
    <w:rsid w:val="00F9113D"/>
    <w:pPr>
      <w:spacing w:line="240" w:lineRule="auto"/>
    </w:p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pPr>
        <w:spacing w:before="0" w:after="0" w:line="240" w:lineRule="auto"/>
      </w:pPr>
      <w:rPr>
        <w:b/>
        <w:bCs/>
        <w:color w:val="FFFFFF" w:themeColor="background1"/>
      </w:rPr>
      <w:tblPr/>
      <w:tcPr>
        <w:shd w:val="clear" w:color="auto" w:fill="012169" w:themeFill="accent4"/>
      </w:tcPr>
    </w:tblStylePr>
    <w:tblStylePr w:type="lastRow">
      <w:pPr>
        <w:spacing w:before="0" w:after="0" w:line="240" w:lineRule="auto"/>
      </w:pPr>
      <w:rPr>
        <w:b/>
        <w:bCs/>
      </w:rPr>
      <w:tblPr/>
      <w:tcPr>
        <w:tcBorders>
          <w:top w:val="double" w:sz="6" w:space="0" w:color="012169" w:themeColor="accent4"/>
          <w:left w:val="single" w:sz="8" w:space="0" w:color="012169" w:themeColor="accent4"/>
          <w:bottom w:val="single" w:sz="8" w:space="0" w:color="012169" w:themeColor="accent4"/>
          <w:right w:val="single" w:sz="8" w:space="0" w:color="012169" w:themeColor="accent4"/>
        </w:tcBorders>
      </w:tcPr>
    </w:tblStylePr>
    <w:tblStylePr w:type="firstCol">
      <w:rPr>
        <w:b/>
        <w:bCs/>
      </w:rPr>
    </w:tblStylePr>
    <w:tblStylePr w:type="lastCol">
      <w:rPr>
        <w:b/>
        <w:bCs/>
      </w:rPr>
    </w:tblStylePr>
    <w:tblStylePr w:type="band1Vert">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tblStylePr w:type="band1Horz">
      <w:tblPr/>
      <w:tcPr>
        <w:tcBorders>
          <w:top w:val="single" w:sz="8" w:space="0" w:color="012169" w:themeColor="accent4"/>
          <w:left w:val="single" w:sz="8" w:space="0" w:color="012169" w:themeColor="accent4"/>
          <w:bottom w:val="single" w:sz="8" w:space="0" w:color="012169" w:themeColor="accent4"/>
          <w:right w:val="single" w:sz="8" w:space="0" w:color="012169" w:themeColor="accent4"/>
        </w:tcBorders>
      </w:tcPr>
    </w:tblStylePr>
  </w:style>
  <w:style w:type="table" w:styleId="LightList-Accent5">
    <w:name w:val="Light List Accent 5"/>
    <w:basedOn w:val="TableNormal"/>
    <w:uiPriority w:val="61"/>
    <w:rsid w:val="00F9113D"/>
    <w:pPr>
      <w:spacing w:line="240" w:lineRule="auto"/>
    </w:p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pPr>
        <w:spacing w:before="0" w:after="0" w:line="240" w:lineRule="auto"/>
      </w:pPr>
      <w:rPr>
        <w:b/>
        <w:bCs/>
        <w:color w:val="FFFFFF" w:themeColor="background1"/>
      </w:rPr>
      <w:tblPr/>
      <w:tcPr>
        <w:shd w:val="clear" w:color="auto" w:fill="0097A9" w:themeFill="accent5"/>
      </w:tcPr>
    </w:tblStylePr>
    <w:tblStylePr w:type="lastRow">
      <w:pPr>
        <w:spacing w:before="0" w:after="0" w:line="240" w:lineRule="auto"/>
      </w:pPr>
      <w:rPr>
        <w:b/>
        <w:bCs/>
      </w:rPr>
      <w:tblPr/>
      <w:tcPr>
        <w:tcBorders>
          <w:top w:val="double" w:sz="6" w:space="0" w:color="0097A9" w:themeColor="accent5"/>
          <w:left w:val="single" w:sz="8" w:space="0" w:color="0097A9" w:themeColor="accent5"/>
          <w:bottom w:val="single" w:sz="8" w:space="0" w:color="0097A9" w:themeColor="accent5"/>
          <w:right w:val="single" w:sz="8" w:space="0" w:color="0097A9" w:themeColor="accent5"/>
        </w:tcBorders>
      </w:tcPr>
    </w:tblStylePr>
    <w:tblStylePr w:type="firstCol">
      <w:rPr>
        <w:b/>
        <w:bCs/>
      </w:rPr>
    </w:tblStylePr>
    <w:tblStylePr w:type="lastCol">
      <w:rPr>
        <w:b/>
        <w:bCs/>
      </w:rPr>
    </w:tblStylePr>
    <w:tblStylePr w:type="band1Vert">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tblStylePr w:type="band1Horz">
      <w:tblPr/>
      <w:tcPr>
        <w:tcBorders>
          <w:top w:val="single" w:sz="8" w:space="0" w:color="0097A9" w:themeColor="accent5"/>
          <w:left w:val="single" w:sz="8" w:space="0" w:color="0097A9" w:themeColor="accent5"/>
          <w:bottom w:val="single" w:sz="8" w:space="0" w:color="0097A9" w:themeColor="accent5"/>
          <w:right w:val="single" w:sz="8" w:space="0" w:color="0097A9" w:themeColor="accent5"/>
        </w:tcBorders>
      </w:tcPr>
    </w:tblStylePr>
  </w:style>
  <w:style w:type="table" w:styleId="LightList-Accent6">
    <w:name w:val="Light List Accent 6"/>
    <w:basedOn w:val="TableNormal"/>
    <w:uiPriority w:val="61"/>
    <w:rsid w:val="00F9113D"/>
    <w:pPr>
      <w:spacing w:line="240" w:lineRule="auto"/>
    </w:p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tblBorders>
    </w:tblPr>
    <w:tblStylePr w:type="firstRow">
      <w:pPr>
        <w:spacing w:before="0" w:after="0" w:line="240" w:lineRule="auto"/>
      </w:pPr>
      <w:rPr>
        <w:b/>
        <w:bCs/>
        <w:color w:val="FFFFFF" w:themeColor="background1"/>
      </w:rPr>
      <w:tblPr/>
      <w:tcPr>
        <w:shd w:val="clear" w:color="auto" w:fill="75787B" w:themeFill="accent6"/>
      </w:tcPr>
    </w:tblStylePr>
    <w:tblStylePr w:type="lastRow">
      <w:pPr>
        <w:spacing w:before="0" w:after="0" w:line="240" w:lineRule="auto"/>
      </w:pPr>
      <w:rPr>
        <w:b/>
        <w:bCs/>
      </w:rPr>
      <w:tblPr/>
      <w:tcPr>
        <w:tcBorders>
          <w:top w:val="double" w:sz="6" w:space="0" w:color="75787B" w:themeColor="accent6"/>
          <w:left w:val="single" w:sz="8" w:space="0" w:color="75787B" w:themeColor="accent6"/>
          <w:bottom w:val="single" w:sz="8" w:space="0" w:color="75787B" w:themeColor="accent6"/>
          <w:right w:val="single" w:sz="8" w:space="0" w:color="75787B" w:themeColor="accent6"/>
        </w:tcBorders>
      </w:tcPr>
    </w:tblStylePr>
    <w:tblStylePr w:type="firstCol">
      <w:rPr>
        <w:b/>
        <w:bCs/>
      </w:rPr>
    </w:tblStylePr>
    <w:tblStylePr w:type="lastCol">
      <w:rPr>
        <w:b/>
        <w:bCs/>
      </w:rPr>
    </w:tblStylePr>
    <w:tblStylePr w:type="band1Vert">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tblStylePr w:type="band1Horz">
      <w:tblPr/>
      <w:tcPr>
        <w:tcBorders>
          <w:top w:val="single" w:sz="8" w:space="0" w:color="75787B" w:themeColor="accent6"/>
          <w:left w:val="single" w:sz="8" w:space="0" w:color="75787B" w:themeColor="accent6"/>
          <w:bottom w:val="single" w:sz="8" w:space="0" w:color="75787B" w:themeColor="accent6"/>
          <w:right w:val="single" w:sz="8" w:space="0" w:color="75787B" w:themeColor="accent6"/>
        </w:tcBorders>
      </w:tcPr>
    </w:tblStylePr>
  </w:style>
  <w:style w:type="table" w:styleId="LightShading">
    <w:name w:val="Light Shading"/>
    <w:basedOn w:val="TableNormal"/>
    <w:uiPriority w:val="60"/>
    <w:rsid w:val="00F9113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113D"/>
    <w:pPr>
      <w:spacing w:line="240" w:lineRule="auto"/>
    </w:pPr>
    <w:rPr>
      <w:color w:val="638C1B" w:themeColor="accent1" w:themeShade="BF"/>
    </w:rPr>
    <w:tblPr>
      <w:tblStyleRowBandSize w:val="1"/>
      <w:tblStyleColBandSize w:val="1"/>
      <w:tblBorders>
        <w:top w:val="single" w:sz="8" w:space="0" w:color="86BC25" w:themeColor="accent1"/>
        <w:bottom w:val="single" w:sz="8" w:space="0" w:color="86BC25" w:themeColor="accent1"/>
      </w:tblBorders>
    </w:tblPr>
    <w:tblStylePr w:type="fir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la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left w:val="nil"/>
          <w:right w:val="nil"/>
          <w:insideH w:val="nil"/>
          <w:insideV w:val="nil"/>
        </w:tcBorders>
        <w:shd w:val="clear" w:color="auto" w:fill="E2F3C3" w:themeFill="accent1" w:themeFillTint="3F"/>
      </w:tcPr>
    </w:tblStylePr>
  </w:style>
  <w:style w:type="table" w:styleId="LightShading-Accent2">
    <w:name w:val="Light Shading Accent 2"/>
    <w:basedOn w:val="TableNormal"/>
    <w:uiPriority w:val="60"/>
    <w:rsid w:val="00F9113D"/>
    <w:pPr>
      <w:spacing w:line="240" w:lineRule="auto"/>
    </w:pPr>
    <w:rPr>
      <w:color w:val="034F29" w:themeColor="accent2" w:themeShade="BF"/>
    </w:rPr>
    <w:tblPr>
      <w:tblStyleRowBandSize w:val="1"/>
      <w:tblStyleColBandSize w:val="1"/>
      <w:tblBorders>
        <w:top w:val="single" w:sz="8" w:space="0" w:color="046A38" w:themeColor="accent2"/>
        <w:bottom w:val="single" w:sz="8" w:space="0" w:color="046A38" w:themeColor="accent2"/>
      </w:tblBorders>
    </w:tblPr>
    <w:tblStylePr w:type="firstRow">
      <w:pPr>
        <w:spacing w:before="0" w:after="0" w:line="240" w:lineRule="auto"/>
      </w:pPr>
      <w:rPr>
        <w:b/>
        <w:bCs/>
      </w:rPr>
      <w:tblPr/>
      <w:tcPr>
        <w:tcBorders>
          <w:top w:val="single" w:sz="8" w:space="0" w:color="046A38" w:themeColor="accent2"/>
          <w:left w:val="nil"/>
          <w:bottom w:val="single" w:sz="8" w:space="0" w:color="046A38" w:themeColor="accent2"/>
          <w:right w:val="nil"/>
          <w:insideH w:val="nil"/>
          <w:insideV w:val="nil"/>
        </w:tcBorders>
      </w:tcPr>
    </w:tblStylePr>
    <w:tblStylePr w:type="lastRow">
      <w:pPr>
        <w:spacing w:before="0" w:after="0" w:line="240" w:lineRule="auto"/>
      </w:pPr>
      <w:rPr>
        <w:b/>
        <w:bCs/>
      </w:rPr>
      <w:tblPr/>
      <w:tcPr>
        <w:tcBorders>
          <w:top w:val="single" w:sz="8" w:space="0" w:color="046A38" w:themeColor="accent2"/>
          <w:left w:val="nil"/>
          <w:bottom w:val="single" w:sz="8" w:space="0" w:color="046A3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FBCE" w:themeFill="accent2" w:themeFillTint="3F"/>
      </w:tcPr>
    </w:tblStylePr>
    <w:tblStylePr w:type="band1Horz">
      <w:tblPr/>
      <w:tcPr>
        <w:tcBorders>
          <w:left w:val="nil"/>
          <w:right w:val="nil"/>
          <w:insideH w:val="nil"/>
          <w:insideV w:val="nil"/>
        </w:tcBorders>
        <w:shd w:val="clear" w:color="auto" w:fill="9FFBCE" w:themeFill="accent2" w:themeFillTint="3F"/>
      </w:tcPr>
    </w:tblStylePr>
  </w:style>
  <w:style w:type="table" w:styleId="LightShading-Accent3">
    <w:name w:val="Light Shading Accent 3"/>
    <w:basedOn w:val="TableNormal"/>
    <w:uiPriority w:val="60"/>
    <w:rsid w:val="00F9113D"/>
    <w:pPr>
      <w:spacing w:line="240" w:lineRule="auto"/>
    </w:pPr>
    <w:rPr>
      <w:color w:val="2291D1" w:themeColor="accent3" w:themeShade="BF"/>
    </w:rPr>
    <w:tblPr>
      <w:tblStyleRowBandSize w:val="1"/>
      <w:tblStyleColBandSize w:val="1"/>
      <w:tblBorders>
        <w:top w:val="single" w:sz="8" w:space="0" w:color="62B5E5" w:themeColor="accent3"/>
        <w:bottom w:val="single" w:sz="8" w:space="0" w:color="62B5E5" w:themeColor="accent3"/>
      </w:tblBorders>
    </w:tblPr>
    <w:tblStylePr w:type="firstRow">
      <w:pPr>
        <w:spacing w:before="0" w:after="0" w:line="240" w:lineRule="auto"/>
      </w:pPr>
      <w:rPr>
        <w:b/>
        <w:bCs/>
      </w:rPr>
      <w:tblPr/>
      <w:tcPr>
        <w:tcBorders>
          <w:top w:val="single" w:sz="8" w:space="0" w:color="62B5E5" w:themeColor="accent3"/>
          <w:left w:val="nil"/>
          <w:bottom w:val="single" w:sz="8" w:space="0" w:color="62B5E5" w:themeColor="accent3"/>
          <w:right w:val="nil"/>
          <w:insideH w:val="nil"/>
          <w:insideV w:val="nil"/>
        </w:tcBorders>
      </w:tcPr>
    </w:tblStylePr>
    <w:tblStylePr w:type="lastRow">
      <w:pPr>
        <w:spacing w:before="0" w:after="0" w:line="240" w:lineRule="auto"/>
      </w:pPr>
      <w:rPr>
        <w:b/>
        <w:bCs/>
      </w:rPr>
      <w:tblPr/>
      <w:tcPr>
        <w:tcBorders>
          <w:top w:val="single" w:sz="8" w:space="0" w:color="62B5E5" w:themeColor="accent3"/>
          <w:left w:val="nil"/>
          <w:bottom w:val="single" w:sz="8" w:space="0" w:color="62B5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CF8" w:themeFill="accent3" w:themeFillTint="3F"/>
      </w:tcPr>
    </w:tblStylePr>
    <w:tblStylePr w:type="band1Horz">
      <w:tblPr/>
      <w:tcPr>
        <w:tcBorders>
          <w:left w:val="nil"/>
          <w:right w:val="nil"/>
          <w:insideH w:val="nil"/>
          <w:insideV w:val="nil"/>
        </w:tcBorders>
        <w:shd w:val="clear" w:color="auto" w:fill="D8ECF8" w:themeFill="accent3" w:themeFillTint="3F"/>
      </w:tcPr>
    </w:tblStylePr>
  </w:style>
  <w:style w:type="table" w:styleId="LightShading-Accent4">
    <w:name w:val="Light Shading Accent 4"/>
    <w:basedOn w:val="TableNormal"/>
    <w:uiPriority w:val="60"/>
    <w:rsid w:val="00F9113D"/>
    <w:pPr>
      <w:spacing w:line="240" w:lineRule="auto"/>
    </w:pPr>
    <w:rPr>
      <w:color w:val="00184E" w:themeColor="accent4" w:themeShade="BF"/>
    </w:rPr>
    <w:tblPr>
      <w:tblStyleRowBandSize w:val="1"/>
      <w:tblStyleColBandSize w:val="1"/>
      <w:tblBorders>
        <w:top w:val="single" w:sz="8" w:space="0" w:color="012169" w:themeColor="accent4"/>
        <w:bottom w:val="single" w:sz="8" w:space="0" w:color="012169" w:themeColor="accent4"/>
      </w:tblBorders>
    </w:tblPr>
    <w:tblStylePr w:type="fir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lastRow">
      <w:pPr>
        <w:spacing w:before="0" w:after="0" w:line="240" w:lineRule="auto"/>
      </w:pPr>
      <w:rPr>
        <w:b/>
        <w:bCs/>
      </w:rPr>
      <w:tblPr/>
      <w:tcPr>
        <w:tcBorders>
          <w:top w:val="single" w:sz="8" w:space="0" w:color="012169" w:themeColor="accent4"/>
          <w:left w:val="nil"/>
          <w:bottom w:val="single" w:sz="8" w:space="0" w:color="01216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B9FE" w:themeFill="accent4" w:themeFillTint="3F"/>
      </w:tcPr>
    </w:tblStylePr>
    <w:tblStylePr w:type="band1Horz">
      <w:tblPr/>
      <w:tcPr>
        <w:tcBorders>
          <w:left w:val="nil"/>
          <w:right w:val="nil"/>
          <w:insideH w:val="nil"/>
          <w:insideV w:val="nil"/>
        </w:tcBorders>
        <w:shd w:val="clear" w:color="auto" w:fill="9BB9FE" w:themeFill="accent4" w:themeFillTint="3F"/>
      </w:tcPr>
    </w:tblStylePr>
  </w:style>
  <w:style w:type="table" w:styleId="LightShading-Accent5">
    <w:name w:val="Light Shading Accent 5"/>
    <w:basedOn w:val="TableNormal"/>
    <w:uiPriority w:val="60"/>
    <w:rsid w:val="00F9113D"/>
    <w:pPr>
      <w:spacing w:line="240" w:lineRule="auto"/>
    </w:pPr>
    <w:rPr>
      <w:color w:val="00707E" w:themeColor="accent5" w:themeShade="BF"/>
    </w:rPr>
    <w:tblPr>
      <w:tblStyleRowBandSize w:val="1"/>
      <w:tblStyleColBandSize w:val="1"/>
      <w:tblBorders>
        <w:top w:val="single" w:sz="8" w:space="0" w:color="0097A9" w:themeColor="accent5"/>
        <w:bottom w:val="single" w:sz="8" w:space="0" w:color="0097A9" w:themeColor="accent5"/>
      </w:tblBorders>
    </w:tblPr>
    <w:tblStylePr w:type="firstRow">
      <w:pPr>
        <w:spacing w:before="0" w:after="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lastRow">
      <w:pPr>
        <w:spacing w:before="0" w:after="0" w:line="240" w:lineRule="auto"/>
      </w:pPr>
      <w:rPr>
        <w:b/>
        <w:bCs/>
      </w:rPr>
      <w:tblPr/>
      <w:tcPr>
        <w:tcBorders>
          <w:top w:val="single" w:sz="8" w:space="0" w:color="0097A9" w:themeColor="accent5"/>
          <w:left w:val="nil"/>
          <w:bottom w:val="single" w:sz="8" w:space="0" w:color="009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left w:val="nil"/>
          <w:right w:val="nil"/>
          <w:insideH w:val="nil"/>
          <w:insideV w:val="nil"/>
        </w:tcBorders>
        <w:shd w:val="clear" w:color="auto" w:fill="AAF5FF" w:themeFill="accent5" w:themeFillTint="3F"/>
      </w:tcPr>
    </w:tblStylePr>
  </w:style>
  <w:style w:type="table" w:styleId="LightShading-Accent6">
    <w:name w:val="Light Shading Accent 6"/>
    <w:basedOn w:val="TableNormal"/>
    <w:uiPriority w:val="60"/>
    <w:rsid w:val="00F9113D"/>
    <w:pPr>
      <w:spacing w:line="240" w:lineRule="auto"/>
    </w:pPr>
    <w:rPr>
      <w:color w:val="57595C" w:themeColor="accent6" w:themeShade="BF"/>
    </w:rPr>
    <w:tblPr>
      <w:tblStyleRowBandSize w:val="1"/>
      <w:tblStyleColBandSize w:val="1"/>
      <w:tblBorders>
        <w:top w:val="single" w:sz="8" w:space="0" w:color="75787B" w:themeColor="accent6"/>
        <w:bottom w:val="single" w:sz="8" w:space="0" w:color="75787B" w:themeColor="accent6"/>
      </w:tblBorders>
    </w:tblPr>
    <w:tblStylePr w:type="firstRow">
      <w:pPr>
        <w:spacing w:before="0" w:after="0" w:line="240" w:lineRule="auto"/>
      </w:pPr>
      <w:rPr>
        <w:b/>
        <w:bCs/>
      </w:rPr>
      <w:tblPr/>
      <w:tcPr>
        <w:tcBorders>
          <w:top w:val="single" w:sz="8" w:space="0" w:color="75787B" w:themeColor="accent6"/>
          <w:left w:val="nil"/>
          <w:bottom w:val="single" w:sz="8" w:space="0" w:color="75787B" w:themeColor="accent6"/>
          <w:right w:val="nil"/>
          <w:insideH w:val="nil"/>
          <w:insideV w:val="nil"/>
        </w:tcBorders>
      </w:tcPr>
    </w:tblStylePr>
    <w:tblStylePr w:type="lastRow">
      <w:pPr>
        <w:spacing w:before="0" w:after="0" w:line="240" w:lineRule="auto"/>
      </w:pPr>
      <w:rPr>
        <w:b/>
        <w:bCs/>
      </w:rPr>
      <w:tblPr/>
      <w:tcPr>
        <w:tcBorders>
          <w:top w:val="single" w:sz="8" w:space="0" w:color="75787B" w:themeColor="accent6"/>
          <w:left w:val="nil"/>
          <w:bottom w:val="single" w:sz="8" w:space="0" w:color="7578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left w:val="nil"/>
          <w:right w:val="nil"/>
          <w:insideH w:val="nil"/>
          <w:insideV w:val="nil"/>
        </w:tcBorders>
        <w:shd w:val="clear" w:color="auto" w:fill="DCDDDE" w:themeFill="accent6" w:themeFillTint="3F"/>
      </w:tcPr>
    </w:tblStylePr>
  </w:style>
  <w:style w:type="character" w:styleId="LineNumber">
    <w:name w:val="line number"/>
    <w:basedOn w:val="DefaultParagraphFont"/>
    <w:uiPriority w:val="99"/>
    <w:semiHidden/>
    <w:rsid w:val="00F9113D"/>
    <w:rPr>
      <w:lang w:val="en-AU"/>
    </w:rPr>
  </w:style>
  <w:style w:type="paragraph" w:styleId="List">
    <w:name w:val="List"/>
    <w:basedOn w:val="Normal"/>
    <w:uiPriority w:val="99"/>
    <w:semiHidden/>
    <w:rsid w:val="00F9113D"/>
    <w:pPr>
      <w:ind w:left="283" w:hanging="283"/>
      <w:contextualSpacing/>
    </w:pPr>
  </w:style>
  <w:style w:type="paragraph" w:styleId="List2">
    <w:name w:val="List 2"/>
    <w:basedOn w:val="Normal"/>
    <w:uiPriority w:val="99"/>
    <w:semiHidden/>
    <w:rsid w:val="00F9113D"/>
    <w:pPr>
      <w:ind w:left="566" w:hanging="283"/>
      <w:contextualSpacing/>
    </w:pPr>
  </w:style>
  <w:style w:type="paragraph" w:styleId="List3">
    <w:name w:val="List 3"/>
    <w:basedOn w:val="Normal"/>
    <w:uiPriority w:val="99"/>
    <w:semiHidden/>
    <w:rsid w:val="00F9113D"/>
    <w:pPr>
      <w:ind w:left="849" w:hanging="283"/>
      <w:contextualSpacing/>
    </w:pPr>
  </w:style>
  <w:style w:type="paragraph" w:styleId="List4">
    <w:name w:val="List 4"/>
    <w:basedOn w:val="Normal"/>
    <w:uiPriority w:val="99"/>
    <w:semiHidden/>
    <w:rsid w:val="00F9113D"/>
    <w:pPr>
      <w:ind w:left="1132" w:hanging="283"/>
      <w:contextualSpacing/>
    </w:pPr>
  </w:style>
  <w:style w:type="paragraph" w:styleId="List5">
    <w:name w:val="List 5"/>
    <w:basedOn w:val="Normal"/>
    <w:uiPriority w:val="99"/>
    <w:semiHidden/>
    <w:rsid w:val="00F9113D"/>
    <w:pPr>
      <w:ind w:left="1415" w:hanging="283"/>
      <w:contextualSpacing/>
    </w:pPr>
  </w:style>
  <w:style w:type="paragraph" w:styleId="ListBullet3">
    <w:name w:val="List Bullet 3"/>
    <w:basedOn w:val="Normal"/>
    <w:uiPriority w:val="3"/>
    <w:rsid w:val="003A65F2"/>
    <w:pPr>
      <w:numPr>
        <w:numId w:val="16"/>
      </w:numPr>
      <w:spacing w:after="0"/>
      <w:ind w:left="1020" w:hanging="340"/>
      <w:contextualSpacing/>
    </w:pPr>
  </w:style>
  <w:style w:type="paragraph" w:styleId="ListBullet4">
    <w:name w:val="List Bullet 4"/>
    <w:basedOn w:val="Normal"/>
    <w:uiPriority w:val="99"/>
    <w:semiHidden/>
    <w:rsid w:val="00F9113D"/>
    <w:pPr>
      <w:numPr>
        <w:numId w:val="3"/>
      </w:numPr>
      <w:contextualSpacing/>
    </w:pPr>
  </w:style>
  <w:style w:type="paragraph" w:styleId="ListBullet5">
    <w:name w:val="List Bullet 5"/>
    <w:basedOn w:val="Normal"/>
    <w:uiPriority w:val="99"/>
    <w:semiHidden/>
    <w:rsid w:val="00F9113D"/>
    <w:pPr>
      <w:numPr>
        <w:numId w:val="4"/>
      </w:numPr>
      <w:contextualSpacing/>
    </w:pPr>
  </w:style>
  <w:style w:type="paragraph" w:styleId="ListContinue">
    <w:name w:val="List Continue"/>
    <w:basedOn w:val="Normal"/>
    <w:uiPriority w:val="99"/>
    <w:semiHidden/>
    <w:rsid w:val="00F9113D"/>
    <w:pPr>
      <w:spacing w:after="120"/>
      <w:ind w:left="283"/>
      <w:contextualSpacing/>
    </w:pPr>
  </w:style>
  <w:style w:type="paragraph" w:styleId="ListContinue2">
    <w:name w:val="List Continue 2"/>
    <w:basedOn w:val="Normal"/>
    <w:uiPriority w:val="99"/>
    <w:semiHidden/>
    <w:rsid w:val="00F9113D"/>
    <w:pPr>
      <w:spacing w:after="120"/>
      <w:ind w:left="566"/>
      <w:contextualSpacing/>
    </w:pPr>
  </w:style>
  <w:style w:type="paragraph" w:styleId="ListContinue3">
    <w:name w:val="List Continue 3"/>
    <w:basedOn w:val="Normal"/>
    <w:uiPriority w:val="99"/>
    <w:semiHidden/>
    <w:rsid w:val="00F9113D"/>
    <w:pPr>
      <w:spacing w:after="120"/>
      <w:ind w:left="849"/>
      <w:contextualSpacing/>
    </w:pPr>
  </w:style>
  <w:style w:type="paragraph" w:styleId="ListContinue4">
    <w:name w:val="List Continue 4"/>
    <w:basedOn w:val="Normal"/>
    <w:uiPriority w:val="99"/>
    <w:semiHidden/>
    <w:rsid w:val="00F9113D"/>
    <w:pPr>
      <w:spacing w:after="120"/>
      <w:ind w:left="1132"/>
      <w:contextualSpacing/>
    </w:pPr>
  </w:style>
  <w:style w:type="paragraph" w:styleId="ListContinue5">
    <w:name w:val="List Continue 5"/>
    <w:basedOn w:val="Normal"/>
    <w:uiPriority w:val="99"/>
    <w:semiHidden/>
    <w:rsid w:val="00F9113D"/>
    <w:pPr>
      <w:spacing w:after="120"/>
      <w:ind w:left="1415"/>
      <w:contextualSpacing/>
    </w:pPr>
  </w:style>
  <w:style w:type="paragraph" w:styleId="ListNumber3">
    <w:name w:val="List Number 3"/>
    <w:basedOn w:val="Normal"/>
    <w:uiPriority w:val="99"/>
    <w:semiHidden/>
    <w:rsid w:val="00F9113D"/>
    <w:pPr>
      <w:numPr>
        <w:ilvl w:val="2"/>
        <w:numId w:val="14"/>
      </w:numPr>
      <w:contextualSpacing/>
    </w:pPr>
  </w:style>
  <w:style w:type="paragraph" w:styleId="ListNumber4">
    <w:name w:val="List Number 4"/>
    <w:basedOn w:val="Normal"/>
    <w:uiPriority w:val="99"/>
    <w:semiHidden/>
    <w:rsid w:val="00F9113D"/>
    <w:pPr>
      <w:numPr>
        <w:numId w:val="5"/>
      </w:numPr>
      <w:contextualSpacing/>
    </w:pPr>
  </w:style>
  <w:style w:type="paragraph" w:styleId="ListNumber5">
    <w:name w:val="List Number 5"/>
    <w:basedOn w:val="Normal"/>
    <w:uiPriority w:val="99"/>
    <w:semiHidden/>
    <w:rsid w:val="00F9113D"/>
    <w:pPr>
      <w:numPr>
        <w:numId w:val="6"/>
      </w:numPr>
      <w:contextualSpacing/>
    </w:pPr>
  </w:style>
  <w:style w:type="paragraph" w:styleId="ListParagraph">
    <w:name w:val="List Paragraph"/>
    <w:aliases w:val="Use Case List Paragraph,List Paragraph - bullets,standard lewis,Numbered Para 1,Dot pt,No Spacing1,List Paragraph Char Char Char,Indicator Text,List Paragraph1,Bullet Points,Bullet (1st level),First level bullet point,Recommendation,B1,L"/>
    <w:basedOn w:val="Normal"/>
    <w:link w:val="ListParagraphChar"/>
    <w:uiPriority w:val="34"/>
    <w:qFormat/>
    <w:rsid w:val="00F9113D"/>
    <w:pPr>
      <w:ind w:left="720"/>
      <w:contextualSpacing/>
    </w:pPr>
  </w:style>
  <w:style w:type="paragraph" w:styleId="MacroText">
    <w:name w:val="macro"/>
    <w:link w:val="MacroTextChar"/>
    <w:uiPriority w:val="99"/>
    <w:semiHidden/>
    <w:rsid w:val="00F9113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F9113D"/>
    <w:rPr>
      <w:rFonts w:ascii="Consolas" w:hAnsi="Consolas"/>
      <w:sz w:val="20"/>
      <w:szCs w:val="20"/>
      <w:lang w:val="en-AU"/>
    </w:rPr>
  </w:style>
  <w:style w:type="table" w:styleId="MediumGrid1">
    <w:name w:val="Medium Grid 1"/>
    <w:basedOn w:val="TableNormal"/>
    <w:uiPriority w:val="67"/>
    <w:rsid w:val="00F9113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9113D"/>
    <w:pPr>
      <w:spacing w:line="240" w:lineRule="auto"/>
    </w:pPr>
    <w:tblPr>
      <w:tblStyleRowBandSize w:val="1"/>
      <w:tblStyleColBandSize w:val="1"/>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insideV w:val="single" w:sz="8" w:space="0" w:color="A8DB4C" w:themeColor="accent1" w:themeTint="BF"/>
      </w:tblBorders>
    </w:tblPr>
    <w:tcPr>
      <w:shd w:val="clear" w:color="auto" w:fill="E2F3C3" w:themeFill="accent1" w:themeFillTint="3F"/>
    </w:tcPr>
    <w:tblStylePr w:type="firstRow">
      <w:rPr>
        <w:b/>
        <w:bCs/>
      </w:rPr>
    </w:tblStylePr>
    <w:tblStylePr w:type="lastRow">
      <w:rPr>
        <w:b/>
        <w:bCs/>
      </w:rPr>
      <w:tblPr/>
      <w:tcPr>
        <w:tcBorders>
          <w:top w:val="single" w:sz="18" w:space="0" w:color="A8DB4C" w:themeColor="accent1" w:themeTint="BF"/>
        </w:tcBorders>
      </w:tcPr>
    </w:tblStylePr>
    <w:tblStylePr w:type="firstCol">
      <w:rPr>
        <w:b/>
        <w:bCs/>
      </w:rPr>
    </w:tblStylePr>
    <w:tblStylePr w:type="lastCol">
      <w:rPr>
        <w:b/>
        <w:bCs/>
      </w:rPr>
    </w:tblStylePr>
    <w:tblStylePr w:type="band1Vert">
      <w:tblPr/>
      <w:tcPr>
        <w:shd w:val="clear" w:color="auto" w:fill="C5E788" w:themeFill="accent1" w:themeFillTint="7F"/>
      </w:tcPr>
    </w:tblStylePr>
    <w:tblStylePr w:type="band1Horz">
      <w:tblPr/>
      <w:tcPr>
        <w:shd w:val="clear" w:color="auto" w:fill="C5E788" w:themeFill="accent1" w:themeFillTint="7F"/>
      </w:tcPr>
    </w:tblStylePr>
  </w:style>
  <w:style w:type="table" w:styleId="MediumGrid1-Accent2">
    <w:name w:val="Medium Grid 1 Accent 2"/>
    <w:basedOn w:val="TableNormal"/>
    <w:uiPriority w:val="67"/>
    <w:rsid w:val="00F9113D"/>
    <w:pPr>
      <w:spacing w:line="240" w:lineRule="auto"/>
    </w:pPr>
    <w:tblPr>
      <w:tblStyleRowBandSize w:val="1"/>
      <w:tblStyleColBandSize w:val="1"/>
      <w:tbl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single" w:sz="8" w:space="0" w:color="07CA6B" w:themeColor="accent2" w:themeTint="BF"/>
        <w:insideV w:val="single" w:sz="8" w:space="0" w:color="07CA6B" w:themeColor="accent2" w:themeTint="BF"/>
      </w:tblBorders>
    </w:tblPr>
    <w:tcPr>
      <w:shd w:val="clear" w:color="auto" w:fill="9FFBCE" w:themeFill="accent2" w:themeFillTint="3F"/>
    </w:tcPr>
    <w:tblStylePr w:type="firstRow">
      <w:rPr>
        <w:b/>
        <w:bCs/>
      </w:rPr>
    </w:tblStylePr>
    <w:tblStylePr w:type="lastRow">
      <w:rPr>
        <w:b/>
        <w:bCs/>
      </w:rPr>
      <w:tblPr/>
      <w:tcPr>
        <w:tcBorders>
          <w:top w:val="single" w:sz="18" w:space="0" w:color="07CA6B" w:themeColor="accent2" w:themeTint="BF"/>
        </w:tcBorders>
      </w:tcPr>
    </w:tblStylePr>
    <w:tblStylePr w:type="firstCol">
      <w:rPr>
        <w:b/>
        <w:bCs/>
      </w:rPr>
    </w:tblStylePr>
    <w:tblStylePr w:type="lastCol">
      <w:rPr>
        <w:b/>
        <w:bCs/>
      </w:rPr>
    </w:tblStylePr>
    <w:tblStylePr w:type="band1Vert">
      <w:tblPr/>
      <w:tcPr>
        <w:shd w:val="clear" w:color="auto" w:fill="3EF79D" w:themeFill="accent2" w:themeFillTint="7F"/>
      </w:tcPr>
    </w:tblStylePr>
    <w:tblStylePr w:type="band1Horz">
      <w:tblPr/>
      <w:tcPr>
        <w:shd w:val="clear" w:color="auto" w:fill="3EF79D" w:themeFill="accent2" w:themeFillTint="7F"/>
      </w:tcPr>
    </w:tblStylePr>
  </w:style>
  <w:style w:type="table" w:styleId="MediumGrid1-Accent3">
    <w:name w:val="Medium Grid 1 Accent 3"/>
    <w:basedOn w:val="TableNormal"/>
    <w:uiPriority w:val="67"/>
    <w:rsid w:val="00F9113D"/>
    <w:pPr>
      <w:spacing w:line="240" w:lineRule="auto"/>
    </w:pPr>
    <w:tblPr>
      <w:tblStyleRowBandSize w:val="1"/>
      <w:tblStyleColBandSize w:val="1"/>
      <w:tbl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single" w:sz="8" w:space="0" w:color="89C7EB" w:themeColor="accent3" w:themeTint="BF"/>
        <w:insideV w:val="single" w:sz="8" w:space="0" w:color="89C7EB" w:themeColor="accent3" w:themeTint="BF"/>
      </w:tblBorders>
    </w:tblPr>
    <w:tcPr>
      <w:shd w:val="clear" w:color="auto" w:fill="D8ECF8" w:themeFill="accent3" w:themeFillTint="3F"/>
    </w:tcPr>
    <w:tblStylePr w:type="firstRow">
      <w:rPr>
        <w:b/>
        <w:bCs/>
      </w:rPr>
    </w:tblStylePr>
    <w:tblStylePr w:type="lastRow">
      <w:rPr>
        <w:b/>
        <w:bCs/>
      </w:rPr>
      <w:tblPr/>
      <w:tcPr>
        <w:tcBorders>
          <w:top w:val="single" w:sz="18" w:space="0" w:color="89C7EB" w:themeColor="accent3" w:themeTint="BF"/>
        </w:tcBorders>
      </w:tcPr>
    </w:tblStylePr>
    <w:tblStylePr w:type="firstCol">
      <w:rPr>
        <w:b/>
        <w:bCs/>
      </w:rPr>
    </w:tblStylePr>
    <w:tblStylePr w:type="lastCol">
      <w:rPr>
        <w:b/>
        <w:bCs/>
      </w:rPr>
    </w:tblStylePr>
    <w:tblStylePr w:type="band1Vert">
      <w:tblPr/>
      <w:tcPr>
        <w:shd w:val="clear" w:color="auto" w:fill="B0D9F2" w:themeFill="accent3" w:themeFillTint="7F"/>
      </w:tcPr>
    </w:tblStylePr>
    <w:tblStylePr w:type="band1Horz">
      <w:tblPr/>
      <w:tcPr>
        <w:shd w:val="clear" w:color="auto" w:fill="B0D9F2" w:themeFill="accent3" w:themeFillTint="7F"/>
      </w:tcPr>
    </w:tblStylePr>
  </w:style>
  <w:style w:type="table" w:styleId="MediumGrid1-Accent4">
    <w:name w:val="Medium Grid 1 Accent 4"/>
    <w:basedOn w:val="TableNormal"/>
    <w:uiPriority w:val="67"/>
    <w:rsid w:val="00F9113D"/>
    <w:pPr>
      <w:spacing w:line="240" w:lineRule="auto"/>
    </w:pPr>
    <w:tblPr>
      <w:tblStyleRowBandSize w:val="1"/>
      <w:tblStyleColBandSize w:val="1"/>
      <w:tbl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single" w:sz="8" w:space="0" w:color="0240CD" w:themeColor="accent4" w:themeTint="BF"/>
        <w:insideV w:val="single" w:sz="8" w:space="0" w:color="0240CD" w:themeColor="accent4" w:themeTint="BF"/>
      </w:tblBorders>
    </w:tblPr>
    <w:tcPr>
      <w:shd w:val="clear" w:color="auto" w:fill="9BB9FE" w:themeFill="accent4" w:themeFillTint="3F"/>
    </w:tcPr>
    <w:tblStylePr w:type="firstRow">
      <w:rPr>
        <w:b/>
        <w:bCs/>
      </w:rPr>
    </w:tblStylePr>
    <w:tblStylePr w:type="lastRow">
      <w:rPr>
        <w:b/>
        <w:bCs/>
      </w:rPr>
      <w:tblPr/>
      <w:tcPr>
        <w:tcBorders>
          <w:top w:val="single" w:sz="18" w:space="0" w:color="0240CD" w:themeColor="accent4" w:themeTint="BF"/>
        </w:tcBorders>
      </w:tcPr>
    </w:tblStylePr>
    <w:tblStylePr w:type="firstCol">
      <w:rPr>
        <w:b/>
        <w:bCs/>
      </w:rPr>
    </w:tblStylePr>
    <w:tblStylePr w:type="lastCol">
      <w:rPr>
        <w:b/>
        <w:bCs/>
      </w:rPr>
    </w:tblStylePr>
    <w:tblStylePr w:type="band1Vert">
      <w:tblPr/>
      <w:tcPr>
        <w:shd w:val="clear" w:color="auto" w:fill="3773FD" w:themeFill="accent4" w:themeFillTint="7F"/>
      </w:tcPr>
    </w:tblStylePr>
    <w:tblStylePr w:type="band1Horz">
      <w:tblPr/>
      <w:tcPr>
        <w:shd w:val="clear" w:color="auto" w:fill="3773FD" w:themeFill="accent4" w:themeFillTint="7F"/>
      </w:tcPr>
    </w:tblStylePr>
  </w:style>
  <w:style w:type="table" w:styleId="MediumGrid1-Accent5">
    <w:name w:val="Medium Grid 1 Accent 5"/>
    <w:basedOn w:val="TableNormal"/>
    <w:uiPriority w:val="67"/>
    <w:rsid w:val="00F9113D"/>
    <w:pPr>
      <w:spacing w:line="240" w:lineRule="auto"/>
    </w:pPr>
    <w:tblPr>
      <w:tblStyleRowBandSize w:val="1"/>
      <w:tblStyleColBandSize w:val="1"/>
      <w:tbl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single" w:sz="8" w:space="0" w:color="00E2FE" w:themeColor="accent5" w:themeTint="BF"/>
        <w:insideV w:val="single" w:sz="8" w:space="0" w:color="00E2FE" w:themeColor="accent5" w:themeTint="BF"/>
      </w:tblBorders>
    </w:tblPr>
    <w:tcPr>
      <w:shd w:val="clear" w:color="auto" w:fill="AAF5FF" w:themeFill="accent5" w:themeFillTint="3F"/>
    </w:tcPr>
    <w:tblStylePr w:type="firstRow">
      <w:rPr>
        <w:b/>
        <w:bCs/>
      </w:rPr>
    </w:tblStylePr>
    <w:tblStylePr w:type="lastRow">
      <w:rPr>
        <w:b/>
        <w:bCs/>
      </w:rPr>
      <w:tblPr/>
      <w:tcPr>
        <w:tcBorders>
          <w:top w:val="single" w:sz="18" w:space="0" w:color="00E2FE" w:themeColor="accent5" w:themeTint="BF"/>
        </w:tcBorders>
      </w:tcPr>
    </w:tblStylePr>
    <w:tblStylePr w:type="firstCol">
      <w:rPr>
        <w:b/>
        <w:bCs/>
      </w:rPr>
    </w:tblStylePr>
    <w:tblStylePr w:type="lastCol">
      <w:rPr>
        <w:b/>
        <w:bCs/>
      </w:rPr>
    </w:tblStylePr>
    <w:tblStylePr w:type="band1Vert">
      <w:tblPr/>
      <w:tcPr>
        <w:shd w:val="clear" w:color="auto" w:fill="55ECFF" w:themeFill="accent5" w:themeFillTint="7F"/>
      </w:tcPr>
    </w:tblStylePr>
    <w:tblStylePr w:type="band1Horz">
      <w:tblPr/>
      <w:tcPr>
        <w:shd w:val="clear" w:color="auto" w:fill="55ECFF" w:themeFill="accent5" w:themeFillTint="7F"/>
      </w:tcPr>
    </w:tblStylePr>
  </w:style>
  <w:style w:type="table" w:styleId="MediumGrid1-Accent6">
    <w:name w:val="Medium Grid 1 Accent 6"/>
    <w:basedOn w:val="TableNormal"/>
    <w:uiPriority w:val="67"/>
    <w:rsid w:val="00F9113D"/>
    <w:pPr>
      <w:spacing w:line="240" w:lineRule="auto"/>
    </w:pPr>
    <w:tblPr>
      <w:tblStyleRowBandSize w:val="1"/>
      <w:tblStyleColBandSize w:val="1"/>
      <w:tbl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single" w:sz="8" w:space="0" w:color="97999C" w:themeColor="accent6" w:themeTint="BF"/>
        <w:insideV w:val="single" w:sz="8" w:space="0" w:color="97999C" w:themeColor="accent6" w:themeTint="BF"/>
      </w:tblBorders>
    </w:tblPr>
    <w:tcPr>
      <w:shd w:val="clear" w:color="auto" w:fill="DCDDDE" w:themeFill="accent6" w:themeFillTint="3F"/>
    </w:tcPr>
    <w:tblStylePr w:type="firstRow">
      <w:rPr>
        <w:b/>
        <w:bCs/>
      </w:rPr>
    </w:tblStylePr>
    <w:tblStylePr w:type="lastRow">
      <w:rPr>
        <w:b/>
        <w:bCs/>
      </w:rPr>
      <w:tblPr/>
      <w:tcPr>
        <w:tcBorders>
          <w:top w:val="single" w:sz="18" w:space="0" w:color="97999C" w:themeColor="accent6" w:themeTint="BF"/>
        </w:tcBorders>
      </w:tcPr>
    </w:tblStylePr>
    <w:tblStylePr w:type="firstCol">
      <w:rPr>
        <w:b/>
        <w:bCs/>
      </w:rPr>
    </w:tblStylePr>
    <w:tblStylePr w:type="lastCol">
      <w:rPr>
        <w:b/>
        <w:bCs/>
      </w:rPr>
    </w:tblStylePr>
    <w:tblStylePr w:type="band1Vert">
      <w:tblPr/>
      <w:tcPr>
        <w:shd w:val="clear" w:color="auto" w:fill="B9BBBD" w:themeFill="accent6" w:themeFillTint="7F"/>
      </w:tcPr>
    </w:tblStylePr>
    <w:tblStylePr w:type="band1Horz">
      <w:tblPr/>
      <w:tcPr>
        <w:shd w:val="clear" w:color="auto" w:fill="B9BBBD" w:themeFill="accent6" w:themeFillTint="7F"/>
      </w:tcPr>
    </w:tblStylePr>
  </w:style>
  <w:style w:type="table" w:styleId="MediumGrid2">
    <w:name w:val="Medium Grid 2"/>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cPr>
      <w:shd w:val="clear" w:color="auto" w:fill="E2F3C3" w:themeFill="accent1" w:themeFillTint="3F"/>
    </w:tcPr>
    <w:tblStylePr w:type="firstRow">
      <w:rPr>
        <w:b/>
        <w:bCs/>
        <w:color w:val="000000" w:themeColor="text1"/>
      </w:rPr>
      <w:tblPr/>
      <w:tcPr>
        <w:shd w:val="clear" w:color="auto" w:fill="F3F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5CF" w:themeFill="accent1" w:themeFillTint="33"/>
      </w:tcPr>
    </w:tblStylePr>
    <w:tblStylePr w:type="band1Vert">
      <w:tblPr/>
      <w:tcPr>
        <w:shd w:val="clear" w:color="auto" w:fill="C5E788" w:themeFill="accent1" w:themeFillTint="7F"/>
      </w:tcPr>
    </w:tblStylePr>
    <w:tblStylePr w:type="band1Horz">
      <w:tblPr/>
      <w:tcPr>
        <w:tcBorders>
          <w:insideH w:val="single" w:sz="6" w:space="0" w:color="86BC25" w:themeColor="accent1"/>
          <w:insideV w:val="single" w:sz="6" w:space="0" w:color="86BC25" w:themeColor="accent1"/>
        </w:tcBorders>
        <w:shd w:val="clear" w:color="auto" w:fill="C5E7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insideH w:val="single" w:sz="8" w:space="0" w:color="046A38" w:themeColor="accent2"/>
        <w:insideV w:val="single" w:sz="8" w:space="0" w:color="046A38" w:themeColor="accent2"/>
      </w:tblBorders>
    </w:tblPr>
    <w:tcPr>
      <w:shd w:val="clear" w:color="auto" w:fill="9FFBCE" w:themeFill="accent2" w:themeFillTint="3F"/>
    </w:tcPr>
    <w:tblStylePr w:type="firstRow">
      <w:rPr>
        <w:b/>
        <w:bCs/>
        <w:color w:val="000000" w:themeColor="text1"/>
      </w:rPr>
      <w:tblPr/>
      <w:tcPr>
        <w:shd w:val="clear" w:color="auto" w:fill="D9FD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CD7" w:themeFill="accent2" w:themeFillTint="33"/>
      </w:tcPr>
    </w:tblStylePr>
    <w:tblStylePr w:type="band1Vert">
      <w:tblPr/>
      <w:tcPr>
        <w:shd w:val="clear" w:color="auto" w:fill="3EF79D" w:themeFill="accent2" w:themeFillTint="7F"/>
      </w:tcPr>
    </w:tblStylePr>
    <w:tblStylePr w:type="band1Horz">
      <w:tblPr/>
      <w:tcPr>
        <w:tcBorders>
          <w:insideH w:val="single" w:sz="6" w:space="0" w:color="046A38" w:themeColor="accent2"/>
          <w:insideV w:val="single" w:sz="6" w:space="0" w:color="046A38" w:themeColor="accent2"/>
        </w:tcBorders>
        <w:shd w:val="clear" w:color="auto" w:fill="3EF7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insideH w:val="single" w:sz="8" w:space="0" w:color="62B5E5" w:themeColor="accent3"/>
        <w:insideV w:val="single" w:sz="8" w:space="0" w:color="62B5E5" w:themeColor="accent3"/>
      </w:tblBorders>
    </w:tblPr>
    <w:tcPr>
      <w:shd w:val="clear" w:color="auto" w:fill="D8ECF8" w:themeFill="accent3" w:themeFillTint="3F"/>
    </w:tcPr>
    <w:tblStylePr w:type="firstRow">
      <w:rPr>
        <w:b/>
        <w:bCs/>
        <w:color w:val="000000" w:themeColor="text1"/>
      </w:rPr>
      <w:tblPr/>
      <w:tcPr>
        <w:shd w:val="clear" w:color="auto" w:fill="EFF7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F9" w:themeFill="accent3" w:themeFillTint="33"/>
      </w:tcPr>
    </w:tblStylePr>
    <w:tblStylePr w:type="band1Vert">
      <w:tblPr/>
      <w:tcPr>
        <w:shd w:val="clear" w:color="auto" w:fill="B0D9F2" w:themeFill="accent3" w:themeFillTint="7F"/>
      </w:tcPr>
    </w:tblStylePr>
    <w:tblStylePr w:type="band1Horz">
      <w:tblPr/>
      <w:tcPr>
        <w:tcBorders>
          <w:insideH w:val="single" w:sz="6" w:space="0" w:color="62B5E5" w:themeColor="accent3"/>
          <w:insideV w:val="single" w:sz="6" w:space="0" w:color="62B5E5" w:themeColor="accent3"/>
        </w:tcBorders>
        <w:shd w:val="clear" w:color="auto" w:fill="B0D9F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insideH w:val="single" w:sz="8" w:space="0" w:color="012169" w:themeColor="accent4"/>
        <w:insideV w:val="single" w:sz="8" w:space="0" w:color="012169" w:themeColor="accent4"/>
      </w:tblBorders>
    </w:tblPr>
    <w:tcPr>
      <w:shd w:val="clear" w:color="auto" w:fill="9BB9FE" w:themeFill="accent4" w:themeFillTint="3F"/>
    </w:tcPr>
    <w:tblStylePr w:type="firstRow">
      <w:rPr>
        <w:b/>
        <w:bCs/>
        <w:color w:val="000000" w:themeColor="text1"/>
      </w:rPr>
      <w:tblPr/>
      <w:tcPr>
        <w:shd w:val="clear" w:color="auto" w:fill="D7E3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EC7FE" w:themeFill="accent4" w:themeFillTint="33"/>
      </w:tcPr>
    </w:tblStylePr>
    <w:tblStylePr w:type="band1Vert">
      <w:tblPr/>
      <w:tcPr>
        <w:shd w:val="clear" w:color="auto" w:fill="3773FD" w:themeFill="accent4" w:themeFillTint="7F"/>
      </w:tcPr>
    </w:tblStylePr>
    <w:tblStylePr w:type="band1Horz">
      <w:tblPr/>
      <w:tcPr>
        <w:tcBorders>
          <w:insideH w:val="single" w:sz="6" w:space="0" w:color="012169" w:themeColor="accent4"/>
          <w:insideV w:val="single" w:sz="6" w:space="0" w:color="012169" w:themeColor="accent4"/>
        </w:tcBorders>
        <w:shd w:val="clear" w:color="auto" w:fill="3773F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insideH w:val="single" w:sz="8" w:space="0" w:color="0097A9" w:themeColor="accent5"/>
        <w:insideV w:val="single" w:sz="8" w:space="0" w:color="0097A9" w:themeColor="accent5"/>
      </w:tblBorders>
    </w:tblPr>
    <w:tcPr>
      <w:shd w:val="clear" w:color="auto" w:fill="AAF5FF" w:themeFill="accent5" w:themeFillTint="3F"/>
    </w:tcPr>
    <w:tblStylePr w:type="firstRow">
      <w:rPr>
        <w:b/>
        <w:bCs/>
        <w:color w:val="000000" w:themeColor="text1"/>
      </w:rPr>
      <w:tblPr/>
      <w:tcPr>
        <w:shd w:val="clear" w:color="auto" w:fill="DDFB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7FF" w:themeFill="accent5" w:themeFillTint="33"/>
      </w:tcPr>
    </w:tblStylePr>
    <w:tblStylePr w:type="band1Vert">
      <w:tblPr/>
      <w:tcPr>
        <w:shd w:val="clear" w:color="auto" w:fill="55ECFF" w:themeFill="accent5" w:themeFillTint="7F"/>
      </w:tcPr>
    </w:tblStylePr>
    <w:tblStylePr w:type="band1Horz">
      <w:tblPr/>
      <w:tcPr>
        <w:tcBorders>
          <w:insideH w:val="single" w:sz="6" w:space="0" w:color="0097A9" w:themeColor="accent5"/>
          <w:insideV w:val="single" w:sz="6" w:space="0" w:color="0097A9" w:themeColor="accent5"/>
        </w:tcBorders>
        <w:shd w:val="clear" w:color="auto" w:fill="55E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insideH w:val="single" w:sz="8" w:space="0" w:color="75787B" w:themeColor="accent6"/>
        <w:insideV w:val="single" w:sz="8" w:space="0" w:color="75787B" w:themeColor="accent6"/>
      </w:tblBorders>
    </w:tblPr>
    <w:tcPr>
      <w:shd w:val="clear" w:color="auto" w:fill="DCDDDE" w:themeFill="accent6" w:themeFillTint="3F"/>
    </w:tcPr>
    <w:tblStylePr w:type="firstRow">
      <w:rPr>
        <w:b/>
        <w:bCs/>
        <w:color w:val="000000" w:themeColor="text1"/>
      </w:rPr>
      <w:tblPr/>
      <w:tcPr>
        <w:shd w:val="clear" w:color="auto" w:fill="F1F1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6" w:themeFillTint="33"/>
      </w:tcPr>
    </w:tblStylePr>
    <w:tblStylePr w:type="band1Vert">
      <w:tblPr/>
      <w:tcPr>
        <w:shd w:val="clear" w:color="auto" w:fill="B9BBBD" w:themeFill="accent6" w:themeFillTint="7F"/>
      </w:tcPr>
    </w:tblStylePr>
    <w:tblStylePr w:type="band1Horz">
      <w:tblPr/>
      <w:tcPr>
        <w:tcBorders>
          <w:insideH w:val="single" w:sz="6" w:space="0" w:color="75787B" w:themeColor="accent6"/>
          <w:insideV w:val="single" w:sz="6" w:space="0" w:color="75787B" w:themeColor="accent6"/>
        </w:tcBorders>
        <w:shd w:val="clear" w:color="auto" w:fill="B9BBB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3C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C2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C2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C2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E7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E788" w:themeFill="accent1" w:themeFillTint="7F"/>
      </w:tcPr>
    </w:tblStylePr>
  </w:style>
  <w:style w:type="table" w:styleId="MediumGrid3-Accent2">
    <w:name w:val="Medium Grid 3 Accent 2"/>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F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A3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A3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A3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A3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EF7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EF79D" w:themeFill="accent2" w:themeFillTint="7F"/>
      </w:tcPr>
    </w:tblStylePr>
  </w:style>
  <w:style w:type="table" w:styleId="MediumGrid3-Accent3">
    <w:name w:val="Medium Grid 3 Accent 3"/>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C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B5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B5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B5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B5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9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9F2" w:themeFill="accent3" w:themeFillTint="7F"/>
      </w:tcPr>
    </w:tblStylePr>
  </w:style>
  <w:style w:type="table" w:styleId="MediumGrid3-Accent4">
    <w:name w:val="Medium Grid 3 Accent 4"/>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BB9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16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16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16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16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773F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773FD" w:themeFill="accent4" w:themeFillTint="7F"/>
      </w:tcPr>
    </w:tblStylePr>
  </w:style>
  <w:style w:type="table" w:styleId="MediumGrid3-Accent5">
    <w:name w:val="Medium Grid 3 Accent 5"/>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5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7A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7A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7A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E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ECFF" w:themeFill="accent5" w:themeFillTint="7F"/>
      </w:tcPr>
    </w:tblStylePr>
  </w:style>
  <w:style w:type="table" w:styleId="MediumGrid3-Accent6">
    <w:name w:val="Medium Grid 3 Accent 6"/>
    <w:basedOn w:val="TableNormal"/>
    <w:uiPriority w:val="69"/>
    <w:rsid w:val="00F9113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6" w:themeFillTint="7F"/>
      </w:tcPr>
    </w:tblStylePr>
  </w:style>
  <w:style w:type="table" w:styleId="MediumList1">
    <w:name w:val="Medium List 1"/>
    <w:basedOn w:val="TableNormal"/>
    <w:uiPriority w:val="65"/>
    <w:rsid w:val="00F9113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9113D"/>
    <w:pPr>
      <w:spacing w:line="240" w:lineRule="auto"/>
    </w:pPr>
    <w:rPr>
      <w:color w:val="000000" w:themeColor="text1"/>
    </w:rPr>
    <w:tblPr>
      <w:tblStyleRowBandSize w:val="1"/>
      <w:tblStyleColBandSize w:val="1"/>
      <w:tblBorders>
        <w:top w:val="single" w:sz="8" w:space="0" w:color="86BC25" w:themeColor="accent1"/>
        <w:bottom w:val="single" w:sz="8" w:space="0" w:color="86BC25" w:themeColor="accent1"/>
      </w:tblBorders>
    </w:tblPr>
    <w:tblStylePr w:type="firstRow">
      <w:rPr>
        <w:rFonts w:asciiTheme="majorHAnsi" w:eastAsiaTheme="majorEastAsia" w:hAnsiTheme="majorHAnsi" w:cstheme="majorBidi"/>
      </w:rPr>
      <w:tblPr/>
      <w:tcPr>
        <w:tcBorders>
          <w:top w:val="nil"/>
          <w:bottom w:val="single" w:sz="8" w:space="0" w:color="86BC25" w:themeColor="accent1"/>
        </w:tcBorders>
      </w:tcPr>
    </w:tblStylePr>
    <w:tblStylePr w:type="lastRow">
      <w:rPr>
        <w:b/>
        <w:bCs/>
        <w:color w:val="44546A" w:themeColor="text2"/>
      </w:rPr>
      <w:tblPr/>
      <w:tcPr>
        <w:tcBorders>
          <w:top w:val="single" w:sz="8" w:space="0" w:color="86BC25" w:themeColor="accent1"/>
          <w:bottom w:val="single" w:sz="8" w:space="0" w:color="86BC25" w:themeColor="accent1"/>
        </w:tcBorders>
      </w:tcPr>
    </w:tblStylePr>
    <w:tblStylePr w:type="firstCol">
      <w:rPr>
        <w:b/>
        <w:bCs/>
      </w:rPr>
    </w:tblStylePr>
    <w:tblStylePr w:type="lastCol">
      <w:rPr>
        <w:b/>
        <w:bCs/>
      </w:rPr>
      <w:tblPr/>
      <w:tcPr>
        <w:tcBorders>
          <w:top w:val="single" w:sz="8" w:space="0" w:color="86BC25" w:themeColor="accent1"/>
          <w:bottom w:val="single" w:sz="8" w:space="0" w:color="86BC25" w:themeColor="accent1"/>
        </w:tcBorders>
      </w:tcPr>
    </w:tblStylePr>
    <w:tblStylePr w:type="band1Vert">
      <w:tblPr/>
      <w:tcPr>
        <w:shd w:val="clear" w:color="auto" w:fill="E2F3C3" w:themeFill="accent1" w:themeFillTint="3F"/>
      </w:tcPr>
    </w:tblStylePr>
    <w:tblStylePr w:type="band1Horz">
      <w:tblPr/>
      <w:tcPr>
        <w:shd w:val="clear" w:color="auto" w:fill="E2F3C3" w:themeFill="accent1" w:themeFillTint="3F"/>
      </w:tcPr>
    </w:tblStylePr>
  </w:style>
  <w:style w:type="table" w:styleId="MediumList1-Accent2">
    <w:name w:val="Medium List 1 Accent 2"/>
    <w:basedOn w:val="TableNormal"/>
    <w:uiPriority w:val="65"/>
    <w:rsid w:val="00F9113D"/>
    <w:pPr>
      <w:spacing w:line="240" w:lineRule="auto"/>
    </w:pPr>
    <w:rPr>
      <w:color w:val="000000" w:themeColor="text1"/>
    </w:rPr>
    <w:tblPr>
      <w:tblStyleRowBandSize w:val="1"/>
      <w:tblStyleColBandSize w:val="1"/>
      <w:tblBorders>
        <w:top w:val="single" w:sz="8" w:space="0" w:color="046A38" w:themeColor="accent2"/>
        <w:bottom w:val="single" w:sz="8" w:space="0" w:color="046A38" w:themeColor="accent2"/>
      </w:tblBorders>
    </w:tblPr>
    <w:tblStylePr w:type="firstRow">
      <w:rPr>
        <w:rFonts w:asciiTheme="majorHAnsi" w:eastAsiaTheme="majorEastAsia" w:hAnsiTheme="majorHAnsi" w:cstheme="majorBidi"/>
      </w:rPr>
      <w:tblPr/>
      <w:tcPr>
        <w:tcBorders>
          <w:top w:val="nil"/>
          <w:bottom w:val="single" w:sz="8" w:space="0" w:color="046A38" w:themeColor="accent2"/>
        </w:tcBorders>
      </w:tcPr>
    </w:tblStylePr>
    <w:tblStylePr w:type="lastRow">
      <w:rPr>
        <w:b/>
        <w:bCs/>
        <w:color w:val="44546A" w:themeColor="text2"/>
      </w:rPr>
      <w:tblPr/>
      <w:tcPr>
        <w:tcBorders>
          <w:top w:val="single" w:sz="8" w:space="0" w:color="046A38" w:themeColor="accent2"/>
          <w:bottom w:val="single" w:sz="8" w:space="0" w:color="046A38" w:themeColor="accent2"/>
        </w:tcBorders>
      </w:tcPr>
    </w:tblStylePr>
    <w:tblStylePr w:type="firstCol">
      <w:rPr>
        <w:b/>
        <w:bCs/>
      </w:rPr>
    </w:tblStylePr>
    <w:tblStylePr w:type="lastCol">
      <w:rPr>
        <w:b/>
        <w:bCs/>
      </w:rPr>
      <w:tblPr/>
      <w:tcPr>
        <w:tcBorders>
          <w:top w:val="single" w:sz="8" w:space="0" w:color="046A38" w:themeColor="accent2"/>
          <w:bottom w:val="single" w:sz="8" w:space="0" w:color="046A38" w:themeColor="accent2"/>
        </w:tcBorders>
      </w:tcPr>
    </w:tblStylePr>
    <w:tblStylePr w:type="band1Vert">
      <w:tblPr/>
      <w:tcPr>
        <w:shd w:val="clear" w:color="auto" w:fill="9FFBCE" w:themeFill="accent2" w:themeFillTint="3F"/>
      </w:tcPr>
    </w:tblStylePr>
    <w:tblStylePr w:type="band1Horz">
      <w:tblPr/>
      <w:tcPr>
        <w:shd w:val="clear" w:color="auto" w:fill="9FFBCE" w:themeFill="accent2" w:themeFillTint="3F"/>
      </w:tcPr>
    </w:tblStylePr>
  </w:style>
  <w:style w:type="table" w:styleId="MediumList1-Accent3">
    <w:name w:val="Medium List 1 Accent 3"/>
    <w:basedOn w:val="TableNormal"/>
    <w:uiPriority w:val="65"/>
    <w:rsid w:val="00F9113D"/>
    <w:pPr>
      <w:spacing w:line="240" w:lineRule="auto"/>
    </w:pPr>
    <w:rPr>
      <w:color w:val="000000" w:themeColor="text1"/>
    </w:rPr>
    <w:tblPr>
      <w:tblStyleRowBandSize w:val="1"/>
      <w:tblStyleColBandSize w:val="1"/>
      <w:tblBorders>
        <w:top w:val="single" w:sz="8" w:space="0" w:color="62B5E5" w:themeColor="accent3"/>
        <w:bottom w:val="single" w:sz="8" w:space="0" w:color="62B5E5" w:themeColor="accent3"/>
      </w:tblBorders>
    </w:tblPr>
    <w:tblStylePr w:type="firstRow">
      <w:rPr>
        <w:rFonts w:asciiTheme="majorHAnsi" w:eastAsiaTheme="majorEastAsia" w:hAnsiTheme="majorHAnsi" w:cstheme="majorBidi"/>
      </w:rPr>
      <w:tblPr/>
      <w:tcPr>
        <w:tcBorders>
          <w:top w:val="nil"/>
          <w:bottom w:val="single" w:sz="8" w:space="0" w:color="62B5E5" w:themeColor="accent3"/>
        </w:tcBorders>
      </w:tcPr>
    </w:tblStylePr>
    <w:tblStylePr w:type="lastRow">
      <w:rPr>
        <w:b/>
        <w:bCs/>
        <w:color w:val="44546A" w:themeColor="text2"/>
      </w:rPr>
      <w:tblPr/>
      <w:tcPr>
        <w:tcBorders>
          <w:top w:val="single" w:sz="8" w:space="0" w:color="62B5E5" w:themeColor="accent3"/>
          <w:bottom w:val="single" w:sz="8" w:space="0" w:color="62B5E5" w:themeColor="accent3"/>
        </w:tcBorders>
      </w:tcPr>
    </w:tblStylePr>
    <w:tblStylePr w:type="firstCol">
      <w:rPr>
        <w:b/>
        <w:bCs/>
      </w:rPr>
    </w:tblStylePr>
    <w:tblStylePr w:type="lastCol">
      <w:rPr>
        <w:b/>
        <w:bCs/>
      </w:rPr>
      <w:tblPr/>
      <w:tcPr>
        <w:tcBorders>
          <w:top w:val="single" w:sz="8" w:space="0" w:color="62B5E5" w:themeColor="accent3"/>
          <w:bottom w:val="single" w:sz="8" w:space="0" w:color="62B5E5" w:themeColor="accent3"/>
        </w:tcBorders>
      </w:tcPr>
    </w:tblStylePr>
    <w:tblStylePr w:type="band1Vert">
      <w:tblPr/>
      <w:tcPr>
        <w:shd w:val="clear" w:color="auto" w:fill="D8ECF8" w:themeFill="accent3" w:themeFillTint="3F"/>
      </w:tcPr>
    </w:tblStylePr>
    <w:tblStylePr w:type="band1Horz">
      <w:tblPr/>
      <w:tcPr>
        <w:shd w:val="clear" w:color="auto" w:fill="D8ECF8" w:themeFill="accent3" w:themeFillTint="3F"/>
      </w:tcPr>
    </w:tblStylePr>
  </w:style>
  <w:style w:type="table" w:styleId="MediumList1-Accent4">
    <w:name w:val="Medium List 1 Accent 4"/>
    <w:basedOn w:val="TableNormal"/>
    <w:uiPriority w:val="65"/>
    <w:rsid w:val="00F9113D"/>
    <w:pPr>
      <w:spacing w:line="240" w:lineRule="auto"/>
    </w:pPr>
    <w:rPr>
      <w:color w:val="000000" w:themeColor="text1"/>
    </w:rPr>
    <w:tblPr>
      <w:tblStyleRowBandSize w:val="1"/>
      <w:tblStyleColBandSize w:val="1"/>
      <w:tblBorders>
        <w:top w:val="single" w:sz="8" w:space="0" w:color="012169" w:themeColor="accent4"/>
        <w:bottom w:val="single" w:sz="8" w:space="0" w:color="012169" w:themeColor="accent4"/>
      </w:tblBorders>
    </w:tblPr>
    <w:tblStylePr w:type="firstRow">
      <w:rPr>
        <w:rFonts w:asciiTheme="majorHAnsi" w:eastAsiaTheme="majorEastAsia" w:hAnsiTheme="majorHAnsi" w:cstheme="majorBidi"/>
      </w:rPr>
      <w:tblPr/>
      <w:tcPr>
        <w:tcBorders>
          <w:top w:val="nil"/>
          <w:bottom w:val="single" w:sz="8" w:space="0" w:color="012169" w:themeColor="accent4"/>
        </w:tcBorders>
      </w:tcPr>
    </w:tblStylePr>
    <w:tblStylePr w:type="lastRow">
      <w:rPr>
        <w:b/>
        <w:bCs/>
        <w:color w:val="44546A" w:themeColor="text2"/>
      </w:rPr>
      <w:tblPr/>
      <w:tcPr>
        <w:tcBorders>
          <w:top w:val="single" w:sz="8" w:space="0" w:color="012169" w:themeColor="accent4"/>
          <w:bottom w:val="single" w:sz="8" w:space="0" w:color="012169" w:themeColor="accent4"/>
        </w:tcBorders>
      </w:tcPr>
    </w:tblStylePr>
    <w:tblStylePr w:type="firstCol">
      <w:rPr>
        <w:b/>
        <w:bCs/>
      </w:rPr>
    </w:tblStylePr>
    <w:tblStylePr w:type="lastCol">
      <w:rPr>
        <w:b/>
        <w:bCs/>
      </w:rPr>
      <w:tblPr/>
      <w:tcPr>
        <w:tcBorders>
          <w:top w:val="single" w:sz="8" w:space="0" w:color="012169" w:themeColor="accent4"/>
          <w:bottom w:val="single" w:sz="8" w:space="0" w:color="012169" w:themeColor="accent4"/>
        </w:tcBorders>
      </w:tcPr>
    </w:tblStylePr>
    <w:tblStylePr w:type="band1Vert">
      <w:tblPr/>
      <w:tcPr>
        <w:shd w:val="clear" w:color="auto" w:fill="9BB9FE" w:themeFill="accent4" w:themeFillTint="3F"/>
      </w:tcPr>
    </w:tblStylePr>
    <w:tblStylePr w:type="band1Horz">
      <w:tblPr/>
      <w:tcPr>
        <w:shd w:val="clear" w:color="auto" w:fill="9BB9FE" w:themeFill="accent4" w:themeFillTint="3F"/>
      </w:tcPr>
    </w:tblStylePr>
  </w:style>
  <w:style w:type="table" w:styleId="MediumList1-Accent5">
    <w:name w:val="Medium List 1 Accent 5"/>
    <w:basedOn w:val="TableNormal"/>
    <w:uiPriority w:val="65"/>
    <w:rsid w:val="00F9113D"/>
    <w:pPr>
      <w:spacing w:line="240" w:lineRule="auto"/>
    </w:pPr>
    <w:rPr>
      <w:color w:val="000000" w:themeColor="text1"/>
    </w:rPr>
    <w:tblPr>
      <w:tblStyleRowBandSize w:val="1"/>
      <w:tblStyleColBandSize w:val="1"/>
      <w:tblBorders>
        <w:top w:val="single" w:sz="8" w:space="0" w:color="0097A9" w:themeColor="accent5"/>
        <w:bottom w:val="single" w:sz="8" w:space="0" w:color="0097A9" w:themeColor="accent5"/>
      </w:tblBorders>
    </w:tblPr>
    <w:tblStylePr w:type="firstRow">
      <w:rPr>
        <w:rFonts w:asciiTheme="majorHAnsi" w:eastAsiaTheme="majorEastAsia" w:hAnsiTheme="majorHAnsi" w:cstheme="majorBidi"/>
      </w:rPr>
      <w:tblPr/>
      <w:tcPr>
        <w:tcBorders>
          <w:top w:val="nil"/>
          <w:bottom w:val="single" w:sz="8" w:space="0" w:color="0097A9" w:themeColor="accent5"/>
        </w:tcBorders>
      </w:tcPr>
    </w:tblStylePr>
    <w:tblStylePr w:type="lastRow">
      <w:rPr>
        <w:b/>
        <w:bCs/>
        <w:color w:val="44546A" w:themeColor="text2"/>
      </w:rPr>
      <w:tblPr/>
      <w:tcPr>
        <w:tcBorders>
          <w:top w:val="single" w:sz="8" w:space="0" w:color="0097A9" w:themeColor="accent5"/>
          <w:bottom w:val="single" w:sz="8" w:space="0" w:color="0097A9" w:themeColor="accent5"/>
        </w:tcBorders>
      </w:tcPr>
    </w:tblStylePr>
    <w:tblStylePr w:type="firstCol">
      <w:rPr>
        <w:b/>
        <w:bCs/>
      </w:rPr>
    </w:tblStylePr>
    <w:tblStylePr w:type="lastCol">
      <w:rPr>
        <w:b/>
        <w:bCs/>
      </w:rPr>
      <w:tblPr/>
      <w:tcPr>
        <w:tcBorders>
          <w:top w:val="single" w:sz="8" w:space="0" w:color="0097A9" w:themeColor="accent5"/>
          <w:bottom w:val="single" w:sz="8" w:space="0" w:color="0097A9" w:themeColor="accent5"/>
        </w:tcBorders>
      </w:tcPr>
    </w:tblStylePr>
    <w:tblStylePr w:type="band1Vert">
      <w:tblPr/>
      <w:tcPr>
        <w:shd w:val="clear" w:color="auto" w:fill="AAF5FF" w:themeFill="accent5" w:themeFillTint="3F"/>
      </w:tcPr>
    </w:tblStylePr>
    <w:tblStylePr w:type="band1Horz">
      <w:tblPr/>
      <w:tcPr>
        <w:shd w:val="clear" w:color="auto" w:fill="AAF5FF" w:themeFill="accent5" w:themeFillTint="3F"/>
      </w:tcPr>
    </w:tblStylePr>
  </w:style>
  <w:style w:type="table" w:styleId="MediumList1-Accent6">
    <w:name w:val="Medium List 1 Accent 6"/>
    <w:basedOn w:val="TableNormal"/>
    <w:uiPriority w:val="65"/>
    <w:rsid w:val="00F9113D"/>
    <w:pPr>
      <w:spacing w:line="240" w:lineRule="auto"/>
    </w:pPr>
    <w:rPr>
      <w:color w:val="000000" w:themeColor="text1"/>
    </w:rPr>
    <w:tblPr>
      <w:tblStyleRowBandSize w:val="1"/>
      <w:tblStyleColBandSize w:val="1"/>
      <w:tblBorders>
        <w:top w:val="single" w:sz="8" w:space="0" w:color="75787B" w:themeColor="accent6"/>
        <w:bottom w:val="single" w:sz="8" w:space="0" w:color="75787B" w:themeColor="accent6"/>
      </w:tblBorders>
    </w:tblPr>
    <w:tblStylePr w:type="firstRow">
      <w:rPr>
        <w:rFonts w:asciiTheme="majorHAnsi" w:eastAsiaTheme="majorEastAsia" w:hAnsiTheme="majorHAnsi" w:cstheme="majorBidi"/>
      </w:rPr>
      <w:tblPr/>
      <w:tcPr>
        <w:tcBorders>
          <w:top w:val="nil"/>
          <w:bottom w:val="single" w:sz="8" w:space="0" w:color="75787B" w:themeColor="accent6"/>
        </w:tcBorders>
      </w:tcPr>
    </w:tblStylePr>
    <w:tblStylePr w:type="lastRow">
      <w:rPr>
        <w:b/>
        <w:bCs/>
        <w:color w:val="44546A" w:themeColor="text2"/>
      </w:rPr>
      <w:tblPr/>
      <w:tcPr>
        <w:tcBorders>
          <w:top w:val="single" w:sz="8" w:space="0" w:color="75787B" w:themeColor="accent6"/>
          <w:bottom w:val="single" w:sz="8" w:space="0" w:color="75787B" w:themeColor="accent6"/>
        </w:tcBorders>
      </w:tcPr>
    </w:tblStylePr>
    <w:tblStylePr w:type="firstCol">
      <w:rPr>
        <w:b/>
        <w:bCs/>
      </w:rPr>
    </w:tblStylePr>
    <w:tblStylePr w:type="lastCol">
      <w:rPr>
        <w:b/>
        <w:bCs/>
      </w:rPr>
      <w:tblPr/>
      <w:tcPr>
        <w:tcBorders>
          <w:top w:val="single" w:sz="8" w:space="0" w:color="75787B" w:themeColor="accent6"/>
          <w:bottom w:val="single" w:sz="8" w:space="0" w:color="75787B" w:themeColor="accent6"/>
        </w:tcBorders>
      </w:tcPr>
    </w:tblStylePr>
    <w:tblStylePr w:type="band1Vert">
      <w:tblPr/>
      <w:tcPr>
        <w:shd w:val="clear" w:color="auto" w:fill="DCDDDE" w:themeFill="accent6" w:themeFillTint="3F"/>
      </w:tcPr>
    </w:tblStylePr>
    <w:tblStylePr w:type="band1Horz">
      <w:tblPr/>
      <w:tcPr>
        <w:shd w:val="clear" w:color="auto" w:fill="DCDDDE" w:themeFill="accent6" w:themeFillTint="3F"/>
      </w:tcPr>
    </w:tblStylePr>
  </w:style>
  <w:style w:type="table" w:styleId="MediumList2">
    <w:name w:val="Medium List 2"/>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rPr>
        <w:sz w:val="24"/>
        <w:szCs w:val="24"/>
      </w:rPr>
      <w:tblPr/>
      <w:tcPr>
        <w:tcBorders>
          <w:top w:val="nil"/>
          <w:left w:val="nil"/>
          <w:bottom w:val="single" w:sz="24" w:space="0" w:color="86BC25" w:themeColor="accent1"/>
          <w:right w:val="nil"/>
          <w:insideH w:val="nil"/>
          <w:insideV w:val="nil"/>
        </w:tcBorders>
        <w:shd w:val="clear" w:color="auto" w:fill="FFFFFF" w:themeFill="background1"/>
      </w:tcPr>
    </w:tblStylePr>
    <w:tblStylePr w:type="lastRow">
      <w:tblPr/>
      <w:tcPr>
        <w:tcBorders>
          <w:top w:val="single" w:sz="8" w:space="0" w:color="86BC2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BC25" w:themeColor="accent1"/>
          <w:insideH w:val="nil"/>
          <w:insideV w:val="nil"/>
        </w:tcBorders>
        <w:shd w:val="clear" w:color="auto" w:fill="FFFFFF" w:themeFill="background1"/>
      </w:tcPr>
    </w:tblStylePr>
    <w:tblStylePr w:type="lastCol">
      <w:tblPr/>
      <w:tcPr>
        <w:tcBorders>
          <w:top w:val="nil"/>
          <w:left w:val="single" w:sz="8" w:space="0" w:color="86BC2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top w:val="nil"/>
          <w:bottom w:val="nil"/>
          <w:insideH w:val="nil"/>
          <w:insideV w:val="nil"/>
        </w:tcBorders>
        <w:shd w:val="clear" w:color="auto" w:fill="E2F3C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6A38" w:themeColor="accent2"/>
        <w:left w:val="single" w:sz="8" w:space="0" w:color="046A38" w:themeColor="accent2"/>
        <w:bottom w:val="single" w:sz="8" w:space="0" w:color="046A38" w:themeColor="accent2"/>
        <w:right w:val="single" w:sz="8" w:space="0" w:color="046A38" w:themeColor="accent2"/>
      </w:tblBorders>
    </w:tblPr>
    <w:tblStylePr w:type="firstRow">
      <w:rPr>
        <w:sz w:val="24"/>
        <w:szCs w:val="24"/>
      </w:rPr>
      <w:tblPr/>
      <w:tcPr>
        <w:tcBorders>
          <w:top w:val="nil"/>
          <w:left w:val="nil"/>
          <w:bottom w:val="single" w:sz="24" w:space="0" w:color="046A38" w:themeColor="accent2"/>
          <w:right w:val="nil"/>
          <w:insideH w:val="nil"/>
          <w:insideV w:val="nil"/>
        </w:tcBorders>
        <w:shd w:val="clear" w:color="auto" w:fill="FFFFFF" w:themeFill="background1"/>
      </w:tcPr>
    </w:tblStylePr>
    <w:tblStylePr w:type="lastRow">
      <w:tblPr/>
      <w:tcPr>
        <w:tcBorders>
          <w:top w:val="single" w:sz="8" w:space="0" w:color="046A3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A38" w:themeColor="accent2"/>
          <w:insideH w:val="nil"/>
          <w:insideV w:val="nil"/>
        </w:tcBorders>
        <w:shd w:val="clear" w:color="auto" w:fill="FFFFFF" w:themeFill="background1"/>
      </w:tcPr>
    </w:tblStylePr>
    <w:tblStylePr w:type="lastCol">
      <w:tblPr/>
      <w:tcPr>
        <w:tcBorders>
          <w:top w:val="nil"/>
          <w:left w:val="single" w:sz="8" w:space="0" w:color="046A3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FBCE" w:themeFill="accent2" w:themeFillTint="3F"/>
      </w:tcPr>
    </w:tblStylePr>
    <w:tblStylePr w:type="band1Horz">
      <w:tblPr/>
      <w:tcPr>
        <w:tcBorders>
          <w:top w:val="nil"/>
          <w:bottom w:val="nil"/>
          <w:insideH w:val="nil"/>
          <w:insideV w:val="nil"/>
        </w:tcBorders>
        <w:shd w:val="clear" w:color="auto" w:fill="9FF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rPr>
        <w:sz w:val="24"/>
        <w:szCs w:val="24"/>
      </w:rPr>
      <w:tblPr/>
      <w:tcPr>
        <w:tcBorders>
          <w:top w:val="nil"/>
          <w:left w:val="nil"/>
          <w:bottom w:val="single" w:sz="24" w:space="0" w:color="62B5E5" w:themeColor="accent3"/>
          <w:right w:val="nil"/>
          <w:insideH w:val="nil"/>
          <w:insideV w:val="nil"/>
        </w:tcBorders>
        <w:shd w:val="clear" w:color="auto" w:fill="FFFFFF" w:themeFill="background1"/>
      </w:tcPr>
    </w:tblStylePr>
    <w:tblStylePr w:type="lastRow">
      <w:tblPr/>
      <w:tcPr>
        <w:tcBorders>
          <w:top w:val="single" w:sz="8" w:space="0" w:color="62B5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B5E5" w:themeColor="accent3"/>
          <w:insideH w:val="nil"/>
          <w:insideV w:val="nil"/>
        </w:tcBorders>
        <w:shd w:val="clear" w:color="auto" w:fill="FFFFFF" w:themeFill="background1"/>
      </w:tcPr>
    </w:tblStylePr>
    <w:tblStylePr w:type="lastCol">
      <w:tblPr/>
      <w:tcPr>
        <w:tcBorders>
          <w:top w:val="nil"/>
          <w:left w:val="single" w:sz="8" w:space="0" w:color="62B5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CF8" w:themeFill="accent3" w:themeFillTint="3F"/>
      </w:tcPr>
    </w:tblStylePr>
    <w:tblStylePr w:type="band1Horz">
      <w:tblPr/>
      <w:tcPr>
        <w:tcBorders>
          <w:top w:val="nil"/>
          <w:bottom w:val="nil"/>
          <w:insideH w:val="nil"/>
          <w:insideV w:val="nil"/>
        </w:tcBorders>
        <w:shd w:val="clear" w:color="auto" w:fill="D8EC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12169" w:themeColor="accent4"/>
        <w:left w:val="single" w:sz="8" w:space="0" w:color="012169" w:themeColor="accent4"/>
        <w:bottom w:val="single" w:sz="8" w:space="0" w:color="012169" w:themeColor="accent4"/>
        <w:right w:val="single" w:sz="8" w:space="0" w:color="012169" w:themeColor="accent4"/>
      </w:tblBorders>
    </w:tblPr>
    <w:tblStylePr w:type="firstRow">
      <w:rPr>
        <w:sz w:val="24"/>
        <w:szCs w:val="24"/>
      </w:rPr>
      <w:tblPr/>
      <w:tcPr>
        <w:tcBorders>
          <w:top w:val="nil"/>
          <w:left w:val="nil"/>
          <w:bottom w:val="single" w:sz="24" w:space="0" w:color="012169" w:themeColor="accent4"/>
          <w:right w:val="nil"/>
          <w:insideH w:val="nil"/>
          <w:insideV w:val="nil"/>
        </w:tcBorders>
        <w:shd w:val="clear" w:color="auto" w:fill="FFFFFF" w:themeFill="background1"/>
      </w:tcPr>
    </w:tblStylePr>
    <w:tblStylePr w:type="lastRow">
      <w:tblPr/>
      <w:tcPr>
        <w:tcBorders>
          <w:top w:val="single" w:sz="8" w:space="0" w:color="01216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169" w:themeColor="accent4"/>
          <w:insideH w:val="nil"/>
          <w:insideV w:val="nil"/>
        </w:tcBorders>
        <w:shd w:val="clear" w:color="auto" w:fill="FFFFFF" w:themeFill="background1"/>
      </w:tcPr>
    </w:tblStylePr>
    <w:tblStylePr w:type="lastCol">
      <w:tblPr/>
      <w:tcPr>
        <w:tcBorders>
          <w:top w:val="nil"/>
          <w:left w:val="single" w:sz="8" w:space="0" w:color="01216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BB9FE" w:themeFill="accent4" w:themeFillTint="3F"/>
      </w:tcPr>
    </w:tblStylePr>
    <w:tblStylePr w:type="band1Horz">
      <w:tblPr/>
      <w:tcPr>
        <w:tcBorders>
          <w:top w:val="nil"/>
          <w:bottom w:val="nil"/>
          <w:insideH w:val="nil"/>
          <w:insideV w:val="nil"/>
        </w:tcBorders>
        <w:shd w:val="clear" w:color="auto" w:fill="9BB9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7A9" w:themeColor="accent5"/>
        <w:left w:val="single" w:sz="8" w:space="0" w:color="0097A9" w:themeColor="accent5"/>
        <w:bottom w:val="single" w:sz="8" w:space="0" w:color="0097A9" w:themeColor="accent5"/>
        <w:right w:val="single" w:sz="8" w:space="0" w:color="0097A9" w:themeColor="accent5"/>
      </w:tblBorders>
    </w:tblPr>
    <w:tblStylePr w:type="firstRow">
      <w:rPr>
        <w:sz w:val="24"/>
        <w:szCs w:val="24"/>
      </w:rPr>
      <w:tblPr/>
      <w:tcPr>
        <w:tcBorders>
          <w:top w:val="nil"/>
          <w:left w:val="nil"/>
          <w:bottom w:val="single" w:sz="24" w:space="0" w:color="0097A9" w:themeColor="accent5"/>
          <w:right w:val="nil"/>
          <w:insideH w:val="nil"/>
          <w:insideV w:val="nil"/>
        </w:tcBorders>
        <w:shd w:val="clear" w:color="auto" w:fill="FFFFFF" w:themeFill="background1"/>
      </w:tcPr>
    </w:tblStylePr>
    <w:tblStylePr w:type="lastRow">
      <w:tblPr/>
      <w:tcPr>
        <w:tcBorders>
          <w:top w:val="single" w:sz="8" w:space="0" w:color="0097A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7A9" w:themeColor="accent5"/>
          <w:insideH w:val="nil"/>
          <w:insideV w:val="nil"/>
        </w:tcBorders>
        <w:shd w:val="clear" w:color="auto" w:fill="FFFFFF" w:themeFill="background1"/>
      </w:tcPr>
    </w:tblStylePr>
    <w:tblStylePr w:type="lastCol">
      <w:tblPr/>
      <w:tcPr>
        <w:tcBorders>
          <w:top w:val="nil"/>
          <w:left w:val="single" w:sz="8" w:space="0" w:color="0097A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5FF" w:themeFill="accent5" w:themeFillTint="3F"/>
      </w:tcPr>
    </w:tblStylePr>
    <w:tblStylePr w:type="band1Horz">
      <w:tblPr/>
      <w:tcPr>
        <w:tcBorders>
          <w:top w:val="nil"/>
          <w:bottom w:val="nil"/>
          <w:insideH w:val="nil"/>
          <w:insideV w:val="nil"/>
        </w:tcBorders>
        <w:shd w:val="clear" w:color="auto" w:fill="AAF5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9113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6"/>
        <w:left w:val="single" w:sz="8" w:space="0" w:color="75787B" w:themeColor="accent6"/>
        <w:bottom w:val="single" w:sz="8" w:space="0" w:color="75787B" w:themeColor="accent6"/>
        <w:right w:val="single" w:sz="8" w:space="0" w:color="75787B" w:themeColor="accent6"/>
      </w:tblBorders>
    </w:tblPr>
    <w:tblStylePr w:type="firstRow">
      <w:rPr>
        <w:sz w:val="24"/>
        <w:szCs w:val="24"/>
      </w:rPr>
      <w:tblPr/>
      <w:tcPr>
        <w:tcBorders>
          <w:top w:val="nil"/>
          <w:left w:val="nil"/>
          <w:bottom w:val="single" w:sz="24" w:space="0" w:color="75787B" w:themeColor="accent6"/>
          <w:right w:val="nil"/>
          <w:insideH w:val="nil"/>
          <w:insideV w:val="nil"/>
        </w:tcBorders>
        <w:shd w:val="clear" w:color="auto" w:fill="FFFFFF" w:themeFill="background1"/>
      </w:tcPr>
    </w:tblStylePr>
    <w:tblStylePr w:type="lastRow">
      <w:tblPr/>
      <w:tcPr>
        <w:tcBorders>
          <w:top w:val="single" w:sz="8" w:space="0" w:color="75787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6"/>
          <w:insideH w:val="nil"/>
          <w:insideV w:val="nil"/>
        </w:tcBorders>
        <w:shd w:val="clear" w:color="auto" w:fill="FFFFFF" w:themeFill="background1"/>
      </w:tcPr>
    </w:tblStylePr>
    <w:tblStylePr w:type="lastCol">
      <w:tblPr/>
      <w:tcPr>
        <w:tcBorders>
          <w:top w:val="nil"/>
          <w:left w:val="single" w:sz="8" w:space="0" w:color="75787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top w:val="nil"/>
          <w:bottom w:val="nil"/>
          <w:insideH w:val="nil"/>
          <w:insideV w:val="nil"/>
        </w:tcBorders>
        <w:shd w:val="clear" w:color="auto" w:fill="DCDDD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9113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9113D"/>
    <w:pPr>
      <w:spacing w:line="240" w:lineRule="auto"/>
    </w:pPr>
    <w:tblPr>
      <w:tblStyleRowBandSize w:val="1"/>
      <w:tblStyleColBandSize w:val="1"/>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tblBorders>
    </w:tblPr>
    <w:tblStylePr w:type="firstRow">
      <w:pPr>
        <w:spacing w:before="0" w:after="0" w:line="240" w:lineRule="auto"/>
      </w:pPr>
      <w:rPr>
        <w:b/>
        <w:bCs/>
        <w:color w:val="FFFFFF" w:themeColor="background1"/>
      </w:rPr>
      <w:tblPr/>
      <w:tcPr>
        <w:tc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shd w:val="clear" w:color="auto" w:fill="86BC25" w:themeFill="accent1"/>
      </w:tcPr>
    </w:tblStylePr>
    <w:tblStylePr w:type="lastRow">
      <w:pPr>
        <w:spacing w:before="0" w:after="0" w:line="240" w:lineRule="auto"/>
      </w:pPr>
      <w:rPr>
        <w:b/>
        <w:bCs/>
      </w:rPr>
      <w:tblPr/>
      <w:tcPr>
        <w:tcBorders>
          <w:top w:val="double" w:sz="6"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1" w:themeFillTint="3F"/>
      </w:tcPr>
    </w:tblStylePr>
    <w:tblStylePr w:type="band1Horz">
      <w:tblPr/>
      <w:tcPr>
        <w:tcBorders>
          <w:insideH w:val="nil"/>
          <w:insideV w:val="nil"/>
        </w:tcBorders>
        <w:shd w:val="clear" w:color="auto" w:fill="E2F3C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9113D"/>
    <w:pPr>
      <w:spacing w:line="240" w:lineRule="auto"/>
    </w:pPr>
    <w:tblPr>
      <w:tblStyleRowBandSize w:val="1"/>
      <w:tblStyleColBandSize w:val="1"/>
      <w:tbl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single" w:sz="8" w:space="0" w:color="07CA6B" w:themeColor="accent2" w:themeTint="BF"/>
      </w:tblBorders>
    </w:tblPr>
    <w:tblStylePr w:type="firstRow">
      <w:pPr>
        <w:spacing w:before="0" w:after="0" w:line="240" w:lineRule="auto"/>
      </w:pPr>
      <w:rPr>
        <w:b/>
        <w:bCs/>
        <w:color w:val="FFFFFF" w:themeColor="background1"/>
      </w:rPr>
      <w:tblPr/>
      <w:tcPr>
        <w:tcBorders>
          <w:top w:val="single" w:sz="8"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shd w:val="clear" w:color="auto" w:fill="046A38" w:themeFill="accent2"/>
      </w:tcPr>
    </w:tblStylePr>
    <w:tblStylePr w:type="lastRow">
      <w:pPr>
        <w:spacing w:before="0" w:after="0" w:line="240" w:lineRule="auto"/>
      </w:pPr>
      <w:rPr>
        <w:b/>
        <w:bCs/>
      </w:rPr>
      <w:tblPr/>
      <w:tcPr>
        <w:tcBorders>
          <w:top w:val="double" w:sz="6" w:space="0" w:color="07CA6B" w:themeColor="accent2" w:themeTint="BF"/>
          <w:left w:val="single" w:sz="8" w:space="0" w:color="07CA6B" w:themeColor="accent2" w:themeTint="BF"/>
          <w:bottom w:val="single" w:sz="8" w:space="0" w:color="07CA6B" w:themeColor="accent2" w:themeTint="BF"/>
          <w:right w:val="single" w:sz="8" w:space="0" w:color="07CA6B" w:themeColor="accent2" w:themeTint="BF"/>
          <w:insideH w:val="nil"/>
          <w:insideV w:val="nil"/>
        </w:tcBorders>
      </w:tcPr>
    </w:tblStylePr>
    <w:tblStylePr w:type="firstCol">
      <w:rPr>
        <w:b/>
        <w:bCs/>
      </w:rPr>
    </w:tblStylePr>
    <w:tblStylePr w:type="lastCol">
      <w:rPr>
        <w:b/>
        <w:bCs/>
      </w:rPr>
    </w:tblStylePr>
    <w:tblStylePr w:type="band1Vert">
      <w:tblPr/>
      <w:tcPr>
        <w:shd w:val="clear" w:color="auto" w:fill="9FFBCE" w:themeFill="accent2" w:themeFillTint="3F"/>
      </w:tcPr>
    </w:tblStylePr>
    <w:tblStylePr w:type="band1Horz">
      <w:tblPr/>
      <w:tcPr>
        <w:tcBorders>
          <w:insideH w:val="nil"/>
          <w:insideV w:val="nil"/>
        </w:tcBorders>
        <w:shd w:val="clear" w:color="auto" w:fill="9FF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9113D"/>
    <w:pPr>
      <w:spacing w:line="240" w:lineRule="auto"/>
    </w:pPr>
    <w:tblPr>
      <w:tblStyleRowBandSize w:val="1"/>
      <w:tblStyleColBandSize w:val="1"/>
      <w:tbl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single" w:sz="8" w:space="0" w:color="89C7EB" w:themeColor="accent3" w:themeTint="BF"/>
      </w:tblBorders>
    </w:tblPr>
    <w:tblStylePr w:type="firstRow">
      <w:pPr>
        <w:spacing w:before="0" w:after="0" w:line="240" w:lineRule="auto"/>
      </w:pPr>
      <w:rPr>
        <w:b/>
        <w:bCs/>
        <w:color w:val="FFFFFF" w:themeColor="background1"/>
      </w:rPr>
      <w:tblPr/>
      <w:tcPr>
        <w:tcBorders>
          <w:top w:val="single" w:sz="8"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nil"/>
          <w:insideV w:val="nil"/>
        </w:tcBorders>
        <w:shd w:val="clear" w:color="auto" w:fill="62B5E5" w:themeFill="accent3"/>
      </w:tcPr>
    </w:tblStylePr>
    <w:tblStylePr w:type="lastRow">
      <w:pPr>
        <w:spacing w:before="0" w:after="0" w:line="240" w:lineRule="auto"/>
      </w:pPr>
      <w:rPr>
        <w:b/>
        <w:bCs/>
      </w:rPr>
      <w:tblPr/>
      <w:tcPr>
        <w:tcBorders>
          <w:top w:val="double" w:sz="6" w:space="0" w:color="89C7EB" w:themeColor="accent3" w:themeTint="BF"/>
          <w:left w:val="single" w:sz="8" w:space="0" w:color="89C7EB" w:themeColor="accent3" w:themeTint="BF"/>
          <w:bottom w:val="single" w:sz="8" w:space="0" w:color="89C7EB" w:themeColor="accent3" w:themeTint="BF"/>
          <w:right w:val="single" w:sz="8" w:space="0" w:color="89C7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ECF8" w:themeFill="accent3" w:themeFillTint="3F"/>
      </w:tcPr>
    </w:tblStylePr>
    <w:tblStylePr w:type="band1Horz">
      <w:tblPr/>
      <w:tcPr>
        <w:tcBorders>
          <w:insideH w:val="nil"/>
          <w:insideV w:val="nil"/>
        </w:tcBorders>
        <w:shd w:val="clear" w:color="auto" w:fill="D8EC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9113D"/>
    <w:pPr>
      <w:spacing w:line="240" w:lineRule="auto"/>
    </w:pPr>
    <w:tblPr>
      <w:tblStyleRowBandSize w:val="1"/>
      <w:tblStyleColBandSize w:val="1"/>
      <w:tbl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single" w:sz="8" w:space="0" w:color="0240CD" w:themeColor="accent4" w:themeTint="BF"/>
      </w:tblBorders>
    </w:tblPr>
    <w:tblStylePr w:type="firstRow">
      <w:pPr>
        <w:spacing w:before="0" w:after="0" w:line="240" w:lineRule="auto"/>
      </w:pPr>
      <w:rPr>
        <w:b/>
        <w:bCs/>
        <w:color w:val="FFFFFF" w:themeColor="background1"/>
      </w:rPr>
      <w:tblPr/>
      <w:tcPr>
        <w:tcBorders>
          <w:top w:val="single" w:sz="8"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nil"/>
          <w:insideV w:val="nil"/>
        </w:tcBorders>
        <w:shd w:val="clear" w:color="auto" w:fill="012169" w:themeFill="accent4"/>
      </w:tcPr>
    </w:tblStylePr>
    <w:tblStylePr w:type="lastRow">
      <w:pPr>
        <w:spacing w:before="0" w:after="0" w:line="240" w:lineRule="auto"/>
      </w:pPr>
      <w:rPr>
        <w:b/>
        <w:bCs/>
      </w:rPr>
      <w:tblPr/>
      <w:tcPr>
        <w:tcBorders>
          <w:top w:val="double" w:sz="6" w:space="0" w:color="0240CD" w:themeColor="accent4" w:themeTint="BF"/>
          <w:left w:val="single" w:sz="8" w:space="0" w:color="0240CD" w:themeColor="accent4" w:themeTint="BF"/>
          <w:bottom w:val="single" w:sz="8" w:space="0" w:color="0240CD" w:themeColor="accent4" w:themeTint="BF"/>
          <w:right w:val="single" w:sz="8" w:space="0" w:color="0240CD" w:themeColor="accent4" w:themeTint="BF"/>
          <w:insideH w:val="nil"/>
          <w:insideV w:val="nil"/>
        </w:tcBorders>
      </w:tcPr>
    </w:tblStylePr>
    <w:tblStylePr w:type="firstCol">
      <w:rPr>
        <w:b/>
        <w:bCs/>
      </w:rPr>
    </w:tblStylePr>
    <w:tblStylePr w:type="lastCol">
      <w:rPr>
        <w:b/>
        <w:bCs/>
      </w:rPr>
    </w:tblStylePr>
    <w:tblStylePr w:type="band1Vert">
      <w:tblPr/>
      <w:tcPr>
        <w:shd w:val="clear" w:color="auto" w:fill="9BB9FE" w:themeFill="accent4" w:themeFillTint="3F"/>
      </w:tcPr>
    </w:tblStylePr>
    <w:tblStylePr w:type="band1Horz">
      <w:tblPr/>
      <w:tcPr>
        <w:tcBorders>
          <w:insideH w:val="nil"/>
          <w:insideV w:val="nil"/>
        </w:tcBorders>
        <w:shd w:val="clear" w:color="auto" w:fill="9BB9F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9113D"/>
    <w:pPr>
      <w:spacing w:line="240" w:lineRule="auto"/>
    </w:pPr>
    <w:tblPr>
      <w:tblStyleRowBandSize w:val="1"/>
      <w:tblStyleColBandSize w:val="1"/>
      <w:tbl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single" w:sz="8" w:space="0" w:color="00E2FE" w:themeColor="accent5" w:themeTint="BF"/>
      </w:tblBorders>
    </w:tblPr>
    <w:tblStylePr w:type="firstRow">
      <w:pPr>
        <w:spacing w:before="0" w:after="0" w:line="240" w:lineRule="auto"/>
      </w:pPr>
      <w:rPr>
        <w:b/>
        <w:bCs/>
        <w:color w:val="FFFFFF" w:themeColor="background1"/>
      </w:rPr>
      <w:tblPr/>
      <w:tcPr>
        <w:tcBorders>
          <w:top w:val="single" w:sz="8"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shd w:val="clear" w:color="auto" w:fill="0097A9" w:themeFill="accent5"/>
      </w:tcPr>
    </w:tblStylePr>
    <w:tblStylePr w:type="lastRow">
      <w:pPr>
        <w:spacing w:before="0" w:after="0" w:line="240" w:lineRule="auto"/>
      </w:pPr>
      <w:rPr>
        <w:b/>
        <w:bCs/>
      </w:rPr>
      <w:tblPr/>
      <w:tcPr>
        <w:tcBorders>
          <w:top w:val="double" w:sz="6" w:space="0" w:color="00E2FE" w:themeColor="accent5" w:themeTint="BF"/>
          <w:left w:val="single" w:sz="8" w:space="0" w:color="00E2FE" w:themeColor="accent5" w:themeTint="BF"/>
          <w:bottom w:val="single" w:sz="8" w:space="0" w:color="00E2FE" w:themeColor="accent5" w:themeTint="BF"/>
          <w:right w:val="single" w:sz="8" w:space="0" w:color="00E2FE" w:themeColor="accent5" w:themeTint="BF"/>
          <w:insideH w:val="nil"/>
          <w:insideV w:val="nil"/>
        </w:tcBorders>
      </w:tcPr>
    </w:tblStylePr>
    <w:tblStylePr w:type="firstCol">
      <w:rPr>
        <w:b/>
        <w:bCs/>
      </w:rPr>
    </w:tblStylePr>
    <w:tblStylePr w:type="lastCol">
      <w:rPr>
        <w:b/>
        <w:bCs/>
      </w:rPr>
    </w:tblStylePr>
    <w:tblStylePr w:type="band1Vert">
      <w:tblPr/>
      <w:tcPr>
        <w:shd w:val="clear" w:color="auto" w:fill="AAF5FF" w:themeFill="accent5" w:themeFillTint="3F"/>
      </w:tcPr>
    </w:tblStylePr>
    <w:tblStylePr w:type="band1Horz">
      <w:tblPr/>
      <w:tcPr>
        <w:tcBorders>
          <w:insideH w:val="nil"/>
          <w:insideV w:val="nil"/>
        </w:tcBorders>
        <w:shd w:val="clear" w:color="auto" w:fill="AAF5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9113D"/>
    <w:pPr>
      <w:spacing w:line="240" w:lineRule="auto"/>
    </w:pPr>
    <w:tblPr>
      <w:tblStyleRowBandSize w:val="1"/>
      <w:tblStyleColBandSize w:val="1"/>
      <w:tbl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single" w:sz="8" w:space="0" w:color="97999C" w:themeColor="accent6" w:themeTint="BF"/>
      </w:tblBorders>
    </w:tblPr>
    <w:tblStylePr w:type="firstRow">
      <w:pPr>
        <w:spacing w:before="0" w:after="0" w:line="240" w:lineRule="auto"/>
      </w:pPr>
      <w:rPr>
        <w:b/>
        <w:bCs/>
        <w:color w:val="FFFFFF" w:themeColor="background1"/>
      </w:rPr>
      <w:tblPr/>
      <w:tcPr>
        <w:tcBorders>
          <w:top w:val="single" w:sz="8"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nil"/>
          <w:insideV w:val="nil"/>
        </w:tcBorders>
        <w:shd w:val="clear" w:color="auto" w:fill="75787B" w:themeFill="accent6"/>
      </w:tcPr>
    </w:tblStylePr>
    <w:tblStylePr w:type="lastRow">
      <w:pPr>
        <w:spacing w:before="0" w:after="0" w:line="240" w:lineRule="auto"/>
      </w:pPr>
      <w:rPr>
        <w:b/>
        <w:bCs/>
      </w:rPr>
      <w:tblPr/>
      <w:tcPr>
        <w:tcBorders>
          <w:top w:val="double" w:sz="6" w:space="0" w:color="97999C" w:themeColor="accent6" w:themeTint="BF"/>
          <w:left w:val="single" w:sz="8" w:space="0" w:color="97999C" w:themeColor="accent6" w:themeTint="BF"/>
          <w:bottom w:val="single" w:sz="8" w:space="0" w:color="97999C" w:themeColor="accent6" w:themeTint="BF"/>
          <w:right w:val="single" w:sz="8" w:space="0" w:color="97999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6" w:themeFillTint="3F"/>
      </w:tcPr>
    </w:tblStylePr>
    <w:tblStylePr w:type="band1Horz">
      <w:tblPr/>
      <w:tcPr>
        <w:tcBorders>
          <w:insideH w:val="nil"/>
          <w:insideV w:val="nil"/>
        </w:tcBorders>
        <w:shd w:val="clear" w:color="auto" w:fill="DCDDD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C2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C25" w:themeFill="accent1"/>
      </w:tcPr>
    </w:tblStylePr>
    <w:tblStylePr w:type="lastCol">
      <w:rPr>
        <w:b/>
        <w:bCs/>
        <w:color w:val="FFFFFF" w:themeColor="background1"/>
      </w:rPr>
      <w:tblPr/>
      <w:tcPr>
        <w:tcBorders>
          <w:left w:val="nil"/>
          <w:right w:val="nil"/>
          <w:insideH w:val="nil"/>
          <w:insideV w:val="nil"/>
        </w:tcBorders>
        <w:shd w:val="clear" w:color="auto" w:fill="86BC2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A3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46A38" w:themeFill="accent2"/>
      </w:tcPr>
    </w:tblStylePr>
    <w:tblStylePr w:type="lastCol">
      <w:rPr>
        <w:b/>
        <w:bCs/>
        <w:color w:val="FFFFFF" w:themeColor="background1"/>
      </w:rPr>
      <w:tblPr/>
      <w:tcPr>
        <w:tcBorders>
          <w:left w:val="nil"/>
          <w:right w:val="nil"/>
          <w:insideH w:val="nil"/>
          <w:insideV w:val="nil"/>
        </w:tcBorders>
        <w:shd w:val="clear" w:color="auto" w:fill="046A3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B5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B5E5" w:themeFill="accent3"/>
      </w:tcPr>
    </w:tblStylePr>
    <w:tblStylePr w:type="lastCol">
      <w:rPr>
        <w:b/>
        <w:bCs/>
        <w:color w:val="FFFFFF" w:themeColor="background1"/>
      </w:rPr>
      <w:tblPr/>
      <w:tcPr>
        <w:tcBorders>
          <w:left w:val="nil"/>
          <w:right w:val="nil"/>
          <w:insideH w:val="nil"/>
          <w:insideV w:val="nil"/>
        </w:tcBorders>
        <w:shd w:val="clear" w:color="auto" w:fill="62B5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16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169" w:themeFill="accent4"/>
      </w:tcPr>
    </w:tblStylePr>
    <w:tblStylePr w:type="lastCol">
      <w:rPr>
        <w:b/>
        <w:bCs/>
        <w:color w:val="FFFFFF" w:themeColor="background1"/>
      </w:rPr>
      <w:tblPr/>
      <w:tcPr>
        <w:tcBorders>
          <w:left w:val="nil"/>
          <w:right w:val="nil"/>
          <w:insideH w:val="nil"/>
          <w:insideV w:val="nil"/>
        </w:tcBorders>
        <w:shd w:val="clear" w:color="auto" w:fill="01216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7A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7A9" w:themeFill="accent5"/>
      </w:tcPr>
    </w:tblStylePr>
    <w:tblStylePr w:type="lastCol">
      <w:rPr>
        <w:b/>
        <w:bCs/>
        <w:color w:val="FFFFFF" w:themeColor="background1"/>
      </w:rPr>
      <w:tblPr/>
      <w:tcPr>
        <w:tcBorders>
          <w:left w:val="nil"/>
          <w:right w:val="nil"/>
          <w:insideH w:val="nil"/>
          <w:insideV w:val="nil"/>
        </w:tcBorders>
        <w:shd w:val="clear" w:color="auto" w:fill="0097A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9113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6"/>
      </w:tcPr>
    </w:tblStylePr>
    <w:tblStylePr w:type="lastCol">
      <w:rPr>
        <w:b/>
        <w:bCs/>
        <w:color w:val="FFFFFF" w:themeColor="background1"/>
      </w:rPr>
      <w:tblPr/>
      <w:tcPr>
        <w:tcBorders>
          <w:left w:val="nil"/>
          <w:right w:val="nil"/>
          <w:insideH w:val="nil"/>
          <w:insideV w:val="nil"/>
        </w:tcBorders>
        <w:shd w:val="clear" w:color="auto" w:fill="75787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F9113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9113D"/>
    <w:rPr>
      <w:rFonts w:asciiTheme="majorHAnsi" w:eastAsiaTheme="majorEastAsia" w:hAnsiTheme="majorHAnsi" w:cstheme="majorBidi"/>
      <w:sz w:val="24"/>
      <w:szCs w:val="24"/>
      <w:shd w:val="pct20" w:color="auto" w:fill="auto"/>
    </w:rPr>
  </w:style>
  <w:style w:type="paragraph" w:styleId="NoSpacing">
    <w:name w:val="No Spacing"/>
    <w:qFormat/>
    <w:rsid w:val="00DA30BF"/>
    <w:rPr>
      <w:lang w:val="en-AU"/>
    </w:rPr>
  </w:style>
  <w:style w:type="paragraph" w:styleId="NormalWeb">
    <w:name w:val="Normal (Web)"/>
    <w:basedOn w:val="Normal"/>
    <w:uiPriority w:val="99"/>
    <w:semiHidden/>
    <w:rsid w:val="00F9113D"/>
    <w:rPr>
      <w:rFonts w:ascii="Times New Roman" w:hAnsi="Times New Roman" w:cs="Times New Roman"/>
      <w:sz w:val="24"/>
      <w:szCs w:val="24"/>
    </w:rPr>
  </w:style>
  <w:style w:type="paragraph" w:styleId="NormalIndent">
    <w:name w:val="Normal Indent"/>
    <w:basedOn w:val="Normal"/>
    <w:uiPriority w:val="99"/>
    <w:semiHidden/>
    <w:rsid w:val="00F9113D"/>
    <w:pPr>
      <w:ind w:left="1304"/>
    </w:pPr>
  </w:style>
  <w:style w:type="paragraph" w:styleId="NoteHeading">
    <w:name w:val="Note Heading"/>
    <w:basedOn w:val="Normal"/>
    <w:next w:val="Normal"/>
    <w:link w:val="NoteHeadingChar"/>
    <w:uiPriority w:val="99"/>
    <w:semiHidden/>
    <w:rsid w:val="00F9113D"/>
    <w:pPr>
      <w:spacing w:line="240" w:lineRule="auto"/>
    </w:pPr>
  </w:style>
  <w:style w:type="character" w:customStyle="1" w:styleId="NoteHeadingChar">
    <w:name w:val="Note Heading Char"/>
    <w:basedOn w:val="DefaultParagraphFont"/>
    <w:link w:val="NoteHeading"/>
    <w:uiPriority w:val="99"/>
    <w:semiHidden/>
    <w:rsid w:val="00F9113D"/>
  </w:style>
  <w:style w:type="character" w:styleId="PageNumber">
    <w:name w:val="page number"/>
    <w:basedOn w:val="DefaultParagraphFont"/>
    <w:uiPriority w:val="10"/>
    <w:semiHidden/>
    <w:rsid w:val="00F9113D"/>
    <w:rPr>
      <w:lang w:val="en-AU"/>
    </w:rPr>
  </w:style>
  <w:style w:type="paragraph" w:styleId="PlainText">
    <w:name w:val="Plain Text"/>
    <w:basedOn w:val="Normal"/>
    <w:link w:val="PlainTextChar"/>
    <w:uiPriority w:val="99"/>
    <w:semiHidden/>
    <w:rsid w:val="00F9113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9113D"/>
    <w:rPr>
      <w:rFonts w:ascii="Consolas" w:hAnsi="Consolas"/>
      <w:sz w:val="21"/>
      <w:szCs w:val="21"/>
    </w:rPr>
  </w:style>
  <w:style w:type="paragraph" w:styleId="Quote">
    <w:name w:val="Quote"/>
    <w:basedOn w:val="Normal"/>
    <w:next w:val="Normal"/>
    <w:link w:val="QuoteChar"/>
    <w:uiPriority w:val="29"/>
    <w:semiHidden/>
    <w:qFormat/>
    <w:rsid w:val="00F9113D"/>
    <w:pPr>
      <w:spacing w:after="0"/>
    </w:pPr>
    <w:rPr>
      <w:i/>
      <w:iCs/>
      <w:color w:val="000000" w:themeColor="text1"/>
    </w:rPr>
  </w:style>
  <w:style w:type="character" w:customStyle="1" w:styleId="QuoteChar">
    <w:name w:val="Quote Char"/>
    <w:basedOn w:val="DefaultParagraphFont"/>
    <w:link w:val="Quote"/>
    <w:uiPriority w:val="29"/>
    <w:semiHidden/>
    <w:rsid w:val="00F9113D"/>
    <w:rPr>
      <w:i/>
      <w:iCs/>
      <w:color w:val="000000" w:themeColor="text1"/>
    </w:rPr>
  </w:style>
  <w:style w:type="paragraph" w:styleId="Salutation">
    <w:name w:val="Salutation"/>
    <w:basedOn w:val="Normal"/>
    <w:next w:val="Normal"/>
    <w:link w:val="SalutationChar"/>
    <w:uiPriority w:val="99"/>
    <w:semiHidden/>
    <w:rsid w:val="00F9113D"/>
  </w:style>
  <w:style w:type="character" w:customStyle="1" w:styleId="SalutationChar">
    <w:name w:val="Salutation Char"/>
    <w:basedOn w:val="DefaultParagraphFont"/>
    <w:link w:val="Salutation"/>
    <w:uiPriority w:val="99"/>
    <w:semiHidden/>
    <w:rsid w:val="00F9113D"/>
  </w:style>
  <w:style w:type="paragraph" w:styleId="Signature">
    <w:name w:val="Signature"/>
    <w:basedOn w:val="Normal"/>
    <w:link w:val="SignatureChar"/>
    <w:uiPriority w:val="99"/>
    <w:semiHidden/>
    <w:rsid w:val="00F9113D"/>
    <w:pPr>
      <w:keepNext/>
      <w:keepLines/>
    </w:pPr>
  </w:style>
  <w:style w:type="character" w:customStyle="1" w:styleId="SignatureChar">
    <w:name w:val="Signature Char"/>
    <w:basedOn w:val="DefaultParagraphFont"/>
    <w:link w:val="Signature"/>
    <w:uiPriority w:val="99"/>
    <w:semiHidden/>
    <w:rsid w:val="00F9113D"/>
  </w:style>
  <w:style w:type="character" w:styleId="Strong">
    <w:name w:val="Strong"/>
    <w:basedOn w:val="DefaultParagraphFont"/>
    <w:uiPriority w:val="22"/>
    <w:semiHidden/>
    <w:qFormat/>
    <w:rsid w:val="00F9113D"/>
    <w:rPr>
      <w:b/>
      <w:bCs/>
      <w:lang w:val="en-AU"/>
    </w:rPr>
  </w:style>
  <w:style w:type="paragraph" w:styleId="Subtitle">
    <w:name w:val="Subtitle"/>
    <w:basedOn w:val="Normal"/>
    <w:next w:val="Normal"/>
    <w:link w:val="SubtitleChar"/>
    <w:uiPriority w:val="11"/>
    <w:semiHidden/>
    <w:qFormat/>
    <w:rsid w:val="00F9113D"/>
    <w:pPr>
      <w:numPr>
        <w:ilvl w:val="1"/>
      </w:numPr>
      <w:spacing w:after="0"/>
    </w:pPr>
    <w:rPr>
      <w:rFonts w:eastAsiaTheme="majorEastAsia" w:cstheme="majorBidi"/>
      <w:i/>
      <w:iCs/>
      <w:color w:val="86BC25" w:themeColor="accent1"/>
      <w:spacing w:val="15"/>
      <w:sz w:val="24"/>
      <w:szCs w:val="24"/>
    </w:rPr>
  </w:style>
  <w:style w:type="character" w:customStyle="1" w:styleId="SubtitleChar">
    <w:name w:val="Subtitle Char"/>
    <w:basedOn w:val="DefaultParagraphFont"/>
    <w:link w:val="Subtitle"/>
    <w:uiPriority w:val="11"/>
    <w:semiHidden/>
    <w:rsid w:val="00F9113D"/>
    <w:rPr>
      <w:rFonts w:eastAsiaTheme="majorEastAsia" w:cstheme="majorBidi"/>
      <w:i/>
      <w:iCs/>
      <w:color w:val="86BC25" w:themeColor="accent1"/>
      <w:spacing w:val="15"/>
      <w:sz w:val="24"/>
      <w:szCs w:val="24"/>
    </w:rPr>
  </w:style>
  <w:style w:type="character" w:styleId="SubtleEmphasis">
    <w:name w:val="Subtle Emphasis"/>
    <w:basedOn w:val="DefaultParagraphFont"/>
    <w:uiPriority w:val="99"/>
    <w:semiHidden/>
    <w:qFormat/>
    <w:rsid w:val="00F9113D"/>
    <w:rPr>
      <w:i/>
      <w:iCs/>
      <w:color w:val="808080" w:themeColor="text1" w:themeTint="7F"/>
      <w:lang w:val="en-AU"/>
    </w:rPr>
  </w:style>
  <w:style w:type="character" w:styleId="SubtleReference">
    <w:name w:val="Subtle Reference"/>
    <w:basedOn w:val="DefaultParagraphFont"/>
    <w:uiPriority w:val="99"/>
    <w:semiHidden/>
    <w:qFormat/>
    <w:rsid w:val="00F9113D"/>
    <w:rPr>
      <w:smallCaps/>
      <w:color w:val="046A38" w:themeColor="accent2"/>
      <w:u w:val="single"/>
      <w:lang w:val="en-AU"/>
    </w:rPr>
  </w:style>
  <w:style w:type="table" w:styleId="Table3Deffects1">
    <w:name w:val="Table 3D effects 1"/>
    <w:basedOn w:val="TableNormal"/>
    <w:uiPriority w:val="99"/>
    <w:semiHidden/>
    <w:unhideWhenUsed/>
    <w:rsid w:val="00F9113D"/>
    <w:pPr>
      <w:spacing w:after="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9113D"/>
    <w:pPr>
      <w:spacing w:after="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9113D"/>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9113D"/>
    <w:pPr>
      <w:spacing w:after="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9113D"/>
    <w:pPr>
      <w:spacing w:after="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9113D"/>
    <w:pPr>
      <w:spacing w:after="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9113D"/>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9113D"/>
    <w:pPr>
      <w:spacing w:after="2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9113D"/>
    <w:pPr>
      <w:spacing w:after="2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9113D"/>
    <w:pPr>
      <w:spacing w:after="2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9113D"/>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9113D"/>
    <w:pPr>
      <w:spacing w:after="2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9113D"/>
    <w:pPr>
      <w:spacing w:after="2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9113D"/>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9113D"/>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9113D"/>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9113D"/>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9113D"/>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9113D"/>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9113D"/>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9113D"/>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9113D"/>
    <w:pPr>
      <w:spacing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9113D"/>
    <w:pPr>
      <w:spacing w:after="2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9113D"/>
    <w:pPr>
      <w:spacing w:after="24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9113D"/>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9113D"/>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9113D"/>
    <w:pPr>
      <w:spacing w:after="24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9113D"/>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F9113D"/>
    <w:pPr>
      <w:ind w:left="180" w:hanging="180"/>
    </w:pPr>
  </w:style>
  <w:style w:type="paragraph" w:styleId="TableofFigures">
    <w:name w:val="table of figures"/>
    <w:basedOn w:val="Normal"/>
    <w:next w:val="Normal"/>
    <w:uiPriority w:val="99"/>
    <w:rsid w:val="00F9113D"/>
  </w:style>
  <w:style w:type="table" w:styleId="TableProfessional">
    <w:name w:val="Table Professional"/>
    <w:basedOn w:val="TableNormal"/>
    <w:uiPriority w:val="99"/>
    <w:semiHidden/>
    <w:unhideWhenUsed/>
    <w:rsid w:val="00F9113D"/>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9113D"/>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9113D"/>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9113D"/>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9113D"/>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9113D"/>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9113D"/>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9113D"/>
    <w:pPr>
      <w:spacing w:after="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9113D"/>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9113D"/>
    <w:pPr>
      <w:spacing w:after="2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F9113D"/>
    <w:pPr>
      <w:pBdr>
        <w:bottom w:val="single" w:sz="8" w:space="4" w:color="86BC2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semiHidden/>
    <w:rsid w:val="00F9113D"/>
    <w:rPr>
      <w:rFonts w:eastAsiaTheme="majorEastAsia" w:cstheme="majorBidi"/>
      <w:color w:val="323E4F" w:themeColor="text2" w:themeShade="BF"/>
      <w:spacing w:val="5"/>
      <w:kern w:val="28"/>
      <w:sz w:val="52"/>
      <w:szCs w:val="52"/>
    </w:rPr>
  </w:style>
  <w:style w:type="paragraph" w:styleId="TOAHeading">
    <w:name w:val="toa heading"/>
    <w:basedOn w:val="Normal"/>
    <w:next w:val="Normal"/>
    <w:uiPriority w:val="99"/>
    <w:semiHidden/>
    <w:rsid w:val="00F9113D"/>
    <w:pPr>
      <w:spacing w:before="120"/>
    </w:pPr>
    <w:rPr>
      <w:rFonts w:asciiTheme="majorHAnsi" w:eastAsiaTheme="majorEastAsia" w:hAnsiTheme="majorHAnsi" w:cstheme="majorBidi"/>
      <w:b/>
      <w:bCs/>
      <w:sz w:val="24"/>
      <w:szCs w:val="24"/>
    </w:rPr>
  </w:style>
  <w:style w:type="paragraph" w:styleId="TOC2">
    <w:name w:val="toc 2"/>
    <w:basedOn w:val="Normal"/>
    <w:next w:val="Normal"/>
    <w:uiPriority w:val="39"/>
    <w:rsid w:val="00A242DE"/>
    <w:pPr>
      <w:tabs>
        <w:tab w:val="left" w:pos="567"/>
        <w:tab w:val="right" w:pos="6917"/>
      </w:tabs>
      <w:spacing w:after="100"/>
      <w:ind w:left="1134" w:right="567" w:hanging="567"/>
      <w:contextualSpacing/>
    </w:pPr>
  </w:style>
  <w:style w:type="paragraph" w:styleId="TOC3">
    <w:name w:val="toc 3"/>
    <w:basedOn w:val="Normal"/>
    <w:next w:val="Normal"/>
    <w:uiPriority w:val="39"/>
    <w:rsid w:val="00A242DE"/>
    <w:pPr>
      <w:tabs>
        <w:tab w:val="left" w:pos="1021"/>
        <w:tab w:val="right" w:pos="6917"/>
      </w:tabs>
      <w:spacing w:after="100"/>
      <w:ind w:left="567" w:right="567"/>
      <w:contextualSpacing/>
    </w:pPr>
  </w:style>
  <w:style w:type="paragraph" w:styleId="TOC4">
    <w:name w:val="toc 4"/>
    <w:basedOn w:val="Normal"/>
    <w:next w:val="Normal"/>
    <w:uiPriority w:val="39"/>
    <w:rsid w:val="00F0232D"/>
    <w:pPr>
      <w:spacing w:after="100"/>
      <w:ind w:right="567"/>
      <w:contextualSpacing/>
    </w:pPr>
  </w:style>
  <w:style w:type="paragraph" w:styleId="TOC5">
    <w:name w:val="toc 5"/>
    <w:basedOn w:val="Normal"/>
    <w:next w:val="Normal"/>
    <w:uiPriority w:val="39"/>
    <w:semiHidden/>
    <w:rsid w:val="00F9113D"/>
    <w:pPr>
      <w:spacing w:after="100"/>
      <w:ind w:left="567" w:right="567"/>
      <w:contextualSpacing/>
    </w:pPr>
  </w:style>
  <w:style w:type="paragraph" w:styleId="TOC6">
    <w:name w:val="toc 6"/>
    <w:basedOn w:val="Normal"/>
    <w:next w:val="Normal"/>
    <w:uiPriority w:val="39"/>
    <w:rsid w:val="00F0232D"/>
    <w:pPr>
      <w:spacing w:after="100"/>
      <w:ind w:right="567"/>
      <w:contextualSpacing/>
    </w:pPr>
  </w:style>
  <w:style w:type="paragraph" w:styleId="TOC7">
    <w:name w:val="toc 7"/>
    <w:basedOn w:val="Normal"/>
    <w:next w:val="Normal"/>
    <w:uiPriority w:val="39"/>
    <w:rsid w:val="00F0232D"/>
    <w:pPr>
      <w:spacing w:after="100"/>
      <w:ind w:right="567"/>
      <w:contextualSpacing/>
    </w:pPr>
  </w:style>
  <w:style w:type="paragraph" w:styleId="TOC8">
    <w:name w:val="toc 8"/>
    <w:basedOn w:val="Normal"/>
    <w:next w:val="Normal"/>
    <w:uiPriority w:val="39"/>
    <w:rsid w:val="00F0232D"/>
    <w:pPr>
      <w:spacing w:after="100"/>
      <w:ind w:right="567"/>
      <w:contextualSpacing/>
    </w:pPr>
  </w:style>
  <w:style w:type="paragraph" w:styleId="TOC9">
    <w:name w:val="toc 9"/>
    <w:basedOn w:val="Normal"/>
    <w:next w:val="Normal"/>
    <w:uiPriority w:val="39"/>
    <w:semiHidden/>
    <w:rsid w:val="00F9113D"/>
    <w:pPr>
      <w:spacing w:after="100"/>
      <w:ind w:left="567" w:right="567"/>
      <w:contextualSpacing/>
    </w:pPr>
  </w:style>
  <w:style w:type="paragraph" w:styleId="TOCHeading">
    <w:name w:val="TOC Heading"/>
    <w:next w:val="Normal"/>
    <w:uiPriority w:val="39"/>
    <w:semiHidden/>
    <w:rsid w:val="00F9113D"/>
    <w:pPr>
      <w:spacing w:after="480" w:line="720" w:lineRule="atLeast"/>
    </w:pPr>
    <w:rPr>
      <w:rFonts w:eastAsiaTheme="majorEastAsia" w:cstheme="majorBidi"/>
      <w:bCs/>
      <w:sz w:val="60"/>
      <w:szCs w:val="28"/>
      <w:lang w:val="en-AU"/>
    </w:rPr>
  </w:style>
  <w:style w:type="paragraph" w:customStyle="1" w:styleId="Template-Adresse">
    <w:name w:val="Template - Adresse"/>
    <w:basedOn w:val="Normal"/>
    <w:uiPriority w:val="9"/>
    <w:semiHidden/>
    <w:rsid w:val="00F9113D"/>
    <w:pPr>
      <w:tabs>
        <w:tab w:val="left" w:pos="567"/>
      </w:tabs>
      <w:spacing w:after="0" w:line="280" w:lineRule="atLeast"/>
    </w:pPr>
    <w:rPr>
      <w:noProof/>
      <w:sz w:val="16"/>
    </w:rPr>
  </w:style>
  <w:style w:type="paragraph" w:customStyle="1" w:styleId="Template-Dato">
    <w:name w:val="Template - Dato"/>
    <w:basedOn w:val="Normal"/>
    <w:uiPriority w:val="9"/>
    <w:semiHidden/>
    <w:rsid w:val="00F9113D"/>
    <w:pPr>
      <w:spacing w:after="0" w:line="280" w:lineRule="atLeast"/>
    </w:pPr>
    <w:rPr>
      <w:noProof/>
      <w:sz w:val="16"/>
    </w:rPr>
  </w:style>
  <w:style w:type="paragraph" w:customStyle="1" w:styleId="Letterheadaddressnospacing">
    <w:name w:val="Letterhead address (no spacing)"/>
    <w:uiPriority w:val="99"/>
    <w:semiHidden/>
    <w:qFormat/>
    <w:rsid w:val="001D0641"/>
    <w:pPr>
      <w:framePr w:wrap="around" w:vAnchor="page" w:hAnchor="page" w:x="1" w:y="1"/>
      <w:spacing w:line="240" w:lineRule="auto"/>
      <w:suppressOverlap/>
    </w:pPr>
    <w:rPr>
      <w:rFonts w:eastAsia="Times New Roman" w:cs="Times New Roman"/>
      <w:noProof/>
      <w:color w:val="7F7F7F" w:themeColor="text1" w:themeTint="80"/>
      <w:sz w:val="14"/>
      <w:lang w:val="en-AU" w:bidi="en-US"/>
    </w:rPr>
  </w:style>
  <w:style w:type="paragraph" w:customStyle="1" w:styleId="DocumentHeading">
    <w:name w:val="Document Heading"/>
    <w:basedOn w:val="Normal"/>
    <w:next w:val="BodyText"/>
    <w:uiPriority w:val="99"/>
    <w:semiHidden/>
    <w:rsid w:val="00F9113D"/>
    <w:pPr>
      <w:suppressAutoHyphens/>
      <w:spacing w:before="240" w:after="240"/>
    </w:pPr>
    <w:rPr>
      <w:b/>
    </w:rPr>
  </w:style>
  <w:style w:type="paragraph" w:customStyle="1" w:styleId="Disclaimer">
    <w:name w:val="Disclaimer"/>
    <w:basedOn w:val="Footer"/>
    <w:uiPriority w:val="11"/>
    <w:semiHidden/>
    <w:rsid w:val="00FE6C88"/>
    <w:pPr>
      <w:tabs>
        <w:tab w:val="clear" w:pos="7371"/>
      </w:tabs>
      <w:spacing w:line="130" w:lineRule="atLeast"/>
      <w:suppressOverlap/>
    </w:pPr>
    <w:rPr>
      <w:rFonts w:eastAsia="Times New Roman" w:cs="Arial"/>
      <w:noProof/>
      <w:sz w:val="11"/>
      <w:szCs w:val="17"/>
      <w:lang w:eastAsia="en-GB"/>
    </w:rPr>
  </w:style>
  <w:style w:type="paragraph" w:customStyle="1" w:styleId="SenderName">
    <w:name w:val="Sender Name"/>
    <w:basedOn w:val="Normal"/>
    <w:uiPriority w:val="8"/>
    <w:rsid w:val="00F9113D"/>
    <w:pPr>
      <w:keepNext/>
      <w:keepLines/>
      <w:spacing w:after="0"/>
    </w:pPr>
    <w:rPr>
      <w:b/>
      <w:szCs w:val="17"/>
    </w:rPr>
  </w:style>
  <w:style w:type="paragraph" w:customStyle="1" w:styleId="SignatureName">
    <w:name w:val="Signature Name"/>
    <w:basedOn w:val="Normal"/>
    <w:next w:val="SignatureTitle"/>
    <w:uiPriority w:val="7"/>
    <w:semiHidden/>
    <w:rsid w:val="00F9113D"/>
    <w:pPr>
      <w:keepNext/>
      <w:keepLines/>
      <w:spacing w:after="0"/>
    </w:pPr>
    <w:rPr>
      <w:b/>
      <w:color w:val="62B5E5" w:themeColor="accent3"/>
    </w:rPr>
  </w:style>
  <w:style w:type="paragraph" w:customStyle="1" w:styleId="SignatureTitle">
    <w:name w:val="Signature Title"/>
    <w:basedOn w:val="Normal"/>
    <w:next w:val="BodyText"/>
    <w:uiPriority w:val="7"/>
    <w:semiHidden/>
    <w:rsid w:val="00F9113D"/>
    <w:pPr>
      <w:spacing w:after="0"/>
    </w:pPr>
    <w:rPr>
      <w:b/>
    </w:rPr>
  </w:style>
  <w:style w:type="paragraph" w:customStyle="1" w:styleId="Heading2un-numbered">
    <w:name w:val="Heading 2 (un-numbered)"/>
    <w:basedOn w:val="Heading2"/>
    <w:next w:val="Normal"/>
    <w:uiPriority w:val="2"/>
    <w:qFormat/>
    <w:rsid w:val="00CF23CD"/>
    <w:pPr>
      <w:numPr>
        <w:ilvl w:val="0"/>
        <w:numId w:val="0"/>
      </w:numPr>
    </w:pPr>
  </w:style>
  <w:style w:type="paragraph" w:customStyle="1" w:styleId="Heading3un-numbered">
    <w:name w:val="Heading 3 (un-numbered)"/>
    <w:basedOn w:val="Heading3"/>
    <w:next w:val="Normal"/>
    <w:uiPriority w:val="2"/>
    <w:qFormat/>
    <w:rsid w:val="00F9113D"/>
    <w:pPr>
      <w:numPr>
        <w:ilvl w:val="0"/>
        <w:numId w:val="0"/>
      </w:numPr>
    </w:pPr>
  </w:style>
  <w:style w:type="paragraph" w:customStyle="1" w:styleId="Heading4un-numbered">
    <w:name w:val="Heading 4 (un-numbered)"/>
    <w:basedOn w:val="Heading4"/>
    <w:next w:val="Normal"/>
    <w:uiPriority w:val="2"/>
    <w:qFormat/>
    <w:rsid w:val="00F9113D"/>
    <w:pPr>
      <w:numPr>
        <w:ilvl w:val="0"/>
        <w:numId w:val="0"/>
      </w:numPr>
    </w:pPr>
  </w:style>
  <w:style w:type="paragraph" w:customStyle="1" w:styleId="BulletedText1">
    <w:name w:val="Bulleted Text 1"/>
    <w:basedOn w:val="Normal"/>
    <w:uiPriority w:val="4"/>
    <w:semiHidden/>
    <w:qFormat/>
    <w:rsid w:val="00F9113D"/>
    <w:pPr>
      <w:numPr>
        <w:numId w:val="2"/>
      </w:numPr>
      <w:suppressAutoHyphens/>
      <w:spacing w:after="0" w:line="250" w:lineRule="atLeast"/>
    </w:pPr>
  </w:style>
  <w:style w:type="paragraph" w:customStyle="1" w:styleId="BulletedText2">
    <w:name w:val="Bulleted Text 2"/>
    <w:basedOn w:val="Normal"/>
    <w:uiPriority w:val="4"/>
    <w:semiHidden/>
    <w:rsid w:val="00F9113D"/>
    <w:pPr>
      <w:numPr>
        <w:ilvl w:val="1"/>
        <w:numId w:val="2"/>
      </w:numPr>
      <w:suppressAutoHyphens/>
      <w:spacing w:after="0" w:line="250" w:lineRule="atLeast"/>
    </w:pPr>
  </w:style>
  <w:style w:type="paragraph" w:customStyle="1" w:styleId="Numberslevel1">
    <w:name w:val="Numbers level 1"/>
    <w:basedOn w:val="Normal"/>
    <w:uiPriority w:val="4"/>
    <w:semiHidden/>
    <w:qFormat/>
    <w:rsid w:val="00F9113D"/>
    <w:pPr>
      <w:numPr>
        <w:numId w:val="7"/>
      </w:numPr>
      <w:suppressAutoHyphens/>
      <w:spacing w:after="0" w:line="250" w:lineRule="atLeast"/>
    </w:pPr>
  </w:style>
  <w:style w:type="paragraph" w:customStyle="1" w:styleId="Numberslevel2">
    <w:name w:val="Numbers level 2"/>
    <w:basedOn w:val="Normal"/>
    <w:uiPriority w:val="4"/>
    <w:semiHidden/>
    <w:rsid w:val="00F9113D"/>
    <w:pPr>
      <w:numPr>
        <w:ilvl w:val="1"/>
        <w:numId w:val="7"/>
      </w:numPr>
      <w:suppressAutoHyphens/>
      <w:spacing w:after="0" w:line="250" w:lineRule="atLeast"/>
    </w:pPr>
  </w:style>
  <w:style w:type="paragraph" w:customStyle="1" w:styleId="Numberslevel3">
    <w:name w:val="Numbers level 3"/>
    <w:basedOn w:val="Normal"/>
    <w:uiPriority w:val="4"/>
    <w:semiHidden/>
    <w:rsid w:val="00F9113D"/>
    <w:pPr>
      <w:numPr>
        <w:ilvl w:val="2"/>
        <w:numId w:val="7"/>
      </w:numPr>
      <w:suppressAutoHyphens/>
      <w:spacing w:after="0" w:line="250" w:lineRule="atLeast"/>
    </w:pPr>
  </w:style>
  <w:style w:type="paragraph" w:customStyle="1" w:styleId="TabletextLeftTotal">
    <w:name w:val="Table text Left Total"/>
    <w:basedOn w:val="TabletextLeft"/>
    <w:uiPriority w:val="5"/>
    <w:rsid w:val="00135C5C"/>
    <w:rPr>
      <w:b/>
    </w:rPr>
  </w:style>
  <w:style w:type="paragraph" w:customStyle="1" w:styleId="TabletextRightTotal">
    <w:name w:val="Table text Right Total"/>
    <w:basedOn w:val="TabletextRight"/>
    <w:uiPriority w:val="5"/>
    <w:rsid w:val="002C7E6E"/>
    <w:rPr>
      <w:b/>
    </w:rPr>
  </w:style>
  <w:style w:type="table" w:customStyle="1" w:styleId="DeloitteBandedrows">
    <w:name w:val="Deloitte Banded rows"/>
    <w:basedOn w:val="TableNormal"/>
    <w:uiPriority w:val="99"/>
    <w:rsid w:val="00FC1637"/>
    <w:pPr>
      <w:spacing w:line="200" w:lineRule="atLeast"/>
      <w:ind w:left="57" w:right="57"/>
    </w:pPr>
    <w:rPr>
      <w:sz w:val="17"/>
    </w:rPr>
    <w:tblPr>
      <w:tblStyleRowBandSize w:val="1"/>
      <w:tblBorders>
        <w:bottom w:val="single" w:sz="4" w:space="0" w:color="62B5E5" w:themeColor="accent3"/>
      </w:tblBorders>
      <w:tblCellMar>
        <w:top w:w="85" w:type="dxa"/>
        <w:left w:w="0" w:type="dxa"/>
        <w:bottom w:w="85" w:type="dxa"/>
        <w:right w:w="0" w:type="dxa"/>
      </w:tblCellMar>
    </w:tblPr>
    <w:tblStylePr w:type="firstRow">
      <w:tblPr/>
      <w:tcPr>
        <w:tcBorders>
          <w:top w:val="single" w:sz="24" w:space="0" w:color="62B5E5" w:themeColor="accent3"/>
          <w:bottom w:val="single" w:sz="4" w:space="0" w:color="62B5E5" w:themeColor="accent3"/>
        </w:tcBorders>
      </w:tcPr>
    </w:tblStylePr>
    <w:tblStylePr w:type="lastRow">
      <w:tblPr/>
      <w:tcPr>
        <w:tcBorders>
          <w:top w:val="nil"/>
          <w:left w:val="nil"/>
          <w:bottom w:val="nil"/>
          <w:right w:val="nil"/>
          <w:insideH w:val="nil"/>
          <w:insideV w:val="nil"/>
          <w:tl2br w:val="nil"/>
          <w:tr2bl w:val="nil"/>
        </w:tcBorders>
      </w:tcPr>
    </w:tblStylePr>
    <w:tblStylePr w:type="band2Horz">
      <w:tblPr/>
      <w:tcPr>
        <w:shd w:val="clear" w:color="auto" w:fill="62B5E5" w:themeFill="accent3"/>
      </w:tcPr>
    </w:tblStylePr>
  </w:style>
  <w:style w:type="paragraph" w:customStyle="1" w:styleId="FPPicture">
    <w:name w:val="FP Picture"/>
    <w:basedOn w:val="Normal"/>
    <w:uiPriority w:val="9"/>
    <w:semiHidden/>
    <w:rsid w:val="00F9113D"/>
    <w:pPr>
      <w:spacing w:after="0"/>
      <w:ind w:left="-57"/>
    </w:pPr>
    <w:rPr>
      <w:color w:val="FF0000"/>
      <w:sz w:val="36"/>
    </w:rPr>
  </w:style>
  <w:style w:type="paragraph" w:customStyle="1" w:styleId="CV-Name">
    <w:name w:val="CV - Name"/>
    <w:basedOn w:val="Normal"/>
    <w:uiPriority w:val="7"/>
    <w:rsid w:val="005B00B8"/>
    <w:pPr>
      <w:spacing w:after="240"/>
      <w:contextualSpacing/>
    </w:pPr>
    <w:rPr>
      <w:b/>
      <w:color w:val="62B5E5" w:themeColor="accent3"/>
    </w:rPr>
  </w:style>
  <w:style w:type="paragraph" w:customStyle="1" w:styleId="HeadingA">
    <w:name w:val="Heading A"/>
    <w:next w:val="Normal"/>
    <w:uiPriority w:val="3"/>
    <w:rsid w:val="00550003"/>
    <w:pPr>
      <w:keepNext/>
      <w:keepLines/>
      <w:spacing w:before="240" w:line="280" w:lineRule="atLeast"/>
    </w:pPr>
    <w:rPr>
      <w:rFonts w:eastAsia="Times New Roman" w:cs="Times New Roman"/>
      <w:b/>
      <w:color w:val="62B5E5" w:themeColor="accent3"/>
      <w:sz w:val="22"/>
      <w:szCs w:val="28"/>
      <w:lang w:val="en-AU"/>
    </w:rPr>
  </w:style>
  <w:style w:type="paragraph" w:customStyle="1" w:styleId="HeadingB">
    <w:name w:val="Heading B"/>
    <w:basedOn w:val="HeadingA"/>
    <w:next w:val="Normal"/>
    <w:uiPriority w:val="3"/>
    <w:rsid w:val="005E5001"/>
    <w:pPr>
      <w:spacing w:before="0"/>
    </w:pPr>
    <w:rPr>
      <w:color w:val="auto"/>
      <w:szCs w:val="26"/>
    </w:rPr>
  </w:style>
  <w:style w:type="paragraph" w:customStyle="1" w:styleId="HeadingC">
    <w:name w:val="Heading C"/>
    <w:basedOn w:val="Normal"/>
    <w:next w:val="Normal"/>
    <w:uiPriority w:val="3"/>
    <w:rsid w:val="00F84828"/>
    <w:pPr>
      <w:keepNext/>
      <w:keepLines/>
      <w:spacing w:after="0"/>
    </w:pPr>
    <w:rPr>
      <w:rFonts w:eastAsia="Times New Roman" w:cs="Times New Roman"/>
      <w:b/>
      <w:color w:val="75787B" w:themeColor="accent6"/>
      <w:szCs w:val="28"/>
    </w:rPr>
  </w:style>
  <w:style w:type="paragraph" w:customStyle="1" w:styleId="CaptionTable">
    <w:name w:val="Caption_Table"/>
    <w:basedOn w:val="Normal"/>
    <w:next w:val="Normal"/>
    <w:uiPriority w:val="4"/>
    <w:rsid w:val="006C74B8"/>
    <w:pPr>
      <w:keepNext/>
      <w:keepLines/>
      <w:numPr>
        <w:ilvl w:val="6"/>
        <w:numId w:val="1"/>
      </w:numPr>
      <w:spacing w:before="240" w:after="240"/>
    </w:pPr>
    <w:rPr>
      <w:rFonts w:eastAsia="Times New Roman" w:cs="Times New Roman"/>
      <w:color w:val="75787B" w:themeColor="accent6"/>
      <w:sz w:val="17"/>
      <w:szCs w:val="20"/>
    </w:rPr>
  </w:style>
  <w:style w:type="paragraph" w:customStyle="1" w:styleId="CaptionFigure">
    <w:name w:val="Caption_Figure"/>
    <w:basedOn w:val="Normal"/>
    <w:next w:val="Normal"/>
    <w:uiPriority w:val="4"/>
    <w:rsid w:val="006C74B8"/>
    <w:pPr>
      <w:keepNext/>
      <w:keepLines/>
      <w:numPr>
        <w:ilvl w:val="8"/>
        <w:numId w:val="1"/>
      </w:numPr>
    </w:pPr>
    <w:rPr>
      <w:bCs/>
      <w:color w:val="75787B" w:themeColor="accent6"/>
      <w:sz w:val="17"/>
      <w:szCs w:val="22"/>
    </w:rPr>
  </w:style>
  <w:style w:type="paragraph" w:customStyle="1" w:styleId="CaptionChart">
    <w:name w:val="Caption_Chart"/>
    <w:basedOn w:val="Normal"/>
    <w:next w:val="Normal"/>
    <w:uiPriority w:val="4"/>
    <w:rsid w:val="006C74B8"/>
    <w:pPr>
      <w:keepNext/>
      <w:keepLines/>
      <w:numPr>
        <w:ilvl w:val="7"/>
        <w:numId w:val="1"/>
      </w:numPr>
    </w:pPr>
    <w:rPr>
      <w:color w:val="75787B" w:themeColor="accent6"/>
      <w:sz w:val="17"/>
    </w:rPr>
  </w:style>
  <w:style w:type="paragraph" w:customStyle="1" w:styleId="ExecutiveHeading">
    <w:name w:val="Executive Heading"/>
    <w:basedOn w:val="Heading1un-numbered"/>
    <w:next w:val="Normal"/>
    <w:uiPriority w:val="3"/>
    <w:rsid w:val="005E5001"/>
    <w:pPr>
      <w:numPr>
        <w:numId w:val="10"/>
      </w:numPr>
    </w:pPr>
  </w:style>
  <w:style w:type="paragraph" w:customStyle="1" w:styleId="Reference">
    <w:name w:val="Reference"/>
    <w:basedOn w:val="Normal"/>
    <w:uiPriority w:val="4"/>
    <w:rsid w:val="002C1140"/>
    <w:pPr>
      <w:spacing w:before="240" w:after="240"/>
      <w:ind w:left="567" w:hanging="567"/>
    </w:pPr>
    <w:rPr>
      <w:rFonts w:eastAsia="Times New Roman" w:cs="Times New Roman"/>
      <w:szCs w:val="20"/>
    </w:rPr>
  </w:style>
  <w:style w:type="paragraph" w:customStyle="1" w:styleId="ExecChartCaption">
    <w:name w:val="Exec Chart Caption"/>
    <w:basedOn w:val="Caption"/>
    <w:next w:val="Normal"/>
    <w:uiPriority w:val="4"/>
    <w:rsid w:val="00CA0756"/>
    <w:pPr>
      <w:numPr>
        <w:ilvl w:val="2"/>
        <w:numId w:val="10"/>
      </w:numPr>
    </w:pPr>
    <w:rPr>
      <w:rFonts w:eastAsia="Times New Roman" w:cs="Times New Roman"/>
      <w:szCs w:val="20"/>
    </w:rPr>
  </w:style>
  <w:style w:type="paragraph" w:customStyle="1" w:styleId="ExecFigureCaption">
    <w:name w:val="Exec Figure Caption"/>
    <w:basedOn w:val="Caption"/>
    <w:next w:val="Normal"/>
    <w:uiPriority w:val="4"/>
    <w:rsid w:val="00CA0756"/>
    <w:pPr>
      <w:numPr>
        <w:ilvl w:val="3"/>
        <w:numId w:val="10"/>
      </w:numPr>
    </w:pPr>
    <w:rPr>
      <w:rFonts w:eastAsia="Times New Roman" w:cs="Times New Roman"/>
      <w:szCs w:val="20"/>
    </w:rPr>
  </w:style>
  <w:style w:type="paragraph" w:customStyle="1" w:styleId="ExecTableCaption">
    <w:name w:val="Exec Table Caption"/>
    <w:basedOn w:val="Caption"/>
    <w:next w:val="Normal"/>
    <w:uiPriority w:val="4"/>
    <w:rsid w:val="005D6648"/>
    <w:pPr>
      <w:numPr>
        <w:ilvl w:val="1"/>
        <w:numId w:val="10"/>
      </w:numPr>
    </w:pPr>
    <w:rPr>
      <w:rFonts w:eastAsia="Times New Roman" w:cs="Times New Roman"/>
      <w:szCs w:val="20"/>
    </w:rPr>
  </w:style>
  <w:style w:type="paragraph" w:customStyle="1" w:styleId="Appendixhead2">
    <w:name w:val="Appendix_head_2"/>
    <w:basedOn w:val="Heading2"/>
    <w:next w:val="Normal"/>
    <w:link w:val="Appendixhead2Char"/>
    <w:uiPriority w:val="3"/>
    <w:rsid w:val="00A95553"/>
    <w:pPr>
      <w:numPr>
        <w:numId w:val="11"/>
      </w:numPr>
      <w:tabs>
        <w:tab w:val="left" w:pos="851"/>
      </w:tabs>
      <w:outlineLvl w:val="9"/>
    </w:pPr>
    <w:rPr>
      <w:rFonts w:eastAsia="Times New Roman" w:cs="Times New Roman"/>
      <w:bCs w:val="0"/>
      <w:szCs w:val="28"/>
      <w:lang w:eastAsia="en-AU"/>
    </w:rPr>
  </w:style>
  <w:style w:type="paragraph" w:customStyle="1" w:styleId="Appendixhead3">
    <w:name w:val="Appendix_head_3"/>
    <w:basedOn w:val="Heading3"/>
    <w:next w:val="Normal"/>
    <w:link w:val="Appendixhead3Char"/>
    <w:uiPriority w:val="3"/>
    <w:rsid w:val="00E06F2E"/>
    <w:pPr>
      <w:numPr>
        <w:numId w:val="11"/>
      </w:numPr>
      <w:outlineLvl w:val="9"/>
    </w:pPr>
    <w:rPr>
      <w:rFonts w:eastAsia="Times New Roman" w:cs="Times New Roman"/>
      <w:bCs w:val="0"/>
      <w:szCs w:val="20"/>
    </w:rPr>
  </w:style>
  <w:style w:type="paragraph" w:customStyle="1" w:styleId="Appendixhead4">
    <w:name w:val="Appendix_head_4"/>
    <w:basedOn w:val="Heading4"/>
    <w:next w:val="Normal"/>
    <w:uiPriority w:val="3"/>
    <w:rsid w:val="00F84828"/>
    <w:pPr>
      <w:numPr>
        <w:numId w:val="11"/>
      </w:numPr>
      <w:tabs>
        <w:tab w:val="clear" w:pos="340"/>
      </w:tabs>
      <w:outlineLvl w:val="9"/>
    </w:pPr>
    <w:rPr>
      <w:rFonts w:eastAsia="Times New Roman" w:cs="Times New Roman"/>
      <w:bCs w:val="0"/>
      <w:iCs w:val="0"/>
      <w:szCs w:val="24"/>
      <w:lang w:eastAsia="en-AU"/>
    </w:rPr>
  </w:style>
  <w:style w:type="paragraph" w:customStyle="1" w:styleId="Appendixhead1">
    <w:name w:val="Appendix_head_1"/>
    <w:basedOn w:val="Normal"/>
    <w:next w:val="Normal"/>
    <w:link w:val="Appendixhead1Char"/>
    <w:uiPriority w:val="3"/>
    <w:rsid w:val="009E2F33"/>
    <w:pPr>
      <w:keepNext/>
      <w:keepLines/>
      <w:pageBreakBefore/>
      <w:numPr>
        <w:numId w:val="11"/>
      </w:numPr>
      <w:spacing w:after="480" w:line="720" w:lineRule="atLeast"/>
    </w:pPr>
    <w:rPr>
      <w:rFonts w:eastAsia="Times New Roman" w:cs="Arial"/>
      <w:sz w:val="60"/>
      <w:szCs w:val="20"/>
    </w:rPr>
  </w:style>
  <w:style w:type="character" w:customStyle="1" w:styleId="Appendixhead1Char">
    <w:name w:val="Appendix_head_1 Char"/>
    <w:basedOn w:val="DefaultParagraphFont"/>
    <w:link w:val="Appendixhead1"/>
    <w:uiPriority w:val="3"/>
    <w:rsid w:val="009E2F33"/>
    <w:rPr>
      <w:rFonts w:eastAsia="Times New Roman" w:cs="Arial"/>
      <w:sz w:val="60"/>
      <w:szCs w:val="20"/>
      <w:lang w:val="en-AU"/>
    </w:rPr>
  </w:style>
  <w:style w:type="paragraph" w:customStyle="1" w:styleId="AppendixTableCaption">
    <w:name w:val="Appendix Table Caption"/>
    <w:basedOn w:val="Appendixhead4"/>
    <w:next w:val="Normal"/>
    <w:link w:val="AppendixTableCaptionChar"/>
    <w:uiPriority w:val="4"/>
    <w:rsid w:val="00CA0756"/>
    <w:pPr>
      <w:numPr>
        <w:ilvl w:val="6"/>
      </w:numPr>
      <w:spacing w:after="240"/>
      <w:outlineLvl w:val="7"/>
    </w:pPr>
    <w:rPr>
      <w:b w:val="0"/>
      <w:sz w:val="17"/>
      <w:szCs w:val="22"/>
    </w:rPr>
  </w:style>
  <w:style w:type="paragraph" w:customStyle="1" w:styleId="AppendixChartCaption">
    <w:name w:val="Appendix Chart Caption"/>
    <w:basedOn w:val="AppendixTableCaption"/>
    <w:next w:val="Normal"/>
    <w:link w:val="AppendixChartCaptionChar"/>
    <w:uiPriority w:val="4"/>
    <w:rsid w:val="00CA0756"/>
    <w:pPr>
      <w:numPr>
        <w:ilvl w:val="7"/>
      </w:numPr>
      <w:outlineLvl w:val="5"/>
    </w:pPr>
  </w:style>
  <w:style w:type="paragraph" w:customStyle="1" w:styleId="AppendixFigureCaption">
    <w:name w:val="Appendix Figure Caption"/>
    <w:basedOn w:val="AppendixChartCaption"/>
    <w:next w:val="Normal"/>
    <w:link w:val="AppendixFigureCaptionChar"/>
    <w:uiPriority w:val="4"/>
    <w:rsid w:val="00CA0756"/>
    <w:pPr>
      <w:numPr>
        <w:ilvl w:val="8"/>
      </w:numPr>
      <w:outlineLvl w:val="6"/>
    </w:pPr>
  </w:style>
  <w:style w:type="character" w:customStyle="1" w:styleId="Appendixhead2Char">
    <w:name w:val="Appendix_head_2 Char"/>
    <w:basedOn w:val="DefaultParagraphFont"/>
    <w:link w:val="Appendixhead2"/>
    <w:uiPriority w:val="3"/>
    <w:rsid w:val="00A95553"/>
    <w:rPr>
      <w:rFonts w:eastAsia="Times New Roman" w:cs="Times New Roman"/>
      <w:b/>
      <w:color w:val="62B5E5" w:themeColor="accent3"/>
      <w:sz w:val="22"/>
      <w:szCs w:val="28"/>
      <w:lang w:val="en-AU" w:eastAsia="en-AU"/>
    </w:rPr>
  </w:style>
  <w:style w:type="character" w:customStyle="1" w:styleId="AppendixTableCaptionChar">
    <w:name w:val="Appendix Table Caption Char"/>
    <w:basedOn w:val="DefaultParagraphFont"/>
    <w:link w:val="AppendixTableCaption"/>
    <w:uiPriority w:val="4"/>
    <w:rsid w:val="00CA0756"/>
    <w:rPr>
      <w:rFonts w:eastAsia="Times New Roman" w:cs="Times New Roman"/>
      <w:color w:val="75787B" w:themeColor="accent6"/>
      <w:sz w:val="17"/>
      <w:szCs w:val="22"/>
      <w:lang w:val="en-AU" w:eastAsia="en-AU"/>
    </w:rPr>
  </w:style>
  <w:style w:type="character" w:customStyle="1" w:styleId="Appendixhead3Char">
    <w:name w:val="Appendix_head_3 Char"/>
    <w:basedOn w:val="DefaultParagraphFont"/>
    <w:link w:val="Appendixhead3"/>
    <w:uiPriority w:val="3"/>
    <w:rsid w:val="00E06F2E"/>
    <w:rPr>
      <w:rFonts w:eastAsia="Times New Roman" w:cs="Times New Roman"/>
      <w:b/>
      <w:szCs w:val="20"/>
      <w:lang w:val="en-AU"/>
    </w:rPr>
  </w:style>
  <w:style w:type="character" w:customStyle="1" w:styleId="AppendixFigureCaptionChar">
    <w:name w:val="Appendix Figure Caption Char"/>
    <w:basedOn w:val="DefaultParagraphFont"/>
    <w:link w:val="AppendixFigureCaption"/>
    <w:uiPriority w:val="4"/>
    <w:rsid w:val="00CA0756"/>
    <w:rPr>
      <w:rFonts w:eastAsia="Times New Roman" w:cs="Times New Roman"/>
      <w:color w:val="75787B" w:themeColor="accent6"/>
      <w:sz w:val="17"/>
      <w:szCs w:val="22"/>
      <w:lang w:val="en-AU" w:eastAsia="en-AU"/>
    </w:rPr>
  </w:style>
  <w:style w:type="character" w:customStyle="1" w:styleId="AppendixChartCaptionChar">
    <w:name w:val="Appendix Chart Caption Char"/>
    <w:basedOn w:val="AppendixTableCaptionChar"/>
    <w:link w:val="AppendixChartCaption"/>
    <w:uiPriority w:val="4"/>
    <w:rsid w:val="00CA0756"/>
    <w:rPr>
      <w:rFonts w:eastAsia="Times New Roman" w:cs="Times New Roman"/>
      <w:color w:val="75787B" w:themeColor="accent6"/>
      <w:sz w:val="17"/>
      <w:szCs w:val="22"/>
      <w:lang w:val="en-AU" w:eastAsia="en-AU"/>
    </w:rPr>
  </w:style>
  <w:style w:type="paragraph" w:customStyle="1" w:styleId="SourcetextTableorChart">
    <w:name w:val="Source text Table or Chart"/>
    <w:basedOn w:val="Caption"/>
    <w:next w:val="Normal"/>
    <w:uiPriority w:val="6"/>
    <w:semiHidden/>
    <w:rsid w:val="00B5479F"/>
    <w:pPr>
      <w:keepNext w:val="0"/>
      <w:keepLines w:val="0"/>
      <w:spacing w:before="120"/>
    </w:pPr>
    <w:rPr>
      <w:sz w:val="14"/>
    </w:rPr>
  </w:style>
  <w:style w:type="paragraph" w:customStyle="1" w:styleId="AlphabeticList">
    <w:name w:val="Alphabetic List"/>
    <w:basedOn w:val="Normal"/>
    <w:uiPriority w:val="4"/>
    <w:qFormat/>
    <w:rsid w:val="007F7A8C"/>
    <w:pPr>
      <w:numPr>
        <w:numId w:val="12"/>
      </w:numPr>
      <w:spacing w:after="0"/>
      <w:contextualSpacing/>
    </w:pPr>
    <w:rPr>
      <w:rFonts w:eastAsia="Times New Roman" w:cs="Times New Roman"/>
      <w:szCs w:val="20"/>
    </w:rPr>
  </w:style>
  <w:style w:type="paragraph" w:customStyle="1" w:styleId="CV-Heading">
    <w:name w:val="CV - Heading"/>
    <w:basedOn w:val="Normal"/>
    <w:uiPriority w:val="7"/>
    <w:rsid w:val="005B00B8"/>
    <w:pPr>
      <w:spacing w:before="240" w:after="0"/>
      <w:contextualSpacing/>
    </w:pPr>
    <w:rPr>
      <w:b/>
    </w:rPr>
  </w:style>
  <w:style w:type="paragraph" w:customStyle="1" w:styleId="TableHeadingCentre">
    <w:name w:val="Table Heading Centre"/>
    <w:basedOn w:val="TableHeadingLeft"/>
    <w:uiPriority w:val="5"/>
    <w:rsid w:val="00BD7322"/>
    <w:pPr>
      <w:jc w:val="center"/>
    </w:pPr>
  </w:style>
  <w:style w:type="paragraph" w:customStyle="1" w:styleId="TableHeadingRight">
    <w:name w:val="Table Heading Right"/>
    <w:basedOn w:val="TableHeadingCentre"/>
    <w:uiPriority w:val="5"/>
    <w:rsid w:val="00BD7322"/>
    <w:pPr>
      <w:jc w:val="right"/>
    </w:pPr>
  </w:style>
  <w:style w:type="paragraph" w:customStyle="1" w:styleId="TabletextRight">
    <w:name w:val="Table text Right"/>
    <w:basedOn w:val="TabletextLeft"/>
    <w:uiPriority w:val="5"/>
    <w:rsid w:val="002E67BC"/>
    <w:pPr>
      <w:jc w:val="right"/>
    </w:pPr>
  </w:style>
  <w:style w:type="paragraph" w:customStyle="1" w:styleId="TabletextCentre">
    <w:name w:val="Table text Centre"/>
    <w:basedOn w:val="TabletextRight"/>
    <w:uiPriority w:val="5"/>
    <w:rsid w:val="00BD7322"/>
    <w:pPr>
      <w:jc w:val="center"/>
    </w:pPr>
  </w:style>
  <w:style w:type="paragraph" w:customStyle="1" w:styleId="TableNote">
    <w:name w:val="Table Note"/>
    <w:basedOn w:val="TabletextLeft"/>
    <w:uiPriority w:val="5"/>
    <w:semiHidden/>
    <w:rsid w:val="002E67BC"/>
    <w:rPr>
      <w:sz w:val="15"/>
    </w:rPr>
  </w:style>
  <w:style w:type="paragraph" w:customStyle="1" w:styleId="TabletextCentreTotal">
    <w:name w:val="Table text Centre Total"/>
    <w:basedOn w:val="TabletextCentre"/>
    <w:uiPriority w:val="5"/>
    <w:rsid w:val="00BD7322"/>
    <w:rPr>
      <w:b/>
    </w:rPr>
  </w:style>
  <w:style w:type="paragraph" w:customStyle="1" w:styleId="AlphabeticList2">
    <w:name w:val="Alphabetic List 2"/>
    <w:basedOn w:val="AlphabeticList"/>
    <w:uiPriority w:val="4"/>
    <w:qFormat/>
    <w:rsid w:val="000A0317"/>
    <w:pPr>
      <w:numPr>
        <w:ilvl w:val="1"/>
      </w:numPr>
    </w:pPr>
  </w:style>
  <w:style w:type="table" w:styleId="GridTable1Light">
    <w:name w:val="Grid Table 1 Light"/>
    <w:basedOn w:val="TableNormal"/>
    <w:uiPriority w:val="46"/>
    <w:rsid w:val="000116B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116B0"/>
    <w:pPr>
      <w:spacing w:line="240" w:lineRule="auto"/>
    </w:pPr>
    <w:tblPr>
      <w:tblStyleRowBandSize w:val="1"/>
      <w:tblStyleColBandSize w:val="1"/>
      <w:tblBorders>
        <w:top w:val="single" w:sz="4" w:space="0" w:color="D0EC9F" w:themeColor="accent1" w:themeTint="66"/>
        <w:left w:val="single" w:sz="4" w:space="0" w:color="D0EC9F" w:themeColor="accent1" w:themeTint="66"/>
        <w:bottom w:val="single" w:sz="4" w:space="0" w:color="D0EC9F" w:themeColor="accent1" w:themeTint="66"/>
        <w:right w:val="single" w:sz="4" w:space="0" w:color="D0EC9F" w:themeColor="accent1" w:themeTint="66"/>
        <w:insideH w:val="single" w:sz="4" w:space="0" w:color="D0EC9F" w:themeColor="accent1" w:themeTint="66"/>
        <w:insideV w:val="single" w:sz="4" w:space="0" w:color="D0EC9F" w:themeColor="accent1" w:themeTint="66"/>
      </w:tblBorders>
    </w:tblPr>
    <w:tblStylePr w:type="firstRow">
      <w:rPr>
        <w:b/>
        <w:bCs/>
      </w:rPr>
      <w:tblPr/>
      <w:tcPr>
        <w:tcBorders>
          <w:bottom w:val="single" w:sz="12" w:space="0" w:color="B9E370" w:themeColor="accent1" w:themeTint="99"/>
        </w:tcBorders>
      </w:tcPr>
    </w:tblStylePr>
    <w:tblStylePr w:type="lastRow">
      <w:rPr>
        <w:b/>
        <w:bCs/>
      </w:rPr>
      <w:tblPr/>
      <w:tcPr>
        <w:tcBorders>
          <w:top w:val="double" w:sz="2" w:space="0" w:color="B9E3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116B0"/>
    <w:pPr>
      <w:spacing w:line="240" w:lineRule="auto"/>
    </w:pPr>
    <w:tblPr>
      <w:tblStyleRowBandSize w:val="1"/>
      <w:tblStyleColBandSize w:val="1"/>
      <w:tblBorders>
        <w:top w:val="single" w:sz="4" w:space="0" w:color="64F9B0" w:themeColor="accent2" w:themeTint="66"/>
        <w:left w:val="single" w:sz="4" w:space="0" w:color="64F9B0" w:themeColor="accent2" w:themeTint="66"/>
        <w:bottom w:val="single" w:sz="4" w:space="0" w:color="64F9B0" w:themeColor="accent2" w:themeTint="66"/>
        <w:right w:val="single" w:sz="4" w:space="0" w:color="64F9B0" w:themeColor="accent2" w:themeTint="66"/>
        <w:insideH w:val="single" w:sz="4" w:space="0" w:color="64F9B0" w:themeColor="accent2" w:themeTint="66"/>
        <w:insideV w:val="single" w:sz="4" w:space="0" w:color="64F9B0" w:themeColor="accent2" w:themeTint="66"/>
      </w:tblBorders>
    </w:tblPr>
    <w:tblStylePr w:type="firstRow">
      <w:rPr>
        <w:b/>
        <w:bCs/>
      </w:rPr>
      <w:tblPr/>
      <w:tcPr>
        <w:tcBorders>
          <w:bottom w:val="single" w:sz="12" w:space="0" w:color="17F689" w:themeColor="accent2" w:themeTint="99"/>
        </w:tcBorders>
      </w:tcPr>
    </w:tblStylePr>
    <w:tblStylePr w:type="lastRow">
      <w:rPr>
        <w:b/>
        <w:bCs/>
      </w:rPr>
      <w:tblPr/>
      <w:tcPr>
        <w:tcBorders>
          <w:top w:val="double" w:sz="2" w:space="0" w:color="17F68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116B0"/>
    <w:pPr>
      <w:spacing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116B0"/>
    <w:pPr>
      <w:spacing w:line="240" w:lineRule="auto"/>
    </w:pPr>
    <w:tblPr>
      <w:tblStyleRowBandSize w:val="1"/>
      <w:tblStyleColBandSize w:val="1"/>
      <w:tblBorders>
        <w:top w:val="single" w:sz="4" w:space="0" w:color="5E8FFD" w:themeColor="accent4" w:themeTint="66"/>
        <w:left w:val="single" w:sz="4" w:space="0" w:color="5E8FFD" w:themeColor="accent4" w:themeTint="66"/>
        <w:bottom w:val="single" w:sz="4" w:space="0" w:color="5E8FFD" w:themeColor="accent4" w:themeTint="66"/>
        <w:right w:val="single" w:sz="4" w:space="0" w:color="5E8FFD" w:themeColor="accent4" w:themeTint="66"/>
        <w:insideH w:val="single" w:sz="4" w:space="0" w:color="5E8FFD" w:themeColor="accent4" w:themeTint="66"/>
        <w:insideV w:val="single" w:sz="4" w:space="0" w:color="5E8FFD" w:themeColor="accent4" w:themeTint="66"/>
      </w:tblBorders>
    </w:tblPr>
    <w:tblStylePr w:type="firstRow">
      <w:rPr>
        <w:b/>
        <w:bCs/>
      </w:rPr>
      <w:tblPr/>
      <w:tcPr>
        <w:tcBorders>
          <w:bottom w:val="single" w:sz="12" w:space="0" w:color="0E57FC" w:themeColor="accent4" w:themeTint="99"/>
        </w:tcBorders>
      </w:tcPr>
    </w:tblStylePr>
    <w:tblStylePr w:type="lastRow">
      <w:rPr>
        <w:b/>
        <w:bCs/>
      </w:rPr>
      <w:tblPr/>
      <w:tcPr>
        <w:tcBorders>
          <w:top w:val="double" w:sz="2" w:space="0" w:color="0E57F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116B0"/>
    <w:pPr>
      <w:spacing w:line="240" w:lineRule="auto"/>
    </w:pPr>
    <w:tblPr>
      <w:tblStyleRowBandSize w:val="1"/>
      <w:tblStyleColBandSize w:val="1"/>
      <w:tblBorders>
        <w:top w:val="single" w:sz="4" w:space="0" w:color="76EFFF" w:themeColor="accent5" w:themeTint="66"/>
        <w:left w:val="single" w:sz="4" w:space="0" w:color="76EFFF" w:themeColor="accent5" w:themeTint="66"/>
        <w:bottom w:val="single" w:sz="4" w:space="0" w:color="76EFFF" w:themeColor="accent5" w:themeTint="66"/>
        <w:right w:val="single" w:sz="4" w:space="0" w:color="76EFFF" w:themeColor="accent5" w:themeTint="66"/>
        <w:insideH w:val="single" w:sz="4" w:space="0" w:color="76EFFF" w:themeColor="accent5" w:themeTint="66"/>
        <w:insideV w:val="single" w:sz="4" w:space="0" w:color="76EFFF" w:themeColor="accent5" w:themeTint="66"/>
      </w:tblBorders>
    </w:tblPr>
    <w:tblStylePr w:type="firstRow">
      <w:rPr>
        <w:b/>
        <w:bCs/>
      </w:rPr>
      <w:tblPr/>
      <w:tcPr>
        <w:tcBorders>
          <w:bottom w:val="single" w:sz="12" w:space="0" w:color="32E8FF" w:themeColor="accent5" w:themeTint="99"/>
        </w:tcBorders>
      </w:tcPr>
    </w:tblStylePr>
    <w:tblStylePr w:type="lastRow">
      <w:rPr>
        <w:b/>
        <w:bCs/>
      </w:rPr>
      <w:tblPr/>
      <w:tcPr>
        <w:tcBorders>
          <w:top w:val="double" w:sz="2" w:space="0" w:color="32E8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116B0"/>
    <w:pPr>
      <w:spacing w:line="240" w:lineRule="auto"/>
    </w:pPr>
    <w:tblPr>
      <w:tblStyleRowBandSize w:val="1"/>
      <w:tblStyleColBandSize w:val="1"/>
      <w:tblBorders>
        <w:top w:val="single" w:sz="4" w:space="0" w:color="C7C8CA" w:themeColor="accent6" w:themeTint="66"/>
        <w:left w:val="single" w:sz="4" w:space="0" w:color="C7C8CA" w:themeColor="accent6" w:themeTint="66"/>
        <w:bottom w:val="single" w:sz="4" w:space="0" w:color="C7C8CA" w:themeColor="accent6" w:themeTint="66"/>
        <w:right w:val="single" w:sz="4" w:space="0" w:color="C7C8CA" w:themeColor="accent6" w:themeTint="66"/>
        <w:insideH w:val="single" w:sz="4" w:space="0" w:color="C7C8CA" w:themeColor="accent6" w:themeTint="66"/>
        <w:insideV w:val="single" w:sz="4" w:space="0" w:color="C7C8CA" w:themeColor="accent6" w:themeTint="66"/>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2" w:space="0" w:color="ABADB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116B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116B0"/>
    <w:pPr>
      <w:spacing w:line="240" w:lineRule="auto"/>
    </w:pPr>
    <w:tblPr>
      <w:tblStyleRowBandSize w:val="1"/>
      <w:tblStyleColBandSize w:val="1"/>
      <w:tblBorders>
        <w:top w:val="single" w:sz="2" w:space="0" w:color="B9E370" w:themeColor="accent1" w:themeTint="99"/>
        <w:bottom w:val="single" w:sz="2" w:space="0" w:color="B9E370" w:themeColor="accent1" w:themeTint="99"/>
        <w:insideH w:val="single" w:sz="2" w:space="0" w:color="B9E370" w:themeColor="accent1" w:themeTint="99"/>
        <w:insideV w:val="single" w:sz="2" w:space="0" w:color="B9E370" w:themeColor="accent1" w:themeTint="99"/>
      </w:tblBorders>
    </w:tblPr>
    <w:tblStylePr w:type="firstRow">
      <w:rPr>
        <w:b/>
        <w:bCs/>
      </w:rPr>
      <w:tblPr/>
      <w:tcPr>
        <w:tcBorders>
          <w:top w:val="nil"/>
          <w:bottom w:val="single" w:sz="12" w:space="0" w:color="B9E370" w:themeColor="accent1" w:themeTint="99"/>
          <w:insideH w:val="nil"/>
          <w:insideV w:val="nil"/>
        </w:tcBorders>
        <w:shd w:val="clear" w:color="auto" w:fill="FFFFFF" w:themeFill="background1"/>
      </w:tcPr>
    </w:tblStylePr>
    <w:tblStylePr w:type="lastRow">
      <w:rPr>
        <w:b/>
        <w:bCs/>
      </w:rPr>
      <w:tblPr/>
      <w:tcPr>
        <w:tcBorders>
          <w:top w:val="double" w:sz="2" w:space="0" w:color="B9E3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GridTable2-Accent2">
    <w:name w:val="Grid Table 2 Accent 2"/>
    <w:basedOn w:val="TableNormal"/>
    <w:uiPriority w:val="47"/>
    <w:rsid w:val="000116B0"/>
    <w:pPr>
      <w:spacing w:line="240" w:lineRule="auto"/>
    </w:pPr>
    <w:tblPr>
      <w:tblStyleRowBandSize w:val="1"/>
      <w:tblStyleColBandSize w:val="1"/>
      <w:tblBorders>
        <w:top w:val="single" w:sz="2" w:space="0" w:color="17F689" w:themeColor="accent2" w:themeTint="99"/>
        <w:bottom w:val="single" w:sz="2" w:space="0" w:color="17F689" w:themeColor="accent2" w:themeTint="99"/>
        <w:insideH w:val="single" w:sz="2" w:space="0" w:color="17F689" w:themeColor="accent2" w:themeTint="99"/>
        <w:insideV w:val="single" w:sz="2" w:space="0" w:color="17F689" w:themeColor="accent2" w:themeTint="99"/>
      </w:tblBorders>
    </w:tblPr>
    <w:tblStylePr w:type="firstRow">
      <w:rPr>
        <w:b/>
        <w:bCs/>
      </w:rPr>
      <w:tblPr/>
      <w:tcPr>
        <w:tcBorders>
          <w:top w:val="nil"/>
          <w:bottom w:val="single" w:sz="12" w:space="0" w:color="17F689" w:themeColor="accent2" w:themeTint="99"/>
          <w:insideH w:val="nil"/>
          <w:insideV w:val="nil"/>
        </w:tcBorders>
        <w:shd w:val="clear" w:color="auto" w:fill="FFFFFF" w:themeFill="background1"/>
      </w:tcPr>
    </w:tblStylePr>
    <w:tblStylePr w:type="lastRow">
      <w:rPr>
        <w:b/>
        <w:bCs/>
      </w:rPr>
      <w:tblPr/>
      <w:tcPr>
        <w:tcBorders>
          <w:top w:val="double" w:sz="2" w:space="0" w:color="17F68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styleId="GridTable2-Accent3">
    <w:name w:val="Grid Table 2 Accent 3"/>
    <w:basedOn w:val="TableNormal"/>
    <w:uiPriority w:val="47"/>
    <w:rsid w:val="000116B0"/>
    <w:pPr>
      <w:spacing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GridTable2-Accent4">
    <w:name w:val="Grid Table 2 Accent 4"/>
    <w:basedOn w:val="TableNormal"/>
    <w:uiPriority w:val="47"/>
    <w:rsid w:val="000116B0"/>
    <w:pPr>
      <w:spacing w:line="240" w:lineRule="auto"/>
    </w:pPr>
    <w:tblPr>
      <w:tblStyleRowBandSize w:val="1"/>
      <w:tblStyleColBandSize w:val="1"/>
      <w:tblBorders>
        <w:top w:val="single" w:sz="2" w:space="0" w:color="0E57FC" w:themeColor="accent4" w:themeTint="99"/>
        <w:bottom w:val="single" w:sz="2" w:space="0" w:color="0E57FC" w:themeColor="accent4" w:themeTint="99"/>
        <w:insideH w:val="single" w:sz="2" w:space="0" w:color="0E57FC" w:themeColor="accent4" w:themeTint="99"/>
        <w:insideV w:val="single" w:sz="2" w:space="0" w:color="0E57FC" w:themeColor="accent4" w:themeTint="99"/>
      </w:tblBorders>
    </w:tblPr>
    <w:tblStylePr w:type="firstRow">
      <w:rPr>
        <w:b/>
        <w:bCs/>
      </w:rPr>
      <w:tblPr/>
      <w:tcPr>
        <w:tcBorders>
          <w:top w:val="nil"/>
          <w:bottom w:val="single" w:sz="12" w:space="0" w:color="0E57FC" w:themeColor="accent4" w:themeTint="99"/>
          <w:insideH w:val="nil"/>
          <w:insideV w:val="nil"/>
        </w:tcBorders>
        <w:shd w:val="clear" w:color="auto" w:fill="FFFFFF" w:themeFill="background1"/>
      </w:tcPr>
    </w:tblStylePr>
    <w:tblStylePr w:type="lastRow">
      <w:rPr>
        <w:b/>
        <w:bCs/>
      </w:rPr>
      <w:tblPr/>
      <w:tcPr>
        <w:tcBorders>
          <w:top w:val="double" w:sz="2" w:space="0" w:color="0E57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styleId="GridTable2-Accent5">
    <w:name w:val="Grid Table 2 Accent 5"/>
    <w:basedOn w:val="TableNormal"/>
    <w:uiPriority w:val="47"/>
    <w:rsid w:val="000116B0"/>
    <w:pPr>
      <w:spacing w:line="240" w:lineRule="auto"/>
    </w:pPr>
    <w:tblPr>
      <w:tblStyleRowBandSize w:val="1"/>
      <w:tblStyleColBandSize w:val="1"/>
      <w:tblBorders>
        <w:top w:val="single" w:sz="2" w:space="0" w:color="32E8FF" w:themeColor="accent5" w:themeTint="99"/>
        <w:bottom w:val="single" w:sz="2" w:space="0" w:color="32E8FF" w:themeColor="accent5" w:themeTint="99"/>
        <w:insideH w:val="single" w:sz="2" w:space="0" w:color="32E8FF" w:themeColor="accent5" w:themeTint="99"/>
        <w:insideV w:val="single" w:sz="2" w:space="0" w:color="32E8FF" w:themeColor="accent5" w:themeTint="99"/>
      </w:tblBorders>
    </w:tblPr>
    <w:tblStylePr w:type="firstRow">
      <w:rPr>
        <w:b/>
        <w:bCs/>
      </w:rPr>
      <w:tblPr/>
      <w:tcPr>
        <w:tcBorders>
          <w:top w:val="nil"/>
          <w:bottom w:val="single" w:sz="12" w:space="0" w:color="32E8FF" w:themeColor="accent5" w:themeTint="99"/>
          <w:insideH w:val="nil"/>
          <w:insideV w:val="nil"/>
        </w:tcBorders>
        <w:shd w:val="clear" w:color="auto" w:fill="FFFFFF" w:themeFill="background1"/>
      </w:tcPr>
    </w:tblStylePr>
    <w:tblStylePr w:type="lastRow">
      <w:rPr>
        <w:b/>
        <w:bCs/>
      </w:rPr>
      <w:tblPr/>
      <w:tcPr>
        <w:tcBorders>
          <w:top w:val="double" w:sz="2" w:space="0" w:color="32E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styleId="GridTable2-Accent6">
    <w:name w:val="Grid Table 2 Accent 6"/>
    <w:basedOn w:val="TableNormal"/>
    <w:uiPriority w:val="47"/>
    <w:rsid w:val="000116B0"/>
    <w:pPr>
      <w:spacing w:line="240" w:lineRule="auto"/>
    </w:pPr>
    <w:tblPr>
      <w:tblStyleRowBandSize w:val="1"/>
      <w:tblStyleColBandSize w:val="1"/>
      <w:tblBorders>
        <w:top w:val="single" w:sz="2" w:space="0" w:color="ABADB0" w:themeColor="accent6" w:themeTint="99"/>
        <w:bottom w:val="single" w:sz="2" w:space="0" w:color="ABADB0" w:themeColor="accent6" w:themeTint="99"/>
        <w:insideH w:val="single" w:sz="2" w:space="0" w:color="ABADB0" w:themeColor="accent6" w:themeTint="99"/>
        <w:insideV w:val="single" w:sz="2" w:space="0" w:color="ABADB0" w:themeColor="accent6" w:themeTint="99"/>
      </w:tblBorders>
    </w:tblPr>
    <w:tblStylePr w:type="firstRow">
      <w:rPr>
        <w:b/>
        <w:bCs/>
      </w:rPr>
      <w:tblPr/>
      <w:tcPr>
        <w:tcBorders>
          <w:top w:val="nil"/>
          <w:bottom w:val="single" w:sz="12" w:space="0" w:color="ABADB0" w:themeColor="accent6" w:themeTint="99"/>
          <w:insideH w:val="nil"/>
          <w:insideV w:val="nil"/>
        </w:tcBorders>
        <w:shd w:val="clear" w:color="auto" w:fill="FFFFFF" w:themeFill="background1"/>
      </w:tcPr>
    </w:tblStylePr>
    <w:tblStylePr w:type="lastRow">
      <w:rPr>
        <w:b/>
        <w:bCs/>
      </w:rPr>
      <w:tblPr/>
      <w:tcPr>
        <w:tcBorders>
          <w:top w:val="double" w:sz="2" w:space="0" w:color="ABADB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GridTable3">
    <w:name w:val="Grid Table 3"/>
    <w:basedOn w:val="TableNormal"/>
    <w:uiPriority w:val="48"/>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bottom w:val="single" w:sz="4" w:space="0" w:color="B9E370" w:themeColor="accent1" w:themeTint="99"/>
        </w:tcBorders>
      </w:tcPr>
    </w:tblStylePr>
    <w:tblStylePr w:type="nwCell">
      <w:tblPr/>
      <w:tcPr>
        <w:tcBorders>
          <w:bottom w:val="single" w:sz="4" w:space="0" w:color="B9E370" w:themeColor="accent1" w:themeTint="99"/>
        </w:tcBorders>
      </w:tcPr>
    </w:tblStylePr>
    <w:tblStylePr w:type="seCell">
      <w:tblPr/>
      <w:tcPr>
        <w:tcBorders>
          <w:top w:val="single" w:sz="4" w:space="0" w:color="B9E370" w:themeColor="accent1" w:themeTint="99"/>
        </w:tcBorders>
      </w:tcPr>
    </w:tblStylePr>
    <w:tblStylePr w:type="swCell">
      <w:tblPr/>
      <w:tcPr>
        <w:tcBorders>
          <w:top w:val="single" w:sz="4" w:space="0" w:color="B9E370" w:themeColor="accent1" w:themeTint="99"/>
        </w:tcBorders>
      </w:tcPr>
    </w:tblStylePr>
  </w:style>
  <w:style w:type="table" w:styleId="GridTable3-Accent2">
    <w:name w:val="Grid Table 3 Accent 2"/>
    <w:basedOn w:val="TableNormal"/>
    <w:uiPriority w:val="48"/>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bottom w:val="single" w:sz="4" w:space="0" w:color="17F689" w:themeColor="accent2" w:themeTint="99"/>
        </w:tcBorders>
      </w:tcPr>
    </w:tblStylePr>
    <w:tblStylePr w:type="nwCell">
      <w:tblPr/>
      <w:tcPr>
        <w:tcBorders>
          <w:bottom w:val="single" w:sz="4" w:space="0" w:color="17F689" w:themeColor="accent2" w:themeTint="99"/>
        </w:tcBorders>
      </w:tcPr>
    </w:tblStylePr>
    <w:tblStylePr w:type="seCell">
      <w:tblPr/>
      <w:tcPr>
        <w:tcBorders>
          <w:top w:val="single" w:sz="4" w:space="0" w:color="17F689" w:themeColor="accent2" w:themeTint="99"/>
        </w:tcBorders>
      </w:tcPr>
    </w:tblStylePr>
    <w:tblStylePr w:type="swCell">
      <w:tblPr/>
      <w:tcPr>
        <w:tcBorders>
          <w:top w:val="single" w:sz="4" w:space="0" w:color="17F689" w:themeColor="accent2" w:themeTint="99"/>
        </w:tcBorders>
      </w:tcPr>
    </w:tblStylePr>
  </w:style>
  <w:style w:type="table" w:styleId="GridTable3-Accent3">
    <w:name w:val="Grid Table 3 Accent 3"/>
    <w:basedOn w:val="TableNormal"/>
    <w:uiPriority w:val="48"/>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bottom w:val="single" w:sz="4" w:space="0" w:color="A0D2EF" w:themeColor="accent3" w:themeTint="99"/>
        </w:tcBorders>
      </w:tcPr>
    </w:tblStylePr>
    <w:tblStylePr w:type="nwCell">
      <w:tblPr/>
      <w:tcPr>
        <w:tcBorders>
          <w:bottom w:val="single" w:sz="4" w:space="0" w:color="A0D2EF" w:themeColor="accent3" w:themeTint="99"/>
        </w:tcBorders>
      </w:tcPr>
    </w:tblStylePr>
    <w:tblStylePr w:type="seCell">
      <w:tblPr/>
      <w:tcPr>
        <w:tcBorders>
          <w:top w:val="single" w:sz="4" w:space="0" w:color="A0D2EF" w:themeColor="accent3" w:themeTint="99"/>
        </w:tcBorders>
      </w:tcPr>
    </w:tblStylePr>
    <w:tblStylePr w:type="swCell">
      <w:tblPr/>
      <w:tcPr>
        <w:tcBorders>
          <w:top w:val="single" w:sz="4" w:space="0" w:color="A0D2EF" w:themeColor="accent3" w:themeTint="99"/>
        </w:tcBorders>
      </w:tcPr>
    </w:tblStylePr>
  </w:style>
  <w:style w:type="table" w:styleId="GridTable3-Accent4">
    <w:name w:val="Grid Table 3 Accent 4"/>
    <w:basedOn w:val="TableNormal"/>
    <w:uiPriority w:val="48"/>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bottom w:val="single" w:sz="4" w:space="0" w:color="0E57FC" w:themeColor="accent4" w:themeTint="99"/>
        </w:tcBorders>
      </w:tcPr>
    </w:tblStylePr>
    <w:tblStylePr w:type="nwCell">
      <w:tblPr/>
      <w:tcPr>
        <w:tcBorders>
          <w:bottom w:val="single" w:sz="4" w:space="0" w:color="0E57FC" w:themeColor="accent4" w:themeTint="99"/>
        </w:tcBorders>
      </w:tcPr>
    </w:tblStylePr>
    <w:tblStylePr w:type="seCell">
      <w:tblPr/>
      <w:tcPr>
        <w:tcBorders>
          <w:top w:val="single" w:sz="4" w:space="0" w:color="0E57FC" w:themeColor="accent4" w:themeTint="99"/>
        </w:tcBorders>
      </w:tcPr>
    </w:tblStylePr>
    <w:tblStylePr w:type="swCell">
      <w:tblPr/>
      <w:tcPr>
        <w:tcBorders>
          <w:top w:val="single" w:sz="4" w:space="0" w:color="0E57FC" w:themeColor="accent4" w:themeTint="99"/>
        </w:tcBorders>
      </w:tcPr>
    </w:tblStylePr>
  </w:style>
  <w:style w:type="table" w:styleId="GridTable3-Accent5">
    <w:name w:val="Grid Table 3 Accent 5"/>
    <w:basedOn w:val="TableNormal"/>
    <w:uiPriority w:val="48"/>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bottom w:val="single" w:sz="4" w:space="0" w:color="32E8FF" w:themeColor="accent5" w:themeTint="99"/>
        </w:tcBorders>
      </w:tcPr>
    </w:tblStylePr>
    <w:tblStylePr w:type="nwCell">
      <w:tblPr/>
      <w:tcPr>
        <w:tcBorders>
          <w:bottom w:val="single" w:sz="4" w:space="0" w:color="32E8FF" w:themeColor="accent5" w:themeTint="99"/>
        </w:tcBorders>
      </w:tcPr>
    </w:tblStylePr>
    <w:tblStylePr w:type="seCell">
      <w:tblPr/>
      <w:tcPr>
        <w:tcBorders>
          <w:top w:val="single" w:sz="4" w:space="0" w:color="32E8FF" w:themeColor="accent5" w:themeTint="99"/>
        </w:tcBorders>
      </w:tcPr>
    </w:tblStylePr>
    <w:tblStylePr w:type="swCell">
      <w:tblPr/>
      <w:tcPr>
        <w:tcBorders>
          <w:top w:val="single" w:sz="4" w:space="0" w:color="32E8FF" w:themeColor="accent5" w:themeTint="99"/>
        </w:tcBorders>
      </w:tcPr>
    </w:tblStylePr>
  </w:style>
  <w:style w:type="table" w:styleId="GridTable3-Accent6">
    <w:name w:val="Grid Table 3 Accent 6"/>
    <w:basedOn w:val="TableNormal"/>
    <w:uiPriority w:val="48"/>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bottom w:val="single" w:sz="4" w:space="0" w:color="ABADB0" w:themeColor="accent6" w:themeTint="99"/>
        </w:tcBorders>
      </w:tcPr>
    </w:tblStylePr>
    <w:tblStylePr w:type="nwCell">
      <w:tblPr/>
      <w:tcPr>
        <w:tcBorders>
          <w:bottom w:val="single" w:sz="4" w:space="0" w:color="ABADB0" w:themeColor="accent6" w:themeTint="99"/>
        </w:tcBorders>
      </w:tcPr>
    </w:tblStylePr>
    <w:tblStylePr w:type="seCell">
      <w:tblPr/>
      <w:tcPr>
        <w:tcBorders>
          <w:top w:val="single" w:sz="4" w:space="0" w:color="ABADB0" w:themeColor="accent6" w:themeTint="99"/>
        </w:tcBorders>
      </w:tcPr>
    </w:tblStylePr>
    <w:tblStylePr w:type="swCell">
      <w:tblPr/>
      <w:tcPr>
        <w:tcBorders>
          <w:top w:val="single" w:sz="4" w:space="0" w:color="ABADB0" w:themeColor="accent6" w:themeTint="99"/>
        </w:tcBorders>
      </w:tcPr>
    </w:tblStylePr>
  </w:style>
  <w:style w:type="table" w:styleId="GridTable4">
    <w:name w:val="Grid Table 4"/>
    <w:basedOn w:val="TableNormal"/>
    <w:uiPriority w:val="49"/>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insideV w:val="nil"/>
        </w:tcBorders>
        <w:shd w:val="clear" w:color="auto" w:fill="86BC25" w:themeFill="accent1"/>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GridTable4-Accent2">
    <w:name w:val="Grid Table 4 Accent 2"/>
    <w:basedOn w:val="TableNormal"/>
    <w:uiPriority w:val="49"/>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color w:val="FFFFFF" w:themeColor="background1"/>
      </w:rPr>
      <w:tblPr/>
      <w:tcPr>
        <w:tcBorders>
          <w:top w:val="single" w:sz="4" w:space="0" w:color="046A38" w:themeColor="accent2"/>
          <w:left w:val="single" w:sz="4" w:space="0" w:color="046A38" w:themeColor="accent2"/>
          <w:bottom w:val="single" w:sz="4" w:space="0" w:color="046A38" w:themeColor="accent2"/>
          <w:right w:val="single" w:sz="4" w:space="0" w:color="046A38" w:themeColor="accent2"/>
          <w:insideH w:val="nil"/>
          <w:insideV w:val="nil"/>
        </w:tcBorders>
        <w:shd w:val="clear" w:color="auto" w:fill="046A38" w:themeFill="accent2"/>
      </w:tcPr>
    </w:tblStylePr>
    <w:tblStylePr w:type="lastRow">
      <w:rPr>
        <w:b/>
        <w:bCs/>
      </w:rPr>
      <w:tblPr/>
      <w:tcPr>
        <w:tcBorders>
          <w:top w:val="double" w:sz="4" w:space="0" w:color="046A38" w:themeColor="accent2"/>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styleId="GridTable4-Accent3">
    <w:name w:val="Grid Table 4 Accent 3"/>
    <w:basedOn w:val="TableNormal"/>
    <w:uiPriority w:val="49"/>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color w:val="FFFFFF" w:themeColor="background1"/>
      </w:rPr>
      <w:tblPr/>
      <w:tcPr>
        <w:tcBorders>
          <w:top w:val="single" w:sz="4" w:space="0" w:color="62B5E5" w:themeColor="accent3"/>
          <w:left w:val="single" w:sz="4" w:space="0" w:color="62B5E5" w:themeColor="accent3"/>
          <w:bottom w:val="single" w:sz="4" w:space="0" w:color="62B5E5" w:themeColor="accent3"/>
          <w:right w:val="single" w:sz="4" w:space="0" w:color="62B5E5" w:themeColor="accent3"/>
          <w:insideH w:val="nil"/>
          <w:insideV w:val="nil"/>
        </w:tcBorders>
        <w:shd w:val="clear" w:color="auto" w:fill="62B5E5" w:themeFill="accent3"/>
      </w:tcPr>
    </w:tblStylePr>
    <w:tblStylePr w:type="lastRow">
      <w:rPr>
        <w:b/>
        <w:bCs/>
      </w:rPr>
      <w:tblPr/>
      <w:tcPr>
        <w:tcBorders>
          <w:top w:val="double" w:sz="4" w:space="0" w:color="62B5E5" w:themeColor="accent3"/>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GridTable4-Accent4">
    <w:name w:val="Grid Table 4 Accent 4"/>
    <w:basedOn w:val="TableNormal"/>
    <w:uiPriority w:val="49"/>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color w:val="FFFFFF" w:themeColor="background1"/>
      </w:rPr>
      <w:tblPr/>
      <w:tcPr>
        <w:tcBorders>
          <w:top w:val="single" w:sz="4" w:space="0" w:color="012169" w:themeColor="accent4"/>
          <w:left w:val="single" w:sz="4" w:space="0" w:color="012169" w:themeColor="accent4"/>
          <w:bottom w:val="single" w:sz="4" w:space="0" w:color="012169" w:themeColor="accent4"/>
          <w:right w:val="single" w:sz="4" w:space="0" w:color="012169" w:themeColor="accent4"/>
          <w:insideH w:val="nil"/>
          <w:insideV w:val="nil"/>
        </w:tcBorders>
        <w:shd w:val="clear" w:color="auto" w:fill="012169" w:themeFill="accent4"/>
      </w:tcPr>
    </w:tblStylePr>
    <w:tblStylePr w:type="lastRow">
      <w:rPr>
        <w:b/>
        <w:bCs/>
      </w:rPr>
      <w:tblPr/>
      <w:tcPr>
        <w:tcBorders>
          <w:top w:val="double" w:sz="4" w:space="0" w:color="012169" w:themeColor="accent4"/>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styleId="GridTable4-Accent5">
    <w:name w:val="Grid Table 4 Accent 5"/>
    <w:basedOn w:val="TableNormal"/>
    <w:uiPriority w:val="49"/>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insideV w:val="nil"/>
        </w:tcBorders>
        <w:shd w:val="clear" w:color="auto" w:fill="0097A9" w:themeFill="accent5"/>
      </w:tcPr>
    </w:tblStylePr>
    <w:tblStylePr w:type="lastRow">
      <w:rPr>
        <w:b/>
        <w:bCs/>
      </w:rPr>
      <w:tblPr/>
      <w:tcPr>
        <w:tcBorders>
          <w:top w:val="double" w:sz="4" w:space="0" w:color="0097A9" w:themeColor="accent5"/>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styleId="GridTable4-Accent6">
    <w:name w:val="Grid Table 4 Accent 6"/>
    <w:basedOn w:val="TableNormal"/>
    <w:uiPriority w:val="49"/>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insideV w:val="nil"/>
        </w:tcBorders>
        <w:shd w:val="clear" w:color="auto" w:fill="75787B" w:themeFill="accent6"/>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GridTable5Dark">
    <w:name w:val="Grid Table 5 Dark"/>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BC2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BC2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BC2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BC25" w:themeFill="accent1"/>
      </w:tcPr>
    </w:tblStylePr>
    <w:tblStylePr w:type="band1Vert">
      <w:tblPr/>
      <w:tcPr>
        <w:shd w:val="clear" w:color="auto" w:fill="D0EC9F" w:themeFill="accent1" w:themeFillTint="66"/>
      </w:tcPr>
    </w:tblStylePr>
    <w:tblStylePr w:type="band1Horz">
      <w:tblPr/>
      <w:tcPr>
        <w:shd w:val="clear" w:color="auto" w:fill="D0EC9F" w:themeFill="accent1" w:themeFillTint="66"/>
      </w:tcPr>
    </w:tblStylePr>
  </w:style>
  <w:style w:type="table" w:styleId="GridTable5Dark-Accent2">
    <w:name w:val="Grid Table 5 Dark Accent 2"/>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C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A3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A3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A3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A38" w:themeFill="accent2"/>
      </w:tcPr>
    </w:tblStylePr>
    <w:tblStylePr w:type="band1Vert">
      <w:tblPr/>
      <w:tcPr>
        <w:shd w:val="clear" w:color="auto" w:fill="64F9B0" w:themeFill="accent2" w:themeFillTint="66"/>
      </w:tcPr>
    </w:tblStylePr>
    <w:tblStylePr w:type="band1Horz">
      <w:tblPr/>
      <w:tcPr>
        <w:shd w:val="clear" w:color="auto" w:fill="64F9B0" w:themeFill="accent2" w:themeFillTint="66"/>
      </w:tcPr>
    </w:tblStylePr>
  </w:style>
  <w:style w:type="table" w:styleId="GridTable5Dark-Accent3">
    <w:name w:val="Grid Table 5 Dark Accent 3"/>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B5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B5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B5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B5E5" w:themeFill="accent3"/>
      </w:tcPr>
    </w:tblStylePr>
    <w:tblStylePr w:type="band1Vert">
      <w:tblPr/>
      <w:tcPr>
        <w:shd w:val="clear" w:color="auto" w:fill="C0E1F4" w:themeFill="accent3" w:themeFillTint="66"/>
      </w:tcPr>
    </w:tblStylePr>
    <w:tblStylePr w:type="band1Horz">
      <w:tblPr/>
      <w:tcPr>
        <w:shd w:val="clear" w:color="auto" w:fill="C0E1F4" w:themeFill="accent3" w:themeFillTint="66"/>
      </w:tcPr>
    </w:tblStylePr>
  </w:style>
  <w:style w:type="table" w:styleId="GridTable5Dark-Accent4">
    <w:name w:val="Grid Table 5 Dark Accent 4"/>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EC7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216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216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216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2169" w:themeFill="accent4"/>
      </w:tcPr>
    </w:tblStylePr>
    <w:tblStylePr w:type="band1Vert">
      <w:tblPr/>
      <w:tcPr>
        <w:shd w:val="clear" w:color="auto" w:fill="5E8FFD" w:themeFill="accent4" w:themeFillTint="66"/>
      </w:tcPr>
    </w:tblStylePr>
    <w:tblStylePr w:type="band1Horz">
      <w:tblPr/>
      <w:tcPr>
        <w:shd w:val="clear" w:color="auto" w:fill="5E8FFD" w:themeFill="accent4" w:themeFillTint="66"/>
      </w:tcPr>
    </w:tblStylePr>
  </w:style>
  <w:style w:type="table" w:styleId="GridTable5Dark-Accent5">
    <w:name w:val="Grid Table 5 Dark Accent 5"/>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7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A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A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A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A9" w:themeFill="accent5"/>
      </w:tcPr>
    </w:tblStylePr>
    <w:tblStylePr w:type="band1Vert">
      <w:tblPr/>
      <w:tcPr>
        <w:shd w:val="clear" w:color="auto" w:fill="76EFFF" w:themeFill="accent5" w:themeFillTint="66"/>
      </w:tcPr>
    </w:tblStylePr>
    <w:tblStylePr w:type="band1Horz">
      <w:tblPr/>
      <w:tcPr>
        <w:shd w:val="clear" w:color="auto" w:fill="76EFFF" w:themeFill="accent5" w:themeFillTint="66"/>
      </w:tcPr>
    </w:tblStylePr>
  </w:style>
  <w:style w:type="table" w:styleId="GridTable5Dark-Accent6">
    <w:name w:val="Grid Table 5 Dark Accent 6"/>
    <w:basedOn w:val="TableNormal"/>
    <w:uiPriority w:val="50"/>
    <w:rsid w:val="000116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787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787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787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787B" w:themeFill="accent6"/>
      </w:tcPr>
    </w:tblStylePr>
    <w:tblStylePr w:type="band1Vert">
      <w:tblPr/>
      <w:tcPr>
        <w:shd w:val="clear" w:color="auto" w:fill="C7C8CA" w:themeFill="accent6" w:themeFillTint="66"/>
      </w:tcPr>
    </w:tblStylePr>
    <w:tblStylePr w:type="band1Horz">
      <w:tblPr/>
      <w:tcPr>
        <w:shd w:val="clear" w:color="auto" w:fill="C7C8CA" w:themeFill="accent6" w:themeFillTint="66"/>
      </w:tcPr>
    </w:tblStylePr>
  </w:style>
  <w:style w:type="table" w:styleId="GridTable6Colorful">
    <w:name w:val="Grid Table 6 Colorful"/>
    <w:basedOn w:val="TableNormal"/>
    <w:uiPriority w:val="51"/>
    <w:rsid w:val="000116B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116B0"/>
    <w:pPr>
      <w:spacing w:line="240" w:lineRule="auto"/>
    </w:pPr>
    <w:rPr>
      <w:color w:val="638C1B" w:themeColor="accent1" w:themeShade="BF"/>
    </w:r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bottom w:val="single" w:sz="12" w:space="0" w:color="B9E370" w:themeColor="accent1" w:themeTint="99"/>
        </w:tcBorders>
      </w:tcPr>
    </w:tblStylePr>
    <w:tblStylePr w:type="lastRow">
      <w:rPr>
        <w:b/>
        <w:bCs/>
      </w:rPr>
      <w:tblPr/>
      <w:tcPr>
        <w:tcBorders>
          <w:top w:val="doub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GridTable6Colorful-Accent2">
    <w:name w:val="Grid Table 6 Colorful Accent 2"/>
    <w:basedOn w:val="TableNormal"/>
    <w:uiPriority w:val="51"/>
    <w:rsid w:val="000116B0"/>
    <w:pPr>
      <w:spacing w:line="240" w:lineRule="auto"/>
    </w:pPr>
    <w:rPr>
      <w:color w:val="034F29" w:themeColor="accent2" w:themeShade="BF"/>
    </w:r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bottom w:val="single" w:sz="12" w:space="0" w:color="17F689" w:themeColor="accent2" w:themeTint="99"/>
        </w:tcBorders>
      </w:tcPr>
    </w:tblStylePr>
    <w:tblStylePr w:type="lastRow">
      <w:rPr>
        <w:b/>
        <w:bCs/>
      </w:rPr>
      <w:tblPr/>
      <w:tcPr>
        <w:tcBorders>
          <w:top w:val="doub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styleId="GridTable6Colorful-Accent3">
    <w:name w:val="Grid Table 6 Colorful Accent 3"/>
    <w:basedOn w:val="TableNormal"/>
    <w:uiPriority w:val="51"/>
    <w:rsid w:val="000116B0"/>
    <w:pPr>
      <w:spacing w:line="240" w:lineRule="auto"/>
    </w:pPr>
    <w:rPr>
      <w:color w:val="2291D1" w:themeColor="accent3" w:themeShade="BF"/>
    </w:r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GridTable6Colorful-Accent4">
    <w:name w:val="Grid Table 6 Colorful Accent 4"/>
    <w:basedOn w:val="TableNormal"/>
    <w:uiPriority w:val="51"/>
    <w:rsid w:val="000116B0"/>
    <w:pPr>
      <w:spacing w:line="240" w:lineRule="auto"/>
    </w:pPr>
    <w:rPr>
      <w:color w:val="00184E" w:themeColor="accent4" w:themeShade="BF"/>
    </w:r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bottom w:val="single" w:sz="12" w:space="0" w:color="0E57FC" w:themeColor="accent4" w:themeTint="99"/>
        </w:tcBorders>
      </w:tcPr>
    </w:tblStylePr>
    <w:tblStylePr w:type="lastRow">
      <w:rPr>
        <w:b/>
        <w:bCs/>
      </w:rPr>
      <w:tblPr/>
      <w:tcPr>
        <w:tcBorders>
          <w:top w:val="doub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styleId="GridTable6Colorful-Accent5">
    <w:name w:val="Grid Table 6 Colorful Accent 5"/>
    <w:basedOn w:val="TableNormal"/>
    <w:uiPriority w:val="51"/>
    <w:rsid w:val="000116B0"/>
    <w:pPr>
      <w:spacing w:line="240" w:lineRule="auto"/>
    </w:pPr>
    <w:rPr>
      <w:color w:val="00707E" w:themeColor="accent5" w:themeShade="BF"/>
    </w:r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bottom w:val="single" w:sz="12" w:space="0" w:color="32E8FF" w:themeColor="accent5" w:themeTint="99"/>
        </w:tcBorders>
      </w:tcPr>
    </w:tblStylePr>
    <w:tblStylePr w:type="lastRow">
      <w:rPr>
        <w:b/>
        <w:bCs/>
      </w:rPr>
      <w:tblPr/>
      <w:tcPr>
        <w:tcBorders>
          <w:top w:val="doub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styleId="GridTable6Colorful-Accent6">
    <w:name w:val="Grid Table 6 Colorful Accent 6"/>
    <w:basedOn w:val="TableNormal"/>
    <w:uiPriority w:val="51"/>
    <w:rsid w:val="000116B0"/>
    <w:pPr>
      <w:spacing w:line="240" w:lineRule="auto"/>
    </w:pPr>
    <w:rPr>
      <w:color w:val="57595C" w:themeColor="accent6" w:themeShade="BF"/>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bottom w:val="single" w:sz="12" w:space="0" w:color="ABADB0" w:themeColor="accent6" w:themeTint="99"/>
        </w:tcBorders>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GridTable7Colorful">
    <w:name w:val="Grid Table 7 Colorful"/>
    <w:basedOn w:val="TableNormal"/>
    <w:uiPriority w:val="52"/>
    <w:rsid w:val="000116B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116B0"/>
    <w:pPr>
      <w:spacing w:line="240" w:lineRule="auto"/>
    </w:pPr>
    <w:rPr>
      <w:color w:val="638C1B" w:themeColor="accent1" w:themeShade="BF"/>
    </w:r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insideV w:val="single" w:sz="4" w:space="0" w:color="B9E3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bottom w:val="single" w:sz="4" w:space="0" w:color="B9E370" w:themeColor="accent1" w:themeTint="99"/>
        </w:tcBorders>
      </w:tcPr>
    </w:tblStylePr>
    <w:tblStylePr w:type="nwCell">
      <w:tblPr/>
      <w:tcPr>
        <w:tcBorders>
          <w:bottom w:val="single" w:sz="4" w:space="0" w:color="B9E370" w:themeColor="accent1" w:themeTint="99"/>
        </w:tcBorders>
      </w:tcPr>
    </w:tblStylePr>
    <w:tblStylePr w:type="seCell">
      <w:tblPr/>
      <w:tcPr>
        <w:tcBorders>
          <w:top w:val="single" w:sz="4" w:space="0" w:color="B9E370" w:themeColor="accent1" w:themeTint="99"/>
        </w:tcBorders>
      </w:tcPr>
    </w:tblStylePr>
    <w:tblStylePr w:type="swCell">
      <w:tblPr/>
      <w:tcPr>
        <w:tcBorders>
          <w:top w:val="single" w:sz="4" w:space="0" w:color="B9E370" w:themeColor="accent1" w:themeTint="99"/>
        </w:tcBorders>
      </w:tcPr>
    </w:tblStylePr>
  </w:style>
  <w:style w:type="table" w:styleId="GridTable7Colorful-Accent2">
    <w:name w:val="Grid Table 7 Colorful Accent 2"/>
    <w:basedOn w:val="TableNormal"/>
    <w:uiPriority w:val="52"/>
    <w:rsid w:val="000116B0"/>
    <w:pPr>
      <w:spacing w:line="240" w:lineRule="auto"/>
    </w:pPr>
    <w:rPr>
      <w:color w:val="034F29" w:themeColor="accent2" w:themeShade="BF"/>
    </w:r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insideV w:val="single" w:sz="4" w:space="0" w:color="17F68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bottom w:val="single" w:sz="4" w:space="0" w:color="17F689" w:themeColor="accent2" w:themeTint="99"/>
        </w:tcBorders>
      </w:tcPr>
    </w:tblStylePr>
    <w:tblStylePr w:type="nwCell">
      <w:tblPr/>
      <w:tcPr>
        <w:tcBorders>
          <w:bottom w:val="single" w:sz="4" w:space="0" w:color="17F689" w:themeColor="accent2" w:themeTint="99"/>
        </w:tcBorders>
      </w:tcPr>
    </w:tblStylePr>
    <w:tblStylePr w:type="seCell">
      <w:tblPr/>
      <w:tcPr>
        <w:tcBorders>
          <w:top w:val="single" w:sz="4" w:space="0" w:color="17F689" w:themeColor="accent2" w:themeTint="99"/>
        </w:tcBorders>
      </w:tcPr>
    </w:tblStylePr>
    <w:tblStylePr w:type="swCell">
      <w:tblPr/>
      <w:tcPr>
        <w:tcBorders>
          <w:top w:val="single" w:sz="4" w:space="0" w:color="17F689" w:themeColor="accent2" w:themeTint="99"/>
        </w:tcBorders>
      </w:tcPr>
    </w:tblStylePr>
  </w:style>
  <w:style w:type="table" w:styleId="GridTable7Colorful-Accent3">
    <w:name w:val="Grid Table 7 Colorful Accent 3"/>
    <w:basedOn w:val="TableNormal"/>
    <w:uiPriority w:val="52"/>
    <w:rsid w:val="000116B0"/>
    <w:pPr>
      <w:spacing w:line="240" w:lineRule="auto"/>
    </w:pPr>
    <w:rPr>
      <w:color w:val="2291D1" w:themeColor="accent3" w:themeShade="BF"/>
    </w:r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insideV w:val="single" w:sz="4" w:space="0" w:color="A0D2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bottom w:val="single" w:sz="4" w:space="0" w:color="A0D2EF" w:themeColor="accent3" w:themeTint="99"/>
        </w:tcBorders>
      </w:tcPr>
    </w:tblStylePr>
    <w:tblStylePr w:type="nwCell">
      <w:tblPr/>
      <w:tcPr>
        <w:tcBorders>
          <w:bottom w:val="single" w:sz="4" w:space="0" w:color="A0D2EF" w:themeColor="accent3" w:themeTint="99"/>
        </w:tcBorders>
      </w:tcPr>
    </w:tblStylePr>
    <w:tblStylePr w:type="seCell">
      <w:tblPr/>
      <w:tcPr>
        <w:tcBorders>
          <w:top w:val="single" w:sz="4" w:space="0" w:color="A0D2EF" w:themeColor="accent3" w:themeTint="99"/>
        </w:tcBorders>
      </w:tcPr>
    </w:tblStylePr>
    <w:tblStylePr w:type="swCell">
      <w:tblPr/>
      <w:tcPr>
        <w:tcBorders>
          <w:top w:val="single" w:sz="4" w:space="0" w:color="A0D2EF" w:themeColor="accent3" w:themeTint="99"/>
        </w:tcBorders>
      </w:tcPr>
    </w:tblStylePr>
  </w:style>
  <w:style w:type="table" w:styleId="GridTable7Colorful-Accent4">
    <w:name w:val="Grid Table 7 Colorful Accent 4"/>
    <w:basedOn w:val="TableNormal"/>
    <w:uiPriority w:val="52"/>
    <w:rsid w:val="000116B0"/>
    <w:pPr>
      <w:spacing w:line="240" w:lineRule="auto"/>
    </w:pPr>
    <w:rPr>
      <w:color w:val="00184E" w:themeColor="accent4" w:themeShade="BF"/>
    </w:r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insideV w:val="single" w:sz="4" w:space="0" w:color="0E5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bottom w:val="single" w:sz="4" w:space="0" w:color="0E57FC" w:themeColor="accent4" w:themeTint="99"/>
        </w:tcBorders>
      </w:tcPr>
    </w:tblStylePr>
    <w:tblStylePr w:type="nwCell">
      <w:tblPr/>
      <w:tcPr>
        <w:tcBorders>
          <w:bottom w:val="single" w:sz="4" w:space="0" w:color="0E57FC" w:themeColor="accent4" w:themeTint="99"/>
        </w:tcBorders>
      </w:tcPr>
    </w:tblStylePr>
    <w:tblStylePr w:type="seCell">
      <w:tblPr/>
      <w:tcPr>
        <w:tcBorders>
          <w:top w:val="single" w:sz="4" w:space="0" w:color="0E57FC" w:themeColor="accent4" w:themeTint="99"/>
        </w:tcBorders>
      </w:tcPr>
    </w:tblStylePr>
    <w:tblStylePr w:type="swCell">
      <w:tblPr/>
      <w:tcPr>
        <w:tcBorders>
          <w:top w:val="single" w:sz="4" w:space="0" w:color="0E57FC" w:themeColor="accent4" w:themeTint="99"/>
        </w:tcBorders>
      </w:tcPr>
    </w:tblStylePr>
  </w:style>
  <w:style w:type="table" w:styleId="GridTable7Colorful-Accent5">
    <w:name w:val="Grid Table 7 Colorful Accent 5"/>
    <w:basedOn w:val="TableNormal"/>
    <w:uiPriority w:val="52"/>
    <w:rsid w:val="000116B0"/>
    <w:pPr>
      <w:spacing w:line="240" w:lineRule="auto"/>
    </w:pPr>
    <w:rPr>
      <w:color w:val="00707E" w:themeColor="accent5" w:themeShade="BF"/>
    </w:r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insideV w:val="single" w:sz="4" w:space="0" w:color="32E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bottom w:val="single" w:sz="4" w:space="0" w:color="32E8FF" w:themeColor="accent5" w:themeTint="99"/>
        </w:tcBorders>
      </w:tcPr>
    </w:tblStylePr>
    <w:tblStylePr w:type="nwCell">
      <w:tblPr/>
      <w:tcPr>
        <w:tcBorders>
          <w:bottom w:val="single" w:sz="4" w:space="0" w:color="32E8FF" w:themeColor="accent5" w:themeTint="99"/>
        </w:tcBorders>
      </w:tcPr>
    </w:tblStylePr>
    <w:tblStylePr w:type="seCell">
      <w:tblPr/>
      <w:tcPr>
        <w:tcBorders>
          <w:top w:val="single" w:sz="4" w:space="0" w:color="32E8FF" w:themeColor="accent5" w:themeTint="99"/>
        </w:tcBorders>
      </w:tcPr>
    </w:tblStylePr>
    <w:tblStylePr w:type="swCell">
      <w:tblPr/>
      <w:tcPr>
        <w:tcBorders>
          <w:top w:val="single" w:sz="4" w:space="0" w:color="32E8FF" w:themeColor="accent5" w:themeTint="99"/>
        </w:tcBorders>
      </w:tcPr>
    </w:tblStylePr>
  </w:style>
  <w:style w:type="table" w:styleId="GridTable7Colorful-Accent6">
    <w:name w:val="Grid Table 7 Colorful Accent 6"/>
    <w:basedOn w:val="TableNormal"/>
    <w:uiPriority w:val="52"/>
    <w:rsid w:val="000116B0"/>
    <w:pPr>
      <w:spacing w:line="240" w:lineRule="auto"/>
    </w:pPr>
    <w:rPr>
      <w:color w:val="57595C" w:themeColor="accent6" w:themeShade="BF"/>
    </w:r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insideV w:val="single" w:sz="4" w:space="0" w:color="ABADB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bottom w:val="single" w:sz="4" w:space="0" w:color="ABADB0" w:themeColor="accent6" w:themeTint="99"/>
        </w:tcBorders>
      </w:tcPr>
    </w:tblStylePr>
    <w:tblStylePr w:type="nwCell">
      <w:tblPr/>
      <w:tcPr>
        <w:tcBorders>
          <w:bottom w:val="single" w:sz="4" w:space="0" w:color="ABADB0" w:themeColor="accent6" w:themeTint="99"/>
        </w:tcBorders>
      </w:tcPr>
    </w:tblStylePr>
    <w:tblStylePr w:type="seCell">
      <w:tblPr/>
      <w:tcPr>
        <w:tcBorders>
          <w:top w:val="single" w:sz="4" w:space="0" w:color="ABADB0" w:themeColor="accent6" w:themeTint="99"/>
        </w:tcBorders>
      </w:tcPr>
    </w:tblStylePr>
    <w:tblStylePr w:type="swCell">
      <w:tblPr/>
      <w:tcPr>
        <w:tcBorders>
          <w:top w:val="single" w:sz="4" w:space="0" w:color="ABADB0" w:themeColor="accent6" w:themeTint="99"/>
        </w:tcBorders>
      </w:tcPr>
    </w:tblStylePr>
  </w:style>
  <w:style w:type="table" w:styleId="ListTable1Light">
    <w:name w:val="List Table 1 Light"/>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B9E370" w:themeColor="accent1" w:themeTint="99"/>
        </w:tcBorders>
      </w:tcPr>
    </w:tblStylePr>
    <w:tblStylePr w:type="lastRow">
      <w:rPr>
        <w:b/>
        <w:bCs/>
      </w:rPr>
      <w:tblPr/>
      <w:tcPr>
        <w:tcBorders>
          <w:top w:val="sing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ListTable1Light-Accent2">
    <w:name w:val="List Table 1 Light Accent 2"/>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17F689" w:themeColor="accent2" w:themeTint="99"/>
        </w:tcBorders>
      </w:tcPr>
    </w:tblStylePr>
    <w:tblStylePr w:type="lastRow">
      <w:rPr>
        <w:b/>
        <w:bCs/>
      </w:rPr>
      <w:tblPr/>
      <w:tcPr>
        <w:tcBorders>
          <w:top w:val="sing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styleId="ListTable1Light-Accent3">
    <w:name w:val="List Table 1 Light Accent 3"/>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A0D2EF" w:themeColor="accent3" w:themeTint="99"/>
        </w:tcBorders>
      </w:tcPr>
    </w:tblStylePr>
    <w:tblStylePr w:type="lastRow">
      <w:rPr>
        <w:b/>
        <w:bCs/>
      </w:rPr>
      <w:tblPr/>
      <w:tcPr>
        <w:tcBorders>
          <w:top w:val="sing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ListTable1Light-Accent4">
    <w:name w:val="List Table 1 Light Accent 4"/>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0E57FC" w:themeColor="accent4" w:themeTint="99"/>
        </w:tcBorders>
      </w:tcPr>
    </w:tblStylePr>
    <w:tblStylePr w:type="lastRow">
      <w:rPr>
        <w:b/>
        <w:bCs/>
      </w:rPr>
      <w:tblPr/>
      <w:tcPr>
        <w:tcBorders>
          <w:top w:val="sing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styleId="ListTable1Light-Accent5">
    <w:name w:val="List Table 1 Light Accent 5"/>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32E8FF" w:themeColor="accent5" w:themeTint="99"/>
        </w:tcBorders>
      </w:tcPr>
    </w:tblStylePr>
    <w:tblStylePr w:type="lastRow">
      <w:rPr>
        <w:b/>
        <w:bCs/>
      </w:rPr>
      <w:tblPr/>
      <w:tcPr>
        <w:tcBorders>
          <w:top w:val="sing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styleId="ListTable1Light-Accent6">
    <w:name w:val="List Table 1 Light Accent 6"/>
    <w:basedOn w:val="TableNormal"/>
    <w:uiPriority w:val="46"/>
    <w:rsid w:val="000116B0"/>
    <w:pPr>
      <w:spacing w:line="240" w:lineRule="auto"/>
    </w:pPr>
    <w:tblPr>
      <w:tblStyleRowBandSize w:val="1"/>
      <w:tblStyleColBandSize w:val="1"/>
    </w:tblPr>
    <w:tblStylePr w:type="firstRow">
      <w:rPr>
        <w:b/>
        <w:bCs/>
      </w:rPr>
      <w:tblPr/>
      <w:tcPr>
        <w:tcBorders>
          <w:bottom w:val="single" w:sz="4" w:space="0" w:color="ABADB0" w:themeColor="accent6" w:themeTint="99"/>
        </w:tcBorders>
      </w:tcPr>
    </w:tblStylePr>
    <w:tblStylePr w:type="lastRow">
      <w:rPr>
        <w:b/>
        <w:bCs/>
      </w:rPr>
      <w:tblPr/>
      <w:tcPr>
        <w:tcBorders>
          <w:top w:val="sing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ListTable2">
    <w:name w:val="List Table 2"/>
    <w:basedOn w:val="TableNormal"/>
    <w:uiPriority w:val="47"/>
    <w:rsid w:val="000116B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116B0"/>
    <w:pPr>
      <w:spacing w:line="240" w:lineRule="auto"/>
    </w:pPr>
    <w:tblPr>
      <w:tblStyleRowBandSize w:val="1"/>
      <w:tblStyleColBandSize w:val="1"/>
      <w:tblBorders>
        <w:top w:val="single" w:sz="4" w:space="0" w:color="B9E370" w:themeColor="accent1" w:themeTint="99"/>
        <w:bottom w:val="single" w:sz="4" w:space="0" w:color="B9E370" w:themeColor="accent1" w:themeTint="99"/>
        <w:insideH w:val="single" w:sz="4" w:space="0" w:color="B9E3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ListTable2-Accent2">
    <w:name w:val="List Table 2 Accent 2"/>
    <w:basedOn w:val="TableNormal"/>
    <w:uiPriority w:val="47"/>
    <w:rsid w:val="000116B0"/>
    <w:pPr>
      <w:spacing w:line="240" w:lineRule="auto"/>
    </w:pPr>
    <w:tblPr>
      <w:tblStyleRowBandSize w:val="1"/>
      <w:tblStyleColBandSize w:val="1"/>
      <w:tblBorders>
        <w:top w:val="single" w:sz="4" w:space="0" w:color="17F689" w:themeColor="accent2" w:themeTint="99"/>
        <w:bottom w:val="single" w:sz="4" w:space="0" w:color="17F689" w:themeColor="accent2" w:themeTint="99"/>
        <w:insideH w:val="single" w:sz="4" w:space="0" w:color="17F68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styleId="ListTable2-Accent3">
    <w:name w:val="List Table 2 Accent 3"/>
    <w:basedOn w:val="TableNormal"/>
    <w:uiPriority w:val="47"/>
    <w:rsid w:val="000116B0"/>
    <w:pPr>
      <w:spacing w:line="240" w:lineRule="auto"/>
    </w:pPr>
    <w:tblPr>
      <w:tblStyleRowBandSize w:val="1"/>
      <w:tblStyleColBandSize w:val="1"/>
      <w:tblBorders>
        <w:top w:val="single" w:sz="4" w:space="0" w:color="A0D2EF" w:themeColor="accent3" w:themeTint="99"/>
        <w:bottom w:val="single" w:sz="4" w:space="0" w:color="A0D2EF" w:themeColor="accent3" w:themeTint="99"/>
        <w:insideH w:val="single" w:sz="4" w:space="0" w:color="A0D2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ListTable2-Accent4">
    <w:name w:val="List Table 2 Accent 4"/>
    <w:basedOn w:val="TableNormal"/>
    <w:uiPriority w:val="47"/>
    <w:rsid w:val="000116B0"/>
    <w:pPr>
      <w:spacing w:line="240" w:lineRule="auto"/>
    </w:pPr>
    <w:tblPr>
      <w:tblStyleRowBandSize w:val="1"/>
      <w:tblStyleColBandSize w:val="1"/>
      <w:tblBorders>
        <w:top w:val="single" w:sz="4" w:space="0" w:color="0E57FC" w:themeColor="accent4" w:themeTint="99"/>
        <w:bottom w:val="single" w:sz="4" w:space="0" w:color="0E57FC" w:themeColor="accent4" w:themeTint="99"/>
        <w:insideH w:val="single" w:sz="4" w:space="0" w:color="0E57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styleId="ListTable2-Accent5">
    <w:name w:val="List Table 2 Accent 5"/>
    <w:basedOn w:val="TableNormal"/>
    <w:uiPriority w:val="47"/>
    <w:rsid w:val="000116B0"/>
    <w:pPr>
      <w:spacing w:line="240" w:lineRule="auto"/>
    </w:pPr>
    <w:tblPr>
      <w:tblStyleRowBandSize w:val="1"/>
      <w:tblStyleColBandSize w:val="1"/>
      <w:tblBorders>
        <w:top w:val="single" w:sz="4" w:space="0" w:color="32E8FF" w:themeColor="accent5" w:themeTint="99"/>
        <w:bottom w:val="single" w:sz="4" w:space="0" w:color="32E8FF" w:themeColor="accent5" w:themeTint="99"/>
        <w:insideH w:val="single" w:sz="4" w:space="0" w:color="32E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styleId="ListTable2-Accent6">
    <w:name w:val="List Table 2 Accent 6"/>
    <w:basedOn w:val="TableNormal"/>
    <w:uiPriority w:val="47"/>
    <w:rsid w:val="000116B0"/>
    <w:pPr>
      <w:spacing w:line="240" w:lineRule="auto"/>
    </w:pPr>
    <w:tblPr>
      <w:tblStyleRowBandSize w:val="1"/>
      <w:tblStyleColBandSize w:val="1"/>
      <w:tblBorders>
        <w:top w:val="single" w:sz="4" w:space="0" w:color="ABADB0" w:themeColor="accent6" w:themeTint="99"/>
        <w:bottom w:val="single" w:sz="4" w:space="0" w:color="ABADB0" w:themeColor="accent6" w:themeTint="99"/>
        <w:insideH w:val="single" w:sz="4" w:space="0" w:color="ABADB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ListTable3">
    <w:name w:val="List Table 3"/>
    <w:basedOn w:val="TableNormal"/>
    <w:uiPriority w:val="48"/>
    <w:rsid w:val="000116B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116B0"/>
    <w:pPr>
      <w:spacing w:line="240" w:lineRule="auto"/>
    </w:p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table" w:styleId="ListTable3-Accent2">
    <w:name w:val="List Table 3 Accent 2"/>
    <w:basedOn w:val="TableNormal"/>
    <w:uiPriority w:val="48"/>
    <w:rsid w:val="000116B0"/>
    <w:pPr>
      <w:spacing w:line="240" w:lineRule="auto"/>
    </w:pPr>
    <w:tblPr>
      <w:tblStyleRowBandSize w:val="1"/>
      <w:tblStyleColBandSize w:val="1"/>
      <w:tblBorders>
        <w:top w:val="single" w:sz="4" w:space="0" w:color="046A38" w:themeColor="accent2"/>
        <w:left w:val="single" w:sz="4" w:space="0" w:color="046A38" w:themeColor="accent2"/>
        <w:bottom w:val="single" w:sz="4" w:space="0" w:color="046A38" w:themeColor="accent2"/>
        <w:right w:val="single" w:sz="4" w:space="0" w:color="046A38" w:themeColor="accent2"/>
      </w:tblBorders>
    </w:tblPr>
    <w:tblStylePr w:type="firstRow">
      <w:rPr>
        <w:b/>
        <w:bCs/>
        <w:color w:val="FFFFFF" w:themeColor="background1"/>
      </w:rPr>
      <w:tblPr/>
      <w:tcPr>
        <w:shd w:val="clear" w:color="auto" w:fill="046A38" w:themeFill="accent2"/>
      </w:tcPr>
    </w:tblStylePr>
    <w:tblStylePr w:type="lastRow">
      <w:rPr>
        <w:b/>
        <w:bCs/>
      </w:rPr>
      <w:tblPr/>
      <w:tcPr>
        <w:tcBorders>
          <w:top w:val="double" w:sz="4" w:space="0" w:color="046A3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A38" w:themeColor="accent2"/>
          <w:right w:val="single" w:sz="4" w:space="0" w:color="046A38" w:themeColor="accent2"/>
        </w:tcBorders>
      </w:tcPr>
    </w:tblStylePr>
    <w:tblStylePr w:type="band1Horz">
      <w:tblPr/>
      <w:tcPr>
        <w:tcBorders>
          <w:top w:val="single" w:sz="4" w:space="0" w:color="046A38" w:themeColor="accent2"/>
          <w:bottom w:val="single" w:sz="4" w:space="0" w:color="046A3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A38" w:themeColor="accent2"/>
          <w:left w:val="nil"/>
        </w:tcBorders>
      </w:tcPr>
    </w:tblStylePr>
    <w:tblStylePr w:type="swCell">
      <w:tblPr/>
      <w:tcPr>
        <w:tcBorders>
          <w:top w:val="double" w:sz="4" w:space="0" w:color="046A38" w:themeColor="accent2"/>
          <w:right w:val="nil"/>
        </w:tcBorders>
      </w:tcPr>
    </w:tblStylePr>
  </w:style>
  <w:style w:type="table" w:styleId="ListTable3-Accent3">
    <w:name w:val="List Table 3 Accent 3"/>
    <w:basedOn w:val="TableNormal"/>
    <w:uiPriority w:val="48"/>
    <w:rsid w:val="000116B0"/>
    <w:pPr>
      <w:spacing w:line="240" w:lineRule="auto"/>
    </w:pPr>
    <w:tblPr>
      <w:tblStyleRowBandSize w:val="1"/>
      <w:tblStyleColBandSize w:val="1"/>
      <w:tblBorders>
        <w:top w:val="single" w:sz="4" w:space="0" w:color="62B5E5" w:themeColor="accent3"/>
        <w:left w:val="single" w:sz="4" w:space="0" w:color="62B5E5" w:themeColor="accent3"/>
        <w:bottom w:val="single" w:sz="4" w:space="0" w:color="62B5E5" w:themeColor="accent3"/>
        <w:right w:val="single" w:sz="4" w:space="0" w:color="62B5E5" w:themeColor="accent3"/>
      </w:tblBorders>
    </w:tblPr>
    <w:tblStylePr w:type="firstRow">
      <w:rPr>
        <w:b/>
        <w:bCs/>
        <w:color w:val="FFFFFF" w:themeColor="background1"/>
      </w:rPr>
      <w:tblPr/>
      <w:tcPr>
        <w:shd w:val="clear" w:color="auto" w:fill="62B5E5" w:themeFill="accent3"/>
      </w:tcPr>
    </w:tblStylePr>
    <w:tblStylePr w:type="lastRow">
      <w:rPr>
        <w:b/>
        <w:bCs/>
      </w:rPr>
      <w:tblPr/>
      <w:tcPr>
        <w:tcBorders>
          <w:top w:val="double" w:sz="4" w:space="0" w:color="62B5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B5E5" w:themeColor="accent3"/>
          <w:right w:val="single" w:sz="4" w:space="0" w:color="62B5E5" w:themeColor="accent3"/>
        </w:tcBorders>
      </w:tcPr>
    </w:tblStylePr>
    <w:tblStylePr w:type="band1Horz">
      <w:tblPr/>
      <w:tcPr>
        <w:tcBorders>
          <w:top w:val="single" w:sz="4" w:space="0" w:color="62B5E5" w:themeColor="accent3"/>
          <w:bottom w:val="single" w:sz="4" w:space="0" w:color="62B5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B5E5" w:themeColor="accent3"/>
          <w:left w:val="nil"/>
        </w:tcBorders>
      </w:tcPr>
    </w:tblStylePr>
    <w:tblStylePr w:type="swCell">
      <w:tblPr/>
      <w:tcPr>
        <w:tcBorders>
          <w:top w:val="double" w:sz="4" w:space="0" w:color="62B5E5" w:themeColor="accent3"/>
          <w:right w:val="nil"/>
        </w:tcBorders>
      </w:tcPr>
    </w:tblStylePr>
  </w:style>
  <w:style w:type="table" w:styleId="ListTable3-Accent4">
    <w:name w:val="List Table 3 Accent 4"/>
    <w:basedOn w:val="TableNormal"/>
    <w:uiPriority w:val="48"/>
    <w:rsid w:val="000116B0"/>
    <w:pPr>
      <w:spacing w:line="240" w:lineRule="auto"/>
    </w:pPr>
    <w:tblPr>
      <w:tblStyleRowBandSize w:val="1"/>
      <w:tblStyleColBandSize w:val="1"/>
      <w:tblBorders>
        <w:top w:val="single" w:sz="4" w:space="0" w:color="012169" w:themeColor="accent4"/>
        <w:left w:val="single" w:sz="4" w:space="0" w:color="012169" w:themeColor="accent4"/>
        <w:bottom w:val="single" w:sz="4" w:space="0" w:color="012169" w:themeColor="accent4"/>
        <w:right w:val="single" w:sz="4" w:space="0" w:color="012169" w:themeColor="accent4"/>
      </w:tblBorders>
    </w:tblPr>
    <w:tblStylePr w:type="firstRow">
      <w:rPr>
        <w:b/>
        <w:bCs/>
        <w:color w:val="FFFFFF" w:themeColor="background1"/>
      </w:rPr>
      <w:tblPr/>
      <w:tcPr>
        <w:shd w:val="clear" w:color="auto" w:fill="012169" w:themeFill="accent4"/>
      </w:tcPr>
    </w:tblStylePr>
    <w:tblStylePr w:type="lastRow">
      <w:rPr>
        <w:b/>
        <w:bCs/>
      </w:rPr>
      <w:tblPr/>
      <w:tcPr>
        <w:tcBorders>
          <w:top w:val="double" w:sz="4" w:space="0" w:color="01216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2169" w:themeColor="accent4"/>
          <w:right w:val="single" w:sz="4" w:space="0" w:color="012169" w:themeColor="accent4"/>
        </w:tcBorders>
      </w:tcPr>
    </w:tblStylePr>
    <w:tblStylePr w:type="band1Horz">
      <w:tblPr/>
      <w:tcPr>
        <w:tcBorders>
          <w:top w:val="single" w:sz="4" w:space="0" w:color="012169" w:themeColor="accent4"/>
          <w:bottom w:val="single" w:sz="4" w:space="0" w:color="01216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2169" w:themeColor="accent4"/>
          <w:left w:val="nil"/>
        </w:tcBorders>
      </w:tcPr>
    </w:tblStylePr>
    <w:tblStylePr w:type="swCell">
      <w:tblPr/>
      <w:tcPr>
        <w:tcBorders>
          <w:top w:val="double" w:sz="4" w:space="0" w:color="012169" w:themeColor="accent4"/>
          <w:right w:val="nil"/>
        </w:tcBorders>
      </w:tcPr>
    </w:tblStylePr>
  </w:style>
  <w:style w:type="table" w:styleId="ListTable3-Accent5">
    <w:name w:val="List Table 3 Accent 5"/>
    <w:basedOn w:val="TableNormal"/>
    <w:uiPriority w:val="48"/>
    <w:rsid w:val="000116B0"/>
    <w:pPr>
      <w:spacing w:line="240" w:lineRule="auto"/>
    </w:pPr>
    <w:tblPr>
      <w:tblStyleRowBandSize w:val="1"/>
      <w:tblStyleColBandSize w:val="1"/>
      <w:tblBorders>
        <w:top w:val="single" w:sz="4" w:space="0" w:color="0097A9" w:themeColor="accent5"/>
        <w:left w:val="single" w:sz="4" w:space="0" w:color="0097A9" w:themeColor="accent5"/>
        <w:bottom w:val="single" w:sz="4" w:space="0" w:color="0097A9" w:themeColor="accent5"/>
        <w:right w:val="single" w:sz="4" w:space="0" w:color="0097A9" w:themeColor="accent5"/>
      </w:tblBorders>
    </w:tblPr>
    <w:tblStylePr w:type="firstRow">
      <w:rPr>
        <w:b/>
        <w:bCs/>
        <w:color w:val="FFFFFF" w:themeColor="background1"/>
      </w:rPr>
      <w:tblPr/>
      <w:tcPr>
        <w:shd w:val="clear" w:color="auto" w:fill="0097A9" w:themeFill="accent5"/>
      </w:tcPr>
    </w:tblStylePr>
    <w:tblStylePr w:type="lastRow">
      <w:rPr>
        <w:b/>
        <w:bCs/>
      </w:rPr>
      <w:tblPr/>
      <w:tcPr>
        <w:tcBorders>
          <w:top w:val="double" w:sz="4" w:space="0" w:color="0097A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7A9" w:themeColor="accent5"/>
          <w:right w:val="single" w:sz="4" w:space="0" w:color="0097A9" w:themeColor="accent5"/>
        </w:tcBorders>
      </w:tcPr>
    </w:tblStylePr>
    <w:tblStylePr w:type="band1Horz">
      <w:tblPr/>
      <w:tcPr>
        <w:tcBorders>
          <w:top w:val="single" w:sz="4" w:space="0" w:color="0097A9" w:themeColor="accent5"/>
          <w:bottom w:val="single" w:sz="4" w:space="0" w:color="0097A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7A9" w:themeColor="accent5"/>
          <w:left w:val="nil"/>
        </w:tcBorders>
      </w:tcPr>
    </w:tblStylePr>
    <w:tblStylePr w:type="swCell">
      <w:tblPr/>
      <w:tcPr>
        <w:tcBorders>
          <w:top w:val="double" w:sz="4" w:space="0" w:color="0097A9" w:themeColor="accent5"/>
          <w:right w:val="nil"/>
        </w:tcBorders>
      </w:tcPr>
    </w:tblStylePr>
  </w:style>
  <w:style w:type="table" w:styleId="ListTable3-Accent6">
    <w:name w:val="List Table 3 Accent 6"/>
    <w:basedOn w:val="TableNormal"/>
    <w:uiPriority w:val="48"/>
    <w:rsid w:val="000116B0"/>
    <w:pPr>
      <w:spacing w:line="240" w:lineRule="auto"/>
    </w:pPr>
    <w:tblPr>
      <w:tblStyleRowBandSize w:val="1"/>
      <w:tblStyleColBandSize w:val="1"/>
      <w:tblBorders>
        <w:top w:val="single" w:sz="4" w:space="0" w:color="75787B" w:themeColor="accent6"/>
        <w:left w:val="single" w:sz="4" w:space="0" w:color="75787B" w:themeColor="accent6"/>
        <w:bottom w:val="single" w:sz="4" w:space="0" w:color="75787B" w:themeColor="accent6"/>
        <w:right w:val="single" w:sz="4" w:space="0" w:color="75787B" w:themeColor="accent6"/>
      </w:tblBorders>
    </w:tblPr>
    <w:tblStylePr w:type="firstRow">
      <w:rPr>
        <w:b/>
        <w:bCs/>
        <w:color w:val="FFFFFF" w:themeColor="background1"/>
      </w:rPr>
      <w:tblPr/>
      <w:tcPr>
        <w:shd w:val="clear" w:color="auto" w:fill="75787B" w:themeFill="accent6"/>
      </w:tcPr>
    </w:tblStylePr>
    <w:tblStylePr w:type="lastRow">
      <w:rPr>
        <w:b/>
        <w:bCs/>
      </w:rPr>
      <w:tblPr/>
      <w:tcPr>
        <w:tcBorders>
          <w:top w:val="double" w:sz="4" w:space="0" w:color="75787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787B" w:themeColor="accent6"/>
          <w:right w:val="single" w:sz="4" w:space="0" w:color="75787B" w:themeColor="accent6"/>
        </w:tcBorders>
      </w:tcPr>
    </w:tblStylePr>
    <w:tblStylePr w:type="band1Horz">
      <w:tblPr/>
      <w:tcPr>
        <w:tcBorders>
          <w:top w:val="single" w:sz="4" w:space="0" w:color="75787B" w:themeColor="accent6"/>
          <w:bottom w:val="single" w:sz="4" w:space="0" w:color="75787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787B" w:themeColor="accent6"/>
          <w:left w:val="nil"/>
        </w:tcBorders>
      </w:tcPr>
    </w:tblStylePr>
    <w:tblStylePr w:type="swCell">
      <w:tblPr/>
      <w:tcPr>
        <w:tcBorders>
          <w:top w:val="double" w:sz="4" w:space="0" w:color="75787B" w:themeColor="accent6"/>
          <w:right w:val="nil"/>
        </w:tcBorders>
      </w:tcPr>
    </w:tblStylePr>
  </w:style>
  <w:style w:type="table" w:styleId="ListTable4">
    <w:name w:val="List Table 4"/>
    <w:basedOn w:val="TableNormal"/>
    <w:uiPriority w:val="49"/>
    <w:rsid w:val="000116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116B0"/>
    <w:pPr>
      <w:spacing w:line="240" w:lineRule="auto"/>
    </w:pPr>
    <w:tblPr>
      <w:tblStyleRowBandSize w:val="1"/>
      <w:tblStyleColBandSize w:val="1"/>
      <w:tblBorders>
        <w:top w:val="single" w:sz="4" w:space="0" w:color="B9E370" w:themeColor="accent1" w:themeTint="99"/>
        <w:left w:val="single" w:sz="4" w:space="0" w:color="B9E370" w:themeColor="accent1" w:themeTint="99"/>
        <w:bottom w:val="single" w:sz="4" w:space="0" w:color="B9E370" w:themeColor="accent1" w:themeTint="99"/>
        <w:right w:val="single" w:sz="4" w:space="0" w:color="B9E370" w:themeColor="accent1" w:themeTint="99"/>
        <w:insideH w:val="single" w:sz="4" w:space="0" w:color="B9E370" w:themeColor="accent1" w:themeTint="99"/>
      </w:tblBorders>
    </w:tblPr>
    <w:tblStylePr w:type="firstRow">
      <w:rPr>
        <w:b/>
        <w:bCs/>
        <w:color w:val="FFFFFF" w:themeColor="background1"/>
      </w:rPr>
      <w:tblPr/>
      <w:tcPr>
        <w:tcBorders>
          <w:top w:val="single" w:sz="4" w:space="0" w:color="86BC25" w:themeColor="accent1"/>
          <w:left w:val="single" w:sz="4" w:space="0" w:color="86BC25" w:themeColor="accent1"/>
          <w:bottom w:val="single" w:sz="4" w:space="0" w:color="86BC25" w:themeColor="accent1"/>
          <w:right w:val="single" w:sz="4" w:space="0" w:color="86BC25" w:themeColor="accent1"/>
          <w:insideH w:val="nil"/>
        </w:tcBorders>
        <w:shd w:val="clear" w:color="auto" w:fill="86BC25" w:themeFill="accent1"/>
      </w:tcPr>
    </w:tblStylePr>
    <w:tblStylePr w:type="lastRow">
      <w:rPr>
        <w:b/>
        <w:bCs/>
      </w:rPr>
      <w:tblPr/>
      <w:tcPr>
        <w:tcBorders>
          <w:top w:val="double" w:sz="4" w:space="0" w:color="B9E370" w:themeColor="accent1" w:themeTint="99"/>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ListTable4-Accent2">
    <w:name w:val="List Table 4 Accent 2"/>
    <w:basedOn w:val="TableNormal"/>
    <w:uiPriority w:val="49"/>
    <w:rsid w:val="000116B0"/>
    <w:pPr>
      <w:spacing w:line="240" w:lineRule="auto"/>
    </w:pPr>
    <w:tblPr>
      <w:tblStyleRowBandSize w:val="1"/>
      <w:tblStyleColBandSize w:val="1"/>
      <w:tblBorders>
        <w:top w:val="single" w:sz="4" w:space="0" w:color="17F689" w:themeColor="accent2" w:themeTint="99"/>
        <w:left w:val="single" w:sz="4" w:space="0" w:color="17F689" w:themeColor="accent2" w:themeTint="99"/>
        <w:bottom w:val="single" w:sz="4" w:space="0" w:color="17F689" w:themeColor="accent2" w:themeTint="99"/>
        <w:right w:val="single" w:sz="4" w:space="0" w:color="17F689" w:themeColor="accent2" w:themeTint="99"/>
        <w:insideH w:val="single" w:sz="4" w:space="0" w:color="17F689" w:themeColor="accent2" w:themeTint="99"/>
      </w:tblBorders>
    </w:tblPr>
    <w:tblStylePr w:type="firstRow">
      <w:rPr>
        <w:b/>
        <w:bCs/>
        <w:color w:val="FFFFFF" w:themeColor="background1"/>
      </w:rPr>
      <w:tblPr/>
      <w:tcPr>
        <w:tcBorders>
          <w:top w:val="single" w:sz="4" w:space="0" w:color="046A38" w:themeColor="accent2"/>
          <w:left w:val="single" w:sz="4" w:space="0" w:color="046A38" w:themeColor="accent2"/>
          <w:bottom w:val="single" w:sz="4" w:space="0" w:color="046A38" w:themeColor="accent2"/>
          <w:right w:val="single" w:sz="4" w:space="0" w:color="046A38" w:themeColor="accent2"/>
          <w:insideH w:val="nil"/>
        </w:tcBorders>
        <w:shd w:val="clear" w:color="auto" w:fill="046A38" w:themeFill="accent2"/>
      </w:tcPr>
    </w:tblStylePr>
    <w:tblStylePr w:type="lastRow">
      <w:rPr>
        <w:b/>
        <w:bCs/>
      </w:rPr>
      <w:tblPr/>
      <w:tcPr>
        <w:tcBorders>
          <w:top w:val="double" w:sz="4" w:space="0" w:color="17F689" w:themeColor="accent2" w:themeTint="99"/>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styleId="ListTable4-Accent3">
    <w:name w:val="List Table 4 Accent 3"/>
    <w:basedOn w:val="TableNormal"/>
    <w:uiPriority w:val="49"/>
    <w:rsid w:val="000116B0"/>
    <w:pPr>
      <w:spacing w:line="240" w:lineRule="auto"/>
    </w:pPr>
    <w:tblPr>
      <w:tblStyleRowBandSize w:val="1"/>
      <w:tblStyleColBandSize w:val="1"/>
      <w:tblBorders>
        <w:top w:val="single" w:sz="4" w:space="0" w:color="A0D2EF" w:themeColor="accent3" w:themeTint="99"/>
        <w:left w:val="single" w:sz="4" w:space="0" w:color="A0D2EF" w:themeColor="accent3" w:themeTint="99"/>
        <w:bottom w:val="single" w:sz="4" w:space="0" w:color="A0D2EF" w:themeColor="accent3" w:themeTint="99"/>
        <w:right w:val="single" w:sz="4" w:space="0" w:color="A0D2EF" w:themeColor="accent3" w:themeTint="99"/>
        <w:insideH w:val="single" w:sz="4" w:space="0" w:color="A0D2EF" w:themeColor="accent3" w:themeTint="99"/>
      </w:tblBorders>
    </w:tblPr>
    <w:tblStylePr w:type="firstRow">
      <w:rPr>
        <w:b/>
        <w:bCs/>
        <w:color w:val="FFFFFF" w:themeColor="background1"/>
      </w:rPr>
      <w:tblPr/>
      <w:tcPr>
        <w:tcBorders>
          <w:top w:val="single" w:sz="4" w:space="0" w:color="62B5E5" w:themeColor="accent3"/>
          <w:left w:val="single" w:sz="4" w:space="0" w:color="62B5E5" w:themeColor="accent3"/>
          <w:bottom w:val="single" w:sz="4" w:space="0" w:color="62B5E5" w:themeColor="accent3"/>
          <w:right w:val="single" w:sz="4" w:space="0" w:color="62B5E5" w:themeColor="accent3"/>
          <w:insideH w:val="nil"/>
        </w:tcBorders>
        <w:shd w:val="clear" w:color="auto" w:fill="62B5E5" w:themeFill="accent3"/>
      </w:tcPr>
    </w:tblStylePr>
    <w:tblStylePr w:type="lastRow">
      <w:rPr>
        <w:b/>
        <w:bCs/>
      </w:rPr>
      <w:tblPr/>
      <w:tcPr>
        <w:tcBorders>
          <w:top w:val="double" w:sz="4" w:space="0" w:color="A0D2EF" w:themeColor="accent3" w:themeTint="99"/>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ListTable4-Accent4">
    <w:name w:val="List Table 4 Accent 4"/>
    <w:basedOn w:val="TableNormal"/>
    <w:uiPriority w:val="49"/>
    <w:rsid w:val="000116B0"/>
    <w:pPr>
      <w:spacing w:line="240" w:lineRule="auto"/>
    </w:pPr>
    <w:tblPr>
      <w:tblStyleRowBandSize w:val="1"/>
      <w:tblStyleColBandSize w:val="1"/>
      <w:tblBorders>
        <w:top w:val="single" w:sz="4" w:space="0" w:color="0E57FC" w:themeColor="accent4" w:themeTint="99"/>
        <w:left w:val="single" w:sz="4" w:space="0" w:color="0E57FC" w:themeColor="accent4" w:themeTint="99"/>
        <w:bottom w:val="single" w:sz="4" w:space="0" w:color="0E57FC" w:themeColor="accent4" w:themeTint="99"/>
        <w:right w:val="single" w:sz="4" w:space="0" w:color="0E57FC" w:themeColor="accent4" w:themeTint="99"/>
        <w:insideH w:val="single" w:sz="4" w:space="0" w:color="0E57FC" w:themeColor="accent4" w:themeTint="99"/>
      </w:tblBorders>
    </w:tblPr>
    <w:tblStylePr w:type="firstRow">
      <w:rPr>
        <w:b/>
        <w:bCs/>
        <w:color w:val="FFFFFF" w:themeColor="background1"/>
      </w:rPr>
      <w:tblPr/>
      <w:tcPr>
        <w:tcBorders>
          <w:top w:val="single" w:sz="4" w:space="0" w:color="012169" w:themeColor="accent4"/>
          <w:left w:val="single" w:sz="4" w:space="0" w:color="012169" w:themeColor="accent4"/>
          <w:bottom w:val="single" w:sz="4" w:space="0" w:color="012169" w:themeColor="accent4"/>
          <w:right w:val="single" w:sz="4" w:space="0" w:color="012169" w:themeColor="accent4"/>
          <w:insideH w:val="nil"/>
        </w:tcBorders>
        <w:shd w:val="clear" w:color="auto" w:fill="012169" w:themeFill="accent4"/>
      </w:tcPr>
    </w:tblStylePr>
    <w:tblStylePr w:type="lastRow">
      <w:rPr>
        <w:b/>
        <w:bCs/>
      </w:rPr>
      <w:tblPr/>
      <w:tcPr>
        <w:tcBorders>
          <w:top w:val="double" w:sz="4" w:space="0" w:color="0E57FC" w:themeColor="accent4" w:themeTint="99"/>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styleId="ListTable4-Accent5">
    <w:name w:val="List Table 4 Accent 5"/>
    <w:basedOn w:val="TableNormal"/>
    <w:uiPriority w:val="49"/>
    <w:rsid w:val="000116B0"/>
    <w:pPr>
      <w:spacing w:line="240" w:lineRule="auto"/>
    </w:pPr>
    <w:tblPr>
      <w:tblStyleRowBandSize w:val="1"/>
      <w:tblStyleColBandSize w:val="1"/>
      <w:tblBorders>
        <w:top w:val="single" w:sz="4" w:space="0" w:color="32E8FF" w:themeColor="accent5" w:themeTint="99"/>
        <w:left w:val="single" w:sz="4" w:space="0" w:color="32E8FF" w:themeColor="accent5" w:themeTint="99"/>
        <w:bottom w:val="single" w:sz="4" w:space="0" w:color="32E8FF" w:themeColor="accent5" w:themeTint="99"/>
        <w:right w:val="single" w:sz="4" w:space="0" w:color="32E8FF" w:themeColor="accent5" w:themeTint="99"/>
        <w:insideH w:val="single" w:sz="4" w:space="0" w:color="32E8FF" w:themeColor="accent5" w:themeTint="99"/>
      </w:tblBorders>
    </w:tblPr>
    <w:tblStylePr w:type="firstRow">
      <w:rPr>
        <w:b/>
        <w:bCs/>
        <w:color w:val="FFFFFF" w:themeColor="background1"/>
      </w:rPr>
      <w:tblPr/>
      <w:tcPr>
        <w:tcBorders>
          <w:top w:val="single" w:sz="4" w:space="0" w:color="0097A9" w:themeColor="accent5"/>
          <w:left w:val="single" w:sz="4" w:space="0" w:color="0097A9" w:themeColor="accent5"/>
          <w:bottom w:val="single" w:sz="4" w:space="0" w:color="0097A9" w:themeColor="accent5"/>
          <w:right w:val="single" w:sz="4" w:space="0" w:color="0097A9" w:themeColor="accent5"/>
          <w:insideH w:val="nil"/>
        </w:tcBorders>
        <w:shd w:val="clear" w:color="auto" w:fill="0097A9" w:themeFill="accent5"/>
      </w:tcPr>
    </w:tblStylePr>
    <w:tblStylePr w:type="lastRow">
      <w:rPr>
        <w:b/>
        <w:bCs/>
      </w:rPr>
      <w:tblPr/>
      <w:tcPr>
        <w:tcBorders>
          <w:top w:val="double" w:sz="4" w:space="0" w:color="32E8FF" w:themeColor="accent5" w:themeTint="99"/>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styleId="ListTable4-Accent6">
    <w:name w:val="List Table 4 Accent 6"/>
    <w:basedOn w:val="TableNormal"/>
    <w:uiPriority w:val="49"/>
    <w:rsid w:val="000116B0"/>
    <w:pPr>
      <w:spacing w:line="240" w:lineRule="auto"/>
    </w:pPr>
    <w:tblPr>
      <w:tblStyleRowBandSize w:val="1"/>
      <w:tblStyleColBandSize w:val="1"/>
      <w:tblBorders>
        <w:top w:val="single" w:sz="4" w:space="0" w:color="ABADB0" w:themeColor="accent6" w:themeTint="99"/>
        <w:left w:val="single" w:sz="4" w:space="0" w:color="ABADB0" w:themeColor="accent6" w:themeTint="99"/>
        <w:bottom w:val="single" w:sz="4" w:space="0" w:color="ABADB0" w:themeColor="accent6" w:themeTint="99"/>
        <w:right w:val="single" w:sz="4" w:space="0" w:color="ABADB0" w:themeColor="accent6" w:themeTint="99"/>
        <w:insideH w:val="single" w:sz="4" w:space="0" w:color="ABADB0" w:themeColor="accent6" w:themeTint="99"/>
      </w:tblBorders>
    </w:tblPr>
    <w:tblStylePr w:type="firstRow">
      <w:rPr>
        <w:b/>
        <w:bCs/>
        <w:color w:val="FFFFFF" w:themeColor="background1"/>
      </w:rPr>
      <w:tblPr/>
      <w:tcPr>
        <w:tcBorders>
          <w:top w:val="single" w:sz="4" w:space="0" w:color="75787B" w:themeColor="accent6"/>
          <w:left w:val="single" w:sz="4" w:space="0" w:color="75787B" w:themeColor="accent6"/>
          <w:bottom w:val="single" w:sz="4" w:space="0" w:color="75787B" w:themeColor="accent6"/>
          <w:right w:val="single" w:sz="4" w:space="0" w:color="75787B" w:themeColor="accent6"/>
          <w:insideH w:val="nil"/>
        </w:tcBorders>
        <w:shd w:val="clear" w:color="auto" w:fill="75787B" w:themeFill="accent6"/>
      </w:tcPr>
    </w:tblStylePr>
    <w:tblStylePr w:type="lastRow">
      <w:rPr>
        <w:b/>
        <w:bCs/>
      </w:rPr>
      <w:tblPr/>
      <w:tcPr>
        <w:tcBorders>
          <w:top w:val="double" w:sz="4" w:space="0" w:color="ABADB0" w:themeColor="accent6" w:themeTint="99"/>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ListTable5Dark">
    <w:name w:val="List Table 5 Dark"/>
    <w:basedOn w:val="TableNormal"/>
    <w:uiPriority w:val="50"/>
    <w:rsid w:val="000116B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116B0"/>
    <w:pPr>
      <w:spacing w:line="240" w:lineRule="auto"/>
    </w:pPr>
    <w:rPr>
      <w:color w:val="FFFFFF" w:themeColor="background1"/>
    </w:rPr>
    <w:tblPr>
      <w:tblStyleRowBandSize w:val="1"/>
      <w:tblStyleColBandSize w:val="1"/>
      <w:tblBorders>
        <w:top w:val="single" w:sz="24" w:space="0" w:color="86BC25" w:themeColor="accent1"/>
        <w:left w:val="single" w:sz="24" w:space="0" w:color="86BC25" w:themeColor="accent1"/>
        <w:bottom w:val="single" w:sz="24" w:space="0" w:color="86BC25" w:themeColor="accent1"/>
        <w:right w:val="single" w:sz="24" w:space="0" w:color="86BC25" w:themeColor="accent1"/>
      </w:tblBorders>
    </w:tblPr>
    <w:tcPr>
      <w:shd w:val="clear" w:color="auto" w:fill="86BC2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116B0"/>
    <w:pPr>
      <w:spacing w:line="240" w:lineRule="auto"/>
    </w:pPr>
    <w:rPr>
      <w:color w:val="FFFFFF" w:themeColor="background1"/>
    </w:rPr>
    <w:tblPr>
      <w:tblStyleRowBandSize w:val="1"/>
      <w:tblStyleColBandSize w:val="1"/>
      <w:tblBorders>
        <w:top w:val="single" w:sz="24" w:space="0" w:color="046A38" w:themeColor="accent2"/>
        <w:left w:val="single" w:sz="24" w:space="0" w:color="046A38" w:themeColor="accent2"/>
        <w:bottom w:val="single" w:sz="24" w:space="0" w:color="046A38" w:themeColor="accent2"/>
        <w:right w:val="single" w:sz="24" w:space="0" w:color="046A38" w:themeColor="accent2"/>
      </w:tblBorders>
    </w:tblPr>
    <w:tcPr>
      <w:shd w:val="clear" w:color="auto" w:fill="046A3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116B0"/>
    <w:pPr>
      <w:spacing w:line="240" w:lineRule="auto"/>
    </w:pPr>
    <w:rPr>
      <w:color w:val="FFFFFF" w:themeColor="background1"/>
    </w:rPr>
    <w:tblPr>
      <w:tblStyleRowBandSize w:val="1"/>
      <w:tblStyleColBandSize w:val="1"/>
      <w:tblBorders>
        <w:top w:val="single" w:sz="24" w:space="0" w:color="62B5E5" w:themeColor="accent3"/>
        <w:left w:val="single" w:sz="24" w:space="0" w:color="62B5E5" w:themeColor="accent3"/>
        <w:bottom w:val="single" w:sz="24" w:space="0" w:color="62B5E5" w:themeColor="accent3"/>
        <w:right w:val="single" w:sz="24" w:space="0" w:color="62B5E5" w:themeColor="accent3"/>
      </w:tblBorders>
    </w:tblPr>
    <w:tcPr>
      <w:shd w:val="clear" w:color="auto" w:fill="62B5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116B0"/>
    <w:pPr>
      <w:spacing w:line="240" w:lineRule="auto"/>
    </w:pPr>
    <w:rPr>
      <w:color w:val="FFFFFF" w:themeColor="background1"/>
    </w:rPr>
    <w:tblPr>
      <w:tblStyleRowBandSize w:val="1"/>
      <w:tblStyleColBandSize w:val="1"/>
      <w:tblBorders>
        <w:top w:val="single" w:sz="24" w:space="0" w:color="012169" w:themeColor="accent4"/>
        <w:left w:val="single" w:sz="24" w:space="0" w:color="012169" w:themeColor="accent4"/>
        <w:bottom w:val="single" w:sz="24" w:space="0" w:color="012169" w:themeColor="accent4"/>
        <w:right w:val="single" w:sz="24" w:space="0" w:color="012169" w:themeColor="accent4"/>
      </w:tblBorders>
    </w:tblPr>
    <w:tcPr>
      <w:shd w:val="clear" w:color="auto" w:fill="01216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116B0"/>
    <w:pPr>
      <w:spacing w:line="240" w:lineRule="auto"/>
    </w:pPr>
    <w:rPr>
      <w:color w:val="FFFFFF" w:themeColor="background1"/>
    </w:rPr>
    <w:tblPr>
      <w:tblStyleRowBandSize w:val="1"/>
      <w:tblStyleColBandSize w:val="1"/>
      <w:tblBorders>
        <w:top w:val="single" w:sz="24" w:space="0" w:color="0097A9" w:themeColor="accent5"/>
        <w:left w:val="single" w:sz="24" w:space="0" w:color="0097A9" w:themeColor="accent5"/>
        <w:bottom w:val="single" w:sz="24" w:space="0" w:color="0097A9" w:themeColor="accent5"/>
        <w:right w:val="single" w:sz="24" w:space="0" w:color="0097A9" w:themeColor="accent5"/>
      </w:tblBorders>
    </w:tblPr>
    <w:tcPr>
      <w:shd w:val="clear" w:color="auto" w:fill="0097A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116B0"/>
    <w:pPr>
      <w:spacing w:line="240" w:lineRule="auto"/>
    </w:pPr>
    <w:rPr>
      <w:color w:val="FFFFFF" w:themeColor="background1"/>
    </w:rPr>
    <w:tblPr>
      <w:tblStyleRowBandSize w:val="1"/>
      <w:tblStyleColBandSize w:val="1"/>
      <w:tblBorders>
        <w:top w:val="single" w:sz="24" w:space="0" w:color="75787B" w:themeColor="accent6"/>
        <w:left w:val="single" w:sz="24" w:space="0" w:color="75787B" w:themeColor="accent6"/>
        <w:bottom w:val="single" w:sz="24" w:space="0" w:color="75787B" w:themeColor="accent6"/>
        <w:right w:val="single" w:sz="24" w:space="0" w:color="75787B" w:themeColor="accent6"/>
      </w:tblBorders>
    </w:tblPr>
    <w:tcPr>
      <w:shd w:val="clear" w:color="auto" w:fill="75787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116B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116B0"/>
    <w:pPr>
      <w:spacing w:line="240" w:lineRule="auto"/>
    </w:pPr>
    <w:rPr>
      <w:color w:val="638C1B" w:themeColor="accent1" w:themeShade="BF"/>
    </w:rPr>
    <w:tblPr>
      <w:tblStyleRowBandSize w:val="1"/>
      <w:tblStyleColBandSize w:val="1"/>
      <w:tblBorders>
        <w:top w:val="single" w:sz="4" w:space="0" w:color="86BC25" w:themeColor="accent1"/>
        <w:bottom w:val="single" w:sz="4" w:space="0" w:color="86BC25" w:themeColor="accent1"/>
      </w:tblBorders>
    </w:tblPr>
    <w:tblStylePr w:type="firstRow">
      <w:rPr>
        <w:b/>
        <w:bCs/>
      </w:rPr>
      <w:tblPr/>
      <w:tcPr>
        <w:tcBorders>
          <w:bottom w:val="single" w:sz="4" w:space="0" w:color="86BC25" w:themeColor="accent1"/>
        </w:tcBorders>
      </w:tcPr>
    </w:tblStylePr>
    <w:tblStylePr w:type="lastRow">
      <w:rPr>
        <w:b/>
        <w:bCs/>
      </w:rPr>
      <w:tblPr/>
      <w:tcPr>
        <w:tcBorders>
          <w:top w:val="double" w:sz="4" w:space="0" w:color="86BC25" w:themeColor="accent1"/>
        </w:tcBorders>
      </w:tcPr>
    </w:tblStylePr>
    <w:tblStylePr w:type="firstCol">
      <w:rPr>
        <w:b/>
        <w:bCs/>
      </w:rPr>
    </w:tblStylePr>
    <w:tblStylePr w:type="lastCol">
      <w:rPr>
        <w:b/>
        <w:bCs/>
      </w:rPr>
    </w:tblStylePr>
    <w:tblStylePr w:type="band1Vert">
      <w:tblPr/>
      <w:tcPr>
        <w:shd w:val="clear" w:color="auto" w:fill="E7F5CF" w:themeFill="accent1" w:themeFillTint="33"/>
      </w:tcPr>
    </w:tblStylePr>
    <w:tblStylePr w:type="band1Horz">
      <w:tblPr/>
      <w:tcPr>
        <w:shd w:val="clear" w:color="auto" w:fill="E7F5CF" w:themeFill="accent1" w:themeFillTint="33"/>
      </w:tcPr>
    </w:tblStylePr>
  </w:style>
  <w:style w:type="table" w:styleId="ListTable6Colorful-Accent2">
    <w:name w:val="List Table 6 Colorful Accent 2"/>
    <w:basedOn w:val="TableNormal"/>
    <w:uiPriority w:val="51"/>
    <w:rsid w:val="000116B0"/>
    <w:pPr>
      <w:spacing w:line="240" w:lineRule="auto"/>
    </w:pPr>
    <w:rPr>
      <w:color w:val="034F29" w:themeColor="accent2" w:themeShade="BF"/>
    </w:rPr>
    <w:tblPr>
      <w:tblStyleRowBandSize w:val="1"/>
      <w:tblStyleColBandSize w:val="1"/>
      <w:tblBorders>
        <w:top w:val="single" w:sz="4" w:space="0" w:color="046A38" w:themeColor="accent2"/>
        <w:bottom w:val="single" w:sz="4" w:space="0" w:color="046A38" w:themeColor="accent2"/>
      </w:tblBorders>
    </w:tblPr>
    <w:tblStylePr w:type="firstRow">
      <w:rPr>
        <w:b/>
        <w:bCs/>
      </w:rPr>
      <w:tblPr/>
      <w:tcPr>
        <w:tcBorders>
          <w:bottom w:val="single" w:sz="4" w:space="0" w:color="046A38" w:themeColor="accent2"/>
        </w:tcBorders>
      </w:tcPr>
    </w:tblStylePr>
    <w:tblStylePr w:type="lastRow">
      <w:rPr>
        <w:b/>
        <w:bCs/>
      </w:rPr>
      <w:tblPr/>
      <w:tcPr>
        <w:tcBorders>
          <w:top w:val="double" w:sz="4" w:space="0" w:color="046A38" w:themeColor="accent2"/>
        </w:tcBorders>
      </w:tcPr>
    </w:tblStylePr>
    <w:tblStylePr w:type="firstCol">
      <w:rPr>
        <w:b/>
        <w:bCs/>
      </w:rPr>
    </w:tblStylePr>
    <w:tblStylePr w:type="lastCol">
      <w:rPr>
        <w:b/>
        <w:bCs/>
      </w:rPr>
    </w:tblStylePr>
    <w:tblStylePr w:type="band1Vert">
      <w:tblPr/>
      <w:tcPr>
        <w:shd w:val="clear" w:color="auto" w:fill="B1FCD7" w:themeFill="accent2" w:themeFillTint="33"/>
      </w:tcPr>
    </w:tblStylePr>
    <w:tblStylePr w:type="band1Horz">
      <w:tblPr/>
      <w:tcPr>
        <w:shd w:val="clear" w:color="auto" w:fill="B1FCD7" w:themeFill="accent2" w:themeFillTint="33"/>
      </w:tcPr>
    </w:tblStylePr>
  </w:style>
  <w:style w:type="table" w:styleId="ListTable6Colorful-Accent3">
    <w:name w:val="List Table 6 Colorful Accent 3"/>
    <w:basedOn w:val="TableNormal"/>
    <w:uiPriority w:val="51"/>
    <w:rsid w:val="000116B0"/>
    <w:pPr>
      <w:spacing w:line="240" w:lineRule="auto"/>
    </w:pPr>
    <w:rPr>
      <w:color w:val="2291D1" w:themeColor="accent3" w:themeShade="BF"/>
    </w:rPr>
    <w:tblPr>
      <w:tblStyleRowBandSize w:val="1"/>
      <w:tblStyleColBandSize w:val="1"/>
      <w:tblBorders>
        <w:top w:val="single" w:sz="4" w:space="0" w:color="62B5E5" w:themeColor="accent3"/>
        <w:bottom w:val="single" w:sz="4" w:space="0" w:color="62B5E5" w:themeColor="accent3"/>
      </w:tblBorders>
    </w:tblPr>
    <w:tblStylePr w:type="firstRow">
      <w:rPr>
        <w:b/>
        <w:bCs/>
      </w:rPr>
      <w:tblPr/>
      <w:tcPr>
        <w:tcBorders>
          <w:bottom w:val="single" w:sz="4" w:space="0" w:color="62B5E5" w:themeColor="accent3"/>
        </w:tcBorders>
      </w:tcPr>
    </w:tblStylePr>
    <w:tblStylePr w:type="lastRow">
      <w:rPr>
        <w:b/>
        <w:bCs/>
      </w:rPr>
      <w:tblPr/>
      <w:tcPr>
        <w:tcBorders>
          <w:top w:val="double" w:sz="4" w:space="0" w:color="62B5E5" w:themeColor="accent3"/>
        </w:tcBorders>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ListTable6Colorful-Accent4">
    <w:name w:val="List Table 6 Colorful Accent 4"/>
    <w:basedOn w:val="TableNormal"/>
    <w:uiPriority w:val="51"/>
    <w:rsid w:val="000116B0"/>
    <w:pPr>
      <w:spacing w:line="240" w:lineRule="auto"/>
    </w:pPr>
    <w:rPr>
      <w:color w:val="00184E" w:themeColor="accent4" w:themeShade="BF"/>
    </w:rPr>
    <w:tblPr>
      <w:tblStyleRowBandSize w:val="1"/>
      <w:tblStyleColBandSize w:val="1"/>
      <w:tblBorders>
        <w:top w:val="single" w:sz="4" w:space="0" w:color="012169" w:themeColor="accent4"/>
        <w:bottom w:val="single" w:sz="4" w:space="0" w:color="012169" w:themeColor="accent4"/>
      </w:tblBorders>
    </w:tblPr>
    <w:tblStylePr w:type="firstRow">
      <w:rPr>
        <w:b/>
        <w:bCs/>
      </w:rPr>
      <w:tblPr/>
      <w:tcPr>
        <w:tcBorders>
          <w:bottom w:val="single" w:sz="4" w:space="0" w:color="012169" w:themeColor="accent4"/>
        </w:tcBorders>
      </w:tcPr>
    </w:tblStylePr>
    <w:tblStylePr w:type="lastRow">
      <w:rPr>
        <w:b/>
        <w:bCs/>
      </w:rPr>
      <w:tblPr/>
      <w:tcPr>
        <w:tcBorders>
          <w:top w:val="double" w:sz="4" w:space="0" w:color="012169" w:themeColor="accent4"/>
        </w:tcBorders>
      </w:tcPr>
    </w:tblStylePr>
    <w:tblStylePr w:type="firstCol">
      <w:rPr>
        <w:b/>
        <w:bCs/>
      </w:rPr>
    </w:tblStylePr>
    <w:tblStylePr w:type="lastCol">
      <w:rPr>
        <w:b/>
        <w:bCs/>
      </w:rPr>
    </w:tblStylePr>
    <w:tblStylePr w:type="band1Vert">
      <w:tblPr/>
      <w:tcPr>
        <w:shd w:val="clear" w:color="auto" w:fill="AEC7FE" w:themeFill="accent4" w:themeFillTint="33"/>
      </w:tcPr>
    </w:tblStylePr>
    <w:tblStylePr w:type="band1Horz">
      <w:tblPr/>
      <w:tcPr>
        <w:shd w:val="clear" w:color="auto" w:fill="AEC7FE" w:themeFill="accent4" w:themeFillTint="33"/>
      </w:tcPr>
    </w:tblStylePr>
  </w:style>
  <w:style w:type="table" w:styleId="ListTable6Colorful-Accent5">
    <w:name w:val="List Table 6 Colorful Accent 5"/>
    <w:basedOn w:val="TableNormal"/>
    <w:uiPriority w:val="51"/>
    <w:rsid w:val="000116B0"/>
    <w:pPr>
      <w:spacing w:line="240" w:lineRule="auto"/>
    </w:pPr>
    <w:rPr>
      <w:color w:val="00707E" w:themeColor="accent5" w:themeShade="BF"/>
    </w:rPr>
    <w:tblPr>
      <w:tblStyleRowBandSize w:val="1"/>
      <w:tblStyleColBandSize w:val="1"/>
      <w:tblBorders>
        <w:top w:val="single" w:sz="4" w:space="0" w:color="0097A9" w:themeColor="accent5"/>
        <w:bottom w:val="single" w:sz="4" w:space="0" w:color="0097A9" w:themeColor="accent5"/>
      </w:tblBorders>
    </w:tblPr>
    <w:tblStylePr w:type="firstRow">
      <w:rPr>
        <w:b/>
        <w:bCs/>
      </w:rPr>
      <w:tblPr/>
      <w:tcPr>
        <w:tcBorders>
          <w:bottom w:val="single" w:sz="4" w:space="0" w:color="0097A9" w:themeColor="accent5"/>
        </w:tcBorders>
      </w:tcPr>
    </w:tblStylePr>
    <w:tblStylePr w:type="lastRow">
      <w:rPr>
        <w:b/>
        <w:bCs/>
      </w:rPr>
      <w:tblPr/>
      <w:tcPr>
        <w:tcBorders>
          <w:top w:val="double" w:sz="4" w:space="0" w:color="0097A9" w:themeColor="accent5"/>
        </w:tcBorders>
      </w:tcPr>
    </w:tblStylePr>
    <w:tblStylePr w:type="firstCol">
      <w:rPr>
        <w:b/>
        <w:bCs/>
      </w:rPr>
    </w:tblStylePr>
    <w:tblStylePr w:type="lastCol">
      <w:rPr>
        <w:b/>
        <w:bCs/>
      </w:rPr>
    </w:tblStylePr>
    <w:tblStylePr w:type="band1Vert">
      <w:tblPr/>
      <w:tcPr>
        <w:shd w:val="clear" w:color="auto" w:fill="BAF7FF" w:themeFill="accent5" w:themeFillTint="33"/>
      </w:tcPr>
    </w:tblStylePr>
    <w:tblStylePr w:type="band1Horz">
      <w:tblPr/>
      <w:tcPr>
        <w:shd w:val="clear" w:color="auto" w:fill="BAF7FF" w:themeFill="accent5" w:themeFillTint="33"/>
      </w:tcPr>
    </w:tblStylePr>
  </w:style>
  <w:style w:type="table" w:styleId="ListTable6Colorful-Accent6">
    <w:name w:val="List Table 6 Colorful Accent 6"/>
    <w:basedOn w:val="TableNormal"/>
    <w:uiPriority w:val="51"/>
    <w:rsid w:val="000116B0"/>
    <w:pPr>
      <w:spacing w:line="240" w:lineRule="auto"/>
    </w:pPr>
    <w:rPr>
      <w:color w:val="57595C" w:themeColor="accent6" w:themeShade="BF"/>
    </w:rPr>
    <w:tblPr>
      <w:tblStyleRowBandSize w:val="1"/>
      <w:tblStyleColBandSize w:val="1"/>
      <w:tblBorders>
        <w:top w:val="single" w:sz="4" w:space="0" w:color="75787B" w:themeColor="accent6"/>
        <w:bottom w:val="single" w:sz="4" w:space="0" w:color="75787B" w:themeColor="accent6"/>
      </w:tblBorders>
    </w:tblPr>
    <w:tblStylePr w:type="firstRow">
      <w:rPr>
        <w:b/>
        <w:bCs/>
      </w:rPr>
      <w:tblPr/>
      <w:tcPr>
        <w:tcBorders>
          <w:bottom w:val="single" w:sz="4" w:space="0" w:color="75787B" w:themeColor="accent6"/>
        </w:tcBorders>
      </w:tcPr>
    </w:tblStylePr>
    <w:tblStylePr w:type="lastRow">
      <w:rPr>
        <w:b/>
        <w:bCs/>
      </w:rPr>
      <w:tblPr/>
      <w:tcPr>
        <w:tcBorders>
          <w:top w:val="double" w:sz="4" w:space="0" w:color="75787B" w:themeColor="accent6"/>
        </w:tcBorders>
      </w:tcPr>
    </w:tblStylePr>
    <w:tblStylePr w:type="firstCol">
      <w:rPr>
        <w:b/>
        <w:bCs/>
      </w:rPr>
    </w:tblStylePr>
    <w:tblStylePr w:type="lastCol">
      <w:rPr>
        <w:b/>
        <w:bCs/>
      </w:rPr>
    </w:tblStylePr>
    <w:tblStylePr w:type="band1Vert">
      <w:tblPr/>
      <w:tcPr>
        <w:shd w:val="clear" w:color="auto" w:fill="E3E3E4" w:themeFill="accent6" w:themeFillTint="33"/>
      </w:tcPr>
    </w:tblStylePr>
    <w:tblStylePr w:type="band1Horz">
      <w:tblPr/>
      <w:tcPr>
        <w:shd w:val="clear" w:color="auto" w:fill="E3E3E4" w:themeFill="accent6" w:themeFillTint="33"/>
      </w:tcPr>
    </w:tblStylePr>
  </w:style>
  <w:style w:type="table" w:styleId="ListTable7Colorful">
    <w:name w:val="List Table 7 Colorful"/>
    <w:basedOn w:val="TableNormal"/>
    <w:uiPriority w:val="52"/>
    <w:rsid w:val="000116B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116B0"/>
    <w:pPr>
      <w:spacing w:line="240" w:lineRule="auto"/>
    </w:pPr>
    <w:rPr>
      <w:color w:val="638C1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BC2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BC2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BC2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BC25" w:themeColor="accent1"/>
        </w:tcBorders>
        <w:shd w:val="clear" w:color="auto" w:fill="FFFFFF" w:themeFill="background1"/>
      </w:tcPr>
    </w:tblStylePr>
    <w:tblStylePr w:type="band1Vert">
      <w:tblPr/>
      <w:tcPr>
        <w:shd w:val="clear" w:color="auto" w:fill="E7F5CF" w:themeFill="accent1" w:themeFillTint="33"/>
      </w:tcPr>
    </w:tblStylePr>
    <w:tblStylePr w:type="band1Horz">
      <w:tblPr/>
      <w:tcPr>
        <w:shd w:val="clear" w:color="auto" w:fill="E7F5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116B0"/>
    <w:pPr>
      <w:spacing w:line="240" w:lineRule="auto"/>
    </w:pPr>
    <w:rPr>
      <w:color w:val="034F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A3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A3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A3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A38" w:themeColor="accent2"/>
        </w:tcBorders>
        <w:shd w:val="clear" w:color="auto" w:fill="FFFFFF" w:themeFill="background1"/>
      </w:tcPr>
    </w:tblStylePr>
    <w:tblStylePr w:type="band1Vert">
      <w:tblPr/>
      <w:tcPr>
        <w:shd w:val="clear" w:color="auto" w:fill="B1FCD7" w:themeFill="accent2" w:themeFillTint="33"/>
      </w:tcPr>
    </w:tblStylePr>
    <w:tblStylePr w:type="band1Horz">
      <w:tblPr/>
      <w:tcPr>
        <w:shd w:val="clear" w:color="auto" w:fill="B1FC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116B0"/>
    <w:pPr>
      <w:spacing w:line="240" w:lineRule="auto"/>
    </w:pPr>
    <w:rPr>
      <w:color w:val="2291D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B5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B5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B5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B5E5" w:themeColor="accent3"/>
        </w:tcBorders>
        <w:shd w:val="clear" w:color="auto" w:fill="FFFFFF" w:themeFill="background1"/>
      </w:tcPr>
    </w:tblStylePr>
    <w:tblStylePr w:type="band1Vert">
      <w:tblPr/>
      <w:tcPr>
        <w:shd w:val="clear" w:color="auto" w:fill="DFF0F9" w:themeFill="accent3" w:themeFillTint="33"/>
      </w:tcPr>
    </w:tblStylePr>
    <w:tblStylePr w:type="band1Horz">
      <w:tblPr/>
      <w:tcPr>
        <w:shd w:val="clear" w:color="auto" w:fill="DFF0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116B0"/>
    <w:pPr>
      <w:spacing w:line="240" w:lineRule="auto"/>
    </w:pPr>
    <w:rPr>
      <w:color w:val="00184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216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216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216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2169" w:themeColor="accent4"/>
        </w:tcBorders>
        <w:shd w:val="clear" w:color="auto" w:fill="FFFFFF" w:themeFill="background1"/>
      </w:tcPr>
    </w:tblStylePr>
    <w:tblStylePr w:type="band1Vert">
      <w:tblPr/>
      <w:tcPr>
        <w:shd w:val="clear" w:color="auto" w:fill="AEC7FE" w:themeFill="accent4" w:themeFillTint="33"/>
      </w:tcPr>
    </w:tblStylePr>
    <w:tblStylePr w:type="band1Horz">
      <w:tblPr/>
      <w:tcPr>
        <w:shd w:val="clear" w:color="auto" w:fill="AEC7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116B0"/>
    <w:pPr>
      <w:spacing w:line="240" w:lineRule="auto"/>
    </w:pPr>
    <w:rPr>
      <w:color w:val="00707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7A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7A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7A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7A9" w:themeColor="accent5"/>
        </w:tcBorders>
        <w:shd w:val="clear" w:color="auto" w:fill="FFFFFF" w:themeFill="background1"/>
      </w:tcPr>
    </w:tblStylePr>
    <w:tblStylePr w:type="band1Vert">
      <w:tblPr/>
      <w:tcPr>
        <w:shd w:val="clear" w:color="auto" w:fill="BAF7FF" w:themeFill="accent5" w:themeFillTint="33"/>
      </w:tcPr>
    </w:tblStylePr>
    <w:tblStylePr w:type="band1Horz">
      <w:tblPr/>
      <w:tcPr>
        <w:shd w:val="clear" w:color="auto" w:fill="BAF7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116B0"/>
    <w:pPr>
      <w:spacing w:line="240" w:lineRule="auto"/>
    </w:pPr>
    <w:rPr>
      <w:color w:val="57595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787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787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787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787B" w:themeColor="accent6"/>
        </w:tcBorders>
        <w:shd w:val="clear" w:color="auto" w:fill="FFFFFF" w:themeFill="background1"/>
      </w:tcPr>
    </w:tblStylePr>
    <w:tblStylePr w:type="band1Vert">
      <w:tblPr/>
      <w:tcPr>
        <w:shd w:val="clear" w:color="auto" w:fill="E3E3E4" w:themeFill="accent6" w:themeFillTint="33"/>
      </w:tcPr>
    </w:tblStylePr>
    <w:tblStylePr w:type="band1Horz">
      <w:tblPr/>
      <w:tcPr>
        <w:shd w:val="clear" w:color="auto" w:fill="E3E3E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116B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16B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16B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16B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116B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116B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Gitter1">
    <w:name w:val="Tabel - Gitter1"/>
    <w:basedOn w:val="TableNormal"/>
    <w:next w:val="TableGrid"/>
    <w:uiPriority w:val="59"/>
    <w:rsid w:val="001E349B"/>
    <w:pPr>
      <w:spacing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customStyle="1" w:styleId="Pullout-QuoteBlue">
    <w:name w:val="Pullout - Quote Blue"/>
    <w:basedOn w:val="Normal"/>
    <w:next w:val="Normal"/>
    <w:uiPriority w:val="6"/>
    <w:rsid w:val="00375DF8"/>
    <w:pPr>
      <w:spacing w:after="0" w:line="360" w:lineRule="atLeast"/>
      <w:ind w:left="227" w:right="227"/>
    </w:pPr>
    <w:rPr>
      <w:i/>
      <w:color w:val="62B5E5" w:themeColor="accent3"/>
      <w:sz w:val="28"/>
    </w:rPr>
  </w:style>
  <w:style w:type="paragraph" w:customStyle="1" w:styleId="Pullout-QuoteGreen">
    <w:name w:val="Pullout - Quote Green"/>
    <w:basedOn w:val="Pullout-QuoteBlue"/>
    <w:next w:val="Normal"/>
    <w:uiPriority w:val="6"/>
    <w:rsid w:val="00656308"/>
    <w:rPr>
      <w:color w:val="86BC25" w:themeColor="accent1"/>
    </w:rPr>
  </w:style>
  <w:style w:type="character" w:customStyle="1" w:styleId="ListParagraphChar">
    <w:name w:val="List Paragraph Char"/>
    <w:aliases w:val="Use Case List Paragraph Char,List Paragraph - bullets Char,standard lewis Char,Numbered Para 1 Char,Dot pt Char,No Spacing1 Char,List Paragraph Char Char Char Char,Indicator Text Char,List Paragraph1 Char,Bullet Points Char,B1 Char"/>
    <w:basedOn w:val="DefaultParagraphFont"/>
    <w:link w:val="ListParagraph"/>
    <w:uiPriority w:val="34"/>
    <w:qFormat/>
    <w:locked/>
    <w:rsid w:val="00D45A55"/>
    <w:rPr>
      <w:lang w:val="en-AU"/>
    </w:rPr>
  </w:style>
  <w:style w:type="paragraph" w:customStyle="1" w:styleId="Bullet1">
    <w:name w:val="Bullet 1"/>
    <w:basedOn w:val="Normal"/>
    <w:qFormat/>
    <w:rsid w:val="00D45A55"/>
    <w:pPr>
      <w:numPr>
        <w:numId w:val="17"/>
      </w:numPr>
      <w:spacing w:before="60" w:after="0" w:line="240" w:lineRule="auto"/>
    </w:pPr>
    <w:rPr>
      <w:rFonts w:ascii="Calibri" w:eastAsia="Times New Roman" w:hAnsi="Calibri" w:cs="Arial"/>
      <w:sz w:val="22"/>
      <w:szCs w:val="20"/>
      <w:lang w:eastAsia="en-AU"/>
    </w:rPr>
  </w:style>
  <w:style w:type="character" w:styleId="UnresolvedMention">
    <w:name w:val="Unresolved Mention"/>
    <w:basedOn w:val="DefaultParagraphFont"/>
    <w:uiPriority w:val="99"/>
    <w:unhideWhenUsed/>
    <w:rsid w:val="0015363A"/>
    <w:rPr>
      <w:color w:val="605E5C"/>
      <w:shd w:val="clear" w:color="auto" w:fill="E1DFDD"/>
    </w:rPr>
  </w:style>
  <w:style w:type="character" w:styleId="Mention">
    <w:name w:val="Mention"/>
    <w:basedOn w:val="DefaultParagraphFont"/>
    <w:uiPriority w:val="99"/>
    <w:unhideWhenUsed/>
    <w:rsid w:val="00226762"/>
    <w:rPr>
      <w:color w:val="2B579A"/>
      <w:shd w:val="clear" w:color="auto" w:fill="E1DFDD"/>
    </w:rPr>
  </w:style>
  <w:style w:type="character" w:customStyle="1" w:styleId="normaltextrun">
    <w:name w:val="normaltextrun"/>
    <w:basedOn w:val="DefaultParagraphFont"/>
    <w:rsid w:val="00907C86"/>
  </w:style>
  <w:style w:type="character" w:customStyle="1" w:styleId="eop">
    <w:name w:val="eop"/>
    <w:basedOn w:val="DefaultParagraphFont"/>
    <w:rsid w:val="00907C86"/>
  </w:style>
  <w:style w:type="paragraph" w:styleId="Revision">
    <w:name w:val="Revision"/>
    <w:hidden/>
    <w:uiPriority w:val="99"/>
    <w:semiHidden/>
    <w:rsid w:val="00F40A07"/>
    <w:pPr>
      <w:spacing w:line="240" w:lineRule="auto"/>
    </w:pPr>
    <w:rPr>
      <w:lang w:val="en-AU"/>
    </w:rPr>
  </w:style>
  <w:style w:type="character" w:customStyle="1" w:styleId="cite-author">
    <w:name w:val="cite-author"/>
    <w:basedOn w:val="DefaultParagraphFont"/>
    <w:rsid w:val="009D5000"/>
  </w:style>
  <w:style w:type="paragraph" w:customStyle="1" w:styleId="paragraph">
    <w:name w:val="paragraph"/>
    <w:basedOn w:val="Normal"/>
    <w:rsid w:val="00102EF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PCnumberdigit">
    <w:name w:val="DPC number digit"/>
    <w:basedOn w:val="Normal"/>
    <w:uiPriority w:val="4"/>
    <w:rsid w:val="007F4FFD"/>
    <w:pPr>
      <w:numPr>
        <w:numId w:val="45"/>
      </w:numPr>
      <w:spacing w:after="160" w:line="300" w:lineRule="atLeast"/>
    </w:pPr>
    <w:rPr>
      <w:rFonts w:asciiTheme="minorHAnsi" w:eastAsia="Times" w:hAnsiTheme="minorHAnsi" w:cs="Arial"/>
      <w:color w:val="000000" w:themeColor="text1"/>
      <w:sz w:val="22"/>
      <w:szCs w:val="22"/>
    </w:rPr>
  </w:style>
  <w:style w:type="paragraph" w:customStyle="1" w:styleId="DPCnumberdigitindent">
    <w:name w:val="DPC number digit indent"/>
    <w:basedOn w:val="Normal"/>
    <w:uiPriority w:val="4"/>
    <w:qFormat/>
    <w:rsid w:val="007F4FFD"/>
    <w:pPr>
      <w:numPr>
        <w:ilvl w:val="1"/>
        <w:numId w:val="45"/>
      </w:numPr>
      <w:spacing w:after="160" w:line="300" w:lineRule="atLeast"/>
    </w:pPr>
    <w:rPr>
      <w:rFonts w:asciiTheme="minorHAnsi" w:eastAsia="Times" w:hAnsiTheme="minorHAnsi" w:cs="Arial"/>
      <w:color w:val="000000" w:themeColor="text1"/>
      <w:sz w:val="22"/>
      <w:szCs w:val="22"/>
    </w:rPr>
  </w:style>
  <w:style w:type="paragraph" w:customStyle="1" w:styleId="DPCbulletafternumbers1">
    <w:name w:val="DPC bullet after numbers 1"/>
    <w:basedOn w:val="Normal"/>
    <w:rsid w:val="007F4FFD"/>
    <w:pPr>
      <w:numPr>
        <w:ilvl w:val="2"/>
        <w:numId w:val="45"/>
      </w:numPr>
      <w:spacing w:after="160" w:line="300" w:lineRule="atLeast"/>
    </w:pPr>
    <w:rPr>
      <w:rFonts w:asciiTheme="minorHAnsi" w:eastAsia="Times" w:hAnsiTheme="minorHAnsi" w:cs="Arial"/>
      <w:color w:val="000000" w:themeColor="text1"/>
      <w:sz w:val="22"/>
      <w:szCs w:val="22"/>
    </w:rPr>
  </w:style>
  <w:style w:type="paragraph" w:customStyle="1" w:styleId="DPCbulletafternumbers2">
    <w:name w:val="DPC bullet after numbers 2"/>
    <w:basedOn w:val="Normal"/>
    <w:rsid w:val="007F4FFD"/>
    <w:pPr>
      <w:numPr>
        <w:ilvl w:val="3"/>
        <w:numId w:val="45"/>
      </w:numPr>
      <w:spacing w:after="160" w:line="300" w:lineRule="atLeast"/>
    </w:pPr>
    <w:rPr>
      <w:rFonts w:asciiTheme="minorHAnsi" w:eastAsia="Times" w:hAnsiTheme="minorHAnsi" w:cs="Arial"/>
      <w:color w:val="000000" w:themeColor="text1"/>
      <w:sz w:val="22"/>
      <w:szCs w:val="22"/>
    </w:rPr>
  </w:style>
  <w:style w:type="numbering" w:customStyle="1" w:styleId="ZZNumbersdigit">
    <w:name w:val="ZZ Numbers digit"/>
    <w:basedOn w:val="NoList"/>
    <w:uiPriority w:val="99"/>
    <w:rsid w:val="007F4FFD"/>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4995">
      <w:bodyDiv w:val="1"/>
      <w:marLeft w:val="0"/>
      <w:marRight w:val="0"/>
      <w:marTop w:val="0"/>
      <w:marBottom w:val="0"/>
      <w:divBdr>
        <w:top w:val="none" w:sz="0" w:space="0" w:color="auto"/>
        <w:left w:val="none" w:sz="0" w:space="0" w:color="auto"/>
        <w:bottom w:val="none" w:sz="0" w:space="0" w:color="auto"/>
        <w:right w:val="none" w:sz="0" w:space="0" w:color="auto"/>
      </w:divBdr>
    </w:div>
    <w:div w:id="31342684">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06788579">
      <w:bodyDiv w:val="1"/>
      <w:marLeft w:val="0"/>
      <w:marRight w:val="0"/>
      <w:marTop w:val="0"/>
      <w:marBottom w:val="0"/>
      <w:divBdr>
        <w:top w:val="none" w:sz="0" w:space="0" w:color="auto"/>
        <w:left w:val="none" w:sz="0" w:space="0" w:color="auto"/>
        <w:bottom w:val="none" w:sz="0" w:space="0" w:color="auto"/>
        <w:right w:val="none" w:sz="0" w:space="0" w:color="auto"/>
      </w:divBdr>
    </w:div>
    <w:div w:id="404188327">
      <w:bodyDiv w:val="1"/>
      <w:marLeft w:val="0"/>
      <w:marRight w:val="0"/>
      <w:marTop w:val="0"/>
      <w:marBottom w:val="0"/>
      <w:divBdr>
        <w:top w:val="none" w:sz="0" w:space="0" w:color="auto"/>
        <w:left w:val="none" w:sz="0" w:space="0" w:color="auto"/>
        <w:bottom w:val="none" w:sz="0" w:space="0" w:color="auto"/>
        <w:right w:val="none" w:sz="0" w:space="0" w:color="auto"/>
      </w:divBdr>
    </w:div>
    <w:div w:id="528875870">
      <w:bodyDiv w:val="1"/>
      <w:marLeft w:val="0"/>
      <w:marRight w:val="0"/>
      <w:marTop w:val="0"/>
      <w:marBottom w:val="0"/>
      <w:divBdr>
        <w:top w:val="none" w:sz="0" w:space="0" w:color="auto"/>
        <w:left w:val="none" w:sz="0" w:space="0" w:color="auto"/>
        <w:bottom w:val="none" w:sz="0" w:space="0" w:color="auto"/>
        <w:right w:val="none" w:sz="0" w:space="0" w:color="auto"/>
      </w:divBdr>
    </w:div>
    <w:div w:id="585067143">
      <w:bodyDiv w:val="1"/>
      <w:marLeft w:val="0"/>
      <w:marRight w:val="0"/>
      <w:marTop w:val="0"/>
      <w:marBottom w:val="0"/>
      <w:divBdr>
        <w:top w:val="none" w:sz="0" w:space="0" w:color="auto"/>
        <w:left w:val="none" w:sz="0" w:space="0" w:color="auto"/>
        <w:bottom w:val="none" w:sz="0" w:space="0" w:color="auto"/>
        <w:right w:val="none" w:sz="0" w:space="0" w:color="auto"/>
      </w:divBdr>
    </w:div>
    <w:div w:id="616568163">
      <w:bodyDiv w:val="1"/>
      <w:marLeft w:val="0"/>
      <w:marRight w:val="0"/>
      <w:marTop w:val="0"/>
      <w:marBottom w:val="0"/>
      <w:divBdr>
        <w:top w:val="none" w:sz="0" w:space="0" w:color="auto"/>
        <w:left w:val="none" w:sz="0" w:space="0" w:color="auto"/>
        <w:bottom w:val="none" w:sz="0" w:space="0" w:color="auto"/>
        <w:right w:val="none" w:sz="0" w:space="0" w:color="auto"/>
      </w:divBdr>
    </w:div>
    <w:div w:id="644429237">
      <w:bodyDiv w:val="1"/>
      <w:marLeft w:val="0"/>
      <w:marRight w:val="0"/>
      <w:marTop w:val="0"/>
      <w:marBottom w:val="0"/>
      <w:divBdr>
        <w:top w:val="none" w:sz="0" w:space="0" w:color="auto"/>
        <w:left w:val="none" w:sz="0" w:space="0" w:color="auto"/>
        <w:bottom w:val="none" w:sz="0" w:space="0" w:color="auto"/>
        <w:right w:val="none" w:sz="0" w:space="0" w:color="auto"/>
      </w:divBdr>
    </w:div>
    <w:div w:id="748818218">
      <w:bodyDiv w:val="1"/>
      <w:marLeft w:val="0"/>
      <w:marRight w:val="0"/>
      <w:marTop w:val="0"/>
      <w:marBottom w:val="0"/>
      <w:divBdr>
        <w:top w:val="none" w:sz="0" w:space="0" w:color="auto"/>
        <w:left w:val="none" w:sz="0" w:space="0" w:color="auto"/>
        <w:bottom w:val="none" w:sz="0" w:space="0" w:color="auto"/>
        <w:right w:val="none" w:sz="0" w:space="0" w:color="auto"/>
      </w:divBdr>
    </w:div>
    <w:div w:id="840240864">
      <w:bodyDiv w:val="1"/>
      <w:marLeft w:val="0"/>
      <w:marRight w:val="0"/>
      <w:marTop w:val="0"/>
      <w:marBottom w:val="0"/>
      <w:divBdr>
        <w:top w:val="none" w:sz="0" w:space="0" w:color="auto"/>
        <w:left w:val="none" w:sz="0" w:space="0" w:color="auto"/>
        <w:bottom w:val="none" w:sz="0" w:space="0" w:color="auto"/>
        <w:right w:val="none" w:sz="0" w:space="0" w:color="auto"/>
      </w:divBdr>
    </w:div>
    <w:div w:id="868296480">
      <w:bodyDiv w:val="1"/>
      <w:marLeft w:val="0"/>
      <w:marRight w:val="0"/>
      <w:marTop w:val="0"/>
      <w:marBottom w:val="0"/>
      <w:divBdr>
        <w:top w:val="none" w:sz="0" w:space="0" w:color="auto"/>
        <w:left w:val="none" w:sz="0" w:space="0" w:color="auto"/>
        <w:bottom w:val="none" w:sz="0" w:space="0" w:color="auto"/>
        <w:right w:val="none" w:sz="0" w:space="0" w:color="auto"/>
      </w:divBdr>
    </w:div>
    <w:div w:id="937299652">
      <w:bodyDiv w:val="1"/>
      <w:marLeft w:val="0"/>
      <w:marRight w:val="0"/>
      <w:marTop w:val="0"/>
      <w:marBottom w:val="0"/>
      <w:divBdr>
        <w:top w:val="none" w:sz="0" w:space="0" w:color="auto"/>
        <w:left w:val="none" w:sz="0" w:space="0" w:color="auto"/>
        <w:bottom w:val="none" w:sz="0" w:space="0" w:color="auto"/>
        <w:right w:val="none" w:sz="0" w:space="0" w:color="auto"/>
      </w:divBdr>
    </w:div>
    <w:div w:id="1101102344">
      <w:bodyDiv w:val="1"/>
      <w:marLeft w:val="0"/>
      <w:marRight w:val="0"/>
      <w:marTop w:val="0"/>
      <w:marBottom w:val="0"/>
      <w:divBdr>
        <w:top w:val="none" w:sz="0" w:space="0" w:color="auto"/>
        <w:left w:val="none" w:sz="0" w:space="0" w:color="auto"/>
        <w:bottom w:val="none" w:sz="0" w:space="0" w:color="auto"/>
        <w:right w:val="none" w:sz="0" w:space="0" w:color="auto"/>
      </w:divBdr>
    </w:div>
    <w:div w:id="1123042200">
      <w:bodyDiv w:val="1"/>
      <w:marLeft w:val="0"/>
      <w:marRight w:val="0"/>
      <w:marTop w:val="0"/>
      <w:marBottom w:val="0"/>
      <w:divBdr>
        <w:top w:val="none" w:sz="0" w:space="0" w:color="auto"/>
        <w:left w:val="none" w:sz="0" w:space="0" w:color="auto"/>
        <w:bottom w:val="none" w:sz="0" w:space="0" w:color="auto"/>
        <w:right w:val="none" w:sz="0" w:space="0" w:color="auto"/>
      </w:divBdr>
    </w:div>
    <w:div w:id="1230581047">
      <w:bodyDiv w:val="1"/>
      <w:marLeft w:val="0"/>
      <w:marRight w:val="0"/>
      <w:marTop w:val="0"/>
      <w:marBottom w:val="0"/>
      <w:divBdr>
        <w:top w:val="none" w:sz="0" w:space="0" w:color="auto"/>
        <w:left w:val="none" w:sz="0" w:space="0" w:color="auto"/>
        <w:bottom w:val="none" w:sz="0" w:space="0" w:color="auto"/>
        <w:right w:val="none" w:sz="0" w:space="0" w:color="auto"/>
      </w:divBdr>
    </w:div>
    <w:div w:id="1316493597">
      <w:bodyDiv w:val="1"/>
      <w:marLeft w:val="0"/>
      <w:marRight w:val="0"/>
      <w:marTop w:val="0"/>
      <w:marBottom w:val="0"/>
      <w:divBdr>
        <w:top w:val="none" w:sz="0" w:space="0" w:color="auto"/>
        <w:left w:val="none" w:sz="0" w:space="0" w:color="auto"/>
        <w:bottom w:val="none" w:sz="0" w:space="0" w:color="auto"/>
        <w:right w:val="none" w:sz="0" w:space="0" w:color="auto"/>
      </w:divBdr>
    </w:div>
    <w:div w:id="1439983414">
      <w:bodyDiv w:val="1"/>
      <w:marLeft w:val="0"/>
      <w:marRight w:val="0"/>
      <w:marTop w:val="0"/>
      <w:marBottom w:val="0"/>
      <w:divBdr>
        <w:top w:val="none" w:sz="0" w:space="0" w:color="auto"/>
        <w:left w:val="none" w:sz="0" w:space="0" w:color="auto"/>
        <w:bottom w:val="none" w:sz="0" w:space="0" w:color="auto"/>
        <w:right w:val="none" w:sz="0" w:space="0" w:color="auto"/>
      </w:divBdr>
    </w:div>
    <w:div w:id="1447189342">
      <w:bodyDiv w:val="1"/>
      <w:marLeft w:val="0"/>
      <w:marRight w:val="0"/>
      <w:marTop w:val="0"/>
      <w:marBottom w:val="0"/>
      <w:divBdr>
        <w:top w:val="none" w:sz="0" w:space="0" w:color="auto"/>
        <w:left w:val="none" w:sz="0" w:space="0" w:color="auto"/>
        <w:bottom w:val="none" w:sz="0" w:space="0" w:color="auto"/>
        <w:right w:val="none" w:sz="0" w:space="0" w:color="auto"/>
      </w:divBdr>
    </w:div>
    <w:div w:id="1466389898">
      <w:bodyDiv w:val="1"/>
      <w:marLeft w:val="0"/>
      <w:marRight w:val="0"/>
      <w:marTop w:val="0"/>
      <w:marBottom w:val="0"/>
      <w:divBdr>
        <w:top w:val="none" w:sz="0" w:space="0" w:color="auto"/>
        <w:left w:val="none" w:sz="0" w:space="0" w:color="auto"/>
        <w:bottom w:val="none" w:sz="0" w:space="0" w:color="auto"/>
        <w:right w:val="none" w:sz="0" w:space="0" w:color="auto"/>
      </w:divBdr>
    </w:div>
    <w:div w:id="1503427585">
      <w:bodyDiv w:val="1"/>
      <w:marLeft w:val="0"/>
      <w:marRight w:val="0"/>
      <w:marTop w:val="0"/>
      <w:marBottom w:val="0"/>
      <w:divBdr>
        <w:top w:val="none" w:sz="0" w:space="0" w:color="auto"/>
        <w:left w:val="none" w:sz="0" w:space="0" w:color="auto"/>
        <w:bottom w:val="none" w:sz="0" w:space="0" w:color="auto"/>
        <w:right w:val="none" w:sz="0" w:space="0" w:color="auto"/>
      </w:divBdr>
    </w:div>
    <w:div w:id="1612128761">
      <w:bodyDiv w:val="1"/>
      <w:marLeft w:val="0"/>
      <w:marRight w:val="0"/>
      <w:marTop w:val="0"/>
      <w:marBottom w:val="0"/>
      <w:divBdr>
        <w:top w:val="none" w:sz="0" w:space="0" w:color="auto"/>
        <w:left w:val="none" w:sz="0" w:space="0" w:color="auto"/>
        <w:bottom w:val="none" w:sz="0" w:space="0" w:color="auto"/>
        <w:right w:val="none" w:sz="0" w:space="0" w:color="auto"/>
      </w:divBdr>
    </w:div>
    <w:div w:id="1626963321">
      <w:bodyDiv w:val="1"/>
      <w:marLeft w:val="0"/>
      <w:marRight w:val="0"/>
      <w:marTop w:val="0"/>
      <w:marBottom w:val="0"/>
      <w:divBdr>
        <w:top w:val="none" w:sz="0" w:space="0" w:color="auto"/>
        <w:left w:val="none" w:sz="0" w:space="0" w:color="auto"/>
        <w:bottom w:val="none" w:sz="0" w:space="0" w:color="auto"/>
        <w:right w:val="none" w:sz="0" w:space="0" w:color="auto"/>
      </w:divBdr>
    </w:div>
    <w:div w:id="1773436419">
      <w:bodyDiv w:val="1"/>
      <w:marLeft w:val="0"/>
      <w:marRight w:val="0"/>
      <w:marTop w:val="0"/>
      <w:marBottom w:val="0"/>
      <w:divBdr>
        <w:top w:val="none" w:sz="0" w:space="0" w:color="auto"/>
        <w:left w:val="none" w:sz="0" w:space="0" w:color="auto"/>
        <w:bottom w:val="none" w:sz="0" w:space="0" w:color="auto"/>
        <w:right w:val="none" w:sz="0" w:space="0" w:color="auto"/>
      </w:divBdr>
    </w:div>
    <w:div w:id="1789858148">
      <w:bodyDiv w:val="1"/>
      <w:marLeft w:val="0"/>
      <w:marRight w:val="0"/>
      <w:marTop w:val="0"/>
      <w:marBottom w:val="0"/>
      <w:divBdr>
        <w:top w:val="none" w:sz="0" w:space="0" w:color="auto"/>
        <w:left w:val="none" w:sz="0" w:space="0" w:color="auto"/>
        <w:bottom w:val="none" w:sz="0" w:space="0" w:color="auto"/>
        <w:right w:val="none" w:sz="0" w:space="0" w:color="auto"/>
      </w:divBdr>
    </w:div>
    <w:div w:id="1797681463">
      <w:bodyDiv w:val="1"/>
      <w:marLeft w:val="0"/>
      <w:marRight w:val="0"/>
      <w:marTop w:val="0"/>
      <w:marBottom w:val="0"/>
      <w:divBdr>
        <w:top w:val="none" w:sz="0" w:space="0" w:color="auto"/>
        <w:left w:val="none" w:sz="0" w:space="0" w:color="auto"/>
        <w:bottom w:val="none" w:sz="0" w:space="0" w:color="auto"/>
        <w:right w:val="none" w:sz="0" w:space="0" w:color="auto"/>
      </w:divBdr>
      <w:divsChild>
        <w:div w:id="929045705">
          <w:marLeft w:val="0"/>
          <w:marRight w:val="0"/>
          <w:marTop w:val="0"/>
          <w:marBottom w:val="0"/>
          <w:divBdr>
            <w:top w:val="none" w:sz="0" w:space="0" w:color="auto"/>
            <w:left w:val="none" w:sz="0" w:space="0" w:color="auto"/>
            <w:bottom w:val="none" w:sz="0" w:space="0" w:color="auto"/>
            <w:right w:val="none" w:sz="0" w:space="0" w:color="auto"/>
          </w:divBdr>
        </w:div>
        <w:div w:id="110429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deloitte.com/au/deloitte-access-economic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m/url?sa=t&amp;rct=j&amp;q=&amp;esrc=s&amp;source=web&amp;cd=&amp;ved=2ahUKEwiMhsDN9onxAhVM63MBHXpdBkkQFjAAegQIBhAD&amp;url=https%3A%2F%2Fwww.vic.gov.au%2Fhow-to-prepare-regulatory-impact-assessments&amp;usg=AOvVaw006UsnQDkP2Nl8L_iYG6G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ausdeloitte.sharepoint.com/sites/DJCSRISproposal/Shared%20Documents/General/4.%20Data/2.%20Weapons/T05_Full_Data_data%20(1)%20(version%201).xlsb.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usdeloitte.sharepoint.com/sites/DJCSRISproposal/Shared%20Documents/General/4.%20Data/2.%20Weapons/2.%20Victims%20of%20Crime,%20Selected%20offences,%20states%20and%20territories.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'[T05_Full_Data_data%20(1) (version 1).xlsb.csv]T05_Full_Data_data%20(1) (versi'!$A$2</c:f>
              <c:strCache>
                <c:ptCount val="1"/>
                <c:pt idx="0">
                  <c:v>Controlled weapon</c:v>
                </c:pt>
              </c:strCache>
            </c:strRef>
          </c:tx>
          <c:spPr>
            <a:solidFill>
              <a:schemeClr val="accent1"/>
            </a:solidFill>
            <a:ln>
              <a:noFill/>
            </a:ln>
            <a:effectLst/>
          </c:spPr>
          <c:invertIfNegative val="0"/>
          <c:cat>
            <c:numRef>
              <c:f>'[T05_Full_Data_data%20(1) (version 1).xlsb.csv]T05_Full_Data_data%20(1) (versi'!$B$1:$K$1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'[T05_Full_Data_data%20(1) (version 1).xlsb.csv]T05_Full_Data_data%20(1) (versi'!$B$2:$K$2</c:f>
              <c:numCache>
                <c:formatCode>General</c:formatCode>
                <c:ptCount val="10"/>
                <c:pt idx="0">
                  <c:v>73</c:v>
                </c:pt>
                <c:pt idx="1">
                  <c:v>99</c:v>
                </c:pt>
                <c:pt idx="2">
                  <c:v>99</c:v>
                </c:pt>
                <c:pt idx="3">
                  <c:v>135</c:v>
                </c:pt>
                <c:pt idx="4">
                  <c:v>99</c:v>
                </c:pt>
                <c:pt idx="5">
                  <c:v>124</c:v>
                </c:pt>
                <c:pt idx="6">
                  <c:v>117</c:v>
                </c:pt>
                <c:pt idx="7">
                  <c:v>124</c:v>
                </c:pt>
                <c:pt idx="8">
                  <c:v>103</c:v>
                </c:pt>
                <c:pt idx="9">
                  <c:v>109</c:v>
                </c:pt>
              </c:numCache>
            </c:numRef>
          </c:val>
          <c:extLst>
            <c:ext xmlns:c16="http://schemas.microsoft.com/office/drawing/2014/chart" uri="{C3380CC4-5D6E-409C-BE32-E72D297353CC}">
              <c16:uniqueId val="{00000000-F1D6-467A-A45B-0361D7C1B1B5}"/>
            </c:ext>
          </c:extLst>
        </c:ser>
        <c:ser>
          <c:idx val="1"/>
          <c:order val="1"/>
          <c:tx>
            <c:strRef>
              <c:f>'[T05_Full_Data_data%20(1) (version 1).xlsb.csv]T05_Full_Data_data%20(1) (versi'!$A$3</c:f>
              <c:strCache>
                <c:ptCount val="1"/>
                <c:pt idx="0">
                  <c:v>Prohibited weapon</c:v>
                </c:pt>
              </c:strCache>
            </c:strRef>
          </c:tx>
          <c:spPr>
            <a:solidFill>
              <a:schemeClr val="accent2"/>
            </a:solidFill>
            <a:ln>
              <a:noFill/>
            </a:ln>
            <a:effectLst/>
          </c:spPr>
          <c:invertIfNegative val="0"/>
          <c:cat>
            <c:numRef>
              <c:f>'[T05_Full_Data_data%20(1) (version 1).xlsb.csv]T05_Full_Data_data%20(1) (versi'!$B$1:$K$1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'[T05_Full_Data_data%20(1) (version 1).xlsb.csv]T05_Full_Data_data%20(1) (versi'!$B$3:$K$3</c:f>
              <c:numCache>
                <c:formatCode>General</c:formatCode>
                <c:ptCount val="10"/>
                <c:pt idx="0">
                  <c:v>10</c:v>
                </c:pt>
                <c:pt idx="1">
                  <c:v>23</c:v>
                </c:pt>
                <c:pt idx="2">
                  <c:v>23</c:v>
                </c:pt>
                <c:pt idx="3">
                  <c:v>24</c:v>
                </c:pt>
                <c:pt idx="4">
                  <c:v>29</c:v>
                </c:pt>
                <c:pt idx="5">
                  <c:v>45</c:v>
                </c:pt>
                <c:pt idx="6">
                  <c:v>40</c:v>
                </c:pt>
                <c:pt idx="7">
                  <c:v>46</c:v>
                </c:pt>
                <c:pt idx="8">
                  <c:v>44</c:v>
                </c:pt>
                <c:pt idx="9">
                  <c:v>47</c:v>
                </c:pt>
              </c:numCache>
            </c:numRef>
          </c:val>
          <c:extLst>
            <c:ext xmlns:c16="http://schemas.microsoft.com/office/drawing/2014/chart" uri="{C3380CC4-5D6E-409C-BE32-E72D297353CC}">
              <c16:uniqueId val="{00000001-F1D6-467A-A45B-0361D7C1B1B5}"/>
            </c:ext>
          </c:extLst>
        </c:ser>
        <c:dLbls>
          <c:showLegendKey val="0"/>
          <c:showVal val="0"/>
          <c:showCatName val="0"/>
          <c:showSerName val="0"/>
          <c:showPercent val="0"/>
          <c:showBubbleSize val="0"/>
        </c:dLbls>
        <c:gapWidth val="219"/>
        <c:overlap val="-27"/>
        <c:axId val="674793359"/>
        <c:axId val="1226325663"/>
      </c:barChart>
      <c:catAx>
        <c:axId val="67479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325663"/>
        <c:crosses val="autoZero"/>
        <c:auto val="1"/>
        <c:lblAlgn val="ctr"/>
        <c:lblOffset val="100"/>
        <c:noMultiLvlLbl val="0"/>
      </c:catAx>
      <c:valAx>
        <c:axId val="1226325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793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'Percentage of crimes'!$B$1</c:f>
              <c:strCache>
                <c:ptCount val="1"/>
              </c:strCache>
            </c:strRef>
          </c:tx>
          <c:spPr>
            <a:solidFill>
              <a:schemeClr val="accent1"/>
            </a:solidFill>
            <a:ln>
              <a:noFill/>
            </a:ln>
            <a:effectLst/>
          </c:spPr>
          <c:invertIfNegative val="0"/>
          <c:cat>
            <c:strRef>
              <c:f>'Percentage of crimes'!$A$2:$A$6</c:f>
              <c:strCache>
                <c:ptCount val="5"/>
                <c:pt idx="0">
                  <c:v>Homicide</c:v>
                </c:pt>
                <c:pt idx="1">
                  <c:v>Murder</c:v>
                </c:pt>
                <c:pt idx="2">
                  <c:v>Attempted Murder</c:v>
                </c:pt>
                <c:pt idx="3">
                  <c:v>Kidnapping and abduction</c:v>
                </c:pt>
                <c:pt idx="4">
                  <c:v>Robbery</c:v>
                </c:pt>
              </c:strCache>
            </c:strRef>
          </c:cat>
          <c:val>
            <c:numRef>
              <c:f>'Percentage of crimes'!$B$2:$B$6</c:f>
            </c:numRef>
          </c:val>
          <c:extLst>
            <c:ext xmlns:c16="http://schemas.microsoft.com/office/drawing/2014/chart" uri="{C3380CC4-5D6E-409C-BE32-E72D297353CC}">
              <c16:uniqueId val="{00000000-D93F-4116-87DC-1772A5D99262}"/>
            </c:ext>
          </c:extLst>
        </c:ser>
        <c:ser>
          <c:idx val="1"/>
          <c:order val="1"/>
          <c:tx>
            <c:strRef>
              <c:f>'Percentage of crimes'!$C$1</c:f>
              <c:strCache>
                <c:ptCount val="1"/>
                <c:pt idx="0">
                  <c:v>Firearm</c:v>
                </c:pt>
              </c:strCache>
            </c:strRef>
          </c:tx>
          <c:spPr>
            <a:solidFill>
              <a:schemeClr val="accent2"/>
            </a:solidFill>
            <a:ln>
              <a:noFill/>
            </a:ln>
            <a:effectLst/>
          </c:spPr>
          <c:invertIfNegative val="0"/>
          <c:cat>
            <c:strRef>
              <c:f>'Percentage of crimes'!$A$2:$A$6</c:f>
              <c:strCache>
                <c:ptCount val="5"/>
                <c:pt idx="0">
                  <c:v>Homicide</c:v>
                </c:pt>
                <c:pt idx="1">
                  <c:v>Murder</c:v>
                </c:pt>
                <c:pt idx="2">
                  <c:v>Attempted Murder</c:v>
                </c:pt>
                <c:pt idx="3">
                  <c:v>Kidnapping and abduction</c:v>
                </c:pt>
                <c:pt idx="4">
                  <c:v>Robbery</c:v>
                </c:pt>
              </c:strCache>
            </c:strRef>
          </c:cat>
          <c:val>
            <c:numRef>
              <c:f>'Percentage of crimes'!$C$2:$C$6</c:f>
              <c:numCache>
                <c:formatCode>0%</c:formatCode>
                <c:ptCount val="5"/>
                <c:pt idx="0">
                  <c:v>0.20800000000000002</c:v>
                </c:pt>
                <c:pt idx="1">
                  <c:v>0.19600000000000001</c:v>
                </c:pt>
                <c:pt idx="2">
                  <c:v>0.33299999999999996</c:v>
                </c:pt>
                <c:pt idx="3">
                  <c:v>1.9E-2</c:v>
                </c:pt>
                <c:pt idx="4">
                  <c:v>3.2000000000000001E-2</c:v>
                </c:pt>
              </c:numCache>
            </c:numRef>
          </c:val>
          <c:extLst>
            <c:ext xmlns:c16="http://schemas.microsoft.com/office/drawing/2014/chart" uri="{C3380CC4-5D6E-409C-BE32-E72D297353CC}">
              <c16:uniqueId val="{00000001-D93F-4116-87DC-1772A5D99262}"/>
            </c:ext>
          </c:extLst>
        </c:ser>
        <c:ser>
          <c:idx val="2"/>
          <c:order val="2"/>
          <c:tx>
            <c:strRef>
              <c:f>'Percentage of crimes'!$D$1</c:f>
              <c:strCache>
                <c:ptCount val="1"/>
                <c:pt idx="0">
                  <c:v>Non-firearms</c:v>
                </c:pt>
              </c:strCache>
            </c:strRef>
          </c:tx>
          <c:spPr>
            <a:solidFill>
              <a:schemeClr val="accent3"/>
            </a:solidFill>
            <a:ln>
              <a:noFill/>
            </a:ln>
            <a:effectLst/>
          </c:spPr>
          <c:invertIfNegative val="0"/>
          <c:cat>
            <c:strRef>
              <c:f>'Percentage of crimes'!$A$2:$A$6</c:f>
              <c:strCache>
                <c:ptCount val="5"/>
                <c:pt idx="0">
                  <c:v>Homicide</c:v>
                </c:pt>
                <c:pt idx="1">
                  <c:v>Murder</c:v>
                </c:pt>
                <c:pt idx="2">
                  <c:v>Attempted Murder</c:v>
                </c:pt>
                <c:pt idx="3">
                  <c:v>Kidnapping and abduction</c:v>
                </c:pt>
                <c:pt idx="4">
                  <c:v>Robbery</c:v>
                </c:pt>
              </c:strCache>
            </c:strRef>
          </c:cat>
          <c:val>
            <c:numRef>
              <c:f>'Percentage of crimes'!$D$2:$D$6</c:f>
              <c:numCache>
                <c:formatCode>0%</c:formatCode>
                <c:ptCount val="5"/>
                <c:pt idx="0">
                  <c:v>0.317</c:v>
                </c:pt>
                <c:pt idx="1">
                  <c:v>0.33900000000000008</c:v>
                </c:pt>
                <c:pt idx="2">
                  <c:v>0.3</c:v>
                </c:pt>
                <c:pt idx="3">
                  <c:v>0.17100000000000001</c:v>
                </c:pt>
                <c:pt idx="4">
                  <c:v>0.496</c:v>
                </c:pt>
              </c:numCache>
            </c:numRef>
          </c:val>
          <c:extLst>
            <c:ext xmlns:c16="http://schemas.microsoft.com/office/drawing/2014/chart" uri="{C3380CC4-5D6E-409C-BE32-E72D297353CC}">
              <c16:uniqueId val="{00000002-D93F-4116-87DC-1772A5D99262}"/>
            </c:ext>
          </c:extLst>
        </c:ser>
        <c:ser>
          <c:idx val="3"/>
          <c:order val="3"/>
          <c:tx>
            <c:strRef>
              <c:f>'Percentage of crimes'!$E$1</c:f>
              <c:strCache>
                <c:ptCount val="1"/>
                <c:pt idx="0">
                  <c:v>No weapon</c:v>
                </c:pt>
              </c:strCache>
            </c:strRef>
          </c:tx>
          <c:spPr>
            <a:solidFill>
              <a:schemeClr val="accent4"/>
            </a:solidFill>
            <a:ln>
              <a:noFill/>
            </a:ln>
            <a:effectLst/>
          </c:spPr>
          <c:invertIfNegative val="0"/>
          <c:cat>
            <c:strRef>
              <c:f>'Percentage of crimes'!$A$2:$A$6</c:f>
              <c:strCache>
                <c:ptCount val="5"/>
                <c:pt idx="0">
                  <c:v>Homicide</c:v>
                </c:pt>
                <c:pt idx="1">
                  <c:v>Murder</c:v>
                </c:pt>
                <c:pt idx="2">
                  <c:v>Attempted Murder</c:v>
                </c:pt>
                <c:pt idx="3">
                  <c:v>Kidnapping and abduction</c:v>
                </c:pt>
                <c:pt idx="4">
                  <c:v>Robbery</c:v>
                </c:pt>
              </c:strCache>
            </c:strRef>
          </c:cat>
          <c:val>
            <c:numRef>
              <c:f>'Percentage of crimes'!$E$2:$E$6</c:f>
              <c:numCache>
                <c:formatCode>0%</c:formatCode>
                <c:ptCount val="5"/>
                <c:pt idx="0">
                  <c:v>0.46500000000000002</c:v>
                </c:pt>
                <c:pt idx="1">
                  <c:v>0.41100000000000003</c:v>
                </c:pt>
                <c:pt idx="2">
                  <c:v>0.4</c:v>
                </c:pt>
                <c:pt idx="3">
                  <c:v>0.81</c:v>
                </c:pt>
                <c:pt idx="4">
                  <c:v>0.47399999999999998</c:v>
                </c:pt>
              </c:numCache>
            </c:numRef>
          </c:val>
          <c:extLst>
            <c:ext xmlns:c16="http://schemas.microsoft.com/office/drawing/2014/chart" uri="{C3380CC4-5D6E-409C-BE32-E72D297353CC}">
              <c16:uniqueId val="{00000003-D93F-4116-87DC-1772A5D99262}"/>
            </c:ext>
          </c:extLst>
        </c:ser>
        <c:dLbls>
          <c:showLegendKey val="0"/>
          <c:showVal val="0"/>
          <c:showCatName val="0"/>
          <c:showSerName val="0"/>
          <c:showPercent val="0"/>
          <c:showBubbleSize val="0"/>
        </c:dLbls>
        <c:gapWidth val="219"/>
        <c:overlap val="-27"/>
        <c:axId val="294721647"/>
        <c:axId val="293644383"/>
      </c:barChart>
      <c:catAx>
        <c:axId val="29472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644383"/>
        <c:crosses val="autoZero"/>
        <c:auto val="1"/>
        <c:lblAlgn val="ctr"/>
        <c:lblOffset val="100"/>
        <c:noMultiLvlLbl val="0"/>
      </c:catAx>
      <c:valAx>
        <c:axId val="29364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721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eloitte">
  <a:themeElements>
    <a:clrScheme name="Deloitte">
      <a:dk1>
        <a:srgbClr val="000000"/>
      </a:dk1>
      <a:lt1>
        <a:srgbClr val="FFFFFF"/>
      </a:lt1>
      <a:dk2>
        <a:srgbClr val="44546A"/>
      </a:dk2>
      <a:lt2>
        <a:srgbClr val="E7E6E6"/>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solidFill>
            <a:schemeClr val="accent3"/>
          </a:solidFill>
          <a:miter lim="800000"/>
          <a:headEnd/>
          <a:tailEnd/>
        </a:ln>
      </a:spPr>
      <a:bodyPr wrap="square" lIns="88900" tIns="88900" rIns="88900" bIns="88900" rtlCol="0" anchor="ctr"/>
      <a:lstStyle>
        <a:defPPr algn="ctr">
          <a:lnSpc>
            <a:spcPct val="106000"/>
          </a:lnSpc>
          <a:buFont typeface="Wingdings 2" pitchFamily="18" charset="2"/>
          <a:buNone/>
          <a:defRPr sz="1600" b="1" noProof="0" dirty="0" err="1" smtClean="0">
            <a:solidFill>
              <a:schemeClr val="bg1"/>
            </a:solidFill>
          </a:defRPr>
        </a:defPPr>
      </a:lstStyle>
    </a:spDef>
    <a:lnDef>
      <a:spPr>
        <a:ln>
          <a:solidFill>
            <a:srgbClr val="44546A"/>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34000" indent="-234000">
          <a:spcBef>
            <a:spcPts val="0"/>
          </a:spcBef>
          <a:spcAft>
            <a:spcPts val="1333"/>
          </a:spcAft>
          <a:buSzPct val="100000"/>
          <a:buFont typeface="Arial"/>
          <a:buChar char="•"/>
          <a:defRPr sz="1200" noProof="0" dirty="0" err="1" smtClean="0">
            <a:solidFill>
              <a:schemeClr val="tx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id="{020FA619-153C-4BC1-AB41-D999AE5EF9C3}" vid="{04C754E3-B662-48D8-B304-73D035B016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7D5BB-7E61-4F23-9DDE-6402AD93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13800</Words>
  <Characters>78664</Characters>
  <Application>Microsoft Office Word</Application>
  <DocSecurity>4</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2021-08-09T05:26:00Z</dcterms:created>
  <dcterms:modified xsi:type="dcterms:W3CDTF">2021-08-09T05:26:00Z</dcterms:modified>
</cp:coreProperties>
</file>