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72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a0a0a"/>
          <w:sz w:val="64"/>
          <w:szCs w:val="64"/>
          <w:rtl w:val="0"/>
        </w:rPr>
        <w:t xml:space="preserve">AUREXIA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rPr/>
      </w:pPr>
      <w:r w:rsidDel="00000000" w:rsidR="00000000" w:rsidRPr="00000000">
        <w:rPr>
          <w:rFonts w:ascii="Inter" w:cs="Inter" w:eastAsia="Inter" w:hAnsi="Inter"/>
          <w:color w:val="2f80ed"/>
          <w:sz w:val="40"/>
          <w:szCs w:val="40"/>
          <w:rtl w:val="0"/>
        </w:rPr>
        <w:t xml:space="preserve">Engineering Team Work Division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before="0" w:lineRule="auto"/>
        <w:rPr/>
      </w:pPr>
      <w:r w:rsidDel="00000000" w:rsidR="00000000" w:rsidRPr="00000000">
        <w:rPr>
          <w:rFonts w:ascii="Inter" w:cs="Inter" w:eastAsia="Inter" w:hAnsi="Inter"/>
          <w:color w:val="888888"/>
          <w:sz w:val="26"/>
          <w:szCs w:val="26"/>
          <w:rtl w:val="0"/>
        </w:rPr>
        <w:t xml:space="preserve">Frontend  ·  Backend  ·  DevOps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dddddd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60" w:befor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a0a0a"/>
          <w:sz w:val="36"/>
          <w:szCs w:val="36"/>
          <w:rtl w:val="0"/>
        </w:rPr>
        <w:t xml:space="preserve">1.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rFonts w:ascii="Inter" w:cs="Inter" w:eastAsia="Inter" w:hAnsi="Inter"/>
          <w:color w:val="2b2b2b"/>
          <w:sz w:val="22"/>
          <w:szCs w:val="22"/>
          <w:rtl w:val="0"/>
        </w:rPr>
        <w:t xml:space="preserve">Aurexia is a vertically integrated institutional capital platform for originating, structuring, managing, and exiting critical mineral investments across Southern Africa. The platform is a 4-layer digital ecosystem: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360"/>
        <w:gridCol w:w="2800"/>
        <w:tblGridChange w:id="0">
          <w:tblGrid>
            <w:gridCol w:w="2200"/>
            <w:gridCol w:w="4360"/>
            <w:gridCol w:w="2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f80ed" w:space="0" w:sz="4" w:val="single"/>
              <w:left w:color="2f80ed" w:space="0" w:sz="4" w:val="single"/>
              <w:bottom w:color="2f80ed" w:space="0" w:sz="4" w:val="single"/>
              <w:right w:color="2f80ed" w:space="0" w:sz="4" w:val="single"/>
            </w:tcBorders>
            <w:shd w:fill="0a0a0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80ed" w:space="0" w:sz="4" w:val="single"/>
              <w:left w:color="2f80ed" w:space="0" w:sz="4" w:val="single"/>
              <w:bottom w:color="2f80ed" w:space="0" w:sz="4" w:val="single"/>
              <w:right w:color="2f80ed" w:space="0" w:sz="4" w:val="single"/>
            </w:tcBorders>
            <w:shd w:fill="0a0a0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80ed" w:space="0" w:sz="4" w:val="single"/>
              <w:left w:color="2f80ed" w:space="0" w:sz="4" w:val="single"/>
              <w:bottom w:color="2f80ed" w:space="0" w:sz="4" w:val="single"/>
              <w:right w:color="2f80ed" w:space="0" w:sz="4" w:val="single"/>
            </w:tcBorders>
            <w:shd w:fill="0a0a0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Primary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Inter" w:cs="Inter" w:eastAsia="Inter" w:hAnsi="Inter"/>
                <w:color w:val="2b2b2b"/>
                <w:sz w:val="20"/>
                <w:szCs w:val="20"/>
                <w:rtl w:val="0"/>
              </w:rPr>
              <w:t xml:space="preserve">Public 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Inter" w:cs="Inter" w:eastAsia="Inter" w:hAnsi="Inter"/>
                <w:color w:val="2b2b2b"/>
                <w:sz w:val="20"/>
                <w:szCs w:val="20"/>
                <w:rtl w:val="0"/>
              </w:rPr>
              <w:t xml:space="preserve">LP attraction + deal origination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Inter" w:cs="Inter" w:eastAsia="Inter" w:hAnsi="Inter"/>
                <w:color w:val="2b2b2b"/>
                <w:sz w:val="20"/>
                <w:szCs w:val="20"/>
                <w:rtl w:val="0"/>
              </w:rPr>
              <w:t xml:space="preserve">LPs, Mine Operators, 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Inter" w:cs="Inter" w:eastAsia="Inter" w:hAnsi="Inter"/>
                <w:color w:val="2b2b2b"/>
                <w:sz w:val="20"/>
                <w:szCs w:val="20"/>
                <w:rtl w:val="0"/>
              </w:rPr>
              <w:t xml:space="preserve">Investor Microsite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Inter" w:cs="Inter" w:eastAsia="Inter" w:hAnsi="Inter"/>
                <w:color w:val="2b2b2b"/>
                <w:sz w:val="20"/>
                <w:szCs w:val="20"/>
                <w:rtl w:val="0"/>
              </w:rPr>
              <w:t xml:space="preserve">Fundraising conversion — NDA-gated materials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Inter" w:cs="Inter" w:eastAsia="Inter" w:hAnsi="Inter"/>
                <w:color w:val="2b2b2b"/>
                <w:sz w:val="20"/>
                <w:szCs w:val="20"/>
                <w:rtl w:val="0"/>
              </w:rPr>
              <w:t xml:space="preserve">Qualified LPs (post-NDA)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Inter" w:cs="Inter" w:eastAsia="Inter" w:hAnsi="Inter"/>
                <w:color w:val="2b2b2b"/>
                <w:sz w:val="20"/>
                <w:szCs w:val="20"/>
                <w:rtl w:val="0"/>
              </w:rPr>
              <w:t xml:space="preserve">Private Platform (Core SaaS)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Inter" w:cs="Inter" w:eastAsia="Inter" w:hAnsi="Inter"/>
                <w:color w:val="2b2b2b"/>
                <w:sz w:val="20"/>
                <w:szCs w:val="20"/>
                <w:rtl w:val="0"/>
              </w:rPr>
              <w:t xml:space="preserve">Full operating system — deals, IC, portfolio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Inter" w:cs="Inter" w:eastAsia="Inter" w:hAnsi="Inter"/>
                <w:color w:val="2b2b2b"/>
                <w:sz w:val="20"/>
                <w:szCs w:val="20"/>
                <w:rtl w:val="0"/>
              </w:rPr>
              <w:t xml:space="preserve">Aurexia GP, Analysts, 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Inter" w:cs="Inter" w:eastAsia="Inter" w:hAnsi="Inter"/>
                <w:color w:val="2b2b2b"/>
                <w:sz w:val="20"/>
                <w:szCs w:val="20"/>
                <w:rtl w:val="0"/>
              </w:rPr>
              <w:t xml:space="preserve">LP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Inter" w:cs="Inter" w:eastAsia="Inter" w:hAnsi="Inter"/>
                <w:color w:val="2b2b2b"/>
                <w:sz w:val="20"/>
                <w:szCs w:val="20"/>
                <w:rtl w:val="0"/>
              </w:rPr>
              <w:t xml:space="preserve">Post-investment transparency +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Inter" w:cs="Inter" w:eastAsia="Inter" w:hAnsi="Inter"/>
                <w:color w:val="2b2b2b"/>
                <w:sz w:val="20"/>
                <w:szCs w:val="20"/>
                <w:rtl w:val="0"/>
              </w:rPr>
              <w:t xml:space="preserve">Active LPs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dddddd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20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2f80ed"/>
          <w:sz w:val="40"/>
          <w:szCs w:val="40"/>
          <w:rtl w:val="0"/>
        </w:rPr>
        <w:t xml:space="preserve">2. Frontend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Rule="auto"/>
        <w:rPr/>
      </w:pPr>
      <w:r w:rsidDel="00000000" w:rsidR="00000000" w:rsidRPr="00000000">
        <w:rPr>
          <w:rFonts w:ascii="Inter" w:cs="Inter" w:eastAsia="Inter" w:hAnsi="Inter"/>
          <w:color w:val="2b2b2b"/>
          <w:sz w:val="22"/>
          <w:szCs w:val="22"/>
          <w:rtl w:val="0"/>
        </w:rPr>
        <w:t xml:space="preserve">Stack: Next.js · React · Tailwind CSS · Framer Motion · Recharts / D3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120" w:before="28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2f80ed"/>
          <w:sz w:val="28"/>
          <w:szCs w:val="28"/>
          <w:rtl w:val="0"/>
        </w:rPr>
        <w:t xml:space="preserve">2.1 Public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Homepage — animated hero, live metrics ($300M fund, 18–22% IRR), dual CTA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Strategy page — investment thesis, capital model, 5 engines narrative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Interactive Africa mine map — clickable, filterable by commodity + country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Pipeline teaser page — non-sensitive asset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Portfolio page — transformation case studies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ESG page — positioning and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Insights / thought leadership section — article listing + detail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Team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Contact page + structured forms (Submit a Project, Request Investor Access, Partner)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Download teaser / memo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20" w:before="28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2f80ed"/>
          <w:sz w:val="28"/>
          <w:szCs w:val="28"/>
          <w:rtl w:val="0"/>
        </w:rPr>
        <w:t xml:space="preserve">2.2 Investor Microsite (NDA-gated)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Login screen — email/password, MFA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Investment memo viewer — document preview with tracking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Fund model summary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Pipeline highlights (controlled visibility, permission-filtered)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Governance + team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Q&amp;A interface with Aurexia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Meeting scheduling widget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Document tracking UI (who viewed what, when)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120" w:before="28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2f80ed"/>
          <w:sz w:val="28"/>
          <w:szCs w:val="28"/>
          <w:rtl w:val="0"/>
        </w:rPr>
        <w:t xml:space="preserve">2.3 Private Platform — Core SaaS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spacing w:after="80" w:before="20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1a1a1a"/>
          <w:sz w:val="24"/>
          <w:szCs w:val="24"/>
          <w:rtl w:val="0"/>
        </w:rPr>
        <w:t xml:space="preserve">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Login, MFA verification, logout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Session timeout and device history 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spacing w:after="80" w:before="20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1a1a1a"/>
          <w:sz w:val="24"/>
          <w:szCs w:val="24"/>
          <w:rtl w:val="0"/>
        </w:rPr>
        <w:t xml:space="preserve">LP Onboarding + CRM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Investor lead capture form → CRM pipeline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LP pipeline Kanban: Lead → Qualified → NDA → Data Room → DD → Subscription → Active 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Investor profile pages — institution type, ticket size, mandate, geography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Contact records, meeting logs, notes, task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Document request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80" w:before="20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1a1a1a"/>
          <w:sz w:val="24"/>
          <w:szCs w:val="24"/>
          <w:rtl w:val="0"/>
        </w:rPr>
        <w:t xml:space="preserve">Deal Pipeline / Origination CRM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Asset database view — filterable by commodity, country, stage, capital need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Operator profiles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Scoring interface — commercial, technical, ESG scoring inputs (0–100 readiness score)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Pipeline stage board: Sourced → Screening → IC Review → Active → Exited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Asset detail pages with notes, history, and task panel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spacing w:after="80" w:before="20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1a1a1a"/>
          <w:sz w:val="24"/>
          <w:szCs w:val="24"/>
          <w:rtl w:val="0"/>
        </w:rPr>
        <w:t xml:space="preserve">Investment Committee (IC)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IC memo creation and editing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Memo review and approval workflow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Commenting and discussion threads on memos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Capital structuring tool — input mine profile, output optimal capital stack + IRR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spacing w:after="80" w:before="20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1a1a1a"/>
          <w:sz w:val="24"/>
          <w:szCs w:val="24"/>
          <w:rtl w:val="0"/>
        </w:rPr>
        <w:t xml:space="preserve">Portfolio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Portfolio dashboard — KPIs, NAV, IRR, MOIC per asset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Asset transformation tracking — governance, operations, ESG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KPI input forms for portfolio companies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ESG assessment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spacing w:after="80" w:before="20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1a1a1a"/>
          <w:sz w:val="24"/>
          <w:szCs w:val="24"/>
          <w:rtl w:val="0"/>
        </w:rPr>
        <w:t xml:space="preserve">Data Rooms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Room creation wizard — folder structure, document upload,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Document viewer with in-browser preview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Access log display — who accessed what and when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Q&amp;A thread within data room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spacing w:after="80" w:before="20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1a1a1a"/>
          <w:sz w:val="24"/>
          <w:szCs w:val="24"/>
          <w:rtl w:val="0"/>
        </w:rPr>
        <w:t xml:space="preserve">LP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LP dashboard — IRR, MOIC, NAV, distributions, portfolio breakdown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Report download center — quarterly, annual, notices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Asset-level visibility (permission-filtered)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spacing w:after="80" w:before="20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1a1a1a"/>
          <w:sz w:val="24"/>
          <w:szCs w:val="24"/>
          <w:rtl w:val="0"/>
        </w:rPr>
        <w:t xml:space="preserve">Global UI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Role-based navigation (menu changes by user role)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Notification center — real-time 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Audit log viewer (for Super Admin and compliance roles)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Search — across documents and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Comment threads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Responsive layout (desktop-first, mobile companion views later)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28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2f80ed"/>
          <w:sz w:val="28"/>
          <w:szCs w:val="28"/>
          <w:rtl w:val="0"/>
        </w:rPr>
        <w:t xml:space="preserve">2.4 Design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Implement brand tokens: Deep Black #0A0A0A, Lithium Blue #2F80ED, Copper Bronze #C47A2C, Emerald #27AE60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Typography: Inter — large bold headlines, tight spacing, minimal clutter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Component library: cards, tables, side panels, detail drawers, modal dialogs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Subtle motion: fade, slide — Framer Motion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Dark + light contrast — institutional, no gimmicky gradients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bottom w:color="dddddd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before="20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c47a2c"/>
          <w:sz w:val="40"/>
          <w:szCs w:val="40"/>
          <w:rtl w:val="0"/>
        </w:rPr>
        <w:t xml:space="preserve">3. Backend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60" w:lineRule="auto"/>
        <w:rPr/>
      </w:pPr>
      <w:r w:rsidDel="00000000" w:rsidR="00000000" w:rsidRPr="00000000">
        <w:rPr>
          <w:rFonts w:ascii="Inter" w:cs="Inter" w:eastAsia="Inter" w:hAnsi="Inter"/>
          <w:color w:val="2b2b2b"/>
          <w:sz w:val="22"/>
          <w:szCs w:val="22"/>
          <w:rtl w:val="0"/>
        </w:rPr>
        <w:t xml:space="preserve">Stack: Node.js · Next.js API Routes / Express · Prisma ORM · PostgreSQL · Redis · S3-compatible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after="120" w:before="28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c47a2c"/>
          <w:sz w:val="28"/>
          <w:szCs w:val="28"/>
          <w:rtl w:val="0"/>
        </w:rPr>
        <w:t xml:space="preserve">3.1 Authentication &amp;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POST /auth/login — email/password with bcrypt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POST /auth/mfa/verify — TOTP-based MFA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POST /auth/logout — session invalidation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SSO-ready auth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Session logging and device history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Org-based multi-tenancy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120" w:before="28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c47a2c"/>
          <w:sz w:val="28"/>
          <w:szCs w:val="28"/>
          <w:rtl w:val="0"/>
        </w:rPr>
        <w:t xml:space="preserve">3.2 Role-Based Access Control (RBAC)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Implement full RBAC matrix covering 11 roles: Super Admin, GP/Partner, CIO/IC, Investment Manager, Analyst, Operating Partner, ESG/Compliance, Legal/Data Room Admin, LP, Operator, Advisor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Role-level defaults + explicit resource grants per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LP-scoped access: LPs see only funds and documents assigned to 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Middleware enforcement on all protected API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120" w:before="28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c47a2c"/>
          <w:sz w:val="28"/>
          <w:szCs w:val="28"/>
          <w:rtl w:val="0"/>
        </w:rPr>
        <w:t xml:space="preserve">3.3 LP Onboarding + CRM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GET/POST /investors — list and create investor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GET/PATCH /investors/:id — fetch and update investor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POST /investors/:id/activities — log meetings, notes,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POST /investors/:id/access — grant/revoke data room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CRM pipeline stage transitions with validation and audit trail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spacing w:after="120" w:before="28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c47a2c"/>
          <w:sz w:val="28"/>
          <w:szCs w:val="28"/>
          <w:rtl w:val="0"/>
        </w:rPr>
        <w:t xml:space="preserve">3.4 Deal Pipeline / Origination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GET/POST /assets — list and create mine asset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GET/PATCH /assets/:id — fetch and update asset detail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POST /assets/:id/score — submit and compute readiness score (commercial, technical, ESG)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POST /assets/:id/notes — add notes and commentary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Pipeline stage transition engine with RBAC gating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Public 'Submit a Project' endpoint — unauthenticated form → pipeline CRM entry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120" w:before="28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c47a2c"/>
          <w:sz w:val="28"/>
          <w:szCs w:val="28"/>
          <w:rtl w:val="0"/>
        </w:rPr>
        <w:t xml:space="preserve">3.5 Investment Committee (IC) Module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GET/POST /ic/memos — list and create IC memos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PATCH /ic/memos/:id — edit memo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POST /ic/memos/:id/approve — approval workflow with role enforcement (GP/CIO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POST /ic/memos/:id/comments — comment threads on memos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Capital structuring computation engine — input mine profile, output IRR, debt/equity mix, risk allocation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28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c47a2c"/>
          <w:sz w:val="28"/>
          <w:szCs w:val="28"/>
          <w:rtl w:val="0"/>
        </w:rPr>
        <w:t xml:space="preserve">3.6 Data Rooms &amp; Document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GET/POST /data-rooms — create and list data rooms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GET /data-rooms/:id — room detail with folder 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POST /data-rooms/:id/folders — folder structure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POST /documents/upload — secure file upload to S3-compatible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POST /documents/:id/permissions — grant/revoke viewer access per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GET /documents/:id/activity — access log retrieval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Document versioning and lifecycle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NDA-gate enforcement on microsite document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120" w:before="28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c47a2c"/>
          <w:sz w:val="28"/>
          <w:szCs w:val="28"/>
          <w:rtl w:val="0"/>
        </w:rPr>
        <w:t xml:space="preserve">3.7 Portfolio &amp; ESG Module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Portfolio KPI ingestion and calculation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ESG scoring and assessment submission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NAV, IRR, MOIC computation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Distribution tracking and recording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spacing w:after="120" w:before="28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c47a2c"/>
          <w:sz w:val="28"/>
          <w:szCs w:val="28"/>
          <w:rtl w:val="0"/>
        </w:rPr>
        <w:t xml:space="preserve">3.8 Reporting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POST /reports/ic/:id/export — generate IC memo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POST /reports/lp/:fundId/export — generate LP quarterly/annual report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GET /reports/jobs/:id — async job status polling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Report versioning and archive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after="120" w:before="28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c47a2c"/>
          <w:sz w:val="28"/>
          <w:szCs w:val="28"/>
          <w:rtl w:val="0"/>
        </w:rPr>
        <w:t xml:space="preserve">3.9 Notifications &amp; Audit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Real-time notification dispatch (WebSocket or SSE)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Notification read/unread state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AccessLog model — record every action: userId, action, resourceType, resourceId, 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Audit log query API for compliance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20" w:before="28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c47a2c"/>
          <w:sz w:val="28"/>
          <w:szCs w:val="28"/>
          <w:rtl w:val="0"/>
        </w:rPr>
        <w:t xml:space="preserve">3.10 Database (Prisma / PostgreSQL)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Implement full Prisma schema — User, Role, Fund, Asset, Investor, Document, DataRoom, DataRoomAccess, ICMemo, Comment, Task, Notification, AccessLog, Report, ESGAssessment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Database migrations and seed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Soft deletes and audit columns (createdAt, updatedAt) on all entities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Index strategy for high-frequency queries (investor pipeline, asset scoring)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spacing w:after="120" w:before="28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c47a2c"/>
          <w:sz w:val="28"/>
          <w:szCs w:val="28"/>
          <w:rtl w:val="0"/>
        </w:rPr>
        <w:t xml:space="preserve">3.11 Public Forms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'Request Investor Access' form handler → creates LP lead in CRM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'Submit a Project' form handler → creates asset in origination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'Partner with Aurexia' form → routes to team inbox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Rate limiting and spam protection on public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bottom w:color="dddddd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before="20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27ae60"/>
          <w:sz w:val="40"/>
          <w:szCs w:val="40"/>
          <w:rtl w:val="0"/>
        </w:rPr>
        <w:t xml:space="preserve">4. DevOps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before="60" w:lineRule="auto"/>
        <w:rPr/>
      </w:pPr>
      <w:r w:rsidDel="00000000" w:rsidR="00000000" w:rsidRPr="00000000">
        <w:rPr>
          <w:rFonts w:ascii="Inter" w:cs="Inter" w:eastAsia="Inter" w:hAnsi="Inter"/>
          <w:color w:val="2b2b2b"/>
          <w:sz w:val="22"/>
          <w:szCs w:val="22"/>
          <w:rtl w:val="0"/>
        </w:rPr>
        <w:t xml:space="preserve">Stack: Vercel / AWS · Docker · GitHub Actions · PostgreSQL (RDS or Supabase) · Redis · S3 · Cloudflare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spacing w:after="120" w:before="28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27ae60"/>
          <w:sz w:val="28"/>
          <w:szCs w:val="28"/>
          <w:rtl w:val="0"/>
        </w:rPr>
        <w:t xml:space="preserve">4.1 Infrastructure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Production, staging, and development environment provisioning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PostgreSQL database hosting (AWS RDS or Supabase) — replication and automated backups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Redis instance for session management and caching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S3-compatible object storage for document uploads (with lifecycle policies)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CDN configuration (Cloudflare) for static assets and global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Environment variable management — secrets isolation across environments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28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27ae60"/>
          <w:sz w:val="28"/>
          <w:szCs w:val="28"/>
          <w:rtl w:val="0"/>
        </w:rPr>
        <w:t xml:space="preserve">4.2 CI/CD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GitHub Actions workflows: lint → test → build → deploy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Automated test runs on every pull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Preview deployments for every feature branch (Vercel or equivalent)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Production deploy on merge to main — with rollback capability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Database migration automation on deploy (Prisma migrate)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Seed data pipeline for staging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spacing w:after="120" w:before="28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27ae60"/>
          <w:sz w:val="28"/>
          <w:szCs w:val="28"/>
          <w:rtl w:val="0"/>
        </w:rPr>
        <w:t xml:space="preserve">4.3 Security &amp; Compliance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SSL/TLS certificates — enforce HTTPS across all environments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WAF (Web Application Firewall) configuration for public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Rate limiting at infrastructure level (Cloudflare or API gateway)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IP allowlisting option for private platform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Secure secrets management (AWS Secrets Manager or Doppler)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RBAC enforcement audit — verify backend middleware covers all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Data encryption at rest (RDS encryption, S3 SSE)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GDPR-compliant data handling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spacing w:after="120" w:before="28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27ae60"/>
          <w:sz w:val="28"/>
          <w:szCs w:val="28"/>
          <w:rtl w:val="0"/>
        </w:rPr>
        <w:t xml:space="preserve">4.4 Monitoring &amp; Observability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Error tracking — Sentry integration (frontend + backend)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Application performance monitoring (APM) — Datadog or New Relic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Uptime monitoring — alerting on service degradation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Database query performance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Log aggregation pipeline — structured logs from all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Real-time alert routing to team Slack /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spacing w:after="120" w:before="28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27ae60"/>
          <w:sz w:val="28"/>
          <w:szCs w:val="28"/>
          <w:rtl w:val="0"/>
        </w:rPr>
        <w:t xml:space="preserve">4.5 Storage &amp; File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S3 bucket architecture — separate buckets per environment, per document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Presigned URL generation strategy for secure document downloads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Access log integration — S3 access events feeding document activity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Retention policies and archiving rules for fund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Virus scanning pipeline on document upload (ClamAV or cloud-native)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spacing w:after="120" w:before="28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27ae60"/>
          <w:sz w:val="28"/>
          <w:szCs w:val="28"/>
          <w:rtl w:val="0"/>
        </w:rPr>
        <w:t xml:space="preserve">4.6 Domain &amp; DNS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Primary domain setup — aurexia.com (public website)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Subdomain strategy: investors.aurexia.com (microsite), platform.aurexia.com (SaaS), portal.aurexia.com (LP)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DNS management and failover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Email domain authentication — SPF, DKIM, DMARC for transactional email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28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27ae60"/>
          <w:sz w:val="28"/>
          <w:szCs w:val="28"/>
          <w:rtl w:val="0"/>
        </w:rPr>
        <w:t xml:space="preserve">4.7 Backup &amp; Disaster Recovery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Automated daily database backups with point-in-time recovery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S3 document versioning enabled for critical fund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Disaster recovery runbook — RTO and RPO targets defined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Backup restoration testing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spacing w:after="120" w:before="28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27ae60"/>
          <w:sz w:val="28"/>
          <w:szCs w:val="28"/>
          <w:rtl w:val="0"/>
        </w:rPr>
        <w:t xml:space="preserve">4.8 Dev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Docker Compose setup for local full-stack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Shared .env.example template for consistent local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Pre-commit hooks — ESLint, Prettier, type checks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Staging environment mirror of production (anonymised seed 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bottom w:color="dddddd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60" w:befor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a0a0a"/>
          <w:sz w:val="36"/>
          <w:szCs w:val="36"/>
          <w:rtl w:val="0"/>
        </w:rPr>
        <w:t xml:space="preserve">5. Build Phases &amp; Team Ownership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5560"/>
        <w:gridCol w:w="2200"/>
        <w:tblGridChange w:id="0">
          <w:tblGrid>
            <w:gridCol w:w="1600"/>
            <w:gridCol w:w="5560"/>
            <w:gridCol w:w="2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f80ed" w:space="0" w:sz="4" w:val="single"/>
              <w:left w:color="2f80ed" w:space="0" w:sz="4" w:val="single"/>
              <w:bottom w:color="2f80ed" w:space="0" w:sz="4" w:val="single"/>
              <w:right w:color="2f80ed" w:space="0" w:sz="4" w:val="single"/>
            </w:tcBorders>
            <w:shd w:fill="0a0a0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80ed" w:space="0" w:sz="4" w:val="single"/>
              <w:left w:color="2f80ed" w:space="0" w:sz="4" w:val="single"/>
              <w:bottom w:color="2f80ed" w:space="0" w:sz="4" w:val="single"/>
              <w:right w:color="2f80ed" w:space="0" w:sz="4" w:val="single"/>
            </w:tcBorders>
            <w:shd w:fill="0a0a0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80ed" w:space="0" w:sz="4" w:val="single"/>
              <w:left w:color="2f80ed" w:space="0" w:sz="4" w:val="single"/>
              <w:bottom w:color="2f80ed" w:space="0" w:sz="4" w:val="single"/>
              <w:right w:color="2f80ed" w:space="0" w:sz="4" w:val="single"/>
            </w:tcBorders>
            <w:shd w:fill="0a0a0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Inter" w:cs="Inter" w:eastAsia="Inter" w:hAnsi="Inter"/>
                <w:color w:val="2b2b2b"/>
                <w:sz w:val="20"/>
                <w:szCs w:val="20"/>
                <w:rtl w:val="0"/>
              </w:rPr>
              <w:t xml:space="preserve">Phase 1 — Institutional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Inter" w:cs="Inter" w:eastAsia="Inter" w:hAnsi="Inter"/>
                <w:color w:val="2b2b2b"/>
                <w:sz w:val="20"/>
                <w:szCs w:val="20"/>
                <w:rtl w:val="0"/>
              </w:rPr>
              <w:t xml:space="preserve">Public website, auth + RBAC, investor CRM, origination CRM, document uploads, core data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Inter" w:cs="Inter" w:eastAsia="Inter" w:hAnsi="Inter"/>
                <w:color w:val="2b2b2b"/>
                <w:sz w:val="20"/>
                <w:szCs w:val="20"/>
                <w:rtl w:val="0"/>
              </w:rPr>
              <w:t xml:space="preserve">FE + BE + DevOps (infra)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Inter" w:cs="Inter" w:eastAsia="Inter" w:hAnsi="Inter"/>
                <w:color w:val="2b2b2b"/>
                <w:sz w:val="20"/>
                <w:szCs w:val="20"/>
                <w:rtl w:val="0"/>
              </w:rPr>
              <w:t xml:space="preserve">Phase 2 — Decision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Inter" w:cs="Inter" w:eastAsia="Inter" w:hAnsi="Inter"/>
                <w:color w:val="2b2b2b"/>
                <w:sz w:val="20"/>
                <w:szCs w:val="20"/>
                <w:rtl w:val="0"/>
              </w:rPr>
              <w:t xml:space="preserve">IC module, approval workflows, capital structuring tool, commenting, notifications, report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Inter" w:cs="Inter" w:eastAsia="Inter" w:hAnsi="Inter"/>
                <w:color w:val="2b2b2b"/>
                <w:sz w:val="20"/>
                <w:szCs w:val="20"/>
                <w:rtl w:val="0"/>
              </w:rPr>
              <w:t xml:space="preserve">BE-heavy + 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Inter" w:cs="Inter" w:eastAsia="Inter" w:hAnsi="Inter"/>
                <w:color w:val="2b2b2b"/>
                <w:sz w:val="20"/>
                <w:szCs w:val="20"/>
                <w:rtl w:val="0"/>
              </w:rPr>
              <w:t xml:space="preserve">Phase 3 — Live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Inter" w:cs="Inter" w:eastAsia="Inter" w:hAnsi="Inter"/>
                <w:color w:val="2b2b2b"/>
                <w:sz w:val="20"/>
                <w:szCs w:val="20"/>
                <w:rtl w:val="0"/>
              </w:rPr>
              <w:t xml:space="preserve">Portfolio module, ESG module, KPI tracking, LP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Inter" w:cs="Inter" w:eastAsia="Inter" w:hAnsi="Inter"/>
                <w:color w:val="2b2b2b"/>
                <w:sz w:val="20"/>
                <w:szCs w:val="20"/>
                <w:rtl w:val="0"/>
              </w:rPr>
              <w:t xml:space="preserve">FE + 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Inter" w:cs="Inter" w:eastAsia="Inter" w:hAnsi="Inter"/>
                <w:color w:val="2b2b2b"/>
                <w:sz w:val="20"/>
                <w:szCs w:val="20"/>
                <w:rtl w:val="0"/>
              </w:rPr>
              <w:t xml:space="preserve">Phase 4 — Transaction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Inter" w:cs="Inter" w:eastAsia="Inter" w:hAnsi="Inter"/>
                <w:color w:val="2b2b2b"/>
                <w:sz w:val="20"/>
                <w:szCs w:val="20"/>
                <w:rtl w:val="0"/>
              </w:rPr>
              <w:t xml:space="preserve">Data rooms with permissions, activity logs, Q&amp;A workflows, advanced search, co-invest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Inter" w:cs="Inter" w:eastAsia="Inter" w:hAnsi="Inter"/>
                <w:color w:val="2b2b2b"/>
                <w:sz w:val="20"/>
                <w:szCs w:val="20"/>
                <w:rtl w:val="0"/>
              </w:rPr>
              <w:t xml:space="preserve">BE-heavy + DevOps (security)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Inter" w:cs="Inter" w:eastAsia="Inter" w:hAnsi="Inter"/>
                <w:color w:val="2b2b2b"/>
                <w:sz w:val="20"/>
                <w:szCs w:val="20"/>
                <w:rtl w:val="0"/>
              </w:rPr>
              <w:t xml:space="preserve">Phase 5 — Platform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Inter" w:cs="Inter" w:eastAsia="Inter" w:hAnsi="Inter"/>
                <w:color w:val="2b2b2b"/>
                <w:sz w:val="20"/>
                <w:szCs w:val="20"/>
                <w:rtl w:val="0"/>
              </w:rPr>
              <w:t xml:space="preserve">AI deal scoring, predictive risk flags, auto IC summaries, smart investor 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Inter" w:cs="Inter" w:eastAsia="Inter" w:hAnsi="Inter"/>
                <w:color w:val="2b2b2b"/>
                <w:sz w:val="20"/>
                <w:szCs w:val="20"/>
                <w:rtl w:val="0"/>
              </w:rPr>
              <w:t xml:space="preserve">BE + FE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bottom w:color="dddddd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spacing w:after="160" w:befor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a0a0a"/>
          <w:sz w:val="36"/>
          <w:szCs w:val="36"/>
          <w:rtl w:val="0"/>
        </w:rPr>
        <w:t xml:space="preserve">6. Shared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f80ed" w:space="0" w:sz="4" w:val="single"/>
              <w:left w:color="2f80ed" w:space="0" w:sz="4" w:val="single"/>
              <w:bottom w:color="2f80ed" w:space="0" w:sz="4" w:val="single"/>
              <w:right w:color="2f80ed" w:space="0" w:sz="4" w:val="single"/>
            </w:tcBorders>
            <w:shd w:fill="0a0a0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80ed" w:space="0" w:sz="4" w:val="single"/>
              <w:left w:color="2f80ed" w:space="0" w:sz="4" w:val="single"/>
              <w:bottom w:color="2f80ed" w:space="0" w:sz="4" w:val="single"/>
              <w:right w:color="2f80ed" w:space="0" w:sz="4" w:val="single"/>
            </w:tcBorders>
            <w:shd w:fill="0a0a0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80ed" w:space="0" w:sz="4" w:val="single"/>
              <w:left w:color="2f80ed" w:space="0" w:sz="4" w:val="single"/>
              <w:bottom w:color="2f80ed" w:space="0" w:sz="4" w:val="single"/>
              <w:right w:color="2f80ed" w:space="0" w:sz="4" w:val="single"/>
            </w:tcBorders>
            <w:shd w:fill="0a0a0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60" w:before="60" w:lineRule="auto"/>
        <w:rPr/>
      </w:pPr>
      <w:r w:rsidDel="00000000" w:rsidR="00000000" w:rsidRPr="00000000">
        <w:rPr>
          <w:rFonts w:ascii="Inter" w:cs="Inter" w:eastAsia="Inter" w:hAnsi="Inter"/>
          <w:color w:val="2b2b2b"/>
          <w:sz w:val="22"/>
          <w:szCs w:val="22"/>
          <w:rtl w:val="0"/>
        </w:rPr>
        <w:t xml:space="preserve">The following are joint ownership areas requiring collaboration across all three roles: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API contract definition — FE and BE align on request/response shapes before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RBAC testing — all three verify role enforcement end-to-end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Performance budgets — FE (bundle size), BE (query latency), DevOps (infra sizing)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Security review — BE writes secure code, DevOps hardens infrastructure, FE avoids XSS/CSRF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Incident response — shared on-call rotation and runbook ownership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bottom w:color="dddddd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60" w:before="200" w:lineRule="auto"/>
        <w:rPr/>
      </w:pPr>
      <w:r w:rsidDel="00000000" w:rsidR="00000000" w:rsidRPr="00000000">
        <w:rPr>
          <w:rFonts w:ascii="Inter" w:cs="Inter" w:eastAsia="Inter" w:hAnsi="Inter"/>
          <w:i w:val="1"/>
          <w:iCs w:val="1"/>
          <w:color w:val="aaaaaa"/>
          <w:sz w:val="18"/>
          <w:szCs w:val="18"/>
          <w:rtl w:val="0"/>
        </w:rPr>
        <w:t xml:space="preserve">Document generated from Aurexia project documentation. Internal use only.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>
        <w:rFonts w:ascii="Inter" w:cs="Inter" w:eastAsia="Inter" w:hAnsi="Inter"/>
        <w:color w:val="2f80ed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Inter" w:cs="Inter" w:eastAsia="Inter" w:hAnsi="Inter"/>
      <w:b w:val="1"/>
      <w:bCs w:val="1"/>
      <w:i w:val="0"/>
      <w:iCs w:val="0"/>
      <w:smallCaps w:val="0"/>
      <w:strike w:val="0"/>
      <w:color w:val="0a0a0a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Inter" w:cs="Inter" w:eastAsia="Inter" w:hAnsi="Inter"/>
      <w:b w:val="1"/>
      <w:bCs w:val="1"/>
      <w:i w:val="0"/>
      <w:iCs w:val="0"/>
      <w:smallCaps w:val="0"/>
      <w:strike w:val="0"/>
      <w:color w:val="2f80ed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Inter" w:cs="Inter" w:eastAsia="Inter" w:hAnsi="Inter"/>
      <w:b w:val="1"/>
      <w:bCs w:val="1"/>
      <w:i w:val="0"/>
      <w:iCs w:val="0"/>
      <w:smallCaps w:val="0"/>
      <w:strike w:val="0"/>
      <w:color w:val="1a1a1a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