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C02AD" w14:textId="77777777" w:rsidR="00164C37" w:rsidRDefault="00000000">
      <w:pPr>
        <w:spacing w:after="80"/>
      </w:pPr>
      <w:r>
        <w:rPr>
          <w:b/>
          <w:bCs/>
          <w:color w:val="14213D"/>
          <w:sz w:val="40"/>
          <w:szCs w:val="40"/>
        </w:rPr>
        <w:t>Guion de sustentación por criterios de la rúbrica</w:t>
      </w:r>
    </w:p>
    <w:p w14:paraId="295F66FD" w14:textId="77777777" w:rsidR="00164C37" w:rsidRPr="00E12324" w:rsidRDefault="00000000">
      <w:pPr>
        <w:spacing w:after="60"/>
        <w:rPr>
          <w:lang w:val="en-US"/>
        </w:rPr>
      </w:pPr>
      <w:r w:rsidRPr="00E12324">
        <w:rPr>
          <w:color w:val="B04A16"/>
          <w:sz w:val="26"/>
          <w:szCs w:val="26"/>
          <w:lang w:val="en-US"/>
        </w:rPr>
        <w:t xml:space="preserve">Proyecto final de Machine Learning · Cuarto entregable: modelo original L2E · Bank Marketing (UCI)</w:t>
      </w:r>
    </w:p>
    <w:p w14:paraId="4BFEBDF8" w14:textId="77777777" w:rsidR="00164C37" w:rsidRDefault="00000000">
      <w:pPr>
        <w:spacing w:after="240"/>
      </w:pPr>
      <w:r>
        <w:rPr>
          <w:color w:val="5A6372"/>
          <w:sz w:val="20"/>
          <w:szCs w:val="20"/>
        </w:rPr>
        <w:t>Donny Torres · Maestría en Analítica de Datos · Universidad del Norte · Octubre de 2026</w:t>
      </w:r>
    </w:p>
    <w:p w14:paraId="06CAA691" w14:textId="77777777" w:rsidR="00164C37" w:rsidRDefault="00000000">
      <w:pPr>
        <w:spacing w:after="140" w:line="300" w:lineRule="auto"/>
        <w:jc w:val="both"/>
      </w:pPr>
      <w:r>
        <w:t xml:space="preserve">Este documento resuelve, en el orden de la rúbrica, los siete criterios de evaluación de la sustentación del cuarto entregable, cuyo componente central es el modelo original L2E. Para cada uno se presentan los aspectos que evalúa el jurado, el guion para exponerlo y el material que lo apoya. La extensión de cada guion está calibrada con el tiempo que la rúbrica asigna al criterio, a un ritmo de unas 130 palabras por minuto, de forma que la exposición completa ocupe los 20 minutos previstos. Todas las cifras provienen del cuaderno ejecutado «Proyecto Final - Cuarto Entregable - Bank Marketing.ipynb». La sección 8 documenta las mejoras y los ajustes evaluados después del modelo original.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0"/>
        <w:gridCol w:w="1300"/>
        <w:gridCol w:w="1700"/>
        <w:gridCol w:w="1800"/>
      </w:tblGrid>
      <w:tr w:rsidR="00164C37" w14:paraId="2D7B5B5F" w14:textId="77777777">
        <w:trPr>
          <w:tblHeader/>
        </w:trPr>
        <w:tc>
          <w:tcPr>
            <w:tcW w:w="456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2764C97E" w14:textId="77777777" w:rsidR="00164C37" w:rsidRDefault="00000000">
            <w:r>
              <w:rPr>
                <w:b/>
                <w:bCs/>
                <w:color w:val="FFFFFF"/>
              </w:rPr>
              <w:t>Criterio de evaluación</w:t>
            </w:r>
          </w:p>
        </w:tc>
        <w:tc>
          <w:tcPr>
            <w:tcW w:w="13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60929ED1" w14:textId="77777777" w:rsidR="00164C37" w:rsidRDefault="00000000">
            <w:r>
              <w:rPr>
                <w:b/>
                <w:bCs/>
                <w:color w:val="FFFFFF"/>
              </w:rPr>
              <w:t>Tiempo (min)</w:t>
            </w:r>
          </w:p>
        </w:tc>
        <w:tc>
          <w:tcPr>
            <w:tcW w:w="17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73E3B308" w14:textId="77777777" w:rsidR="00164C37" w:rsidRDefault="00000000">
            <w:r>
              <w:rPr>
                <w:b/>
                <w:bCs/>
                <w:color w:val="FFFFFF"/>
              </w:rPr>
              <w:t>Ponderación (%)</w:t>
            </w:r>
          </w:p>
        </w:tc>
        <w:tc>
          <w:tcPr>
            <w:tcW w:w="1800" w:type="dxa"/>
            <w:tcBorders>
              <w:top w:val="single" w:sz="4" w:space="0" w:color="C9CED6"/>
              <w:left w:val="single" w:sz="4" w:space="0" w:color="C9CED6"/>
              <w:bottom w:val="single" w:sz="4" w:space="0" w:color="C9CED6"/>
              <w:right w:val="single" w:sz="4" w:space="0" w:color="C9CED6"/>
            </w:tcBorders>
            <w:shd w:val="clear" w:color="auto" w:fill="14213D"/>
            <w:tcMar>
              <w:top w:w="80" w:type="dxa"/>
              <w:left w:w="120" w:type="dxa"/>
              <w:bottom w:w="80" w:type="dxa"/>
              <w:right w:w="120" w:type="dxa"/>
            </w:tcMar>
          </w:tcPr>
          <w:p w14:paraId="01582475" w14:textId="77777777" w:rsidR="00164C37" w:rsidRDefault="00000000">
            <w:r>
              <w:rPr>
                <w:b/>
                <w:bCs/>
                <w:color w:val="FFFFFF"/>
              </w:rPr>
              <w:t>Guion (palabras)</w:t>
            </w:r>
          </w:p>
        </w:tc>
      </w:tr>
      <w:tr w:rsidR="00164C37" w14:paraId="7B3EC41D"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06D0E32" w14:textId="77777777" w:rsidR="00164C37" w:rsidRDefault="00000000">
            <w:r>
              <w:t>1. Problema y formulación matemática</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2C692D5"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6FBBE96"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2CB45B9" w14:textId="77777777" w:rsidR="00164C37" w:rsidRDefault="00000000">
            <w:pPr>
              <w:jc w:val="center"/>
            </w:pPr>
            <w:r>
              <w:t xml:space="preserve">≈ 273</w:t>
            </w:r>
          </w:p>
        </w:tc>
      </w:tr>
      <w:tr w:rsidR="00164C37" w14:paraId="17DFA7A5"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1F67AC2" w14:textId="77777777" w:rsidR="00164C37" w:rsidRDefault="00000000">
            <w:r>
              <w:t>2. EDA, datos y preprocesamiento</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7D01F72"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6533061"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2073DC85" w14:textId="77777777" w:rsidR="00164C37" w:rsidRDefault="00000000">
            <w:pPr>
              <w:jc w:val="center"/>
            </w:pPr>
            <w:r>
              <w:t xml:space="preserve">≈ 317</w:t>
            </w:r>
          </w:p>
        </w:tc>
      </w:tr>
      <w:tr w:rsidR="00164C37" w14:paraId="7CCD2C4F"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A2F29CC" w14:textId="77777777" w:rsidR="00164C37" w:rsidRDefault="00000000">
            <w:r>
              <w:t>3. Fundamentos teóricos del modelo</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E637489" w14:textId="77777777" w:rsidR="00164C37" w:rsidRDefault="00000000">
            <w:pPr>
              <w:jc w:val="center"/>
            </w:pPr>
            <w:r>
              <w:t>5</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487AAEAB" w14:textId="77777777" w:rsidR="00164C37" w:rsidRDefault="00000000">
            <w:pPr>
              <w:jc w:val="center"/>
            </w:pPr>
            <w:r>
              <w:t>25</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58BBC8D" w14:textId="77777777" w:rsidR="00164C37" w:rsidRDefault="00000000">
            <w:pPr>
              <w:jc w:val="center"/>
            </w:pPr>
            <w:r>
              <w:t xml:space="preserve">≈ 433</w:t>
            </w:r>
          </w:p>
        </w:tc>
      </w:tr>
      <w:tr w:rsidR="00164C37" w14:paraId="1127816C"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629D0A7" w14:textId="77777777" w:rsidR="00164C37" w:rsidRDefault="00000000">
            <w:r>
              <w:t>4. Implementación y diseño experimental</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D367D8B"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E7B2665"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57CD5EC" w14:textId="77777777" w:rsidR="00164C37" w:rsidRDefault="00000000">
            <w:pPr>
              <w:jc w:val="center"/>
            </w:pPr>
            <w:r>
              <w:t xml:space="preserve">≈ 299</w:t>
            </w:r>
          </w:p>
        </w:tc>
      </w:tr>
      <w:tr w:rsidR="00164C37" w14:paraId="768B6700"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39CD909" w14:textId="77777777" w:rsidR="00164C37" w:rsidRDefault="00000000">
            <w:r>
              <w:t>5. Resultados y evaluación crítica</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3F0F14" w14:textId="77777777" w:rsidR="00164C37" w:rsidRDefault="00000000">
            <w:pPr>
              <w:jc w:val="center"/>
            </w:pPr>
            <w:r>
              <w:t>3</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45323FD1" w14:textId="77777777" w:rsidR="00164C37" w:rsidRDefault="00000000">
            <w:pPr>
              <w:jc w:val="center"/>
            </w:pPr>
            <w:r>
              <w:t>15</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3C70EB1" w14:textId="77777777" w:rsidR="00164C37" w:rsidRDefault="00000000">
            <w:pPr>
              <w:jc w:val="center"/>
            </w:pPr>
            <w:r>
              <w:t xml:space="preserve">≈ 385</w:t>
            </w:r>
          </w:p>
        </w:tc>
      </w:tr>
      <w:tr w:rsidR="00164C37" w14:paraId="5701F93B"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CFB6EDF" w14:textId="77777777" w:rsidR="00164C37" w:rsidRDefault="00000000">
            <w:r>
              <w:t>6. Conclusiones y limitaciones</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4D9553A"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0A76159"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04E4D8E" w14:textId="77777777" w:rsidR="00164C37" w:rsidRDefault="00000000">
            <w:pPr>
              <w:jc w:val="center"/>
            </w:pPr>
            <w:r>
              <w:t xml:space="preserve">≈ 246</w:t>
            </w:r>
          </w:p>
        </w:tc>
      </w:tr>
      <w:tr w:rsidR="00164C37" w14:paraId="4C854F97" w14:textId="77777777">
        <w:tc>
          <w:tcPr>
            <w:tcW w:w="45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1C33291" w14:textId="77777777" w:rsidR="00164C37" w:rsidRDefault="00000000">
            <w:r>
              <w:t>7. Dominio teórico y respuestas a preguntas</w:t>
            </w:r>
          </w:p>
        </w:tc>
        <w:tc>
          <w:tcPr>
            <w:tcW w:w="13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8779647" w14:textId="77777777" w:rsidR="00164C37" w:rsidRDefault="00000000">
            <w:pPr>
              <w:jc w:val="center"/>
            </w:pPr>
            <w:r>
              <w:t>2</w:t>
            </w:r>
          </w:p>
        </w:tc>
        <w:tc>
          <w:tcPr>
            <w:tcW w:w="17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ECD0513" w14:textId="77777777" w:rsidR="00164C37" w:rsidRDefault="00000000">
            <w:pPr>
              <w:jc w:val="center"/>
            </w:pPr>
            <w:r>
              <w:t>10</w:t>
            </w:r>
          </w:p>
        </w:tc>
        <w:tc>
          <w:tcPr>
            <w:tcW w:w="180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A488E3A" w14:textId="77777777" w:rsidR="00164C37" w:rsidRDefault="00000000">
            <w:pPr>
              <w:jc w:val="center"/>
            </w:pPr>
            <w:r>
              <w:t>Respuestas preparadas</w:t>
            </w:r>
          </w:p>
        </w:tc>
      </w:tr>
      <w:tr w:rsidR="00164C37" w14:paraId="3E430A2A" w14:textId="77777777">
        <w:tc>
          <w:tcPr>
            <w:tcW w:w="456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14B2BE6" w14:textId="77777777" w:rsidR="00164C37" w:rsidRDefault="00000000">
            <w:r>
              <w:rPr>
                <w:b/>
                <w:bCs/>
              </w:rPr>
              <w:t>Total</w:t>
            </w:r>
          </w:p>
        </w:tc>
        <w:tc>
          <w:tcPr>
            <w:tcW w:w="13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2BDFDA71" w14:textId="77777777" w:rsidR="00164C37" w:rsidRDefault="00000000">
            <w:pPr>
              <w:jc w:val="center"/>
            </w:pPr>
            <w:r>
              <w:rPr>
                <w:b/>
                <w:bCs/>
              </w:rPr>
              <w:t>20</w:t>
            </w:r>
          </w:p>
        </w:tc>
        <w:tc>
          <w:tcPr>
            <w:tcW w:w="17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5CBEA41" w14:textId="77777777" w:rsidR="00164C37" w:rsidRDefault="00000000">
            <w:pPr>
              <w:jc w:val="center"/>
            </w:pPr>
            <w:r>
              <w:rPr>
                <w:b/>
                <w:bCs/>
              </w:rPr>
              <w:t>100</w:t>
            </w:r>
          </w:p>
        </w:tc>
        <w:tc>
          <w:tcPr>
            <w:tcW w:w="18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AE6AB36" w14:textId="77777777" w:rsidR="00164C37" w:rsidRDefault="00164C37">
            <w:pPr>
              <w:jc w:val="center"/>
            </w:pPr>
          </w:p>
        </w:tc>
      </w:tr>
    </w:tbl>
    <w:p w14:paraId="2CE9B50A" w14:textId="77777777" w:rsidR="00164C37" w:rsidRDefault="00164C37">
      <w:pPr>
        <w:spacing w:after="60"/>
      </w:pPr>
    </w:p>
    <w:p w14:paraId="1CD31AED" w14:textId="77777777" w:rsidR="00164C37" w:rsidRDefault="00000000">
      <w:pPr>
        <w:spacing w:after="140"/>
      </w:pPr>
      <w:r>
        <w:rPr>
          <w:i/>
          <w:iCs/>
          <w:color w:val="5A6372"/>
        </w:rPr>
        <w:t xml:space="preserve">Recomendación de uso: el criterio 3 pesa el 25 % de la nota y tiene 5 minutos; conviene ensayarlo con cronómetro, porque las ecuaciones del L2E se prestan a excederse. En los demás criterios, si el tiempo apremia, se puede omitir el último párrafo de cada guion sin perder el hilo.</w:t>
      </w:r>
    </w:p>
    <w:p w14:paraId="69BCA4DA" w14:textId="77777777" w:rsidR="00164C37" w:rsidRDefault="00000000">
      <w:r>
        <w:br w:type="page"/>
      </w:r>
    </w:p>
    <w:p w14:paraId="050D263A" w14:textId="77777777" w:rsidR="00164C37" w:rsidRDefault="00000000">
      <w:pPr>
        <w:pStyle w:val="Ttulo1"/>
      </w:pPr>
      <w:r>
        <w:lastRenderedPageBreak/>
        <w:t>1. Problema y formulación matemática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7DDFE476"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80292E"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B8A6B3" w14:textId="77777777" w:rsidR="00164C37" w:rsidRDefault="00000000">
            <w:r>
              <w:rPr>
                <w:b/>
                <w:bCs/>
              </w:rPr>
              <w:t>2 min</w:t>
            </w:r>
            <w:r>
              <w:t xml:space="preserve"> · 10 % de la nota · guion de unas 260 palabras</w:t>
            </w:r>
          </w:p>
        </w:tc>
      </w:tr>
      <w:tr w:rsidR="00164C37" w14:paraId="1A65C52F"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14C6EF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C4ABDF2" w14:textId="77777777" w:rsidR="00164C37" w:rsidRDefault="00000000">
            <w:r>
              <w:t xml:space="preserve">Claridad del problema; objetivos; definición de variables predictoras y variable objetivo; identificación del tipo de tarea de Machine </w:t>
            </w:r>
            <w:proofErr w:type="spellStart"/>
            <w:r>
              <w:t>Learning</w:t>
            </w:r>
            <w:proofErr w:type="spellEnd"/>
            <w:r>
              <w:t>; formulación matemática del problema.</w:t>
            </w:r>
          </w:p>
        </w:tc>
      </w:tr>
      <w:tr w:rsidR="00164C37" w14:paraId="7541511C"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D4A4E8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6B267B5" w14:textId="77777777" w:rsidR="00164C37" w:rsidRDefault="00000000">
            <w:r>
              <w:t xml:space="preserve">Cuaderno del cuarto entregable, secciones 0 (resumen ejecutivo) y 5.2 (formulación).</w:t>
            </w:r>
          </w:p>
        </w:tc>
      </w:tr>
    </w:tbl>
    <w:p>
      <w:pPr>
        <w:pStyle w:val="Ttulo2"/>
      </w:pPr>
      <w:r>
        <w:rPr/>
        <w:t xml:space="preserve">Guion</w:t>
      </w:r>
    </w:p>
    <w:p>
      <w:pPr>
        <w:spacing w:after="140" w:line="300" w:lineRule="auto"/>
        <w:jc w:val="both"/>
      </w:pPr>
      <w:r>
        <w:rPr/>
        <w:t xml:space="preserve">Un banco portugués vende depósitos a término por teléfono y necesita decidir, </w:t>
      </w:r>
      <w:r>
        <w:rPr>
          <w:b/>
          <w:bCs/>
        </w:rPr>
        <w:t xml:space="preserve">antes de marcar</w:t>
      </w:r>
      <w:r>
        <w:rPr/>
        <w:t xml:space="preserve">, a quién llamar primero. El reto es que la tasa de suscripción no se queda quieta: en el entrenamiento (2008-05 a 2009-05) suscribe el 6,4 % de los clientes y en la prueba (2009-05 a 2010-11), el 30,8 %. En el tercer entregable comparamos 140 combinaciones de siete clasificadores estáticos, que asumen que esa relación no cambia en el tiempo, y ninguna se distinguió de las demás. Por eso la pregunta de este entregable es: </w:t>
      </w:r>
      <w:r>
        <w:rPr>
          <w:b/>
          <w:bCs/>
        </w:rPr>
        <w:t xml:space="preserve">¿Un modelo que sigue día a día la tasa de suscripción puede predecir, antes de la llamada, qué clientes suscribirán un depósito a término mejor que los clasificadores estáticos?</w:t>
      </w:r>
    </w:p>
    <w:p>
      <w:pPr>
        <w:spacing w:after="140" w:line="300" w:lineRule="auto"/>
        <w:jc w:val="both"/>
      </w:pPr>
      <w:r>
        <w:rPr/>
        <w:t xml:space="preserve">La variable objetivo es y, que vale 1 si el cliente suscribe. Las predictoras son las 17 variables que se conocen antes de la llamada: el perfil del cliente, el canal de contacto, la historia de campañas y los indicadores macroeconómicos; duration queda por fuera porque solo se conoce al colgar. Es una clasificación binaria supervisada con </w:t>
      </w:r>
      <w:r>
        <w:rPr>
          <w:b/>
          <w:bCs/>
        </w:rPr>
        <w:t xml:space="preserve">dependencia temporal</w:t>
      </w:r>
      <w:r>
        <w:rPr/>
        <w:t xml:space="preserve">: los clientes llegan por días y las etiquetas de un día se conocen cuando ese día se cierra.</w:t>
      </w:r>
    </w:p>
    <w:p>
      <w:pPr>
        <w:spacing w:after="140" w:line="300" w:lineRule="auto"/>
        <w:jc w:val="both"/>
      </w:pPr>
      <w:r>
        <w:rPr/>
        <w:t xml:space="preserve">Formalmente, el modelo original, que llamamos </w:t>
      </w:r>
      <w:r>
        <w:rPr>
          <w:b/>
          <w:bCs/>
        </w:rPr>
        <w:t xml:space="preserve">L2E</w:t>
      </w:r>
      <w:r>
        <w:rPr/>
        <w:t xml:space="preserve"> (logística de estado latente en dos escalas), plantea P(yᵢ = 1 | θₜ) = σ(uₜ + xᵢᵀβₜ), donde uₜ es el nivel de conversión del día t, un estado latente que se mueve rápido, y βₜ son los efectos del cliente, que cambian despacio. El objetivo es maximizar el AUC-PR de predicciones hechas solo con información disponible, es decir, con las etiquetas de los días ya cerrados.</w:t>
      </w:r>
    </w:p>
    <w:p w14:paraId="3017E1AB" w14:textId="77777777" w:rsidR="00164C37" w:rsidRDefault="00000000">
      <w:pPr>
        <w:pStyle w:val="Ttulo1"/>
      </w:pPr>
      <w:r>
        <w:lastRenderedPageBreak/>
        <w:t>2. EDA, datos y preprocesamiento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A32612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F393BAF"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71B364E4" w14:textId="77777777" w:rsidR="00164C37" w:rsidRDefault="00000000">
            <w:r>
              <w:rPr>
                <w:b/>
                <w:bCs/>
              </w:rPr>
              <w:t>3 min</w:t>
            </w:r>
            <w:r>
              <w:t xml:space="preserve"> · 15 % de la nota · guion de unas 390 palabras</w:t>
            </w:r>
          </w:p>
        </w:tc>
      </w:tr>
      <w:tr w:rsidR="00164C37" w14:paraId="6C0EF5DA"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9C53B2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E7C27C8" w14:textId="77777777" w:rsidR="00164C37" w:rsidRDefault="00000000">
            <w:r>
              <w:t xml:space="preserve">Descripción de la fuente y estructura de los datos; estadística descriptiva; visualizaciones pertinentes; análisis de distribuciones, valores atípicos, datos faltantes y relaciones entre variables; justificación de las transformaciones; prevención de fuga de información (data </w:t>
            </w:r>
            <w:proofErr w:type="spellStart"/>
            <w:r>
              <w:t>leakage</w:t>
            </w:r>
            <w:proofErr w:type="spellEnd"/>
            <w:r>
              <w:t>).</w:t>
            </w:r>
          </w:p>
        </w:tc>
      </w:tr>
      <w:tr w:rsidR="00164C37" w14:paraId="3BC87266"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4FA9001"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6B7327BD" w14:textId="77777777" w:rsidR="00164C37" w:rsidRDefault="00000000">
            <w:r>
              <w:t xml:space="preserve">Cuaderno, secciones 2.1 y 2.2 (partición y nivel diario latente) y figura de la tasa diaria.</w:t>
            </w:r>
          </w:p>
        </w:tc>
      </w:tr>
    </w:tbl>
    <w:p>
      <w:pPr>
        <w:pStyle w:val="Ttulo2"/>
      </w:pPr>
      <w:r>
        <w:rPr/>
        <w:t xml:space="preserve">Guion</w:t>
      </w:r>
    </w:p>
    <w:p>
      <w:pPr>
        <w:spacing w:after="140" w:line="300" w:lineRule="auto"/>
        <w:jc w:val="both"/>
      </w:pPr>
      <w:r>
        <w:rPr/>
        <w:t xml:space="preserve">Los datos son Bank Marketing del repositorio UCI (bank-additional-full, licencia CC BY 4.0): 41 176 registros únicos, ordenados en el tiempo de mayo de 2008 a noviembre de 2010. La partición es cronológica: el primer 80 % (32 940 registros y 166 días de contacto) para entrenar y el último 20 % (8 236 registros y 323 días) como prueba, usada una sola vez. La calidad es buena en forma, pero hay faltantes codificados como unknown, que son informativos, y un código especial (pdays = 999) que se trata como faltante con indicador.</w:t>
      </w:r>
    </w:p>
    <w:p>
      <w:pPr>
        <w:spacing w:after="140" w:line="300" w:lineRule="auto"/>
        <w:jc w:val="both"/>
      </w:pPr>
      <w:r>
        <w:rPr/>
        <w:t xml:space="preserve">La prevención de fuga fue estricta. duration se excluye porque solo se conoce cuando la llamada termina: con ella el AUC de validación pasaría de 0,540 a 0,856. También hay </w:t>
      </w:r>
      <w:r>
        <w:rPr>
          <w:b/>
          <w:bCs/>
        </w:rPr>
        <w:t xml:space="preserve">fuga temporal</w:t>
      </w:r>
      <w:r>
        <w:rPr/>
        <w:t xml:space="preserve">: con validación aleatoria el AUC es de 0,670, y un modelo que solo conoce el año y el mes ya llega a 0,660; por eso toda la validación respeta el orden temporal. En el preprocesamiento se retiran euribor3m y emp.var.rate por multicolinealidad, se estandarizan las numéricas, se aplica log1p a campaign y previous y las categóricas van en one-hot, todo ajustado solo con el entrenamiento de cada pliegue.</w:t>
      </w:r>
    </w:p>
    <w:p>
      <w:pPr>
        <w:spacing w:after="140" w:line="300" w:lineRule="auto"/>
        <w:jc w:val="both"/>
      </w:pPr>
      <w:r>
        <w:rPr/>
        <w:t xml:space="preserve">El hallazgo nuevo de este entregable es el que motiva el modelo: la tasa de suscripción de cada día es un </w:t>
      </w:r>
      <w:r>
        <w:rPr>
          <w:b/>
          <w:bCs/>
        </w:rPr>
        <w:t xml:space="preserve">nivel latente persistente</w:t>
      </w:r>
      <w:r>
        <w:rPr/>
        <w:t xml:space="preserve">. Su logit tiene una autocorrelación de 0,76 con el día anterior y todavía de 0,57 a cinco días, muy por encima de la banda de ruido (±0,15). Un puntaje que solo conoce la tasa de los días cerrados, sin ningún dato del cliente, alcanza en el bucle externo el mismo AUC-PR que la mejor de las 140 combinaciones (0,103 frente a 0,103). Además, el 60,2 % de la prueba tiene un nr.employed fuera del rango del entrenamiento, lo que castiga a los modelos que no extrapolan.</w:t>
      </w:r>
    </w:p>
    <w:p>
      <w:pPr>
        <w:pStyle w:val="Descripcin"/>
        <w:keepNext/>
        <w:spacing w:before="200"/>
      </w:pPr>
      <w:r>
        <w:rPr>
          <w:rFonts w:ascii="Times New Roman" w:eastAsia="Times New Roman" w:hAnsi="Times New Roman" w:cs="Times New Roman"/>
          <w:sz w:val="21"/>
        </w:rPr>
        <w:t xml:space="preserve">Cuadro 1: Puntaje que solo conoce la tasa de los días cerrados frente a la mejor combinación (AUC-PR por pliegue externo)</w:t>
      </w:r>
      <w:r>
        <w:rPr>
          <w:rStyle w:val="Refdenotaalpie"/>
        </w:rPr>
        <w:footnoteReference w:id="1"/>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960"/>
        <w:gridCol w:w="900"/>
        <w:gridCol w:w="900"/>
        <w:gridCol w:w="900"/>
        <w:gridCol w:w="900"/>
        <w:gridCol w:w="900"/>
        <w:gridCol w:w="900"/>
      </w:tblGrid>
      <w:tr>
        <w:trPr>
          <w:tblHeader/>
          <w:jc w:val="center"/>
        </w:trPr>
        <w:tc>
          <w:tcPr>
            <w:tcW w:w="396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Puntaje</w:t>
            </w:r>
          </w:p>
        </w:tc>
        <w:tc>
          <w:tcPr>
            <w:tcW w:w="9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P1</w:t>
            </w:r>
          </w:p>
        </w:tc>
        <w:tc>
          <w:tcPr>
            <w:tcW w:w="9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P2</w:t>
            </w:r>
          </w:p>
        </w:tc>
        <w:tc>
          <w:tcPr>
            <w:tcW w:w="9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P3</w:t>
            </w:r>
          </w:p>
        </w:tc>
        <w:tc>
          <w:tcPr>
            <w:tcW w:w="9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P4</w:t>
            </w:r>
          </w:p>
        </w:tc>
        <w:tc>
          <w:tcPr>
            <w:tcW w:w="9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P5</w:t>
            </w:r>
          </w:p>
        </w:tc>
        <w:tc>
          <w:tcPr>
            <w:tcW w:w="9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Media</w:t>
            </w:r>
          </w:p>
        </w:tc>
      </w:tr>
      <w:tr>
        <w:trPr>
          <w:cantSplit/>
          <w:jc w:val="center"/>
        </w:trPr>
        <w:tc>
          <w:tcPr>
            <w:tcW w:w="39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Solo nivel, semivida de 1 día</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0,040</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0,067</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0,063</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0,103</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0,241</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0,103</w:t>
            </w:r>
          </w:p>
        </w:tc>
      </w:tr>
      <w:tr>
        <w:trPr>
          <w:cantSplit/>
          <w:jc w:val="center"/>
        </w:trPr>
        <w:tc>
          <w:tcPr>
            <w:tcW w:w="39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Solo nivel, semivida de 3 días</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0,039</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0,066</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0,059</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0,060</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0,202</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0,085</w:t>
            </w:r>
          </w:p>
        </w:tc>
      </w:tr>
      <w:tr>
        <w:trPr>
          <w:cantSplit/>
          <w:jc w:val="center"/>
        </w:trPr>
        <w:tc>
          <w:tcPr>
            <w:tcW w:w="39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Solo nivel, semivida de 10 días</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0,039</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0,066</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0,054</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0,051</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0,125</w:t>
            </w:r>
          </w:p>
        </w:tc>
        <w:tc>
          <w:tcPr>
            <w:tcW w:w="9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0,067</w:t>
            </w:r>
          </w:p>
        </w:tc>
      </w:tr>
      <w:tr>
        <w:trPr>
          <w:cantSplit/>
          <w:jc w:val="center"/>
        </w:trPr>
        <w:tc>
          <w:tcPr>
            <w:tcW w:w="396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Mejor de las 140 (Naive Bayes · class_weight · Bayesiana (Optuna TPE))</w:t>
            </w:r>
          </w:p>
        </w:tc>
        <w:tc>
          <w:tcPr>
            <w:tcW w:w="9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0,044</w:t>
            </w:r>
          </w:p>
        </w:tc>
        <w:tc>
          <w:tcPr>
            <w:tcW w:w="9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0,060</w:t>
            </w:r>
          </w:p>
        </w:tc>
        <w:tc>
          <w:tcPr>
            <w:tcW w:w="9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0,062</w:t>
            </w:r>
          </w:p>
        </w:tc>
        <w:tc>
          <w:tcPr>
            <w:tcW w:w="9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0,052</w:t>
            </w:r>
          </w:p>
        </w:tc>
        <w:tc>
          <w:tcPr>
            <w:tcW w:w="9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0,296</w:t>
            </w:r>
          </w:p>
        </w:tc>
        <w:tc>
          <w:tcPr>
            <w:tcW w:w="9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0,103</w:t>
            </w:r>
          </w:p>
        </w:tc>
      </w:tr>
    </w:tbl>
    <w:p>
      <w:pPr>
        <w:spacing w:after="60"/>
      </w:pPr>
    </w:p>
    <w:p w14:paraId="69E19102" w14:textId="77777777" w:rsidR="00164C37" w:rsidRDefault="00000000">
      <w:pPr>
        <w:pStyle w:val="Ttulo1"/>
      </w:pPr>
      <w:r>
        <w:lastRenderedPageBreak/>
        <w:t>3. Fundamentos teóricos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2F5A9872"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D84DA9D"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3CC36731" w14:textId="77777777" w:rsidR="00164C37" w:rsidRDefault="00000000">
            <w:r>
              <w:rPr>
                <w:b/>
                <w:bCs/>
              </w:rPr>
              <w:t>5 min</w:t>
            </w:r>
            <w:r>
              <w:t xml:space="preserve"> · 25 % de la nota · guion de unas 650 palabras</w:t>
            </w:r>
          </w:p>
        </w:tc>
      </w:tr>
      <w:tr w:rsidR="00164C37" w14:paraId="1FCCDF7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197187E"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C9373C3" w14:textId="77777777" w:rsidR="00164C37" w:rsidRDefault="00000000">
            <w:r>
              <w:t>Formulación matemática del algoritmo; función objetivo o función de pérdida; fundamentos estadísticos y matemáticos; principio de optimización o aprendizaje; supuestos; regularización; complejidad del modelo y capacidad de generalización.</w:t>
            </w:r>
          </w:p>
        </w:tc>
      </w:tr>
      <w:tr w:rsidR="00164C37" w14:paraId="0F9B8B9D"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1A50FEE"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460C613" w14:textId="77777777" w:rsidR="00164C37" w:rsidRDefault="00000000">
            <w:r>
              <w:t xml:space="preserve">Cuaderno, secciones 5.2 a 5.4 (formulación, pseudocódigo y propiedades). Conviene tener a mano las ecuaciones.</w:t>
            </w:r>
          </w:p>
        </w:tc>
      </w:tr>
    </w:tbl>
    <w:p>
      <w:pPr>
        <w:pStyle w:val="Ttulo2"/>
      </w:pPr>
      <w:r>
        <w:rPr/>
        <w:t xml:space="preserve">Guion</w:t>
      </w:r>
    </w:p>
    <w:p>
      <w:pPr>
        <w:spacing w:after="140" w:line="300" w:lineRule="auto"/>
        <w:jc w:val="both"/>
      </w:pPr>
      <w:r>
        <w:rPr/>
        <w:t xml:space="preserve">El L2E separa dos fuentes de variación. La </w:t>
      </w:r>
      <w:r>
        <w:rPr>
          <w:b/>
          <w:bCs/>
        </w:rPr>
        <w:t xml:space="preserve">escala rápida</w:t>
      </w:r>
      <w:r>
        <w:rPr/>
        <w:t xml:space="preserve"> es el nivel del día: uₜ = uₜ₋₁ + εₜ, con εₜ ~ N(0, q_u·Δₜ), que recoge la lista de clientes, la campaña y el contexto de ese día. La </w:t>
      </w:r>
      <w:r>
        <w:rPr>
          <w:b/>
          <w:bCs/>
        </w:rPr>
        <w:t xml:space="preserve">escala lenta</w:t>
      </w:r>
      <w:r>
        <w:rPr/>
        <w:t xml:space="preserve"> son las pendientes del cliente: βₜ = βₜ₋₁ + νₜ, con νₜ ~ N(0, q_β·Δₜ·I), que capturan la deriva de concepto. El modelo de observación es una logística: P(yᵢ = 1) = σ(uₜ + xᵢᵀβₜ).</w:t>
      </w:r>
    </w:p>
    <w:p>
      <w:pPr>
        <w:spacing w:after="140" w:line="300" w:lineRule="auto"/>
        <w:jc w:val="both"/>
      </w:pPr>
      <w:r>
        <w:rPr/>
        <w:t xml:space="preserve">El aprendizaje tiene dos fases. En la </w:t>
      </w:r>
      <w:r>
        <w:rPr>
          <w:b/>
          <w:bCs/>
        </w:rPr>
        <w:t xml:space="preserve">fase 1</w:t>
      </w:r>
      <w:r>
        <w:rPr/>
        <w:t xml:space="preserve"> se maximiza la log-posterior penalizada J(u, β) = Σ[yᵢηᵢ − log(1 + e^ηᵢ)] − Σ(uₖ − uₖ₋₁)²/(2·q_u·Δₖ) − (λ/2)‖β‖². Es la log-verosimilitud de Bernoulli más dos regularizaciones: la del paseo aleatorio, que suaviza el nivel, y la de tipo ridge, que encoge las pendientes. J es estrictamente cóncava, porque la log-verosimilitud es cóncava y las penalizaciones son definidas positivas, así que el máximo existe y es único. Se encuentra con Newton y búsqueda lineal de Armijo, que converge de forma global y cuadrática cerca del óptimo. El Hessiano tiene un bloque tridiagonal, el del nivel, que se elimina con el complemento de Schur; por eso cada iteración cuesta O(n·p² + T·p² + p³) y no O((T + p)³). Con 1 600 días, la solución densa del mismo sistema tarda 6,0 veces más.</w:t>
      </w:r>
    </w:p>
    <w:p>
      <w:pPr>
        <w:spacing w:after="140" w:line="300" w:lineRule="auto"/>
        <w:jc w:val="both"/>
      </w:pPr>
      <w:r>
        <w:rPr/>
        <w:t xml:space="preserve">En la </w:t>
      </w:r>
      <w:r>
        <w:rPr>
          <w:b/>
          <w:bCs/>
        </w:rPr>
        <w:t xml:space="preserve">fase 2</w:t>
      </w:r>
      <w:r>
        <w:rPr/>
        <w:t xml:space="preserve">, en producción, el estado se propaga cada día, con P⁻ = P + Δ·diag(q_u, q_β, …), y cuando se cierran las etiquetas de un día se actualiza con la aproximación de Laplace: la moda y la curvatura de la posterior del día, que también es única porque el objetivo es estrictamente cóncavo. La probabilidad predictiva integra la incertidumbre del nivel con la aproximación probit, p̂ = σ(μ / √(1 + π·s²/8)). La predicción del día d solo usa etiquetas de días anteriores a d, lo que garantiza la ausencia de fuga por construcción.</w:t>
      </w:r>
    </w:p>
    <w:p>
      <w:pPr>
        <w:spacing w:after="140" w:line="300" w:lineRule="auto"/>
        <w:jc w:val="both"/>
      </w:pPr>
      <w:r>
        <w:rPr/>
        <w:t xml:space="preserve">Los supuestos son cuatro: independencia condicional de los clientes dado el estado del día, dinámica de paseo aleatorio, pendientes constantes dentro de la ventana de entrenamiento y etiquetas disponibles con un día de demora. La capacidad de generalización viene de la separación de escalas: el nivel absorbe los cambios de prevalencia que un modelo estático no puede anticipar, y las pendientes se mantienen estables. El modelo, además, anida a los anteriores: con q_u y q_β iguales a cero es la logística L2, y la recalibración mensual que sugirió el profesor es su caso límite, con varianza a priori infinita, lote mensual y un mes de demora.</w:t>
      </w:r>
    </w:p>
    <w:p>
      <w:pPr>
        <w:pStyle w:val="Descripcin"/>
        <w:keepNext/>
        <w:spacing w:before="200"/>
      </w:pPr>
      <w:r>
        <w:rPr>
          <w:rFonts w:ascii="Times New Roman" w:eastAsia="Times New Roman" w:hAnsi="Times New Roman" w:cs="Times New Roman"/>
          <w:sz w:val="21"/>
        </w:rPr>
        <w:t xml:space="preserve">Cuadro 2: Hiperparámetros del L2E, su papel y su valor en el modelo final</w:t>
      </w:r>
      <w:r>
        <w:rPr>
          <w:rStyle w:val="Refdenotaalpie"/>
        </w:rPr>
        <w:footnoteReference w:id="2"/>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500"/>
        <w:gridCol w:w="4060"/>
        <w:gridCol w:w="2100"/>
        <w:gridCol w:w="1700"/>
      </w:tblGrid>
      <w:tr>
        <w:trPr>
          <w:tblHeader/>
          <w:jc w:val="center"/>
        </w:trPr>
        <w:tc>
          <w:tcPr>
            <w:tcW w:w="150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Hiperparámetro</w:t>
            </w:r>
          </w:p>
        </w:tc>
        <w:tc>
          <w:tcPr>
            <w:tcW w:w="406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Papel en el modelo</w:t>
            </w:r>
          </w:p>
        </w:tc>
        <w:tc>
          <w:tcPr>
            <w:tcW w:w="21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Rango de búsqueda</w:t>
            </w:r>
          </w:p>
        </w:tc>
        <w:tc>
          <w:tcPr>
            <w:tcW w:w="17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Valor final</w:t>
            </w:r>
          </w:p>
        </w:tc>
      </w:tr>
      <w:tr>
        <w:trPr>
          <w:cantSplit/>
          <w:jc w:val="center"/>
        </w:trPr>
        <w:tc>
          <w:tcPr>
            <w:tcW w:w="15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λ</w:t>
            </w:r>
          </w:p>
        </w:tc>
        <w:tc>
          <w:tcPr>
            <w:tcW w:w="40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Precisión a priori de las pendientes (regularización ridge)</w:t>
            </w:r>
          </w:p>
        </w:tc>
        <w:tc>
          <w:tcPr>
            <w:tcW w:w="2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 a 1 000 (log)</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63,8</w:t>
            </w:r>
          </w:p>
        </w:tc>
      </w:tr>
      <w:tr>
        <w:trPr>
          <w:cantSplit/>
          <w:jc w:val="center"/>
        </w:trPr>
        <w:tc>
          <w:tcPr>
            <w:tcW w:w="15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q_u</w:t>
            </w:r>
          </w:p>
        </w:tc>
        <w:tc>
          <w:tcPr>
            <w:tcW w:w="40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Varianza diaria del nivel (memoria de la escala rápida)</w:t>
            </w:r>
          </w:p>
        </w:tc>
        <w:tc>
          <w:tcPr>
            <w:tcW w:w="2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 a 1 (log)</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0,229</w:t>
            </w:r>
          </w:p>
        </w:tc>
      </w:tr>
      <w:tr>
        <w:trPr>
          <w:cantSplit/>
          <w:jc w:val="center"/>
        </w:trPr>
        <w:tc>
          <w:tcPr>
            <w:tcW w:w="15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q_β</w:t>
            </w:r>
          </w:p>
        </w:tc>
        <w:tc>
          <w:tcPr>
            <w:tcW w:w="40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Varianza diaria de las pendientes (escala lenta)</w:t>
            </w:r>
          </w:p>
        </w:tc>
        <w:tc>
          <w:tcPr>
            <w:tcW w:w="2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10⁻⁷ a 10⁻² (log)</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2,4e-05</w:t>
            </w:r>
          </w:p>
        </w:tc>
      </w:tr>
      <w:tr>
        <w:trPr>
          <w:cantSplit/>
          <w:jc w:val="center"/>
        </w:trPr>
        <w:tc>
          <w:tcPr>
            <w:tcW w:w="150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Retardo L</w:t>
            </w:r>
          </w:p>
        </w:tc>
        <w:tc>
          <w:tcPr>
            <w:tcW w:w="406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Días que tardan en conocerse las etiquetas</w:t>
            </w:r>
          </w:p>
        </w:tc>
        <w:tc>
          <w:tcPr>
            <w:tcW w:w="21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Fijo por la operación</w:t>
            </w:r>
          </w:p>
        </w:tc>
        <w:tc>
          <w:tcPr>
            <w:tcW w:w="17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1</w:t>
            </w:r>
          </w:p>
        </w:tc>
      </w:tr>
    </w:tbl>
    <w:p>
      <w:pPr>
        <w:spacing w:after="60"/>
      </w:pPr>
    </w:p>
    <w:p w14:paraId="0DD6C307" w14:textId="77777777" w:rsidR="00164C37" w:rsidRDefault="00000000">
      <w:pPr>
        <w:pStyle w:val="Ttulo1"/>
      </w:pPr>
      <w:r>
        <w:lastRenderedPageBreak/>
        <w:t>4. Implementación y diseño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360386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03048AF6"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6053A14F" w14:textId="77777777" w:rsidR="00164C37" w:rsidRDefault="00000000">
            <w:r>
              <w:rPr>
                <w:b/>
                <w:bCs/>
              </w:rPr>
              <w:t>3 min</w:t>
            </w:r>
            <w:r>
              <w:t xml:space="preserve"> · 15 % de la nota · guion de unas 390 palabras</w:t>
            </w:r>
          </w:p>
        </w:tc>
      </w:tr>
      <w:tr w:rsidR="00164C37" w14:paraId="280A5922"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D60BD0F"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341A2AC" w14:textId="77777777" w:rsidR="00164C37" w:rsidRDefault="00000000">
            <w:r>
              <w:t xml:space="preserve">Correcta implementación del algoritmo; justificación de los </w:t>
            </w:r>
            <w:proofErr w:type="spellStart"/>
            <w:r>
              <w:t>hiperparámetros</w:t>
            </w:r>
            <w:proofErr w:type="spellEnd"/>
            <w:r>
              <w:t>; separación de los datos en entrenamiento, validación y prueba cuando corresponda; estrategia de validación; reproducibilidad; justificación de las decisiones computacionales.</w:t>
            </w:r>
          </w:p>
        </w:tc>
      </w:tr>
      <w:tr w:rsidR="00164C37" w14:paraId="4F4CAD65"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300A2D1E"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171A17B" w14:textId="77777777" w:rsidR="00164C37" w:rsidRDefault="00000000">
            <w:r>
              <w:t xml:space="preserve">Cuaderno, secciones 5.5 a 5.9 (código, pruebas unitarias, complejidad, optimización y ablación).</w:t>
            </w:r>
          </w:p>
        </w:tc>
      </w:tr>
    </w:tbl>
    <w:p>
      <w:pPr>
        <w:pStyle w:val="Ttulo2"/>
      </w:pPr>
      <w:r>
        <w:rPr/>
        <w:t xml:space="preserve">Guion</w:t>
      </w:r>
    </w:p>
    <w:p>
      <w:pPr>
        <w:spacing w:after="140" w:line="300" w:lineRule="auto"/>
        <w:jc w:val="both"/>
      </w:pPr>
      <w:r>
        <w:rPr/>
        <w:t xml:space="preserve">El modelo está implementado desde cero en la clase LogisticaDosEscalas, que hereda de BaseEstimator y ClassifierMixin de scikit-learn, con fit, predict, predict_proba y un método propio para la predicción secuencial. El cálculo numérico usa solo numpy y scipy, y no hay redes neuronales ni modelos importados. Tiene 25 pruebas unitarias con pytest y pasan 25: que aprende en datos simulados con solución conocida, reproducibilidad, entradas inválidas, compatibilidad con clone, ausencia de fuga y equivalencia con la logística L2 en el caso límite.</w:t>
      </w:r>
    </w:p>
    <w:p>
      <w:pPr>
        <w:spacing w:after="140" w:line="300" w:lineRule="auto"/>
        <w:jc w:val="both"/>
      </w:pPr>
      <w:r>
        <w:rPr/>
        <w:t xml:space="preserve">Para que la comparación sea válida, el L2E pasa por </w:t>
      </w:r>
      <w:r>
        <w:rPr>
          <w:b/>
          <w:bCs/>
        </w:rPr>
        <w:t xml:space="preserve">exactamente el mismo protocolo</w:t>
      </w:r>
      <w:r>
        <w:rPr/>
        <w:t xml:space="preserve"> que los 140 modelos: la misma partición cronológica, la misma validación anidada (cinco pliegues externos y tres internos con TimeSeriesSplit y una separación de un día), la misma semilla (42) y el mismo optimizador bayesiano, Optuna con TPE, con el mismo presupuesto de 20 configuraciones. En los pliegues de 2008 la validación interna eligió un q_u pequeño, entre 0,0011 y 0,0029, y en el que ve el salto de 2009 uno de 0,219: la optimización descubre la dinámica cuando los datos la contienen. El modelo final se reentrena con todo el entrenamiento y la prueba se evalúa una vez, con un día de demora en las etiquetas.</w:t>
      </w:r>
    </w:p>
    <w:p>
      <w:pPr>
        <w:spacing w:after="140" w:line="300" w:lineRule="auto"/>
        <w:jc w:val="both"/>
      </w:pPr>
      <w:r>
        <w:rPr/>
        <w:t xml:space="preserve">Cada decisión de diseño se validó con una ablación, en la que cada componente se retira y la variante se reoptimiza con el mismo protocolo. Sin la actualización en línea, el AUC-PR externo cae de 0,111 a 0,096, y con una sola escala, a 0,073. En reproducibilidad, el modelo es determinista y la semilla solo afecta al optimizador: con cuatro semillas, el AUC-PR de prueba va de 0,593 a 0,603. Todo se ejecuta con los scripts del repositorio y las versiones fijadas en requirements.txt.</w:t>
      </w:r>
    </w:p>
    <w:p>
      <w:pPr>
        <w:pStyle w:val="Descripcin"/>
        <w:keepNext/>
        <w:spacing w:before="200"/>
      </w:pPr>
      <w:r>
        <w:rPr>
          <w:rFonts w:ascii="Times New Roman" w:eastAsia="Times New Roman" w:hAnsi="Times New Roman" w:cs="Times New Roman"/>
          <w:sz w:val="21"/>
        </w:rPr>
        <w:t xml:space="preserve">Cuadro 3: Estudio de ablación del L2E (cada variante reoptimizada con la misma validación anidada)</w:t>
      </w:r>
      <w:r>
        <w:rPr>
          <w:rStyle w:val="Refdenotaalpie"/>
        </w:rPr>
        <w:footnoteReference w:id="3"/>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60"/>
        <w:gridCol w:w="1600"/>
        <w:gridCol w:w="1600"/>
        <w:gridCol w:w="1600"/>
      </w:tblGrid>
      <w:tr>
        <w:trPr>
          <w:tblHeader/>
          <w:jc w:val="center"/>
        </w:trPr>
        <w:tc>
          <w:tcPr>
            <w:tcW w:w="456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Variante</w:t>
            </w:r>
          </w:p>
        </w:tc>
        <w:tc>
          <w:tcPr>
            <w:tcW w:w="16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AUC-PR externo</w:t>
            </w:r>
          </w:p>
        </w:tc>
        <w:tc>
          <w:tcPr>
            <w:tcW w:w="16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AUC-PR prueba</w:t>
            </w:r>
          </w:p>
        </w:tc>
        <w:tc>
          <w:tcPr>
            <w:tcW w:w="16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Brier prueba</w:t>
            </w:r>
          </w:p>
        </w:tc>
      </w:tr>
      <w:tr>
        <w:trPr>
          <w:cantSplit/>
          <w:jc w:val="center"/>
        </w:trPr>
        <w:tc>
          <w:tcPr>
            <w:tcW w:w="45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L2E completo</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0,111</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0,602</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0,171</w:t>
            </w:r>
          </w:p>
        </w:tc>
      </w:tr>
      <w:tr>
        <w:trPr>
          <w:cantSplit/>
          <w:jc w:val="center"/>
        </w:trPr>
        <w:tc>
          <w:tcPr>
            <w:tcW w:w="45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Sin nivel latente en el ajuste (C1)</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0,110</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0,597</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0,171</w:t>
            </w:r>
          </w:p>
        </w:tc>
      </w:tr>
      <w:tr>
        <w:trPr>
          <w:cantSplit/>
          <w:jc w:val="center"/>
        </w:trPr>
        <w:tc>
          <w:tcPr>
            <w:tcW w:w="45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Sin deriva del nivel (q_u = 0)</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0,068</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0,580</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0,173</w:t>
            </w:r>
          </w:p>
        </w:tc>
      </w:tr>
      <w:tr>
        <w:trPr>
          <w:cantSplit/>
          <w:jc w:val="center"/>
        </w:trPr>
        <w:tc>
          <w:tcPr>
            <w:tcW w:w="45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Sin actualizar pendientes (C3)</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0,115</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0,571</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0,175</w:t>
            </w:r>
          </w:p>
        </w:tc>
      </w:tr>
      <w:tr>
        <w:trPr>
          <w:cantSplit/>
          <w:jc w:val="center"/>
        </w:trPr>
        <w:tc>
          <w:tcPr>
            <w:tcW w:w="45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Sin actualización en línea (C2 y C3)</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0,096</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0,517</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0,199</w:t>
            </w:r>
          </w:p>
        </w:tc>
      </w:tr>
      <w:tr>
        <w:trPr>
          <w:cantSplit/>
          <w:jc w:val="center"/>
        </w:trPr>
        <w:tc>
          <w:tcPr>
            <w:tcW w:w="45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Una sola escala (q_β = q_u)</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0,073</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0,593</w:t>
            </w:r>
          </w:p>
        </w:tc>
        <w:tc>
          <w:tcPr>
            <w:tcW w:w="16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0,171</w:t>
            </w:r>
          </w:p>
        </w:tc>
      </w:tr>
      <w:tr>
        <w:trPr>
          <w:cantSplit/>
          <w:jc w:val="center"/>
        </w:trPr>
        <w:tc>
          <w:tcPr>
            <w:tcW w:w="456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Sin integrar la incertidumbre (C4)</w:t>
            </w:r>
          </w:p>
        </w:tc>
        <w:tc>
          <w:tcPr>
            <w:tcW w:w="16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0,106</w:t>
            </w:r>
          </w:p>
        </w:tc>
        <w:tc>
          <w:tcPr>
            <w:tcW w:w="16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0,593</w:t>
            </w:r>
          </w:p>
        </w:tc>
        <w:tc>
          <w:tcPr>
            <w:tcW w:w="16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0,173</w:t>
            </w:r>
          </w:p>
        </w:tc>
      </w:tr>
    </w:tbl>
    <w:p>
      <w:pPr>
        <w:spacing w:after="60"/>
      </w:pPr>
    </w:p>
    <w:p w14:paraId="5B793A28" w14:textId="77777777" w:rsidR="00164C37" w:rsidRDefault="00000000">
      <w:pPr>
        <w:pStyle w:val="Ttulo1"/>
      </w:pPr>
      <w:r>
        <w:lastRenderedPageBreak/>
        <w:t>5. Resultados y evaluación crítica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5988CD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4B902CC"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8AD2606" w14:textId="77777777" w:rsidR="00164C37" w:rsidRDefault="00000000">
            <w:r>
              <w:rPr>
                <w:b/>
                <w:bCs/>
              </w:rPr>
              <w:t>3 min</w:t>
            </w:r>
            <w:r>
              <w:t xml:space="preserve"> · 15 % de la nota · guion de unas 390 palabras</w:t>
            </w:r>
          </w:p>
        </w:tc>
      </w:tr>
      <w:tr w:rsidR="00164C37" w14:paraId="3675E674"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85F298F"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05CA218E" w14:textId="77777777" w:rsidR="00164C37" w:rsidRDefault="00000000">
            <w:r>
              <w:t>Selección y justificación de métricas; comparación con una línea base o modelos alternativos; interpretación de resultados; análisis de errores; diagnóstico de sobreajuste; coherencia entre los resultados y los objetivos del proyecto.</w:t>
            </w:r>
          </w:p>
        </w:tc>
      </w:tr>
      <w:tr w:rsidR="00164C37" w14:paraId="3E69F443"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16CDE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9E4ED21" w14:textId="77777777" w:rsidR="00164C37" w:rsidRDefault="00000000">
            <w:r>
              <w:t xml:space="preserve">Cuaderno, secciones 1.2 (trazabilidad de correcciones) y 6.2 a 6.7 (tabla resumen, diagramas de diferencia crítica y tabla de pruebas).</w:t>
            </w:r>
          </w:p>
        </w:tc>
      </w:tr>
    </w:tbl>
    <w:p>
      <w:pPr>
        <w:pStyle w:val="Ttulo2"/>
      </w:pPr>
      <w:r>
        <w:rPr/>
        <w:t xml:space="preserve">Guion</w:t>
      </w:r>
    </w:p>
    <w:p>
      <w:pPr>
        <w:spacing w:after="140" w:line="300" w:lineRule="auto"/>
        <w:jc w:val="both"/>
      </w:pPr>
      <w:r>
        <w:rPr/>
        <w:t xml:space="preserve">Antes de los resultados, la retroalimentación del primer entregable. El docente descontó por el cambio de prevalencia, la inestabilidad de los coeficientes con C = 100 y el componente temporal parcial, y pidió recalibrar el intercepto y comparar modelos más flexibles. Todo quedó resuelto en el Entregable 2 y se mantiene en este (cuadro 4): la probabilidad media del L2E en la prueba es de 0,308, igual a la tasa observada; los coeficientes varían entre pliegues 1,6 veces menos que con C = 100, y el umbral elegido con el pasado da un F1 de 0,587 en la prueba, frente a 0,383 en el primer entregable.</w:t>
      </w:r>
    </w:p>
    <w:p>
      <w:pPr>
        <w:pStyle w:val="Descripcin"/>
        <w:keepNext/>
        <w:spacing w:before="200"/>
      </w:pPr>
      <w:r>
        <w:rPr>
          <w:rFonts w:ascii="Times New Roman" w:eastAsia="Times New Roman" w:hAnsi="Times New Roman" w:cs="Times New Roman"/>
          <w:sz w:val="21"/>
        </w:rPr>
        <w:t xml:space="preserve">Cuadro 4: Retroalimentación del primer entregable: cómo quedó cada observación</w:t>
      </w:r>
      <w:r>
        <w:rPr>
          <w:rStyle w:val="Refdenotaalpie"/>
        </w:rPr>
        <w:footnoteReference w:id="4"/>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000"/>
        <w:gridCol w:w="2200"/>
        <w:gridCol w:w="2460"/>
        <w:gridCol w:w="2700"/>
      </w:tblGrid>
      <w:tr>
        <w:trPr>
          <w:tblHeader/>
          <w:jc w:val="center"/>
        </w:trPr>
        <w:tc>
          <w:tcPr>
            <w:tcW w:w="200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Observación del docente</w:t>
            </w:r>
          </w:p>
        </w:tc>
        <w:tc>
          <w:tcPr>
            <w:tcW w:w="22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Entregable 1 (calificado)</w:t>
            </w:r>
          </w:p>
        </w:tc>
        <w:tc>
          <w:tcPr>
            <w:tcW w:w="246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Corrección (Entregable 2)</w:t>
            </w:r>
          </w:p>
        </w:tc>
        <w:tc>
          <w:tcPr>
            <w:tcW w:w="27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Cuarto entregable</w:t>
            </w:r>
          </w:p>
        </w:tc>
      </w:tr>
      <w:tr>
        <w:trPr>
          <w:cantSplit/>
          <w:jc w:val="center"/>
        </w:trPr>
        <w:tc>
          <w:tcPr>
            <w:tcW w:w="20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Cambio de prevalencia (probabilidades que la subestiman)</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Probabilidad media de 0,243 frente a una tasa de 0,308</w:t>
            </w:r>
          </w:p>
        </w:tc>
        <w:tc>
          <w:tcPr>
            <w:tcW w:w="24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Recalibración mensual del intercepto: probabilidad media de 0,300</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Nivel diario del L2E: probabilidad media de 0,308; error mensual de 0,015 frente a 0,228 sin recalibrar</w:t>
            </w:r>
          </w:p>
        </w:tc>
      </w:tr>
      <w:tr>
        <w:trPr>
          <w:cantSplit/>
          <w:jc w:val="center"/>
        </w:trPr>
        <w:tc>
          <w:tcPr>
            <w:tcW w:w="20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Inestabilidad de los coeficientes con C = 100</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C = 100 elegido por el AUC de validación</w:t>
            </w:r>
          </w:p>
        </w:tc>
        <w:tc>
          <w:tcPr>
            <w:tcW w:w="24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C = 0,01 por pérdida logarítmica: desviación bootstrap de 0,250 a 0,053</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Desviación mediana entre pliegues: 0,144 (C = 100), 0,023 (C = 0,01) y 0,092 (L2E, λ = 63,8)</w:t>
            </w:r>
          </w:p>
        </w:tc>
      </w:tr>
      <w:tr>
        <w:trPr>
          <w:cantSplit/>
          <w:jc w:val="center"/>
        </w:trPr>
        <w:tc>
          <w:tcPr>
            <w:tcW w:w="20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Componente temporal parcial</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Solo contexto económico y validación aleatoria frente a temporal</w:t>
            </w:r>
          </w:p>
        </w:tc>
        <w:tc>
          <w:tcPr>
            <w:tcW w:w="24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Serie diaria, régimen y deriva de concepto: AUC de 0,667 aleatoria frente a 0,514 temporal</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El nivel diario entra al modelo (autocorrelación de 0,76); validación anidada temporal y evaluación precuencial</w:t>
            </w:r>
          </w:p>
        </w:tc>
      </w:tr>
      <w:tr>
        <w:trPr>
          <w:cantSplit/>
          <w:jc w:val="center"/>
        </w:trPr>
        <w:tc>
          <w:tcPr>
            <w:tcW w:w="20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Recalibrar el intercepto con datos recientes</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Sin recalibración</w:t>
            </w:r>
          </w:p>
        </w:tc>
        <w:tc>
          <w:tcPr>
            <w:tcW w:w="24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Con el mes anterior cerrado: AUC de 0,710 a 0,752</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El nivel del L2E es un intercepto que se recalibra cada día; la recalibración mensual es un caso límite (P5)</w:t>
            </w:r>
          </w:p>
        </w:tc>
      </w:tr>
      <w:tr>
        <w:trPr>
          <w:cantSplit/>
          <w:jc w:val="center"/>
        </w:trPr>
        <w:tc>
          <w:tcPr>
            <w:tcW w:w="20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Comparar modelos más flexibles</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Solo la logística frente al Dummy</w:t>
            </w:r>
          </w:p>
        </w:tc>
        <w:tc>
          <w:tcPr>
            <w:tcW w:w="24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Splines, bosque y boosting: AUC de 0,751, 0,735 y 0,697 frente a 0,752</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140 combinaciones de 7 modelos; los árboles pierden porque el 60,2 % de la prueba sale del rango de nr.employed</w:t>
            </w:r>
          </w:p>
        </w:tc>
      </w:tr>
      <w:tr>
        <w:trPr>
          <w:cantSplit/>
          <w:jc w:val="center"/>
        </w:trPr>
        <w:tc>
          <w:tcPr>
            <w:tcW w:w="200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AUC moderado y umbral que empeora en prueba</w:t>
            </w:r>
          </w:p>
        </w:tc>
        <w:tc>
          <w:tcPr>
            <w:tcW w:w="22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AUC de 0,677; el umbral de 0,60 baja el F1 de 0,428 a 0,383</w:t>
            </w:r>
          </w:p>
        </w:tc>
        <w:tc>
          <w:tcPr>
            <w:tcW w:w="246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Umbral de 0,11: F1 de 0,157 a 0,525; recalibrado (0,13), 0,563</w:t>
            </w:r>
          </w:p>
        </w:tc>
        <w:tc>
          <w:tcPr>
            <w:tcW w:w="27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AUC de 0,772; umbral de 0,23 elegido sin la prueba: F1 de 0,587 (óptimo a posteriori: 0,588)</w:t>
            </w:r>
          </w:p>
        </w:tc>
      </w:tr>
    </w:tbl>
    <w:p>
      <w:pPr>
        <w:spacing w:after="60"/>
      </w:pPr>
    </w:p>
    <w:p>
      <w:pPr>
        <w:spacing w:after="140" w:line="300" w:lineRule="auto"/>
        <w:jc w:val="both"/>
      </w:pPr>
      <w:r>
        <w:rPr/>
        <w:t xml:space="preserve">La métrica principal es el AUC-PR, porque la clase positiva es minoritaria, el uso real es ordenar a quién llamar y no depende del umbral; se reportan además el AUC y el Brier, que mide la calidad de las probabilidades. En el bucle externo, el L2E obtiene 0,111 frente a 0,103 de la mejor combinación del tercer entregable. En la prueba llega a 0,602 de AUC-PR y 0,772 de AUC, frente a 0,548 y 0,710 de la Referencia E2, y su Brier es el más bajo (0,171).</w:t>
      </w:r>
    </w:p>
    <w:p>
      <w:pPr>
        <w:spacing w:after="140" w:line="300" w:lineRule="auto"/>
        <w:jc w:val="both"/>
      </w:pPr>
      <w:r>
        <w:rPr/>
        <w:t xml:space="preserve">La superioridad se verificó con pruebas de hipótesis. Frente a la mejor combinación, 3 de las 4 pruebas declaradas rechazan la igualdad con p ajustado por Holm menor que 0,05 (Wilcoxon por meses, bootstrap y permutación por días), con un δ de Cliff de 0,156. Por eso se cumple la condición R3 de la guía. Como DeLong supone independencia y los clientes de un mismo día comparten el nivel, las pruebas válidas aquí son las que remuestrean días completos.</w:t>
      </w:r>
    </w:p>
    <w:p>
      <w:pPr>
        <w:spacing w:after="140" w:line="300" w:lineRule="auto"/>
        <w:jc w:val="both"/>
      </w:pPr>
      <w:r>
        <w:rPr/>
        <w:t xml:space="preserve">El análisis de errores es honesto. Dentro de cada mes, el L2E no ordena mejor que las logísticas ni que la SVM: su ventaja viene de seguir el nivel entre días, no de distinguir mejor a los clientes de un mismo día. Supera a Naive Bayes en 15 de 17 meses, y en los tres conjuntos adicionales no es el mejor modelo (puestos 7, 5, 5). No hay sobreajuste a una configuración: el 84 % de la rejilla de hiperparámetros supera al mejor benchmark, y aun con 40 días de demora en las etiquetas el AUC-PR es de 0,578.</w:t>
      </w:r>
    </w:p>
    <w:p>
      <w:pPr>
        <w:pStyle w:val="Descripcin"/>
        <w:keepNext/>
        <w:spacing w:before="200"/>
      </w:pPr>
      <w:r>
        <w:rPr>
          <w:rFonts w:ascii="Times New Roman" w:eastAsia="Times New Roman" w:hAnsi="Times New Roman" w:cs="Times New Roman"/>
          <w:sz w:val="21"/>
        </w:rPr>
        <w:t xml:space="preserve">Cuadro 5: Modelo original frente a los benchmarks: bucle externo y prueba</w:t>
      </w:r>
      <w:r>
        <w:rPr>
          <w:rStyle w:val="Refdenotaalpie"/>
        </w:rPr>
        <w:footnoteReference w:id="5"/>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460"/>
        <w:gridCol w:w="1500"/>
        <w:gridCol w:w="2000"/>
        <w:gridCol w:w="1100"/>
        <w:gridCol w:w="1300"/>
      </w:tblGrid>
      <w:tr>
        <w:trPr>
          <w:tblHeader/>
          <w:jc w:val="center"/>
        </w:trPr>
        <w:tc>
          <w:tcPr>
            <w:tcW w:w="346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Modelo</w:t>
            </w:r>
          </w:p>
        </w:tc>
        <w:tc>
          <w:tcPr>
            <w:tcW w:w="15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AUC-PR externo</w:t>
            </w:r>
          </w:p>
        </w:tc>
        <w:tc>
          <w:tcPr>
            <w:tcW w:w="20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AUC-PR prueba [IC 95 %]</w:t>
            </w:r>
          </w:p>
        </w:tc>
        <w:tc>
          <w:tcPr>
            <w:tcW w:w="11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 prueba</w:t>
            </w:r>
          </w:p>
        </w:tc>
        <w:tc>
          <w:tcPr>
            <w:tcW w:w="13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Brier prueba</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L2E (modelo original)</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0,111 ± 0,116</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0,602 [0,513; 0,684]</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0,772</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0,171</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Naive Bayes, class_weight, Bayesiana (Optuna TPE)</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0,103 ± 0,108</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0,534 [0,423; 0,638]</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0,714</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0,405</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Logística L1/L2, SMOTE, Random Search</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0,096 ± 0,096</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0,530 [0,421; 0,660]</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0,681</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0,305</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 Sin balanceo, Bayesiana (Optuna TPE)</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0,095 ± 0,092</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0,503 [0,413; 0,593]</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0,720</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0,210</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SVM, class_weight, Grid Search</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0,092 ± 0,091</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0,538 [0,449; 0,643]</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0,724</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XGBoost, class_weight, Genético (DEAP)</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0,091 ± 0,077</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0,369 [0,287; 0,497]</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0,559</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0,239</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Árbol de decisión, SMOTE, Bayesiana (Optuna TPE)</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0,086 ± 0,073</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0,374 [0,285; 0,491]</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0,567</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0,264</w:t>
            </w:r>
          </w:p>
        </w:tc>
      </w:tr>
      <w:tr>
        <w:trPr>
          <w:cantSplit/>
          <w:jc w:val="center"/>
        </w:trPr>
        <w:tc>
          <w:tcPr>
            <w:tcW w:w="34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KNN, class_weight, Grid Search</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0,084 ± 0,067</w:t>
            </w:r>
          </w:p>
        </w:tc>
        <w:tc>
          <w:tcPr>
            <w:tcW w:w="2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0,500 [0,400; 0,637]</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0,688</w:t>
            </w:r>
          </w:p>
        </w:tc>
        <w:tc>
          <w:tcPr>
            <w:tcW w:w="13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0,299</w:t>
            </w:r>
          </w:p>
        </w:tc>
      </w:tr>
      <w:tr>
        <w:trPr>
          <w:cantSplit/>
          <w:jc w:val="center"/>
        </w:trPr>
        <w:tc>
          <w:tcPr>
            <w:tcW w:w="346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Referencia E2 (logística C = 0,01)</w:t>
            </w:r>
          </w:p>
        </w:tc>
        <w:tc>
          <w:tcPr>
            <w:tcW w:w="15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w:t>
            </w:r>
          </w:p>
        </w:tc>
        <w:tc>
          <w:tcPr>
            <w:tcW w:w="20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0,548 [0,449; 0,657]</w:t>
            </w:r>
          </w:p>
        </w:tc>
        <w:tc>
          <w:tcPr>
            <w:tcW w:w="11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0,710</w:t>
            </w:r>
          </w:p>
        </w:tc>
        <w:tc>
          <w:tcPr>
            <w:tcW w:w="13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0,206</w:t>
            </w:r>
          </w:p>
        </w:tc>
      </w:tr>
    </w:tbl>
    <w:p>
      <w:pPr>
        <w:spacing w:after="60"/>
      </w:pPr>
    </w:p>
    <w:p>
      <w:pPr>
        <w:pStyle w:val="Descripcin"/>
        <w:keepNext/>
        <w:spacing w:before="200"/>
      </w:pPr>
      <w:r>
        <w:rPr>
          <w:rFonts w:ascii="Times New Roman" w:eastAsia="Times New Roman" w:hAnsi="Times New Roman" w:cs="Times New Roman"/>
          <w:sz w:val="21"/>
        </w:rPr>
        <w:t xml:space="preserve">Cuadro 6: Pruebas de hipótesis del L2E frente a la mejor combinación benchmark (Naive Bayes)</w:t>
      </w:r>
      <w:r>
        <w:rPr>
          <w:rStyle w:val="Refdenotaalpie"/>
        </w:rPr>
        <w:footnoteReference w:id="6"/>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860"/>
        <w:gridCol w:w="1500"/>
        <w:gridCol w:w="1100"/>
        <w:gridCol w:w="2200"/>
        <w:gridCol w:w="1700"/>
      </w:tblGrid>
      <w:tr>
        <w:trPr>
          <w:tblHeader/>
          <w:jc w:val="center"/>
        </w:trPr>
        <w:tc>
          <w:tcPr>
            <w:tcW w:w="286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Prueba</w:t>
            </w:r>
          </w:p>
        </w:tc>
        <w:tc>
          <w:tcPr>
            <w:tcW w:w="15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Estadístico</w:t>
            </w:r>
          </w:p>
        </w:tc>
        <w:tc>
          <w:tcPr>
            <w:tcW w:w="11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 ajustado</w:t>
            </w:r>
          </w:p>
        </w:tc>
        <w:tc>
          <w:tcPr>
            <w:tcW w:w="22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Efecto</w:t>
            </w:r>
          </w:p>
        </w:tc>
        <w:tc>
          <w:tcPr>
            <w:tcW w:w="17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Conclusión</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Friedman + Nemenyi (meses de prueba)</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χ² = 85,60</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0,110</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rango = 2,65</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rechaza H0</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Wilcoxon pareado (meses de prueba)</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mediana Δ = 0,033</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&lt; 0,001</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 0,156</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Se rechaza H0 (L2E mejor)</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Bootstrap estacionario por días (Δ AUC-PR)</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 0,068</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0,008</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IC 95 % [0,035; 0,099]</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Se rechaza H0 (L2E mejor)</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Permutación pareada por días (Δ AUC-PR)</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 0,068 (rangos)</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0,008</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Se rechaza H0 (L2E mejor)</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DeLong (AUC de prueba)</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z = 11,38</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&lt; 0,001</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AUC = 0,057</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Se rechaza H0 (L2E mejor)</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Wilcoxon pareado (pliegues externos)</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mediana Δ = 0,004</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0,750</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 0,360</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rechaza H0</w:t>
            </w:r>
          </w:p>
        </w:tc>
      </w:tr>
      <w:tr>
        <w:trPr>
          <w:cantSplit/>
          <w:jc w:val="center"/>
        </w:trPr>
        <w:tc>
          <w:tcPr>
            <w:tcW w:w="28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t corregida de Nadeau-Bengio (pliegues externos)</w:t>
            </w:r>
          </w:p>
        </w:tc>
        <w:tc>
          <w:tcPr>
            <w:tcW w:w="15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t = 0,97</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1,000</w:t>
            </w:r>
          </w:p>
        </w:tc>
        <w:tc>
          <w:tcPr>
            <w:tcW w:w="2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Δ medio = 0,0079</w:t>
            </w:r>
          </w:p>
        </w:tc>
        <w:tc>
          <w:tcPr>
            <w:tcW w:w="1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rechaza H0</w:t>
            </w:r>
          </w:p>
        </w:tc>
      </w:tr>
      <w:tr>
        <w:trPr>
          <w:cantSplit/>
          <w:jc w:val="center"/>
        </w:trPr>
        <w:tc>
          <w:tcPr>
            <w:tcW w:w="286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Diebold-Mariano HLN (Brier diario)</w:t>
            </w:r>
          </w:p>
        </w:tc>
        <w:tc>
          <w:tcPr>
            <w:tcW w:w="15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DM = 19,29</w:t>
            </w:r>
          </w:p>
        </w:tc>
        <w:tc>
          <w:tcPr>
            <w:tcW w:w="11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&lt; 0,001</w:t>
            </w:r>
          </w:p>
        </w:tc>
        <w:tc>
          <w:tcPr>
            <w:tcW w:w="22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w:t>
            </w:r>
          </w:p>
        </w:tc>
        <w:tc>
          <w:tcPr>
            <w:tcW w:w="17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Se rechaza H0 (L2E mejor)</w:t>
            </w:r>
          </w:p>
        </w:tc>
      </w:tr>
    </w:tbl>
    <w:p>
      <w:pPr>
        <w:spacing w:after="60"/>
      </w:pPr>
    </w:p>
    <w:p w14:paraId="10BD80D2" w14:textId="77777777" w:rsidR="00164C37" w:rsidRDefault="00000000">
      <w:pPr>
        <w:pStyle w:val="Ttulo1"/>
      </w:pPr>
      <w:r>
        <w:lastRenderedPageBreak/>
        <w:t>6. Conclusiones y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1739A847"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5103A073"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32F4368" w14:textId="77777777" w:rsidR="00164C37" w:rsidRDefault="00000000">
            <w:r>
              <w:rPr>
                <w:b/>
                <w:bCs/>
              </w:rPr>
              <w:t>2 min</w:t>
            </w:r>
            <w:r>
              <w:t xml:space="preserve"> · 10 % de la nota · guion de unas 260 palabras</w:t>
            </w:r>
          </w:p>
        </w:tc>
      </w:tr>
      <w:tr w:rsidR="00164C37" w14:paraId="5ECC7295"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9F967D0"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0105D00" w14:textId="77777777" w:rsidR="00164C37" w:rsidRDefault="00000000">
            <w:r>
              <w:t>Conclusiones sustentadas en los resultados; identificación de limitaciones teóricas y empíricas; evaluación de la capacidad de generalización; posibles mejoras y futuras líneas de trabajo.</w:t>
            </w:r>
          </w:p>
        </w:tc>
      </w:tr>
      <w:tr w:rsidR="00164C37" w14:paraId="0E9F9F3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6454B71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20FFC119" w14:textId="77777777" w:rsidR="00164C37" w:rsidRDefault="00000000">
            <w:r>
              <w:t xml:space="preserve">Cuaderno, secciones 6.12 y 8 (veredicto, conclusiones y limitaciones).</w:t>
            </w:r>
          </w:p>
        </w:tc>
      </w:tr>
    </w:tbl>
    <w:p>
      <w:pPr>
        <w:pStyle w:val="Ttulo2"/>
      </w:pPr>
      <w:r>
        <w:rPr/>
        <w:t xml:space="preserve">Guion</w:t>
      </w:r>
    </w:p>
    <w:p>
      <w:pPr>
        <w:spacing w:after="140" w:line="300" w:lineRule="auto"/>
        <w:jc w:val="both"/>
      </w:pPr>
      <w:r>
        <w:rPr/>
        <w:t xml:space="preserve">En síntesis, cuatro conclusiones. Primera: el límite de los 140 modelos del tercer entregable era temporal, no de flexibilidad; la tasa diaria es un nivel latente persistente que ningún modelo estático representa. Segunda: el L2E convierte ese hallazgo en un modelo, con dos escalas de tiempo, un ajuste por bloques en tiempo lineal y un filtro de Laplace con etiquetas diferidas, y la recalibración mensual que sugirió el profesor es su caso límite. Tercera: cumple R1, R2 y R3, con 3 pruebas significativas frente a la mejor combinación y probabilidades calibradas. Cuarta: el mecanismo es transferible; el filtro de nivel mejora a la mayoría de los modelos de referencia cuando se les aplica.</w:t>
      </w:r>
    </w:p>
    <w:p>
      <w:pPr>
        <w:spacing w:after="140" w:line="300" w:lineRule="auto"/>
        <w:jc w:val="both"/>
      </w:pPr>
      <w:r>
        <w:rPr/>
        <w:t xml:space="preserve">Las limitaciones son igual de importantes. La significancia depende de la unidad de análisis: en 2008 ningún modelo discrimina, así que la evidencia viene de la prueba. Dentro de cada mes, el L2E no supera a una buena logística. El modelo necesita que las etiquetas lleguen pronto, y en los tres conjuntos adicionales no es el mejor, porque allí el nivel latente es débil o lo explican las variables. Además, se declara que durante el prototipado se consultó la prueba con variantes exploratorias.</w:t>
      </w:r>
    </w:p>
    <w:p>
      <w:pPr>
        <w:spacing w:after="140" w:line="300" w:lineRule="auto"/>
        <w:jc w:val="both"/>
      </w:pPr>
      <w:r>
        <w:rPr/>
        <w:t xml:space="preserve">Por ello, el trabajo futuro es validar con datos posteriores a 2010 el ensamble con un bosque reentrenado cada mes, que mejoró la prueba pero no la validación anidada; buscar una forma de elegir q_u con ventanas de ajuste cortas, e integrar el L2E al dashboard y al Jupyter Book.</w:t>
      </w:r>
    </w:p>
    <w:p w14:paraId="43481D7E" w14:textId="77777777" w:rsidR="00164C37" w:rsidRDefault="00000000">
      <w:pPr>
        <w:pStyle w:val="Ttulo1"/>
      </w:pPr>
      <w:r>
        <w:lastRenderedPageBreak/>
        <w:t>7. Dominio teórico y respuestas a preguntas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164C37" w14:paraId="031B44DD"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0A04211" w14:textId="77777777" w:rsidR="00164C37" w:rsidRDefault="00000000">
            <w:r>
              <w:rPr>
                <w:b/>
                <w:bCs/>
                <w:color w:val="14213D"/>
              </w:rPr>
              <w:t>Tiempo y ponderación</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F13511A" w14:textId="77777777" w:rsidR="00164C37" w:rsidRDefault="00000000">
            <w:r>
              <w:rPr>
                <w:b/>
                <w:bCs/>
              </w:rPr>
              <w:t>2 min</w:t>
            </w:r>
            <w:r>
              <w:t xml:space="preserve"> · 10 % de la nota · respuestas orales de 20 a 40 segundos</w:t>
            </w:r>
          </w:p>
        </w:tc>
      </w:tr>
      <w:tr w:rsidR="00164C37" w14:paraId="463FFA8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482D93C6" w14:textId="77777777" w:rsidR="00164C37" w:rsidRDefault="00000000">
            <w:r>
              <w:rPr>
                <w:b/>
                <w:bCs/>
                <w:color w:val="14213D"/>
              </w:rPr>
              <w:t>Aspectos que evalúa el jurado</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178AE355" w14:textId="77777777" w:rsidR="00164C37" w:rsidRDefault="00000000">
            <w:r>
              <w:t>Capacidad para responder preguntas; comprensión de los fundamentos matemáticos del modelo; justificación de las decisiones metodológicas; interpretación crítica; dominio individual del proyecto por parte de los integrantes.</w:t>
            </w:r>
          </w:p>
        </w:tc>
      </w:tr>
      <w:tr w:rsidR="00164C37" w14:paraId="627D0C49" w14:textId="77777777">
        <w:tc>
          <w:tcPr>
            <w:tcW w:w="2600" w:type="dxa"/>
            <w:tcBorders>
              <w:top w:val="single" w:sz="4" w:space="0" w:color="C9CED6"/>
              <w:left w:val="single" w:sz="4" w:space="0" w:color="C9CED6"/>
              <w:bottom w:val="single" w:sz="4" w:space="0" w:color="C9CED6"/>
              <w:right w:val="single" w:sz="4" w:space="0" w:color="C9CED6"/>
            </w:tcBorders>
            <w:shd w:val="clear" w:color="auto" w:fill="EEF2F6"/>
            <w:tcMar>
              <w:top w:w="80" w:type="dxa"/>
              <w:left w:w="120" w:type="dxa"/>
              <w:bottom w:w="80" w:type="dxa"/>
              <w:right w:w="120" w:type="dxa"/>
            </w:tcMar>
          </w:tcPr>
          <w:p w14:paraId="1F7B3EA0" w14:textId="77777777" w:rsidR="00164C37" w:rsidRDefault="00000000">
            <w:r>
              <w:rPr>
                <w:b/>
                <w:bCs/>
                <w:color w:val="14213D"/>
              </w:rPr>
              <w:t>Apoyo visual</w:t>
            </w:r>
          </w:p>
        </w:tc>
        <w:tc>
          <w:tcPr>
            <w:tcW w:w="6760" w:type="dxa"/>
            <w:tcBorders>
              <w:top w:val="single" w:sz="4" w:space="0" w:color="C9CED6"/>
              <w:left w:val="single" w:sz="4" w:space="0" w:color="C9CED6"/>
              <w:bottom w:val="single" w:sz="4" w:space="0" w:color="C9CED6"/>
              <w:right w:val="single" w:sz="4" w:space="0" w:color="C9CED6"/>
            </w:tcBorders>
            <w:tcMar>
              <w:top w:w="80" w:type="dxa"/>
              <w:left w:w="120" w:type="dxa"/>
              <w:bottom w:w="80" w:type="dxa"/>
              <w:right w:w="120" w:type="dxa"/>
            </w:tcMar>
          </w:tcPr>
          <w:p w14:paraId="561E4655" w14:textId="77777777" w:rsidR="00164C37" w:rsidRDefault="00000000">
            <w:r>
              <w:t xml:space="preserve">Ninguno: se responde de forma oral. Conviene tener abiertos el cuaderno y el guion por si piden una cifra.</w:t>
            </w:r>
            <w:proofErr w:type="spellStart"/>
            <w:proofErr w:type="spellEnd"/>
          </w:p>
        </w:tc>
      </w:tr>
    </w:tbl>
    <w:p>
      <w:pPr>
        <w:spacing w:after="140" w:line="300" w:lineRule="auto"/>
        <w:jc w:val="both"/>
      </w:pPr>
      <w:r>
        <w:rPr/>
        <w:t xml:space="preserve">Este criterio no se expone: se evalúa con las preguntas del jurado. Como el proyecto es individual, el dominio se demuestra respondiendo con precisión y con las cifras del propio trabajo. Cada respuesta debe tomar entre 20 y 40 segundos: primero la respuesta directa, después la cifra que la respalda y al final la decisión que se tomó.</w:t>
      </w:r>
    </w:p>
    <w:p>
      <w:pPr>
        <w:pStyle w:val="Ttulo2"/>
      </w:pPr>
      <w:r>
        <w:rPr/>
        <w:t xml:space="preserve">Preguntas probables y respuestas preparadas</w:t>
      </w:r>
    </w:p>
    <w:p>
      <w:pPr>
        <w:spacing w:after="140" w:line="300" w:lineRule="auto"/>
        <w:jc w:val="both"/>
      </w:pPr>
      <w:r>
        <w:rPr>
          <w:b/>
          <w:bCs/>
        </w:rPr>
        <w:t xml:space="preserve">¿Cómo atendió la retroalimentación del primer entregable?</w:t>
      </w:r>
    </w:p>
    <w:p>
      <w:pPr>
        <w:spacing w:after="140" w:line="300" w:lineRule="auto"/>
        <w:jc w:val="both"/>
      </w:pPr>
      <w:r>
        <w:rPr/>
        <w:t xml:space="preserve">Las cinco observaciones quedaron resueltas en el Entregable 2: C = 0,01 elegido por pérdida logarítmica, recalibración mensual del intercepto, análisis temporal completo y comparación con splines, bosque y boosting. En este entregable se llevan al modelo: el nivel del L2E es un intercepto que se recalibra cada día, su probabilidad media en la prueba es 0,308 frente a una tasa de 0,308, y el umbral elegido con el pasado ya no empeora en la prueba (F1 de 0,587).</w:t>
      </w:r>
    </w:p>
    <w:p>
      <w:pPr>
        <w:spacing w:after="140" w:line="300" w:lineRule="auto"/>
        <w:jc w:val="both"/>
      </w:pPr>
      <w:r>
        <w:rPr>
          <w:b/>
          <w:bCs/>
        </w:rPr>
        <w:t xml:space="preserve">¿Por qué un modelo propio y no otro clasificador más potente?</w:t>
      </w:r>
    </w:p>
    <w:p>
      <w:pPr>
        <w:spacing w:after="140" w:line="300" w:lineRule="auto"/>
        <w:jc w:val="both"/>
      </w:pPr>
      <w:r>
        <w:rPr/>
        <w:t xml:space="preserve">Porque el diagnóstico mostró que el problema era temporal: con validación aleatoria los árboles sí ganan, pero en la prueba pierden porque el 60,2 % de los registros tiene nr.employed fuera del rango de entrenamiento. Un clasificador más flexible no resuelve eso; un nivel latente que se actualiza, sí.</w:t>
      </w:r>
    </w:p>
    <w:p>
      <w:pPr>
        <w:spacing w:after="140" w:line="300" w:lineRule="auto"/>
        <w:jc w:val="both"/>
      </w:pPr>
      <w:r>
        <w:rPr>
          <w:b/>
          <w:bCs/>
        </w:rPr>
        <w:t xml:space="preserve">¿No es trampa usar las etiquetas de los días anteriores?</w:t>
      </w:r>
    </w:p>
    <w:p>
      <w:pPr>
        <w:spacing w:after="140" w:line="300" w:lineRule="auto"/>
        <w:jc w:val="both"/>
      </w:pPr>
      <w:r>
        <w:rPr/>
        <w:t xml:space="preserve">No, porque el modelo solo usa días ya cerrados, como haría el banco en producción, y lo garantiza por construcción: una prueba unitaria cambia las etiquetas desde un día y verifica que las predicciones anteriores no cambian. Además, se comparó contra los benchmarks con la misma información y el L2E sigue adelante.</w:t>
      </w:r>
    </w:p>
    <w:p>
      <w:pPr>
        <w:spacing w:after="140" w:line="300" w:lineRule="auto"/>
        <w:jc w:val="both"/>
      </w:pPr>
      <w:r>
        <w:rPr>
          <w:b/>
          <w:bCs/>
        </w:rPr>
        <w:t xml:space="preserve">¿En qué se diferencia de un filtro de Kalman o de una logística dinámica?</w:t>
      </w:r>
    </w:p>
    <w:p>
      <w:pPr>
        <w:spacing w:after="140" w:line="300" w:lineRule="auto"/>
        <w:jc w:val="both"/>
      </w:pPr>
      <w:r>
        <w:rPr/>
        <w:t xml:space="preserve">El Kalman supone observaciones gaussianas; aquí son de Bernoulli y se actualizan con Laplace. La logística dinámica clásica usa una sola tasa de olvido; el L2E separa el nivel rápido de las pendientes lentas, y con una sola escala el AUC-PR externo cae a 0,073.</w:t>
      </w:r>
    </w:p>
    <w:p>
      <w:pPr>
        <w:spacing w:after="140" w:line="300" w:lineRule="auto"/>
        <w:jc w:val="both"/>
      </w:pPr>
      <w:r>
        <w:rPr>
          <w:b/>
          <w:bCs/>
        </w:rPr>
        <w:t xml:space="preserve">¿Qué pasa si las etiquetas llegan tarde?</w:t>
      </w:r>
    </w:p>
    <w:p>
      <w:pPr>
        <w:spacing w:after="140" w:line="300" w:lineRule="auto"/>
        <w:jc w:val="both"/>
      </w:pPr>
      <w:r>
        <w:rPr/>
        <w:t xml:space="preserve">La ventaja se reduce pero no desaparece: con un día de demora el AUC-PR de prueba es 0,602 y con 40 días, 0,578, todavía por encima del mejor benchmark estático.</w:t>
      </w:r>
    </w:p>
    <w:p>
      <w:pPr>
        <w:spacing w:after="140" w:line="300" w:lineRule="auto"/>
        <w:jc w:val="both"/>
      </w:pPr>
      <w:r>
        <w:rPr>
          <w:b/>
          <w:bCs/>
        </w:rPr>
        <w:t xml:space="preserve">Si Friedman no rechaza, ¿por qué dicen que es superior?</w:t>
      </w:r>
    </w:p>
    <w:p>
      <w:pPr>
        <w:spacing w:after="140" w:line="300" w:lineRule="auto"/>
        <w:jc w:val="both"/>
      </w:pPr>
      <w:r>
        <w:rPr/>
        <w:t xml:space="preserve">Porque Friedman compara rangos dentro de cada mes, y la ventaja del L2E está en ordenar entre días. La guía define R3 frente a la mejor combinación: 3 de las 4 pruebas declaradas rechazan la igualdad y el efecto es pequeño (δ de Cliff de 0,156).</w:t>
      </w:r>
    </w:p>
    <w:p>
      <w:pPr>
        <w:spacing w:after="140" w:line="300" w:lineRule="auto"/>
        <w:jc w:val="both"/>
      </w:pPr>
      <w:r>
        <w:rPr>
          <w:b/>
          <w:bCs/>
        </w:rPr>
        <w:t xml:space="preserve">¿Es mejor que la logística del Entregable 2?</w:t>
      </w:r>
    </w:p>
    <w:p>
      <w:pPr>
        <w:spacing w:after="140" w:line="300" w:lineRule="auto"/>
        <w:jc w:val="both"/>
      </w:pPr>
      <w:r>
        <w:rPr/>
        <w:t xml:space="preserve">En el ordenamiento global de la prueba sí, con bootstrap y permutación por días significativos. Dentro de cada mes no: la logística ordena igual de bien a los clientes de un mismo periodo. Su aporte es el nivel, no las pendientes.</w:t>
      </w:r>
    </w:p>
    <w:p>
      <w:pPr>
        <w:spacing w:after="140" w:line="300" w:lineRule="auto"/>
        <w:jc w:val="both"/>
      </w:pPr>
      <w:r>
        <w:rPr>
          <w:b/>
          <w:bCs/>
        </w:rPr>
        <w:t xml:space="preserve">Si la variante sin actualizar las pendientes tiene mejor AUC-PR externo, ¿por qué no la eligieron?</w:t>
      </w:r>
    </w:p>
    <w:p>
      <w:pPr>
        <w:spacing w:after="140" w:line="300" w:lineRule="auto"/>
        <w:jc w:val="both"/>
      </w:pPr>
      <w:r>
        <w:rPr/>
        <w:t xml:space="preserve">Porque la diferencia no se distingue del ruido: es de 0,0045, gana 3 de los 5 pliegues, la t corregida de Nadeau-Bengio da p = 0,86 y la prueba bayesiana asigna 0,59 de probabilidad a la equivalencia práctica. La ablación mide el aporte de cada componente, no elige el modelo; con el bucle externo empatado se conserva el modelo declarado antes de experimentar, y la prueba no interviene en esa decisión.</w:t>
      </w:r>
    </w:p>
    <w:p>
      <w:pPr>
        <w:spacing w:after="140" w:line="300" w:lineRule="auto"/>
        <w:jc w:val="both"/>
      </w:pPr>
      <w:r>
        <w:rPr>
          <w:b/>
          <w:bCs/>
        </w:rPr>
        <w:t xml:space="preserve">¿Por qué no adoptaron el ensamble M4 si mejora la prueba?</w:t>
      </w:r>
    </w:p>
    <w:p>
      <w:pPr>
        <w:spacing w:after="140" w:line="300" w:lineRule="auto"/>
        <w:jc w:val="both"/>
      </w:pPr>
      <w:r>
        <w:rPr/>
        <w:t xml:space="preserve">Porque la regla declarada decide con el bucle externo, y ahí M4 empeora. Elegirlo por su resultado en la prueba sería usar la prueba para seleccionar el modelo, que es justo lo que la guía sanciona; queda como línea futura.</w:t>
      </w:r>
    </w:p>
    <w:p>
      <w:pPr>
        <w:spacing w:after="140" w:line="300" w:lineRule="auto"/>
        <w:jc w:val="both"/>
      </w:pPr>
      <w:r>
        <w:rPr>
          <w:b/>
          <w:bCs/>
        </w:rPr>
        <w:t xml:space="preserve">¿Cómo saben que el modelo es nuevo?</w:t>
      </w:r>
    </w:p>
    <w:p>
      <w:pPr>
        <w:spacing w:after="140" w:line="300" w:lineRule="auto"/>
        <w:jc w:val="both"/>
      </w:pPr>
      <w:r>
        <w:rPr/>
        <w:t xml:space="preserve">Por la revisión sistemática: 4 bases, 40 consultas y 382 registros revisados. Cada componente tiene literatura, pero la intersección con el telemercadeo bancario está vacía; el único antecedente cercano usa árboles con actualización incremental, otra familia.</w:t>
      </w:r>
    </w:p>
    <w:p>
      <w:pPr>
        <w:spacing w:after="140" w:line="300" w:lineRule="auto"/>
        <w:jc w:val="both"/>
      </w:pPr>
      <w:r>
        <w:rPr>
          <w:b/>
          <w:bCs/>
        </w:rPr>
        <w:t xml:space="preserve">¿Por qué converge el ajuste?</w:t>
      </w:r>
    </w:p>
    <w:p>
      <w:pPr>
        <w:spacing w:after="140" w:line="300" w:lineRule="auto"/>
        <w:jc w:val="both"/>
      </w:pPr>
      <w:r>
        <w:rPr/>
        <w:t xml:space="preserve">Porque el objetivo es estrictamente cóncavo: la log-verosimilitud de Bernoulli es cóncava y las penalizaciones son definidas positivas. Newton con búsqueda lineal converge al único máximo, y la prueba unitaria verifica que el objetivo nunca decrece.</w:t>
      </w:r>
    </w:p>
    <w:p>
      <w:pPr>
        <w:spacing w:after="140" w:line="300" w:lineRule="auto"/>
        <w:jc w:val="both"/>
      </w:pPr>
      <w:r>
        <w:rPr>
          <w:b/>
          <w:bCs/>
        </w:rPr>
        <w:t xml:space="preserve">¿Por qué el AUC-PR y no el accuracy?</w:t>
      </w:r>
    </w:p>
    <w:p>
      <w:pPr>
        <w:spacing w:after="140" w:line="300" w:lineRule="auto"/>
        <w:jc w:val="both"/>
      </w:pPr>
      <w:r>
        <w:rPr/>
        <w:t xml:space="preserve">Porque la clase positiva es minoritaria y el objetivo es ordenar a quién llamar. Decir «no» a todos da un 69 % de accuracy en la prueba; el AUC-PR, en cambio, tiene como línea base la prevalencia, 0,308.</w:t>
      </w:r>
    </w:p>
    <w:p>
      <w:pPr>
        <w:spacing w:after="140" w:line="300" w:lineRule="auto"/>
        <w:jc w:val="both"/>
      </w:pPr>
      <w:r>
        <w:rPr>
          <w:b/>
          <w:bCs/>
        </w:rPr>
        <w:t xml:space="preserve">¿Qué harían con más tiempo?</w:t>
      </w:r>
    </w:p>
    <w:p>
      <w:pPr>
        <w:spacing w:after="140" w:line="300" w:lineRule="auto"/>
        <w:jc w:val="both"/>
      </w:pPr>
      <w:r>
        <w:rPr/>
        <w:t xml:space="preserve">Validar el ensamble M4 con datos posteriores a 2010, buscar una forma de elegir q_u con ventanas cortas, porque el Bayes empírico falló ante el salto de 2009, y extender el nivel a grupos, por canal o por campaña.</w:t>
      </w:r>
    </w:p>
    <w:p>
      <w:pPr>
        <w:pStyle w:val="Ttulo1"/>
        <w:pageBreakBefore/>
      </w:pPr>
      <w:r>
        <w:rPr/>
        <w:t xml:space="preserve">8. Mejoras y ajustes del modelo</w:t>
      </w:r>
    </w:p>
    <w:p>
      <w:pPr>
        <w:spacing w:after="140" w:line="300" w:lineRule="auto"/>
        <w:jc w:val="both"/>
      </w:pPr>
      <w:r>
        <w:rPr/>
        <w:t xml:space="preserve">Esta sección documenta, en orden, lo que se hizo después del tercer entregable para mejorar los resultados. Todos los cambios siguieron una misma regla, declarada antes de ejecutarlos: cada uno pasa por la misma validación anidada (mismos pliegues, Optuna y 20 configuraciones) y </w:t>
      </w:r>
      <w:r>
        <w:rPr>
          <w:b/>
          <w:bCs/>
        </w:rPr>
        <w:t xml:space="preserve">solo se adopta si su AUC-PR medio del bucle externo supera al del modelo vigente en más de 0,004</w:t>
      </w:r>
      <w:r>
        <w:rPr/>
        <w:t xml:space="preserve">, que es lo que varía el resultado al cambiar la semilla del optimizador. La prueba se reporta, pero no decide, y se presentan también los cambios que no funcionaron.</w:t>
      </w:r>
    </w:p>
    <w:p>
      <w:pPr>
        <w:pStyle w:val="Ttulo2"/>
      </w:pPr>
      <w:r>
        <w:rPr/>
        <w:t xml:space="preserve">8.1 Diagnóstico: por qué los modelos flexibles no superaban a la logística</w:t>
      </w:r>
    </w:p>
    <w:p>
      <w:pPr>
        <w:spacing w:after="140" w:line="300" w:lineRule="auto"/>
        <w:jc w:val="both"/>
      </w:pPr>
      <w:r>
        <w:rPr/>
        <w:t xml:space="preserve">Antes de mejorar había que descartar un error. Si el código estuviera mal, los modelos flexibles perderían en cualquier escenario; sin embargo, con validación aleatoria dentro del entrenamiento, donde no hay cambio de régimen, Random Forest y XGBoost </w:t>
      </w:r>
      <w:r>
        <w:rPr>
          <w:b/>
          <w:bCs/>
        </w:rPr>
        <w:t xml:space="preserve">sí superan</w:t>
      </w:r>
      <w:r>
        <w:rPr/>
        <w:t xml:space="preserve"> a la logística (0,207 y 0,203 frente a 0,190 de AUC-PR). Pierden en la prueba porque el 60,2 % de sus registros tiene un «nr.employed» por debajo del mínimo visto en el entrenamiento, y un árbol no extrapola: fuera de ese rango su predicción es constante, mientras que la logística sigue la tendencia. El límite del problema no es la forma funcional del modelo, sino el cambio de régimen en el tiempo.</w:t>
      </w:r>
    </w:p>
    <w:p>
      <w:pPr>
        <w:pStyle w:val="Descripcin"/>
        <w:keepNext/>
        <w:spacing w:before="200"/>
      </w:pPr>
      <w:r>
        <w:rPr>
          <w:rFonts w:ascii="Times New Roman" w:eastAsia="Times New Roman" w:hAnsi="Times New Roman" w:cs="Times New Roman"/>
          <w:sz w:val="21"/>
        </w:rPr>
        <w:t xml:space="preserve">Cuadro 7: Modelos flexibles frente a la logística según el escenario de validación (AUC-PR)</w:t>
      </w:r>
      <w:r>
        <w:rPr>
          <w:rStyle w:val="Refdenotaalpie"/>
        </w:rPr>
        <w:footnoteReference w:id="7"/>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760"/>
        <w:gridCol w:w="1650"/>
        <w:gridCol w:w="1650"/>
        <w:gridCol w:w="1650"/>
        <w:gridCol w:w="1650"/>
      </w:tblGrid>
      <w:tr>
        <w:trPr>
          <w:tblHeader/>
          <w:jc w:val="center"/>
        </w:trPr>
        <w:tc>
          <w:tcPr>
            <w:tcW w:w="276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Modelo</w:t>
            </w:r>
          </w:p>
        </w:tc>
        <w:tc>
          <w:tcPr>
            <w:tcW w:w="16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Validación aleatoria</w:t>
            </w:r>
          </w:p>
        </w:tc>
        <w:tc>
          <w:tcPr>
            <w:tcW w:w="16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Validación temporal</w:t>
            </w:r>
          </w:p>
        </w:tc>
        <w:tc>
          <w:tcPr>
            <w:tcW w:w="16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Prueba (2009-2010)</w:t>
            </w:r>
          </w:p>
        </w:tc>
        <w:tc>
          <w:tcPr>
            <w:tcW w:w="16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 prueba</w:t>
            </w:r>
          </w:p>
        </w:tc>
      </w:tr>
      <w:tr>
        <w:trPr>
          <w:cantSplit/>
          <w:jc w:val="center"/>
        </w:trPr>
        <w:tc>
          <w:tcPr>
            <w:tcW w:w="27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Logística C = 0,01</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0,190</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0,098</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0,543</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0,705</w:t>
            </w:r>
          </w:p>
        </w:tc>
      </w:tr>
      <w:tr>
        <w:trPr>
          <w:cantSplit/>
          <w:jc w:val="center"/>
        </w:trPr>
        <w:tc>
          <w:tcPr>
            <w:tcW w:w="27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0,207</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0,087</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0,497</w:t>
            </w:r>
          </w:p>
        </w:tc>
        <w:tc>
          <w:tcPr>
            <w:tcW w:w="16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0,716</w:t>
            </w:r>
          </w:p>
        </w:tc>
      </w:tr>
      <w:tr>
        <w:trPr>
          <w:cantSplit/>
          <w:jc w:val="center"/>
        </w:trPr>
        <w:tc>
          <w:tcPr>
            <w:tcW w:w="276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XGBoost</w:t>
            </w:r>
          </w:p>
        </w:tc>
        <w:tc>
          <w:tcPr>
            <w:tcW w:w="16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0,203</w:t>
            </w:r>
          </w:p>
        </w:tc>
        <w:tc>
          <w:tcPr>
            <w:tcW w:w="16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0,090</w:t>
            </w:r>
          </w:p>
        </w:tc>
        <w:tc>
          <w:tcPr>
            <w:tcW w:w="16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0,449</w:t>
            </w:r>
          </w:p>
        </w:tc>
        <w:tc>
          <w:tcPr>
            <w:tcW w:w="16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0,642</w:t>
            </w:r>
          </w:p>
        </w:tc>
      </w:tr>
    </w:tbl>
    <w:p>
      <w:pPr>
        <w:spacing w:after="60"/>
      </w:pPr>
    </w:p>
    <w:p>
      <w:pPr>
        <w:pStyle w:val="Ttulo2"/>
      </w:pPr>
      <w:r>
        <w:rPr/>
        <w:t xml:space="preserve">8.2 Ajustes evaluados para los modelos de árboles</w:t>
      </w:r>
    </w:p>
    <w:p>
      <w:pPr>
        <w:spacing w:after="140" w:line="300" w:lineRule="auto"/>
        <w:jc w:val="both"/>
      </w:pPr>
      <w:r>
        <w:rPr/>
        <w:t xml:space="preserve">Con ese diagnóstico se probaron cinco ajustes. Quitar las variables macroeconómicas mejora a XGBoost en la prueba (0,064, p = 0,006), pero en Random Forest la diferencia no es significativa (p = 0,358) y en el bucle externo empeora a ambos, así que no se adopta como cambio de los benchmarks. Expresar las macro como cambio mensual no ayuda y el híbrido sobre la logística apenas la iguala. Lo que sí funciona es usar las etiquetas recientes: con el filtro de nivel del modelo original o reentrenando el bosque cada mes, que en la prueba llega a 0,6015, prácticamente igual al L2E (0,6019), pero en el bucle externo se queda en 0,086 y exige reentrenar el bosque cada mes.</w:t>
      </w:r>
    </w:p>
    <w:p>
      <w:pPr>
        <w:pStyle w:val="Descripcin"/>
        <w:keepNext/>
        <w:spacing w:before="200"/>
      </w:pPr>
      <w:r>
        <w:rPr>
          <w:rFonts w:ascii="Times New Roman" w:eastAsia="Times New Roman" w:hAnsi="Times New Roman" w:cs="Times New Roman"/>
          <w:sz w:val="21"/>
        </w:rPr>
        <w:t xml:space="preserve">Cuadro 8: Ajustes para que los árboles toleren el cambio de régimen (AUC-PR)</w:t>
      </w:r>
      <w:r>
        <w:rPr>
          <w:rStyle w:val="Refdenotaalpie"/>
        </w:rPr>
        <w:footnoteReference w:id="8"/>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360"/>
        <w:gridCol w:w="1100"/>
        <w:gridCol w:w="1000"/>
        <w:gridCol w:w="2700"/>
        <w:gridCol w:w="1200"/>
      </w:tblGrid>
      <w:tr>
        <w:trPr>
          <w:tblHeader/>
          <w:jc w:val="center"/>
        </w:trPr>
        <w:tc>
          <w:tcPr>
            <w:tcW w:w="336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Ajuste</w:t>
            </w:r>
          </w:p>
        </w:tc>
        <w:tc>
          <w:tcPr>
            <w:tcW w:w="11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Bucle externo</w:t>
            </w:r>
          </w:p>
        </w:tc>
        <w:tc>
          <w:tcPr>
            <w:tcW w:w="10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Prueba</w:t>
            </w:r>
          </w:p>
        </w:tc>
        <w:tc>
          <w:tcPr>
            <w:tcW w:w="27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Δ prueba frente al original [IC 95 %]</w:t>
            </w:r>
          </w:p>
        </w:tc>
        <w:tc>
          <w:tcPr>
            <w:tcW w:w="12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Logística C = 0,01</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0,098</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0,543</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 · original</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0,087</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0,497</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 · (a) sin macro ni month</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0,078</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0,521</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0,024 [-0,027; 0,097]</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0,358</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 · (b) macro relativas</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0,093</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0,489</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-0,007 [-0,037; 0,027]</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0,688</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 · (d) sin macro + filtro de nivel C2</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0,100</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0,567</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0,071 [0,035; 0,104]</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XGBoost · original</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0,091</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0,431</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XGBoost · (a) sin macro ni month</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0,079</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0,494</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0,064 [0,018; 0,102]</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0,006</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XGBoost · (b) macro relativas</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0,092</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0,482</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0,051 [-0,001; 0,092]</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0,070</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XGBoost · (d) sin macro + filtro de nivel C2</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0,100</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0,549</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0,119 [0,047; 0,164]</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XGBoost · (c) híbrido sobre el logit de la logística</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0,098</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0,547</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0,116 [0,065; 0,160]</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w:t>
            </w:r>
          </w:p>
        </w:tc>
      </w:tr>
      <w:tr>
        <w:trPr>
          <w:cantSplit/>
          <w:jc w:val="center"/>
        </w:trPr>
        <w:tc>
          <w:tcPr>
            <w:tcW w:w="336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Random Forest · (e) reentrenado cada mes</w:t>
            </w:r>
          </w:p>
        </w:tc>
        <w:tc>
          <w:tcPr>
            <w:tcW w:w="11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0,086</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0,602</w:t>
            </w:r>
          </w:p>
        </w:tc>
        <w:tc>
          <w:tcPr>
            <w:tcW w:w="27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0,105 [0,057; 0,151]</w:t>
            </w:r>
          </w:p>
        </w:tc>
        <w:tc>
          <w:tcPr>
            <w:tcW w:w="12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w:t>
            </w:r>
          </w:p>
        </w:tc>
      </w:tr>
      <w:tr>
        <w:trPr>
          <w:cantSplit/>
          <w:jc w:val="center"/>
        </w:trPr>
        <w:tc>
          <w:tcPr>
            <w:tcW w:w="336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L2E (modelo original)</w:t>
            </w:r>
          </w:p>
        </w:tc>
        <w:tc>
          <w:tcPr>
            <w:tcW w:w="11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w:t>
            </w:r>
          </w:p>
        </w:tc>
        <w:tc>
          <w:tcPr>
            <w:tcW w:w="10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0,602</w:t>
            </w:r>
          </w:p>
        </w:tc>
        <w:tc>
          <w:tcPr>
            <w:tcW w:w="27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w:t>
            </w:r>
          </w:p>
        </w:tc>
        <w:tc>
          <w:tcPr>
            <w:tcW w:w="12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w:t>
            </w:r>
          </w:p>
        </w:tc>
      </w:tr>
    </w:tbl>
    <w:p>
      <w:pPr>
        <w:spacing w:after="60"/>
      </w:pPr>
    </w:p>
    <w:p>
      <w:pPr>
        <w:pStyle w:val="Ttulo2"/>
      </w:pPr>
      <w:r>
        <w:rPr/>
        <w:t xml:space="preserve">8.3 Ajuste principal: el modelo original L2E</w:t>
      </w:r>
    </w:p>
    <w:p>
      <w:pPr>
        <w:spacing w:after="140" w:line="300" w:lineRule="auto"/>
        <w:jc w:val="both"/>
      </w:pPr>
      <w:r>
        <w:rPr/>
        <w:t xml:space="preserve">La mejora de fondo fue cambiar de enfoque: en lugar de un clasificador más flexible, un modelo que trata el nivel de conversión de cada día como un estado latente y lo actualiza con las etiquetas de los días cerrados. Frente a la mejor combinación del tercer entregable, 3 de las 4 pruebas declaradas rechazan la igualdad, con un δ de Cliff de 0,156, y la condición R3 se cumple. El mecanismo es transferible: Referencia E2 + filtro de nivel C2 llega a 0,594, a 0,008 del L2E (p = 0,070), lo que muestra que el aporte principal es el filtro del nivel.</w:t>
      </w:r>
    </w:p>
    <w:p>
      <w:pPr>
        <w:pStyle w:val="Descripcin"/>
        <w:keepNext/>
        <w:spacing w:before="200"/>
      </w:pPr>
      <w:r>
        <w:rPr>
          <w:rFonts w:ascii="Times New Roman" w:eastAsia="Times New Roman" w:hAnsi="Times New Roman" w:cs="Times New Roman"/>
          <w:sz w:val="21"/>
        </w:rPr>
        <w:t xml:space="preserve">Cuadro 9: Modelo original frente a los benchmarks del tercer entregable</w:t>
      </w:r>
      <w:r>
        <w:rPr>
          <w:rStyle w:val="Refdenotaalpie"/>
        </w:rPr>
        <w:footnoteReference w:id="9"/>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100"/>
        <w:gridCol w:w="2060"/>
        <w:gridCol w:w="1400"/>
        <w:gridCol w:w="1400"/>
        <w:gridCol w:w="1400"/>
      </w:tblGrid>
      <w:tr>
        <w:trPr>
          <w:tblHeader/>
          <w:jc w:val="center"/>
        </w:trPr>
        <w:tc>
          <w:tcPr>
            <w:tcW w:w="310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Modelo</w:t>
            </w:r>
          </w:p>
        </w:tc>
        <w:tc>
          <w:tcPr>
            <w:tcW w:w="206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AUC-PR externo (media ± DE)</w:t>
            </w:r>
          </w:p>
        </w:tc>
        <w:tc>
          <w:tcPr>
            <w:tcW w:w="14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AUC-PR prueba</w:t>
            </w:r>
          </w:p>
        </w:tc>
        <w:tc>
          <w:tcPr>
            <w:tcW w:w="14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AUC prueba</w:t>
            </w:r>
          </w:p>
        </w:tc>
        <w:tc>
          <w:tcPr>
            <w:tcW w:w="14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Brier prueba</w:t>
            </w:r>
          </w:p>
        </w:tc>
      </w:tr>
      <w:tr>
        <w:trPr>
          <w:cantSplit/>
          <w:jc w:val="center"/>
        </w:trPr>
        <w:tc>
          <w:tcPr>
            <w:tcW w:w="31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L2E (modelo original)</w:t>
            </w:r>
          </w:p>
        </w:tc>
        <w:tc>
          <w:tcPr>
            <w:tcW w:w="20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0,111 ± 0,116</w:t>
            </w:r>
          </w:p>
        </w:tc>
        <w:tc>
          <w:tcPr>
            <w:tcW w:w="14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0,602</w:t>
            </w:r>
          </w:p>
        </w:tc>
        <w:tc>
          <w:tcPr>
            <w:tcW w:w="14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0,772</w:t>
            </w:r>
          </w:p>
        </w:tc>
        <w:tc>
          <w:tcPr>
            <w:tcW w:w="14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0,171</w:t>
            </w:r>
          </w:p>
        </w:tc>
      </w:tr>
      <w:tr>
        <w:trPr>
          <w:cantSplit/>
          <w:jc w:val="center"/>
        </w:trPr>
        <w:tc>
          <w:tcPr>
            <w:tcW w:w="31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Naive Bayes (mejor combinación)</w:t>
            </w:r>
          </w:p>
        </w:tc>
        <w:tc>
          <w:tcPr>
            <w:tcW w:w="206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0,103 ± 0,108</w:t>
            </w:r>
          </w:p>
        </w:tc>
        <w:tc>
          <w:tcPr>
            <w:tcW w:w="14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0,534</w:t>
            </w:r>
          </w:p>
        </w:tc>
        <w:tc>
          <w:tcPr>
            <w:tcW w:w="14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0,714</w:t>
            </w:r>
          </w:p>
        </w:tc>
        <w:tc>
          <w:tcPr>
            <w:tcW w:w="14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0,405</w:t>
            </w:r>
          </w:p>
        </w:tc>
      </w:tr>
      <w:tr>
        <w:trPr>
          <w:cantSplit/>
          <w:jc w:val="center"/>
        </w:trPr>
        <w:tc>
          <w:tcPr>
            <w:tcW w:w="310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Referencia E2 (logística C = 0,01)</w:t>
            </w:r>
          </w:p>
        </w:tc>
        <w:tc>
          <w:tcPr>
            <w:tcW w:w="206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w:t>
            </w:r>
          </w:p>
        </w:tc>
        <w:tc>
          <w:tcPr>
            <w:tcW w:w="14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0,548</w:t>
            </w:r>
          </w:p>
        </w:tc>
        <w:tc>
          <w:tcPr>
            <w:tcW w:w="14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0,710</w:t>
            </w:r>
          </w:p>
        </w:tc>
        <w:tc>
          <w:tcPr>
            <w:tcW w:w="14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0,206</w:t>
            </w:r>
          </w:p>
        </w:tc>
      </w:tr>
    </w:tbl>
    <w:p>
      <w:pPr>
        <w:spacing w:after="60"/>
      </w:pPr>
    </w:p>
    <w:p>
      <w:pPr>
        <w:pStyle w:val="Ttulo2"/>
      </w:pPr>
      <w:r>
        <w:rPr/>
        <w:t xml:space="preserve">8.4 Mejoras evaluadas sobre el modelo original (M1 a M5)</w:t>
      </w:r>
    </w:p>
    <w:p>
      <w:pPr>
        <w:spacing w:after="140" w:line="300" w:lineRule="auto"/>
        <w:jc w:val="both"/>
      </w:pPr>
      <w:r>
        <w:rPr/>
        <w:t xml:space="preserve">Sobre el L2E se probaron cinco mejoras habituales. Los </w:t>
      </w:r>
      <w:r>
        <w:rPr>
          <w:i/>
          <w:iCs/>
        </w:rPr>
        <w:t xml:space="preserve">splines</w:t>
      </w:r>
      <w:r>
        <w:rPr/>
        <w:t xml:space="preserve"> para la edad y el número de contactos (M1), la ponderación por recencia (M3) y el promedio de cuatro semillas del optimizador (M5) cambian el AUC-PR externo menos que el umbral, así que no se distinguen del ruido de la optimización. El ensamble con un bosque reentrenado cada mes (M4) es el caso que más cuidado exige: en la prueba sube a 0,613, por encima del L2E (0,602), pero en el bucle externo baja 0,0062; por la regla no se adopta, porque elegirlo por su resultado en la prueba sería usar la prueba para seleccionar el modelo, y queda como línea de trabajo futuro que exige validación adicional. El resultado más informativo es negativo: estimar q_u por Bayes empírico (M2) baja el AUC-PR externo a 0,0731, porque la evidencia aprende la dinámica del nivel con 2008, cuando casi no se movía, y el filtro queda demasiado lento para el salto de 2009 (0,130 frente a 0,317 en el último pliegue).</w:t>
      </w:r>
    </w:p>
    <w:p>
      <w:pPr>
        <w:pStyle w:val="Descripcin"/>
        <w:keepNext/>
        <w:spacing w:before="200"/>
      </w:pPr>
      <w:r>
        <w:rPr>
          <w:rFonts w:ascii="Times New Roman" w:eastAsia="Times New Roman" w:hAnsi="Times New Roman" w:cs="Times New Roman"/>
          <w:sz w:val="21"/>
        </w:rPr>
        <w:t xml:space="preserve">Cuadro 10: Mejoras evaluadas sobre el L2E con la misma validación anidada (AUC-PR)</w:t>
      </w:r>
      <w:r>
        <w:rPr>
          <w:rStyle w:val="Refdenotaalpie"/>
        </w:rPr>
        <w:footnoteReference w:id="10"/>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300"/>
        <w:gridCol w:w="1150"/>
        <w:gridCol w:w="1150"/>
        <w:gridCol w:w="1150"/>
        <w:gridCol w:w="1000"/>
        <w:gridCol w:w="1610"/>
      </w:tblGrid>
      <w:tr>
        <w:trPr>
          <w:tblHeader/>
          <w:jc w:val="center"/>
        </w:trPr>
        <w:tc>
          <w:tcPr>
            <w:tcW w:w="3300" w:type="dxa"/>
            <w:tcBorders>
              <w:top w:val="single" w:sz="12" w:space="0" w:color="000000"/>
              <w:left w:val="nil"/>
              <w:bottom w:val="single" w:sz="6" w:space="0" w:color="000000"/>
              <w:right w:val="nil"/>
            </w:tcBorders>
          </w:tcPr>
          <w:p>
            <w:pPr>
              <w:keepNext/>
              <w:spacing w:before="20" w:after="20"/>
            </w:pPr>
            <w:r>
              <w:rPr>
                <w:rFonts w:ascii="Times New Roman" w:eastAsia="Times New Roman" w:hAnsi="Times New Roman" w:cs="Times New Roman"/>
                <w:sz w:val="21"/>
              </w:rPr>
              <w:t xml:space="preserve">Variante</w:t>
            </w:r>
          </w:p>
        </w:tc>
        <w:tc>
          <w:tcPr>
            <w:tcW w:w="11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Bucle externo</w:t>
            </w:r>
          </w:p>
        </w:tc>
        <w:tc>
          <w:tcPr>
            <w:tcW w:w="11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Δ frente al L2E</w:t>
            </w:r>
          </w:p>
        </w:tc>
        <w:tc>
          <w:tcPr>
            <w:tcW w:w="115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Último pliegue</w:t>
            </w:r>
          </w:p>
        </w:tc>
        <w:tc>
          <w:tcPr>
            <w:tcW w:w="100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Prueba</w:t>
            </w:r>
          </w:p>
        </w:tc>
        <w:tc>
          <w:tcPr>
            <w:tcW w:w="1610" w:type="dxa"/>
            <w:tcBorders>
              <w:top w:val="single" w:sz="12" w:space="0" w:color="000000"/>
              <w:left w:val="nil"/>
              <w:bottom w:val="single" w:sz="6" w:space="0" w:color="000000"/>
              <w:right w:val="nil"/>
            </w:tcBorders>
          </w:tcPr>
          <w:p>
            <w:pPr>
              <w:keepNext/>
              <w:spacing w:before="20" w:after="20"/>
              <w:jc w:val="center"/>
            </w:pPr>
            <w:r>
              <w:rPr>
                <w:rFonts w:ascii="Times New Roman" w:eastAsia="Times New Roman" w:hAnsi="Times New Roman" w:cs="Times New Roman"/>
                <w:sz w:val="21"/>
              </w:rPr>
              <w:t xml:space="preserve">Decisión</w:t>
            </w:r>
          </w:p>
        </w:tc>
      </w:tr>
      <w:tr>
        <w:trPr>
          <w:cantSplit/>
          <w:jc w:val="center"/>
        </w:trPr>
        <w:tc>
          <w:tcPr>
            <w:tcW w:w="33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L2E (modelo original)</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0,1107</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0,317</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0,602</w:t>
            </w:r>
          </w:p>
        </w:tc>
        <w:tc>
          <w:tcPr>
            <w:tcW w:w="161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Referencia</w:t>
            </w:r>
          </w:p>
        </w:tc>
      </w:tr>
      <w:tr>
        <w:trPr>
          <w:cantSplit/>
          <w:jc w:val="center"/>
        </w:trPr>
        <w:tc>
          <w:tcPr>
            <w:tcW w:w="33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M1 · Efectos no lineales del cliente (splines en age y campaign)</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0,1120</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0,0013</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0,312</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0,601</w:t>
            </w:r>
          </w:p>
        </w:tc>
        <w:tc>
          <w:tcPr>
            <w:tcW w:w="161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adopta</w:t>
            </w:r>
          </w:p>
        </w:tc>
      </w:tr>
      <w:tr>
        <w:trPr>
          <w:cantSplit/>
          <w:jc w:val="center"/>
        </w:trPr>
        <w:tc>
          <w:tcPr>
            <w:tcW w:w="33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M2 · q_u por Bayes empírico (máxima evidencia)</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0,0731</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-0,0375</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0,130</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0,595</w:t>
            </w:r>
          </w:p>
        </w:tc>
        <w:tc>
          <w:tcPr>
            <w:tcW w:w="161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adopta</w:t>
            </w:r>
          </w:p>
        </w:tc>
      </w:tr>
      <w:tr>
        <w:trPr>
          <w:cantSplit/>
          <w:jc w:val="center"/>
        </w:trPr>
        <w:tc>
          <w:tcPr>
            <w:tcW w:w="33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M3 · Ponderación por recencia en el ajuste</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0,1118</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0,0012</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0,315</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0,597</w:t>
            </w:r>
          </w:p>
        </w:tc>
        <w:tc>
          <w:tcPr>
            <w:tcW w:w="161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adopta</w:t>
            </w:r>
          </w:p>
        </w:tc>
      </w:tr>
      <w:tr>
        <w:trPr>
          <w:cantSplit/>
          <w:jc w:val="center"/>
        </w:trPr>
        <w:tc>
          <w:tcPr>
            <w:tcW w:w="3300" w:type="dxa"/>
            <w:tcBorders>
              <w:top w:val="nil"/>
              <w:left w:val="nil"/>
              <w:bottom w:val="nil"/>
              <w:right w:val="nil"/>
            </w:tcBorders>
          </w:tcPr>
          <w:p>
            <w:pPr>
              <w:keepNext/>
              <w:spacing w:before="20" w:after="20"/>
            </w:pPr>
            <w:r>
              <w:rPr>
                <w:rFonts w:ascii="Times New Roman" w:eastAsia="Times New Roman" w:hAnsi="Times New Roman" w:cs="Times New Roman"/>
                <w:sz w:val="21"/>
              </w:rPr>
              <w:t xml:space="preserve">M4 · Ensamble con Random Forest reentrenado cada mes</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0,1045</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-0,0062</w:t>
            </w:r>
          </w:p>
        </w:tc>
        <w:tc>
          <w:tcPr>
            <w:tcW w:w="115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0,277</w:t>
            </w:r>
          </w:p>
        </w:tc>
        <w:tc>
          <w:tcPr>
            <w:tcW w:w="100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0,613</w:t>
            </w:r>
          </w:p>
        </w:tc>
        <w:tc>
          <w:tcPr>
            <w:tcW w:w="1610" w:type="dxa"/>
            <w:tcBorders>
              <w:top w:val="nil"/>
              <w:left w:val="nil"/>
              <w:bottom w:val="nil"/>
              <w:right w:val="nil"/>
            </w:tcBorders>
          </w:tcPr>
          <w:p>
            <w:pPr>
              <w:keepNext/>
              <w:spacing w:before="20" w:after="20"/>
              <w:jc w:val="center"/>
            </w:pPr>
            <w:r>
              <w:rPr>
                <w:rFonts w:ascii="Times New Roman" w:eastAsia="Times New Roman" w:hAnsi="Times New Roman" w:cs="Times New Roman"/>
                <w:sz w:val="21"/>
              </w:rPr>
              <w:t xml:space="preserve">No se adopta</w:t>
            </w:r>
          </w:p>
        </w:tc>
      </w:tr>
      <w:tr>
        <w:trPr>
          <w:cantSplit/>
          <w:jc w:val="center"/>
        </w:trPr>
        <w:tc>
          <w:tcPr>
            <w:tcW w:w="3300" w:type="dxa"/>
            <w:tcBorders>
              <w:top w:val="nil"/>
              <w:left w:val="nil"/>
              <w:bottom w:val="single" w:sz="12" w:space="0" w:color="000000"/>
              <w:right w:val="nil"/>
            </w:tcBorders>
          </w:tcPr>
          <w:p>
            <w:pPr>
              <w:spacing w:before="20" w:after="20"/>
            </w:pPr>
            <w:r>
              <w:rPr>
                <w:rFonts w:ascii="Times New Roman" w:eastAsia="Times New Roman" w:hAnsi="Times New Roman" w:cs="Times New Roman"/>
                <w:sz w:val="21"/>
              </w:rPr>
              <w:t xml:space="preserve">M5 · Promedio de las cuatro semillas del optimizador</w:t>
            </w:r>
          </w:p>
        </w:tc>
        <w:tc>
          <w:tcPr>
            <w:tcW w:w="11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0,1082</w:t>
            </w:r>
          </w:p>
        </w:tc>
        <w:tc>
          <w:tcPr>
            <w:tcW w:w="11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-0,0024</w:t>
            </w:r>
          </w:p>
        </w:tc>
        <w:tc>
          <w:tcPr>
            <w:tcW w:w="115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0,316</w:t>
            </w:r>
          </w:p>
        </w:tc>
        <w:tc>
          <w:tcPr>
            <w:tcW w:w="100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0,601</w:t>
            </w:r>
          </w:p>
        </w:tc>
        <w:tc>
          <w:tcPr>
            <w:tcW w:w="1610" w:type="dxa"/>
            <w:tcBorders>
              <w:top w:val="nil"/>
              <w:left w:val="nil"/>
              <w:bottom w:val="single" w:sz="12" w:space="0" w:color="000000"/>
              <w:right w:val="nil"/>
            </w:tcBorders>
          </w:tcPr>
          <w:p>
            <w:pPr>
              <w:spacing w:before="20" w:after="20"/>
              <w:jc w:val="center"/>
            </w:pPr>
            <w:r>
              <w:rPr>
                <w:rFonts w:ascii="Times New Roman" w:eastAsia="Times New Roman" w:hAnsi="Times New Roman" w:cs="Times New Roman"/>
                <w:sz w:val="21"/>
              </w:rPr>
              <w:t xml:space="preserve">No se adopta</w:t>
            </w:r>
          </w:p>
        </w:tc>
      </w:tr>
    </w:tbl>
    <w:p>
      <w:pPr>
        <w:spacing w:after="60"/>
      </w:pPr>
    </w:p>
    <w:p>
      <w:pPr>
        <w:pStyle w:val="Ttulo2"/>
      </w:pPr>
      <w:r>
        <w:rPr/>
        <w:t xml:space="preserve">8.5 Decisión y mensaje para la sustentación</w:t>
      </w:r>
    </w:p>
    <w:p>
      <w:pPr>
        <w:spacing w:after="140" w:line="300" w:lineRule="auto"/>
        <w:jc w:val="both"/>
      </w:pPr>
      <w:r>
        <w:rPr/>
        <w:t xml:space="preserve">Por tal motivo, se conserva el L2E sin cambios como modelo final: ninguna de las mejoras supera la regla de decisión, y las que más ayudan a los modelos de referencia son justamente las que usan las etiquetas recientes, que es el mecanismo del modelo original. Si el jurado pregunta por M4, la respuesta es que mejora la prueba pero no la validación anidada, y que adoptarlo con esa evidencia sería seleccionar con la prueba. </w:t>
      </w:r>
    </w:p>
    <w:sectPr w:rsidR="00040E43">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1A343" w14:textId="77777777" w:rsidR="00730AF6" w:rsidRDefault="00730AF6">
      <w:r>
        <w:separator/>
      </w:r>
    </w:p>
  </w:endnote>
  <w:endnote w:type="continuationSeparator" w:id="0">
    <w:p w14:paraId="241E9802" w14:textId="77777777" w:rsidR="00730AF6" w:rsidRDefault="00730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134D0" w14:textId="77777777" w:rsidR="00164C37" w:rsidRDefault="00000000">
    <w:pPr>
      <w:jc w:val="right"/>
    </w:pPr>
    <w:r>
      <w:rPr>
        <w:color w:val="5A6372"/>
        <w:sz w:val="18"/>
        <w:szCs w:val="18"/>
      </w:rPr>
      <w:t xml:space="preserve">Guion de sustentación · Bank Marketing · </w:t>
    </w:r>
    <w:r>
      <w:rPr>
        <w:color w:val="5A6372"/>
        <w:sz w:val="18"/>
        <w:szCs w:val="18"/>
      </w:rPr>
      <w:fldChar w:fldCharType="begin"/>
    </w:r>
    <w:r>
      <w:rPr>
        <w:color w:val="5A6372"/>
        <w:sz w:val="18"/>
        <w:szCs w:val="18"/>
      </w:rPr>
      <w:instrText>PAGE</w:instrText>
    </w:r>
    <w:r>
      <w:rPr>
        <w:color w:val="5A6372"/>
        <w:sz w:val="18"/>
        <w:szCs w:val="18"/>
      </w:rPr>
      <w:fldChar w:fldCharType="separate"/>
    </w:r>
    <w:r w:rsidR="00E12324">
      <w:rPr>
        <w:noProof/>
        <w:color w:val="5A6372"/>
        <w:sz w:val="18"/>
        <w:szCs w:val="18"/>
      </w:rPr>
      <w:t>1</w:t>
    </w:r>
    <w:r>
      <w:rPr>
        <w:color w:val="5A637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12803F" w14:textId="77777777" w:rsidR="00730AF6" w:rsidRDefault="00730AF6">
      <w:r>
        <w:separator/>
      </w:r>
    </w:p>
  </w:footnote>
  <w:footnote w:type="continuationSeparator" w:id="0">
    <w:p w14:paraId="4A60D1F3" w14:textId="77777777" w:rsidR="00730AF6" w:rsidRDefault="00730AF6">
      <w:r>
        <w:continuationSeparator/>
      </w:r>
    </w:p>
  </w:footnote>
  <w:footnote w:id="1">
    <w:p>
      <w:pPr>
        <w:pStyle w:val="Textonotapie"/>
      </w:pPr>
      <w:r>
        <w:rPr>
          <w:rStyle w:val="Refdenotaalpie"/>
        </w:rPr>
        <w:footnoteRef/>
      </w:r>
      <w:r>
        <w:t xml:space="preserve"> Fuente: cuaderno «Proyecto Final - Cuarto Entregable - Bank Marketing.ipynb», sección 2.2 (Nuevo hallazgo: la tasa diaria de suscripción es un nivel latente persistente). Calculado solo con el entrenamiento, en los mismos cinco pliegues externos de los benchmarks.</w:t>
      </w:r>
    </w:p>
  </w:footnote>
  <w:footnote w:id="2">
    <w:p>
      <w:pPr>
        <w:pStyle w:val="Textonotapie"/>
      </w:pPr>
      <w:r>
        <w:rPr>
          <w:rStyle w:val="Refdenotaalpie"/>
        </w:rPr>
        <w:footnoteRef/>
      </w:r>
      <w:r>
        <w:t xml:space="preserve"> Fuente: cuaderno «Proyecto Final - Cuarto Entregable - Bank Marketing.ipynb», secciones 5.2 (formulación), 5.4 (propiedades) y 5.8 (optimización de hiperparámetros). El modelo final se optimizó con Optuna sobre todo el entrenamiento; q_β queda 4,0 órdenes de magnitud por debajo de q_u, lo que confirma con los datos la separación de escalas.</w:t>
      </w:r>
    </w:p>
  </w:footnote>
  <w:footnote w:id="3">
    <w:p>
      <w:pPr>
        <w:pStyle w:val="Textonotapie"/>
      </w:pPr>
      <w:r>
        <w:rPr>
          <w:rStyle w:val="Refdenotaalpie"/>
        </w:rPr>
        <w:footnoteRef/>
      </w:r>
      <w:r>
        <w:t xml:space="preserve"> Fuente: cuaderno «Proyecto Final - Cuarto Entregable - Bank Marketing.ipynb», sección 5.9 (Estudio de ablación). C1: nivel latente en el ajuste; C2: actualización del nivel; C3: actualización de las pendientes; C4: integración de la incertidumbre.</w:t>
      </w:r>
    </w:p>
  </w:footnote>
  <w:footnote w:id="4">
    <w:p>
      <w:pPr>
        <w:pStyle w:val="Textonotapie"/>
      </w:pPr>
      <w:r>
        <w:rPr>
          <w:rStyle w:val="Refdenotaalpie"/>
        </w:rPr>
        <w:footnoteRef/>
      </w:r>
      <w:r>
        <w:t xml:space="preserve"> Fuente: cuaderno «Proyecto Final - Cuarto Entregable - Bank Marketing.ipynb», sección 1.2 (tabla de trazabilidad de correcciones), con la evidencia de los cuadernos «Entregable 1 - Bank Marketing.ipynb» (secciones 4.1, 4.3, 4.4 y 4.7) y «Entregable 2 - Bank Marketing.ipynb» (secciones 3.6.3 a 3.6.5, 4.3, 4.7.1, 4.9.1 y 4.11).</w:t>
      </w:r>
    </w:p>
  </w:footnote>
  <w:footnote w:id="5">
    <w:p>
      <w:pPr>
        <w:pStyle w:val="Textonotapie"/>
      </w:pPr>
      <w:r>
        <w:rPr>
          <w:rStyle w:val="Refdenotaalpie"/>
        </w:rPr>
        <w:footnoteRef/>
      </w:r>
      <w:r>
        <w:t xml:space="preserve"> Fuente: cuaderno «Proyecto Final - Cuarto Entregable - Bank Marketing.ipynb», sección 6.2 (Tabla resumen). Intervalos por bootstrap estacionario de días con 1 000 réplicas. Los benchmarks son la mejor combinación de cada modelo en el tercer entregable; la SVM no tiene probabilidades y la Referencia E2 no tiene bucle externo.</w:t>
      </w:r>
    </w:p>
  </w:footnote>
  <w:footnote w:id="6">
    <w:p>
      <w:pPr>
        <w:pStyle w:val="Textonotapie"/>
      </w:pPr>
      <w:r>
        <w:rPr>
          <w:rStyle w:val="Refdenotaalpie"/>
        </w:rPr>
        <w:footnoteRef/>
      </w:r>
      <w:r>
        <w:t xml:space="preserve"> Fuente: cuaderno «Proyecto Final - Cuarto Entregable - Bank Marketing.ipynb», sección 6.7 (Tabla de pruebas de hipótesis). p ajustado por Holm sobre las 8 comparaciones del L2E; las cuatro primeras pruebas son las declaradas para la condición R3.</w:t>
      </w:r>
    </w:p>
  </w:footnote>
  <w:footnote w:id="7">
    <w:p>
      <w:pPr>
        <w:pStyle w:val="Textonotapie"/>
      </w:pPr>
      <w:r>
        <w:rPr>
          <w:rStyle w:val="Refdenotaalpie"/>
        </w:rPr>
        <w:footnoteRef/>
      </w:r>
      <w:r>
        <w:t xml:space="preserve"> Fuente: cuaderno «Proyecto Final - Cuarto Entregable - Bank Marketing.ipynb», sección 1.1, subsección «¿Por qué ningún modelo más flexible supera a la logística?». Validación aleatoria: StratifiedKFold de 5 pliegues dentro del entrenamiento; validación temporal: los 5 pliegues externos; hiperparámetros fijos para los tres modelos.</w:t>
      </w:r>
    </w:p>
  </w:footnote>
  <w:footnote w:id="8">
    <w:p>
      <w:pPr>
        <w:pStyle w:val="Textonotapie"/>
      </w:pPr>
      <w:r>
        <w:rPr>
          <w:rStyle w:val="Refdenotaalpie"/>
        </w:rPr>
        <w:footnoteRef/>
      </w:r>
      <w:r>
        <w:t xml:space="preserve"> Fuente: cuaderno «Proyecto Final - Cuarto Entregable - Bank Marketing.ipynb», sección 6.13, generado con scripts/ejecutar_ajustes_arboles.py. La diferencia se calcula frente a la versión original del mismo modelo, con intervalo y valor p por bootstrap estacionario de días (1 000 réplicas). (c) es XGBoost sobre el logit de la logística; (d) usa el filtro de nivel del L2E.</w:t>
      </w:r>
    </w:p>
  </w:footnote>
  <w:footnote w:id="9">
    <w:p>
      <w:pPr>
        <w:pStyle w:val="Textonotapie"/>
      </w:pPr>
      <w:r>
        <w:rPr>
          <w:rStyle w:val="Refdenotaalpie"/>
        </w:rPr>
        <w:footnoteRef/>
      </w:r>
      <w:r>
        <w:t xml:space="preserve"> Fuente: cuaderno «Proyecto Final - Cuarto Entregable - Bank Marketing.ipynb», secciones 6.2 (tabla resumen), 6.7 (pruebas de hipótesis) y 6.8 (controles con igual información). El bucle externo de la Referencia E2 no existe porque no forma parte de las 140 combinaciones.</w:t>
      </w:r>
    </w:p>
  </w:footnote>
  <w:footnote w:id="10">
    <w:p>
      <w:pPr>
        <w:pStyle w:val="Textonotapie"/>
      </w:pPr>
      <w:r>
        <w:rPr>
          <w:rStyle w:val="Refdenotaalpie"/>
        </w:rPr>
        <w:footnoteRef/>
      </w:r>
      <w:r>
        <w:t xml:space="preserve"> Fuente: cuaderno «Proyecto Final - Cuarto Entregable - Bank Marketing.ipynb», sección 6.13, generado con scripts/ejecutar_mejoras.py. Regla de decisión: se adopta si el AUC-PR medio externo supera al del L2E en más de 0,004 (rango entre las semillas 42, 1, 2 y 3 del optimizador). La prueba no interviene en la decisión.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5D2E"/>
    <w:multiLevelType w:val="hybridMultilevel"/>
    <w:tmpl w:val="D938DF46"/>
    <w:lvl w:ilvl="0" w:tplc="3DCAEB52" w:tentative="1">
      <w:start w:val="1"/>
      <w:numFmt w:val="bullet"/>
      <w:lvlText w:val="●"/>
      <w:lvlJc w:val="left"/>
      <w:pPr>
        <w:ind w:left="720" w:hanging="360"/>
      </w:pPr>
    </w:lvl>
    <w:lvl w:ilvl="1" w:tplc="5A9C6D9C" w:tentative="1">
      <w:start w:val="1"/>
      <w:numFmt w:val="bullet"/>
      <w:lvlText w:val="○"/>
      <w:lvlJc w:val="left"/>
      <w:pPr>
        <w:ind w:left="1440" w:hanging="360"/>
      </w:pPr>
    </w:lvl>
    <w:lvl w:ilvl="2" w:tplc="6CF0C2F6" w:tentative="1">
      <w:start w:val="1"/>
      <w:numFmt w:val="bullet"/>
      <w:lvlText w:val="■"/>
      <w:lvlJc w:val="left"/>
      <w:pPr>
        <w:ind w:left="2160" w:hanging="360"/>
      </w:pPr>
    </w:lvl>
    <w:lvl w:ilvl="3" w:tplc="F91C742E" w:tentative="1">
      <w:start w:val="1"/>
      <w:numFmt w:val="bullet"/>
      <w:lvlText w:val="●"/>
      <w:lvlJc w:val="left"/>
      <w:pPr>
        <w:ind w:left="2880" w:hanging="360"/>
      </w:pPr>
    </w:lvl>
    <w:lvl w:ilvl="4" w:tplc="7E74C642" w:tentative="1">
      <w:start w:val="1"/>
      <w:numFmt w:val="bullet"/>
      <w:lvlText w:val="○"/>
      <w:lvlJc w:val="left"/>
      <w:pPr>
        <w:ind w:left="3600" w:hanging="360"/>
      </w:pPr>
    </w:lvl>
    <w:lvl w:ilvl="5" w:tplc="6CF6A14E" w:tentative="1">
      <w:start w:val="1"/>
      <w:numFmt w:val="bullet"/>
      <w:lvlText w:val="■"/>
      <w:lvlJc w:val="left"/>
      <w:pPr>
        <w:ind w:left="4320" w:hanging="360"/>
      </w:pPr>
    </w:lvl>
    <w:lvl w:ilvl="6" w:tplc="9C8AD574" w:tentative="1">
      <w:start w:val="1"/>
      <w:numFmt w:val="bullet"/>
      <w:lvlText w:val="●"/>
      <w:lvlJc w:val="left"/>
      <w:pPr>
        <w:ind w:left="5040" w:hanging="360"/>
      </w:pPr>
    </w:lvl>
    <w:lvl w:ilvl="7" w:tplc="599665A4" w:tentative="1">
      <w:start w:val="1"/>
      <w:numFmt w:val="bullet"/>
      <w:lvlText w:val="●"/>
      <w:lvlJc w:val="left"/>
      <w:pPr>
        <w:ind w:left="5760" w:hanging="360"/>
      </w:pPr>
    </w:lvl>
    <w:lvl w:ilvl="8" w:tplc="B286359E" w:tentative="1">
      <w:start w:val="1"/>
      <w:numFmt w:val="bullet"/>
      <w:lvlText w:val="●"/>
      <w:lvlJc w:val="left"/>
      <w:pPr>
        <w:ind w:left="6480" w:hanging="360"/>
      </w:pPr>
    </w:lvl>
  </w:abstractNum>
  <w:abstractNum w:abstractNumId="1" w15:restartNumberingAfterBreak="0">
    <w:nsid w:val="693D1FD4"/>
    <w:multiLevelType w:val="hybridMultilevel"/>
    <w:tmpl w:val="6422DFA0"/>
    <w:lvl w:ilvl="0" w:tplc="82FC824E" w:tentative="1">
      <w:start w:val="1"/>
      <w:numFmt w:val="bullet"/>
      <w:lvlText w:val="•"/>
      <w:lvlJc w:val="left"/>
      <w:pPr>
        <w:ind w:left="720" w:hanging="360"/>
      </w:pPr>
    </w:lvl>
    <w:lvl w:ilvl="1" w:tplc="49442ED0">
      <w:numFmt w:val="decimal"/>
      <w:lvlText w:val=""/>
      <w:lvlJc w:val="left"/>
    </w:lvl>
    <w:lvl w:ilvl="2" w:tplc="721ACFB0">
      <w:numFmt w:val="decimal"/>
      <w:lvlText w:val=""/>
      <w:lvlJc w:val="left"/>
    </w:lvl>
    <w:lvl w:ilvl="3" w:tplc="4B50BDDA">
      <w:numFmt w:val="decimal"/>
      <w:lvlText w:val=""/>
      <w:lvlJc w:val="left"/>
    </w:lvl>
    <w:lvl w:ilvl="4" w:tplc="023AB23A">
      <w:numFmt w:val="decimal"/>
      <w:lvlText w:val=""/>
      <w:lvlJc w:val="left"/>
    </w:lvl>
    <w:lvl w:ilvl="5" w:tplc="D2606CEE">
      <w:numFmt w:val="decimal"/>
      <w:lvlText w:val=""/>
      <w:lvlJc w:val="left"/>
    </w:lvl>
    <w:lvl w:ilvl="6" w:tplc="44A28DDC">
      <w:numFmt w:val="decimal"/>
      <w:lvlText w:val=""/>
      <w:lvlJc w:val="left"/>
    </w:lvl>
    <w:lvl w:ilvl="7" w:tplc="BEB233E4">
      <w:numFmt w:val="decimal"/>
      <w:lvlText w:val=""/>
      <w:lvlJc w:val="left"/>
    </w:lvl>
    <w:lvl w:ilvl="8" w:tplc="25906F9C">
      <w:numFmt w:val="decimal"/>
      <w:lvlText w:val=""/>
      <w:lvlJc w:val="left"/>
    </w:lvl>
  </w:abstractNum>
  <w:num w:numId="1" w16cid:durableId="1964920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C37"/>
    <w:rsid w:val="0002570E"/>
    <w:rsid w:val="00040E43"/>
    <w:rsid w:val="00151F4B"/>
    <w:rsid w:val="00164C37"/>
    <w:rsid w:val="00730AF6"/>
    <w:rsid w:val="007F73D0"/>
    <w:rsid w:val="008903D5"/>
    <w:rsid w:val="009917BE"/>
    <w:rsid w:val="00A47BE9"/>
    <w:rsid w:val="00E12324"/>
    <w:rsid w:val="00FF10DE"/>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FE7E0"/>
  <w15:docId w15:val="{4364E724-467E-4784-9EA1-38DE18225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20" w:after="160"/>
      <w:outlineLvl w:val="0"/>
    </w:pPr>
    <w:rPr>
      <w:b/>
      <w:bCs/>
      <w:color w:val="14213D"/>
      <w:sz w:val="32"/>
      <w:szCs w:val="32"/>
    </w:rPr>
  </w:style>
  <w:style w:type="paragraph" w:styleId="Ttulo2">
    <w:name w:val="heading 2"/>
    <w:basedOn w:val="Normal"/>
    <w:next w:val="Normal"/>
    <w:uiPriority w:val="9"/>
    <w:unhideWhenUsed/>
    <w:qFormat/>
    <w:pPr>
      <w:spacing w:before="200" w:after="100"/>
      <w:outlineLvl w:val="1"/>
    </w:pPr>
    <w:rPr>
      <w:b/>
      <w:bCs/>
      <w:color w:val="B04A16"/>
      <w:sz w:val="24"/>
      <w:szCs w:val="24"/>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semiHidden/>
    <w:unhideWhenUsed/>
    <w:pPr>
      <w:spacing w:after="100"/>
    </w:pPr>
  </w:style>
  <w:style w:type="paragraph" w:styleId="TDC2">
    <w:name w:val="toc 2"/>
    <w:basedOn w:val="Normal"/>
    <w:next w:val="Normal"/>
    <w:uiPriority w:val="39"/>
    <w:semiHidden/>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4095</Words>
  <Characters>22528</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Guion de sustentación por criterios de la rúbrica</vt:lpstr>
    </vt:vector>
  </TitlesOfParts>
  <Company/>
  <LinksUpToDate>false</LinksUpToDate>
  <CharactersWithSpaces>26570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sustentación por criterios de la rúbrica</dc:title>
  <dc:creator>Donny Torres</dc:creator>
  <cp:lastModifiedBy>DONNYS DEVANES TORRES LOZANO</cp:lastModifiedBy>
  <cp:revision>6</cp:revision>
  <dcterms:created xsi:type="dcterms:W3CDTF">2026-10-23T04:32:00Z</dcterms:created>
  <dcterms:modified xsi:type="dcterms:W3CDTF">2026-10-24T04:05:00Z</dcterms:modified>
</cp:coreProperties>
</file>