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50EF" w:rsidRDefault="00000000">
      <w:pPr>
        <w:jc w:val="center"/>
        <w:rPr>
          <w:rFonts w:ascii="Quattrocento Sans" w:eastAsia="Quattrocento Sans" w:hAnsi="Quattrocento Sans" w:cs="Quattrocento Sans"/>
          <w:b/>
          <w:sz w:val="28"/>
          <w:szCs w:val="28"/>
          <w:u w:val="single"/>
        </w:rPr>
      </w:pPr>
      <w:r>
        <w:rPr>
          <w:rFonts w:ascii="Quattrocento Sans" w:eastAsia="Quattrocento Sans" w:hAnsi="Quattrocento Sans" w:cs="Quattrocento Sans"/>
          <w:b/>
          <w:sz w:val="28"/>
          <w:szCs w:val="28"/>
          <w:u w:val="single"/>
        </w:rPr>
        <w:t>Acme Fund 影响评估方法论 [草稿]</w:t>
      </w:r>
    </w:p>
    <w:p w14:paraId="00000003" w14:textId="6D34A6E6" w:rsidR="005C50EF" w:rsidRDefault="00CB42A8">
      <w:pPr>
        <w:jc w:val="center"/>
        <w:rPr>
          <w:rFonts w:ascii="Quattrocento Sans" w:eastAsia="Quattrocento Sans" w:hAnsi="Quattrocento Sans" w:cs="Quattrocento Sans"/>
          <w:sz w:val="24"/>
          <w:szCs w:val="24"/>
          <w:u w:val="single"/>
        </w:rPr>
      </w:pPr>
      <w:r>
        <w:rPr>
          <w:rFonts w:ascii="Quattrocento Sans" w:eastAsia="Quattrocento Sans" w:hAnsi="Quattrocento Sans" w:cs="Quattrocento Sans"/>
          <w:sz w:val="24"/>
          <w:szCs w:val="24"/>
        </w:rPr>
        <w:t>v</w:t>
      </w:r>
    </w:p>
    <w:p w14:paraId="00000004" w14:textId="77777777" w:rsidR="005C50EF" w:rsidRDefault="005C50EF">
      <w:pPr>
        <w:rPr>
          <w:rFonts w:ascii="Quattrocento Sans" w:eastAsia="Quattrocento Sans" w:hAnsi="Quattrocento Sans" w:cs="Quattrocento Sans"/>
          <w:b/>
          <w:sz w:val="24"/>
          <w:szCs w:val="24"/>
          <w:u w:val="single"/>
        </w:rPr>
      </w:pPr>
    </w:p>
    <w:p w14:paraId="00000005" w14:textId="77777777" w:rsidR="005C50EF" w:rsidRDefault="00000000">
      <w:pPr>
        <w:rPr>
          <w:rFonts w:ascii="Quattrocento Sans" w:eastAsia="Quattrocento Sans" w:hAnsi="Quattrocento Sans" w:cs="Quattrocento Sans"/>
          <w:b/>
          <w:sz w:val="24"/>
          <w:szCs w:val="24"/>
          <w:u w:val="single"/>
        </w:rPr>
      </w:pPr>
      <w:r>
        <w:rPr>
          <w:rFonts w:ascii="Quattrocento Sans" w:eastAsia="Quattrocento Sans" w:hAnsi="Quattrocento Sans" w:cs="Quattrocento Sans"/>
          <w:b/>
          <w:sz w:val="24"/>
          <w:szCs w:val="24"/>
          <w:u w:val="single"/>
        </w:rPr>
        <w:t>目录</w:t>
      </w:r>
    </w:p>
    <w:sdt>
      <w:sdtPr>
        <w:id w:val="-934511564"/>
        <w:docPartObj>
          <w:docPartGallery w:val="Table of Contents"/>
          <w:docPartUnique/>
        </w:docPartObj>
      </w:sdtPr>
      <w:sdtContent>
        <w:p w14:paraId="00000006" w14:textId="77777777" w:rsidR="005C50EF"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3ttm3cs91lu5">
            <w:r w:rsidR="005C50EF">
              <w:rPr>
                <w:b/>
                <w:color w:val="000000"/>
              </w:rPr>
              <w:t>Purpose</w:t>
            </w:r>
            <w:r w:rsidR="005C50EF">
              <w:rPr>
                <w:b/>
                <w:color w:val="000000"/>
              </w:rPr>
              <w:tab/>
              <w:t>1</w:t>
            </w:r>
          </w:hyperlink>
        </w:p>
        <w:p w14:paraId="00000007" w14:textId="77777777" w:rsidR="005C50EF" w:rsidRDefault="005C50EF">
          <w:pPr>
            <w:widowControl w:val="0"/>
            <w:tabs>
              <w:tab w:val="right" w:pos="12000"/>
            </w:tabs>
            <w:spacing w:before="60" w:line="240" w:lineRule="auto"/>
            <w:rPr>
              <w:b/>
              <w:color w:val="000000"/>
            </w:rPr>
          </w:pPr>
          <w:hyperlink w:anchor="_ihimluggty1j">
            <w:r>
              <w:rPr>
                <w:b/>
                <w:color w:val="000000"/>
              </w:rPr>
              <w:t>Underlying Principles</w:t>
            </w:r>
            <w:r>
              <w:rPr>
                <w:b/>
                <w:color w:val="000000"/>
              </w:rPr>
              <w:tab/>
              <w:t>3</w:t>
            </w:r>
          </w:hyperlink>
        </w:p>
        <w:p w14:paraId="00000008" w14:textId="77777777" w:rsidR="005C50EF" w:rsidRDefault="005C50EF">
          <w:pPr>
            <w:widowControl w:val="0"/>
            <w:tabs>
              <w:tab w:val="right" w:pos="12000"/>
            </w:tabs>
            <w:spacing w:before="60" w:line="240" w:lineRule="auto"/>
            <w:rPr>
              <w:b/>
              <w:color w:val="000000"/>
            </w:rPr>
          </w:pPr>
          <w:hyperlink w:anchor="_apu99w51x8ui">
            <w:r>
              <w:rPr>
                <w:b/>
                <w:color w:val="000000"/>
              </w:rPr>
              <w:t>Process Overview</w:t>
            </w:r>
            <w:r>
              <w:rPr>
                <w:b/>
                <w:color w:val="000000"/>
              </w:rPr>
              <w:tab/>
            </w:r>
          </w:hyperlink>
          <w:r>
            <w:rPr>
              <w:b/>
            </w:rPr>
            <w:t>4</w:t>
          </w:r>
        </w:p>
        <w:p w14:paraId="00000009" w14:textId="77777777" w:rsidR="005C50EF" w:rsidRDefault="005C50EF">
          <w:pPr>
            <w:widowControl w:val="0"/>
            <w:tabs>
              <w:tab w:val="right" w:pos="12000"/>
            </w:tabs>
            <w:spacing w:before="60" w:line="240" w:lineRule="auto"/>
            <w:rPr>
              <w:b/>
              <w:color w:val="000000"/>
            </w:rPr>
          </w:pPr>
          <w:hyperlink w:anchor="_xu7z178krc6b">
            <w:r>
              <w:rPr>
                <w:b/>
                <w:color w:val="000000"/>
              </w:rPr>
              <w:t>Detailed Operational Process:</w:t>
            </w:r>
            <w:r>
              <w:rPr>
                <w:b/>
                <w:color w:val="000000"/>
              </w:rPr>
              <w:tab/>
            </w:r>
          </w:hyperlink>
          <w:r>
            <w:rPr>
              <w:b/>
            </w:rPr>
            <w:t>5</w:t>
          </w:r>
        </w:p>
        <w:p w14:paraId="0000000A" w14:textId="77777777" w:rsidR="005C50EF" w:rsidRDefault="005C50EF">
          <w:pPr>
            <w:widowControl w:val="0"/>
            <w:tabs>
              <w:tab w:val="right" w:pos="12000"/>
            </w:tabs>
            <w:spacing w:before="60" w:line="240" w:lineRule="auto"/>
            <w:ind w:left="360"/>
            <w:rPr>
              <w:color w:val="000000"/>
            </w:rPr>
          </w:pPr>
          <w:hyperlink w:anchor="_lclph51aoe47">
            <w:r>
              <w:rPr>
                <w:color w:val="000000"/>
              </w:rPr>
              <w:t>Phase 1: Preparation</w:t>
            </w:r>
            <w:r>
              <w:rPr>
                <w:color w:val="000000"/>
              </w:rPr>
              <w:tab/>
            </w:r>
          </w:hyperlink>
          <w:r>
            <w:t>5</w:t>
          </w:r>
        </w:p>
        <w:p w14:paraId="0000000B" w14:textId="77777777" w:rsidR="005C50EF" w:rsidRDefault="005C50EF">
          <w:pPr>
            <w:widowControl w:val="0"/>
            <w:tabs>
              <w:tab w:val="right" w:pos="12000"/>
            </w:tabs>
            <w:spacing w:before="60" w:line="240" w:lineRule="auto"/>
            <w:ind w:left="360"/>
            <w:rPr>
              <w:color w:val="000000"/>
            </w:rPr>
          </w:pPr>
          <w:hyperlink w:anchor="_bnz2pbwo3m17">
            <w:r>
              <w:rPr>
                <w:color w:val="000000"/>
              </w:rPr>
              <w:t>Phase 2: Research</w:t>
            </w:r>
            <w:r>
              <w:rPr>
                <w:color w:val="000000"/>
              </w:rPr>
              <w:tab/>
            </w:r>
          </w:hyperlink>
          <w:r>
            <w:t>6</w:t>
          </w:r>
        </w:p>
        <w:p w14:paraId="0000000C" w14:textId="77777777" w:rsidR="005C50EF" w:rsidRDefault="005C50EF">
          <w:pPr>
            <w:widowControl w:val="0"/>
            <w:tabs>
              <w:tab w:val="right" w:pos="12000"/>
            </w:tabs>
            <w:spacing w:before="60" w:line="240" w:lineRule="auto"/>
            <w:ind w:left="360"/>
            <w:rPr>
              <w:color w:val="000000"/>
            </w:rPr>
          </w:pPr>
          <w:hyperlink w:anchor="_kuunbmity4lm">
            <w:r>
              <w:rPr>
                <w:color w:val="000000"/>
              </w:rPr>
              <w:t>Phase 3: Summary and Narrative</w:t>
            </w:r>
            <w:r>
              <w:rPr>
                <w:color w:val="000000"/>
              </w:rPr>
              <w:tab/>
            </w:r>
          </w:hyperlink>
          <w:r>
            <w:t>6</w:t>
          </w:r>
        </w:p>
        <w:p w14:paraId="0000000D" w14:textId="77777777" w:rsidR="005C50EF" w:rsidRDefault="005C50EF">
          <w:pPr>
            <w:widowControl w:val="0"/>
            <w:tabs>
              <w:tab w:val="right" w:pos="12000"/>
            </w:tabs>
            <w:spacing w:before="60" w:line="240" w:lineRule="auto"/>
            <w:ind w:left="360"/>
            <w:rPr>
              <w:color w:val="000000"/>
            </w:rPr>
          </w:pPr>
          <w:hyperlink w:anchor="_iou1xpcxtrhq">
            <w:r>
              <w:rPr>
                <w:color w:val="000000"/>
              </w:rPr>
              <w:t>Phase 4: Build Support</w:t>
            </w:r>
            <w:r>
              <w:rPr>
                <w:color w:val="000000"/>
              </w:rPr>
              <w:tab/>
            </w:r>
          </w:hyperlink>
          <w:r>
            <w:t>7</w:t>
          </w:r>
        </w:p>
        <w:p w14:paraId="0000000E" w14:textId="77777777" w:rsidR="005C50EF" w:rsidRDefault="005C50EF">
          <w:pPr>
            <w:widowControl w:val="0"/>
            <w:tabs>
              <w:tab w:val="right" w:pos="12000"/>
            </w:tabs>
            <w:spacing w:before="60" w:line="240" w:lineRule="auto"/>
            <w:rPr>
              <w:b/>
              <w:color w:val="000000"/>
            </w:rPr>
          </w:pPr>
          <w:hyperlink w:anchor="_q3e421wlcf72">
            <w:r>
              <w:rPr>
                <w:b/>
                <w:color w:val="000000"/>
              </w:rPr>
              <w:t>FAQs</w:t>
            </w:r>
            <w:r>
              <w:rPr>
                <w:b/>
                <w:color w:val="000000"/>
              </w:rPr>
              <w:tab/>
            </w:r>
          </w:hyperlink>
          <w:r>
            <w:rPr>
              <w:b/>
            </w:rPr>
            <w:t>8</w:t>
          </w:r>
        </w:p>
        <w:p w14:paraId="0000000F" w14:textId="1A34482D" w:rsidR="005C50EF" w:rsidRDefault="00000000">
          <w:pPr>
            <w:widowControl w:val="0"/>
            <w:tabs>
              <w:tab w:val="right" w:pos="12000"/>
            </w:tabs>
            <w:spacing w:before="60" w:line="240" w:lineRule="auto"/>
            <w:rPr>
              <w:b/>
              <w:color w:val="000000"/>
            </w:rPr>
          </w:pPr>
          <w:r>
            <w:rPr>
              <w:b/>
            </w:rPr>
            <w:t>0</w:t>
          </w:r>
          <w:r>
            <w:fldChar w:fldCharType="end"/>
          </w:r>
        </w:p>
      </w:sdtContent>
    </w:sdt>
    <w:p w14:paraId="00000010" w14:textId="77777777" w:rsidR="005C50EF" w:rsidRDefault="005C50EF">
      <w:pPr>
        <w:rPr>
          <w:rFonts w:ascii="Quattrocento Sans" w:eastAsia="Quattrocento Sans" w:hAnsi="Quattrocento Sans" w:cs="Quattrocento Sans"/>
          <w:b/>
          <w:sz w:val="24"/>
          <w:szCs w:val="24"/>
          <w:u w:val="single"/>
        </w:rPr>
      </w:pPr>
    </w:p>
    <w:p w14:paraId="00000011" w14:textId="77777777" w:rsidR="005C50EF" w:rsidRDefault="005C50EF">
      <w:pPr>
        <w:rPr>
          <w:rFonts w:ascii="Quattrocento Sans" w:eastAsia="Quattrocento Sans" w:hAnsi="Quattrocento Sans" w:cs="Quattrocento Sans"/>
          <w:b/>
          <w:sz w:val="24"/>
          <w:szCs w:val="24"/>
          <w:u w:val="single"/>
        </w:rPr>
      </w:pPr>
    </w:p>
    <w:p w14:paraId="00000012" w14:textId="77777777" w:rsidR="005C50EF" w:rsidRDefault="005C50EF">
      <w:pPr>
        <w:rPr>
          <w:rFonts w:ascii="Quattrocento Sans" w:eastAsia="Quattrocento Sans" w:hAnsi="Quattrocento Sans" w:cs="Quattrocento Sans"/>
          <w:b/>
          <w:sz w:val="24"/>
          <w:szCs w:val="24"/>
          <w:u w:val="single"/>
        </w:rPr>
      </w:pPr>
    </w:p>
    <w:p w14:paraId="00000013" w14:textId="77777777" w:rsidR="005C50EF" w:rsidRDefault="00000000">
      <w:pPr>
        <w:pStyle w:val="Titre1"/>
      </w:pPr>
      <w:bookmarkStart w:id="0" w:name="_3ttm3cs91lu5" w:colFirst="0" w:colLast="0"/>
      <w:bookmarkEnd w:id="0"/>
      <w:r>
        <w:t>目的</w:t>
      </w:r>
    </w:p>
    <w:p w14:paraId="00000014" w14:textId="77777777" w:rsidR="005C50EF" w:rsidRDefault="005C50EF">
      <w:pPr>
        <w:rPr>
          <w:rFonts w:ascii="Quattrocento Sans" w:eastAsia="Quattrocento Sans" w:hAnsi="Quattrocento Sans" w:cs="Quattrocento Sans"/>
          <w:b/>
          <w:sz w:val="24"/>
          <w:szCs w:val="24"/>
          <w:u w:val="single"/>
        </w:rPr>
      </w:pPr>
    </w:p>
    <w:p w14:paraId="00000015"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Acme Fund VC认为，作为投资者，衡量和量化影响是重要的，这样您才能做出充分知情的投资决策。该基金还打算开始向投资者报告影响，以便他们了解自己投资的影响。</w:t>
      </w:r>
    </w:p>
    <w:p w14:paraId="00000016" w14:textId="77777777" w:rsidR="005C50EF" w:rsidRDefault="005C50EF">
      <w:pPr>
        <w:jc w:val="both"/>
        <w:rPr>
          <w:rFonts w:ascii="Quattrocento Sans" w:eastAsia="Quattrocento Sans" w:hAnsi="Quattrocento Sans" w:cs="Quattrocento Sans"/>
          <w:sz w:val="24"/>
          <w:szCs w:val="24"/>
        </w:rPr>
      </w:pPr>
    </w:p>
    <w:p w14:paraId="00000017"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Acme Fund认为，有必要以美元/货币量化影响，以便在各个行业和国家之间做出比较投资决策，并在投资决策中平衡财务和影响因素。由于目前似乎尚不存在公认的标准美元影响方法，Acme Fund已制定了自己的流程。随着基于美元的方法论越来越被接受，标准逐渐形成，Acme Fund打算转向行业标准，前提是这些标准是基于美元的。</w:t>
      </w:r>
    </w:p>
    <w:p w14:paraId="00000018" w14:textId="77777777" w:rsidR="005C50EF" w:rsidRDefault="005C50EF">
      <w:pPr>
        <w:jc w:val="both"/>
        <w:rPr>
          <w:rFonts w:ascii="Quattrocento Sans" w:eastAsia="Quattrocento Sans" w:hAnsi="Quattrocento Sans" w:cs="Quattrocento Sans"/>
          <w:sz w:val="24"/>
          <w:szCs w:val="24"/>
        </w:rPr>
      </w:pPr>
    </w:p>
    <w:p w14:paraId="00000019"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本指南将带您了解基本原则，以及Acme Fund为每个投资组合公司创建影响评估的一般和详细流程。</w:t>
      </w:r>
    </w:p>
    <w:p w14:paraId="0000001A" w14:textId="77777777" w:rsidR="005C50EF" w:rsidRDefault="00000000">
      <w:pPr>
        <w:rPr>
          <w:rFonts w:ascii="Quattrocento Sans" w:eastAsia="Quattrocento Sans" w:hAnsi="Quattrocento Sans" w:cs="Quattrocento Sans"/>
          <w:b/>
          <w:sz w:val="24"/>
          <w:szCs w:val="24"/>
          <w:u w:val="single"/>
        </w:rPr>
      </w:pPr>
      <w:r>
        <w:br w:type="page"/>
      </w:r>
    </w:p>
    <w:p w14:paraId="0000001B" w14:textId="77777777" w:rsidR="005C50EF" w:rsidRDefault="00000000">
      <w:pPr>
        <w:pStyle w:val="Titre1"/>
      </w:pPr>
      <w:bookmarkStart w:id="1" w:name="_ihimluggty1j" w:colFirst="0" w:colLast="0"/>
      <w:bookmarkEnd w:id="1"/>
      <w:r>
        <w:lastRenderedPageBreak/>
        <w:t>基本原则</w:t>
      </w:r>
    </w:p>
    <w:p w14:paraId="0000001C"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该方法的设计和实施基于一些基本原则，这些原则构成了我们所做选择的基础。有些是确定的，其他的仍在评估中。</w:t>
      </w:r>
    </w:p>
    <w:p w14:paraId="0000001D" w14:textId="77777777" w:rsidR="005C50EF" w:rsidRDefault="005C50EF">
      <w:pPr>
        <w:jc w:val="both"/>
        <w:rPr>
          <w:rFonts w:ascii="Quattrocento Sans" w:eastAsia="Quattrocento Sans" w:hAnsi="Quattrocento Sans" w:cs="Quattrocento Sans"/>
          <w:sz w:val="24"/>
          <w:szCs w:val="24"/>
        </w:rPr>
      </w:pPr>
    </w:p>
    <w:p w14:paraId="0000001E"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猜测/估计总比什么都没有要好：你试图尽可能接近“真相”。拒绝猜测/估计就等于在说“那个因素的大小是零。” 其实并不是零。所以，去猜吧。即使是对于一些无形的因素，比如保护一座历史建筑。</w:t>
      </w:r>
    </w:p>
    <w:p w14:paraId="0000001F" w14:textId="77777777" w:rsidR="005C50EF" w:rsidRDefault="005C50EF">
      <w:pPr>
        <w:jc w:val="both"/>
        <w:rPr>
          <w:rFonts w:ascii="Quattrocento Sans" w:eastAsia="Quattrocento Sans" w:hAnsi="Quattrocento Sans" w:cs="Quattrocento Sans"/>
          <w:sz w:val="24"/>
          <w:szCs w:val="24"/>
        </w:rPr>
      </w:pPr>
    </w:p>
    <w:p w14:paraId="00000020" w14:textId="63469694"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不舒服的事实比自我幻想更重要：我们不关心</w:t>
      </w:r>
      <w:r w:rsidR="00370879">
        <w:rPr>
          <w:rFonts w:ascii="Quattrocento Sans" w:eastAsia="Quattrocento Sans" w:hAnsi="Quattrocento Sans" w:cs="Quattrocento Sans"/>
          <w:b/>
          <w:sz w:val="24"/>
          <w:szCs w:val="24"/>
          <w:highlight w:val="yellow"/>
        </w:rPr>
        <w:t>ABC</w:t>
      </w:r>
      <w:r w:rsidRPr="002D68A6">
        <w:rPr>
          <w:rFonts w:ascii="Quattrocento Sans" w:eastAsia="Quattrocento Sans" w:hAnsi="Quattrocento Sans" w:cs="Quattrocento Sans"/>
          <w:b/>
          <w:sz w:val="24"/>
          <w:szCs w:val="24"/>
          <w:highlight w:val="yellow"/>
        </w:rPr>
        <w:t>公司的表现是超出预期还是低于预期。我们只想知道它们的影响是什么。</w:t>
      </w:r>
    </w:p>
    <w:p w14:paraId="00000021" w14:textId="77777777" w:rsidR="005C50EF" w:rsidRDefault="005C50EF">
      <w:pPr>
        <w:jc w:val="both"/>
        <w:rPr>
          <w:rFonts w:ascii="Quattrocento Sans" w:eastAsia="Quattrocento Sans" w:hAnsi="Quattrocento Sans" w:cs="Quattrocento Sans"/>
          <w:sz w:val="24"/>
          <w:szCs w:val="24"/>
        </w:rPr>
      </w:pPr>
    </w:p>
    <w:p w14:paraId="00000022"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衡量社会和环境的利益与成本：我们并不是试图证明一家公司只做善事。即使是最好的公司也有一些活动会造成一定的伤害：比尔和梅琳达·盖茨基金会的员工可能会飞往非洲（对环境有轻微的危害）开发疫苗（对社会有重大益处）。量化伤害和利益。</w:t>
      </w:r>
    </w:p>
    <w:p w14:paraId="00000023" w14:textId="77777777" w:rsidR="005C50EF" w:rsidRDefault="005C50EF">
      <w:pPr>
        <w:jc w:val="both"/>
        <w:rPr>
          <w:rFonts w:ascii="Quattrocento Sans" w:eastAsia="Quattrocento Sans" w:hAnsi="Quattrocento Sans" w:cs="Quattrocento Sans"/>
          <w:sz w:val="24"/>
          <w:szCs w:val="24"/>
        </w:rPr>
      </w:pPr>
    </w:p>
    <w:p w14:paraId="00000024"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不要重复计算利益：如果一家初创公司促进企业员工作为志愿者导师帮助儿童，那么这种有益的社会影响应该分为三部分。初创公司、企业以及员工都应获得一些认可。</w:t>
      </w:r>
    </w:p>
    <w:p w14:paraId="00000025" w14:textId="77777777" w:rsidR="005C50EF" w:rsidRDefault="005C50EF">
      <w:pPr>
        <w:jc w:val="both"/>
        <w:rPr>
          <w:rFonts w:ascii="Quattrocento Sans" w:eastAsia="Quattrocento Sans" w:hAnsi="Quattrocento Sans" w:cs="Quattrocento Sans"/>
          <w:sz w:val="24"/>
          <w:szCs w:val="24"/>
        </w:rPr>
      </w:pPr>
    </w:p>
    <w:p w14:paraId="00000026"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准确性比精确性更重要：你想要的是更接近正确的答案，而不是一个尽管审计链完美但离真相更远的精确答案。你可能知道员工为指导所捐赠的时间的确切成本，但只能对指导对孩子们的价值进行猜测。这个不精确的猜测反而更准确。</w:t>
      </w:r>
    </w:p>
    <w:p w14:paraId="00000027" w14:textId="77777777" w:rsidR="005C50EF" w:rsidRDefault="005C50EF">
      <w:pPr>
        <w:jc w:val="both"/>
        <w:rPr>
          <w:rFonts w:ascii="Quattrocento Sans" w:eastAsia="Quattrocento Sans" w:hAnsi="Quattrocento Sans" w:cs="Quattrocento Sans"/>
          <w:sz w:val="24"/>
          <w:szCs w:val="24"/>
        </w:rPr>
      </w:pPr>
    </w:p>
    <w:p w14:paraId="00000028"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一个范围比一个固定的数字更准确：在许多情况下，估计一个值的方式可能有多种不同的方法。我们应该预期会有不同的答案，最好是呈现一个我们认为答案落在其中的范围，而不是一个单一的数字。</w:t>
      </w:r>
    </w:p>
    <w:p w14:paraId="00000029" w14:textId="77777777" w:rsidR="005C50EF" w:rsidRDefault="005C50EF">
      <w:pPr>
        <w:jc w:val="both"/>
        <w:rPr>
          <w:rFonts w:ascii="Quattrocento Sans" w:eastAsia="Quattrocento Sans" w:hAnsi="Quattrocento Sans" w:cs="Quattrocento Sans"/>
          <w:sz w:val="24"/>
          <w:szCs w:val="24"/>
        </w:rPr>
      </w:pPr>
    </w:p>
    <w:p w14:paraId="0000002A"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使用的便利和愉悦是社会利益：如果人们愿意为外观更好、味道更佳、品牌更响亮或更易于使用的物品支付更多，他们通过钱包表明了存在可量化的社会利益。幸福感/情感是社会利益（和成本）的一部分。</w:t>
      </w:r>
    </w:p>
    <w:p w14:paraId="0000002B" w14:textId="77777777" w:rsidR="005C50EF" w:rsidRDefault="005C50EF">
      <w:pPr>
        <w:jc w:val="both"/>
        <w:rPr>
          <w:rFonts w:ascii="Quattrocento Sans" w:eastAsia="Quattrocento Sans" w:hAnsi="Quattrocento Sans" w:cs="Quattrocento Sans"/>
          <w:sz w:val="24"/>
          <w:szCs w:val="24"/>
        </w:rPr>
      </w:pPr>
    </w:p>
    <w:p w14:paraId="0000002C" w14:textId="05CE9CC4"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结果比意图更重要：</w:t>
      </w:r>
      <w:r w:rsidR="00822AF9">
        <w:rPr>
          <w:rFonts w:ascii="Quattrocento Sans" w:eastAsia="Quattrocento Sans" w:hAnsi="Quattrocento Sans" w:cs="Quattrocento Sans"/>
          <w:b/>
          <w:sz w:val="24"/>
          <w:szCs w:val="24"/>
        </w:rPr>
        <w:t>ABC</w:t>
      </w:r>
      <w:r>
        <w:rPr>
          <w:rFonts w:ascii="Quattrocento Sans" w:eastAsia="Quattrocento Sans" w:hAnsi="Quattrocento Sans" w:cs="Quattrocento Sans"/>
          <w:b/>
          <w:sz w:val="24"/>
          <w:szCs w:val="24"/>
        </w:rPr>
        <w:t>量化的是实际结果，而非预期结果。一家公司纯粹出于利润动机，可能比第二个以性别公平为动机的团体更好地支持更多女性企业家。重要的是他们的实际影响，而不是他们的意图。</w:t>
      </w:r>
    </w:p>
    <w:p w14:paraId="0000002D" w14:textId="77777777" w:rsidR="005C50EF" w:rsidRDefault="005C50EF">
      <w:pPr>
        <w:jc w:val="both"/>
        <w:rPr>
          <w:rFonts w:ascii="Quattrocento Sans" w:eastAsia="Quattrocento Sans" w:hAnsi="Quattrocento Sans" w:cs="Quattrocento Sans"/>
          <w:sz w:val="24"/>
          <w:szCs w:val="24"/>
        </w:rPr>
      </w:pPr>
    </w:p>
    <w:p w14:paraId="0000002E"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缴纳税款具有积极影响：各国在教育、医疗保健或基础设施等积极影响活动上花费了大量税款，其中一些活动具有积极影响的乘数效应。其他政府支出可能会被浪费或产生负面影响。作为一个起点，这是一种积极的做法。根据需要应用政府社会效率因子。</w:t>
      </w:r>
    </w:p>
    <w:p w14:paraId="0000002F" w14:textId="77777777" w:rsidR="005C50EF" w:rsidRDefault="005C50EF">
      <w:pPr>
        <w:jc w:val="both"/>
        <w:rPr>
          <w:rFonts w:ascii="Quattrocento Sans" w:eastAsia="Quattrocento Sans" w:hAnsi="Quattrocento Sans" w:cs="Quattrocento Sans"/>
          <w:sz w:val="24"/>
          <w:szCs w:val="24"/>
        </w:rPr>
      </w:pPr>
    </w:p>
    <w:p w14:paraId="00000030" w14:textId="77777777" w:rsidR="005C50EF" w:rsidRDefault="00000000">
      <w:pPr>
        <w:jc w:val="both"/>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仍在评估的原则：</w:t>
      </w:r>
    </w:p>
    <w:p w14:paraId="00000031" w14:textId="77777777" w:rsidR="005C50EF" w:rsidRDefault="005C50EF">
      <w:pPr>
        <w:jc w:val="both"/>
        <w:rPr>
          <w:rFonts w:ascii="Quattrocento Sans" w:eastAsia="Quattrocento Sans" w:hAnsi="Quattrocento Sans" w:cs="Quattrocento Sans"/>
          <w:b/>
          <w:sz w:val="24"/>
          <w:szCs w:val="24"/>
        </w:rPr>
      </w:pPr>
    </w:p>
    <w:p w14:paraId="00000032"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绝对影响和相对影响：目前我们尝试估计绝对影响和相对影响。仅做相对影响（“如果公司不存在”）可能导致局部最小值，例如“燃烧天然气对环境有益，尽管它排放二氧化碳，因为它比燃烧煤炭更好”。有时这可能是正确的，而在其他时候，绝对影响可能更好。Acme Fund 目前同时跟踪这两者，因为我们正在思考如何最好地制定相关规则。</w:t>
      </w:r>
    </w:p>
    <w:p w14:paraId="00000033" w14:textId="77777777" w:rsidR="005C50EF" w:rsidRDefault="005C50EF">
      <w:pPr>
        <w:jc w:val="both"/>
        <w:rPr>
          <w:rFonts w:ascii="Quattrocento Sans" w:eastAsia="Quattrocento Sans" w:hAnsi="Quattrocento Sans" w:cs="Quattrocento Sans"/>
          <w:sz w:val="24"/>
          <w:szCs w:val="24"/>
        </w:rPr>
      </w:pPr>
    </w:p>
    <w:p w14:paraId="00000034"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财务影响：公司可以对其客户产生强大的积极财务影响。例如，能够减少客户因欺诈而遭受损失的软件，虽然严格来说并不是一种“社会”利益，但却是由公司创造的对客户有实质影响的强大实际利益。如果不被计算在内，这将永远不会被记入公司的账目。Acme Fund 目前正在将财务影响作为一个单独的类别进行估算，以便我们弄清楚如何处理它。</w:t>
      </w:r>
    </w:p>
    <w:p w14:paraId="00000035" w14:textId="77777777" w:rsidR="005C50EF" w:rsidRDefault="005C50EF">
      <w:pPr>
        <w:jc w:val="both"/>
        <w:rPr>
          <w:rFonts w:ascii="Quattrocento Sans" w:eastAsia="Quattrocento Sans" w:hAnsi="Quattrocento Sans" w:cs="Quattrocento Sans"/>
          <w:sz w:val="24"/>
          <w:szCs w:val="24"/>
        </w:rPr>
      </w:pPr>
    </w:p>
    <w:p w14:paraId="00000036" w14:textId="77777777" w:rsidR="005C50EF" w:rsidRDefault="00000000">
      <w:pPr>
        <w:jc w:val="both"/>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流程原则：</w:t>
      </w:r>
    </w:p>
    <w:p w14:paraId="00000037" w14:textId="77777777" w:rsidR="005C50EF" w:rsidRDefault="005C50EF">
      <w:pPr>
        <w:jc w:val="both"/>
        <w:rPr>
          <w:rFonts w:ascii="Quattrocento Sans" w:eastAsia="Quattrocento Sans" w:hAnsi="Quattrocento Sans" w:cs="Quattrocento Sans"/>
          <w:b/>
          <w:sz w:val="24"/>
          <w:szCs w:val="24"/>
        </w:rPr>
      </w:pPr>
    </w:p>
    <w:p w14:paraId="00000038"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将批评者转变为合作者：如果有人试图批评你的方法或答案，问他们有没有更好的方式来估算这个因素。你所识别的因素将是真实的，并且有实际的影响路径。问他们认为哪种方法优于你的方法，以量化那个非常真实的影响。</w:t>
      </w:r>
    </w:p>
    <w:p w14:paraId="00000039" w14:textId="77777777" w:rsidR="005C50EF" w:rsidRDefault="005C50EF">
      <w:pPr>
        <w:jc w:val="both"/>
        <w:rPr>
          <w:rFonts w:ascii="Quattrocento Sans" w:eastAsia="Quattrocento Sans" w:hAnsi="Quattrocento Sans" w:cs="Quattrocento Sans"/>
          <w:sz w:val="24"/>
          <w:szCs w:val="24"/>
        </w:rPr>
      </w:pPr>
    </w:p>
    <w:p w14:paraId="0000003A"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公开分享方法和来源：Acme Fund 不是一家从影响测量中获利并需要严格保护其知识产权的咨询公司。Acme Fund 是一家投资公司，希望能够做出更明智的投资决策，并推动我们行业在影响测量方面的知识和方法的发展。我们的方法得到更多认可，也可以使公司在影响有限合伙人中获得更多认可。</w:t>
      </w:r>
    </w:p>
    <w:p w14:paraId="0000003B" w14:textId="77777777" w:rsidR="005C50EF" w:rsidRDefault="005C50EF">
      <w:pPr>
        <w:jc w:val="both"/>
        <w:rPr>
          <w:rFonts w:ascii="Quattrocento Sans" w:eastAsia="Quattrocento Sans" w:hAnsi="Quattrocento Sans" w:cs="Quattrocento Sans"/>
          <w:sz w:val="24"/>
          <w:szCs w:val="24"/>
        </w:rPr>
      </w:pPr>
    </w:p>
    <w:p w14:paraId="0000003C"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保护投资组合公司的机密性：Acme Fund 仅应在保密协议（NDA）下或获得公司的许可后，分享包含公司机密信息（例如，收入）的特定公司的详细影响计算。</w:t>
      </w:r>
    </w:p>
    <w:p w14:paraId="0000003D" w14:textId="77777777" w:rsidR="005C50EF" w:rsidRDefault="005C50EF">
      <w:pPr>
        <w:jc w:val="both"/>
        <w:rPr>
          <w:rFonts w:ascii="Quattrocento Sans" w:eastAsia="Quattrocento Sans" w:hAnsi="Quattrocento Sans" w:cs="Quattrocento Sans"/>
          <w:sz w:val="24"/>
          <w:szCs w:val="24"/>
        </w:rPr>
      </w:pPr>
    </w:p>
    <w:p w14:paraId="0000003E" w14:textId="77777777" w:rsidR="005C50EF" w:rsidRDefault="005C50EF">
      <w:pPr>
        <w:jc w:val="both"/>
        <w:rPr>
          <w:rFonts w:ascii="Quattrocento Sans" w:eastAsia="Quattrocento Sans" w:hAnsi="Quattrocento Sans" w:cs="Quattrocento Sans"/>
          <w:sz w:val="24"/>
          <w:szCs w:val="24"/>
        </w:rPr>
      </w:pPr>
    </w:p>
    <w:p w14:paraId="0000003F" w14:textId="77777777" w:rsidR="005C50EF" w:rsidRDefault="005C50EF">
      <w:pPr>
        <w:jc w:val="both"/>
        <w:rPr>
          <w:rFonts w:ascii="Quattrocento Sans" w:eastAsia="Quattrocento Sans" w:hAnsi="Quattrocento Sans" w:cs="Quattrocento Sans"/>
          <w:sz w:val="24"/>
          <w:szCs w:val="24"/>
        </w:rPr>
      </w:pPr>
    </w:p>
    <w:p w14:paraId="00000040" w14:textId="77777777" w:rsidR="005C50EF" w:rsidRDefault="005C50EF">
      <w:pPr>
        <w:jc w:val="both"/>
        <w:rPr>
          <w:rFonts w:ascii="Quattrocento Sans" w:eastAsia="Quattrocento Sans" w:hAnsi="Quattrocento Sans" w:cs="Quattrocento Sans"/>
          <w:sz w:val="24"/>
          <w:szCs w:val="24"/>
        </w:rPr>
      </w:pPr>
    </w:p>
    <w:p w14:paraId="00000041" w14:textId="77777777" w:rsidR="005C50EF" w:rsidRDefault="00000000">
      <w:pPr>
        <w:jc w:val="both"/>
        <w:rPr>
          <w:rFonts w:ascii="Quattrocento Sans" w:eastAsia="Quattrocento Sans" w:hAnsi="Quattrocento Sans" w:cs="Quattrocento Sans"/>
          <w:b/>
          <w:sz w:val="24"/>
          <w:szCs w:val="24"/>
          <w:u w:val="single"/>
        </w:rPr>
      </w:pPr>
      <w:r>
        <w:br w:type="page"/>
      </w:r>
    </w:p>
    <w:p w14:paraId="00000042" w14:textId="77777777" w:rsidR="005C50EF" w:rsidRDefault="00000000">
      <w:pPr>
        <w:pStyle w:val="Titre1"/>
        <w:jc w:val="both"/>
      </w:pPr>
      <w:bookmarkStart w:id="2" w:name="_apu99w51x8ui" w:colFirst="0" w:colLast="0"/>
      <w:bookmarkEnd w:id="2"/>
      <w:r>
        <w:lastRenderedPageBreak/>
        <w:t>流程概述</w:t>
      </w:r>
    </w:p>
    <w:p w14:paraId="00000043" w14:textId="77777777" w:rsidR="005C50EF" w:rsidRDefault="00000000">
      <w:p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Acme Fund 估算影响的一般过程如下：</w:t>
      </w:r>
    </w:p>
    <w:p w14:paraId="00000044" w14:textId="77777777" w:rsidR="005C50EF" w:rsidRDefault="005C50EF">
      <w:pPr>
        <w:rPr>
          <w:rFonts w:ascii="Quattrocento Sans" w:eastAsia="Quattrocento Sans" w:hAnsi="Quattrocento Sans" w:cs="Quattrocento Sans"/>
          <w:sz w:val="24"/>
          <w:szCs w:val="24"/>
        </w:rPr>
      </w:pPr>
    </w:p>
    <w:p w14:paraId="00000045" w14:textId="77777777" w:rsidR="005C50EF" w:rsidRDefault="00000000">
      <w:pPr>
        <w:numPr>
          <w:ilvl w:val="0"/>
          <w:numId w:val="2"/>
        </w:num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列出机制：识别并列出所有可能的影响机制，形式如“公司运行软件，使用污染能源，产生负面环境影响”</w:t>
      </w:r>
    </w:p>
    <w:p w14:paraId="00000046" w14:textId="77777777" w:rsidR="005C50EF" w:rsidRDefault="005C50EF">
      <w:pPr>
        <w:rPr>
          <w:rFonts w:ascii="Quattrocento Sans" w:eastAsia="Quattrocento Sans" w:hAnsi="Quattrocento Sans" w:cs="Quattrocento Sans"/>
          <w:sz w:val="24"/>
          <w:szCs w:val="24"/>
        </w:rPr>
      </w:pPr>
    </w:p>
    <w:p w14:paraId="00000047" w14:textId="77777777" w:rsidR="005C50EF" w:rsidRDefault="00000000">
      <w:pPr>
        <w:numPr>
          <w:ilvl w:val="0"/>
          <w:numId w:val="2"/>
        </w:num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审查利益相关者：作为识别机制的一部分，考虑谁受到影响：</w:t>
      </w:r>
    </w:p>
    <w:p w14:paraId="00000048" w14:textId="77777777" w:rsidR="005C50EF" w:rsidRDefault="00000000">
      <w:pPr>
        <w:numPr>
          <w:ilvl w:val="0"/>
          <w:numId w:val="5"/>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客户，员工，供应商</w:t>
      </w:r>
    </w:p>
    <w:p w14:paraId="00000049" w14:textId="77777777" w:rsidR="005C50EF" w:rsidRDefault="00000000">
      <w:pPr>
        <w:numPr>
          <w:ilvl w:val="0"/>
          <w:numId w:val="5"/>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当地社区、家庭成员、竞争对手</w:t>
      </w:r>
    </w:p>
    <w:p w14:paraId="0000004A" w14:textId="77777777" w:rsidR="005C50EF" w:rsidRDefault="00000000">
      <w:pPr>
        <w:numPr>
          <w:ilvl w:val="0"/>
          <w:numId w:val="5"/>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环境</w:t>
      </w:r>
    </w:p>
    <w:p w14:paraId="0000004B" w14:textId="77777777" w:rsidR="005C50EF" w:rsidRDefault="005C50EF">
      <w:pPr>
        <w:rPr>
          <w:rFonts w:ascii="Quattrocento Sans" w:eastAsia="Quattrocento Sans" w:hAnsi="Quattrocento Sans" w:cs="Quattrocento Sans"/>
          <w:sz w:val="24"/>
          <w:szCs w:val="24"/>
        </w:rPr>
      </w:pPr>
    </w:p>
    <w:p w14:paraId="0000004C" w14:textId="77777777" w:rsidR="005C50EF" w:rsidRDefault="00000000">
      <w:pPr>
        <w:numPr>
          <w:ilvl w:val="0"/>
          <w:numId w:val="2"/>
        </w:num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量化每个机制：每个机制都应该进行估算。通常可以使用经济研究作为起点。随着时间的推移，知识库的建立使得机制的量化变得更加可重复和快速。</w:t>
      </w:r>
    </w:p>
    <w:p w14:paraId="0000004D" w14:textId="77777777" w:rsidR="005C50EF" w:rsidRDefault="005C50EF">
      <w:pPr>
        <w:ind w:left="720"/>
        <w:rPr>
          <w:rFonts w:ascii="Quattrocento Sans" w:eastAsia="Quattrocento Sans" w:hAnsi="Quattrocento Sans" w:cs="Quattrocento Sans"/>
          <w:sz w:val="24"/>
          <w:szCs w:val="24"/>
        </w:rPr>
      </w:pPr>
    </w:p>
    <w:p w14:paraId="0000004E" w14:textId="77777777" w:rsidR="005C50EF" w:rsidRPr="00726E8B" w:rsidRDefault="00000000">
      <w:pPr>
        <w:numPr>
          <w:ilvl w:val="0"/>
          <w:numId w:val="2"/>
        </w:numPr>
        <w:rPr>
          <w:rFonts w:ascii="Quattrocento Sans" w:eastAsia="Quattrocento Sans" w:hAnsi="Quattrocento Sans" w:cs="Quattrocento Sans"/>
          <w:sz w:val="24"/>
          <w:szCs w:val="24"/>
          <w:highlight w:val="yellow"/>
        </w:rPr>
      </w:pPr>
      <w:r w:rsidRPr="00726E8B">
        <w:rPr>
          <w:rFonts w:ascii="Quattrocento Sans" w:eastAsia="Quattrocento Sans" w:hAnsi="Quattrocento Sans" w:cs="Quattrocento Sans"/>
          <w:b/>
          <w:sz w:val="24"/>
          <w:szCs w:val="24"/>
          <w:highlight w:val="yellow"/>
        </w:rPr>
        <w:t>分配相对信用：估算每个机制应分配给公司的比例与其他利益相关者相比。</w:t>
      </w:r>
    </w:p>
    <w:p w14:paraId="0000004F" w14:textId="77777777" w:rsidR="005C50EF" w:rsidRDefault="005C50EF">
      <w:pPr>
        <w:rPr>
          <w:rFonts w:ascii="Quattrocento Sans" w:eastAsia="Quattrocento Sans" w:hAnsi="Quattrocento Sans" w:cs="Quattrocento Sans"/>
          <w:sz w:val="24"/>
          <w:szCs w:val="24"/>
        </w:rPr>
      </w:pPr>
    </w:p>
    <w:p w14:paraId="00000050" w14:textId="77777777" w:rsidR="005C50EF" w:rsidRDefault="00000000">
      <w:pPr>
        <w:numPr>
          <w:ilvl w:val="0"/>
          <w:numId w:val="2"/>
        </w:numPr>
        <w:rPr>
          <w:rFonts w:ascii="Quattrocento Sans" w:eastAsia="Quattrocento Sans" w:hAnsi="Quattrocento Sans" w:cs="Quattrocento Sans"/>
          <w:sz w:val="24"/>
          <w:szCs w:val="24"/>
        </w:rPr>
      </w:pPr>
      <w:r w:rsidRPr="006A29F6">
        <w:rPr>
          <w:rFonts w:ascii="Quattrocento Sans" w:eastAsia="Quattrocento Sans" w:hAnsi="Quattrocento Sans" w:cs="Quattrocento Sans"/>
          <w:b/>
          <w:sz w:val="24"/>
          <w:szCs w:val="24"/>
          <w:highlight w:val="yellow"/>
        </w:rPr>
        <w:t>排名归一化机制：对于大多数公司来说，前5-8个机制将占据估计影响的90%以上。这些机制应该更详细地列出，并概述它们是如何计算的。</w:t>
      </w:r>
    </w:p>
    <w:p w14:paraId="00000051" w14:textId="77777777" w:rsidR="005C50EF" w:rsidRDefault="005C50EF">
      <w:pPr>
        <w:rPr>
          <w:rFonts w:ascii="Quattrocento Sans" w:eastAsia="Quattrocento Sans" w:hAnsi="Quattrocento Sans" w:cs="Quattrocento Sans"/>
          <w:sz w:val="24"/>
          <w:szCs w:val="24"/>
        </w:rPr>
      </w:pPr>
    </w:p>
    <w:p w14:paraId="00000052" w14:textId="77777777" w:rsidR="005C50EF" w:rsidRDefault="00000000">
      <w:pPr>
        <w:numPr>
          <w:ilvl w:val="0"/>
          <w:numId w:val="2"/>
        </w:num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呈现结果：填写我们的模板，总结结果，列出排名机制，提供所选机制的详细信息，并列出来源，以便其他人可以确认和改进计算。</w:t>
      </w:r>
    </w:p>
    <w:p w14:paraId="00000053" w14:textId="77777777" w:rsidR="005C50EF" w:rsidRDefault="005C50EF">
      <w:pPr>
        <w:rPr>
          <w:rFonts w:ascii="Quattrocento Sans" w:eastAsia="Quattrocento Sans" w:hAnsi="Quattrocento Sans" w:cs="Quattrocento Sans"/>
          <w:b/>
          <w:sz w:val="24"/>
          <w:szCs w:val="24"/>
          <w:u w:val="single"/>
        </w:rPr>
      </w:pPr>
    </w:p>
    <w:p w14:paraId="00000054" w14:textId="77777777" w:rsidR="005C50EF" w:rsidRDefault="005C50EF">
      <w:pPr>
        <w:rPr>
          <w:rFonts w:ascii="Quattrocento Sans" w:eastAsia="Quattrocento Sans" w:hAnsi="Quattrocento Sans" w:cs="Quattrocento Sans"/>
          <w:b/>
          <w:sz w:val="24"/>
          <w:szCs w:val="24"/>
          <w:u w:val="single"/>
        </w:rPr>
      </w:pPr>
    </w:p>
    <w:p w14:paraId="00000055" w14:textId="77777777" w:rsidR="005C50EF" w:rsidRDefault="00000000">
      <w:pPr>
        <w:rPr>
          <w:rFonts w:ascii="Quattrocento Sans" w:eastAsia="Quattrocento Sans" w:hAnsi="Quattrocento Sans" w:cs="Quattrocento Sans"/>
          <w:b/>
          <w:sz w:val="24"/>
          <w:szCs w:val="24"/>
          <w:u w:val="single"/>
        </w:rPr>
      </w:pPr>
      <w:r>
        <w:br w:type="page"/>
      </w:r>
    </w:p>
    <w:p w14:paraId="00000056" w14:textId="77777777" w:rsidR="005C50EF" w:rsidRDefault="00000000">
      <w:pPr>
        <w:pStyle w:val="Titre1"/>
      </w:pPr>
      <w:bookmarkStart w:id="3" w:name="_xu7z178krc6b" w:colFirst="0" w:colLast="0"/>
      <w:bookmarkEnd w:id="3"/>
      <w:r>
        <w:lastRenderedPageBreak/>
        <w:t>详细操作流程：</w:t>
      </w:r>
    </w:p>
    <w:p w14:paraId="00000057" w14:textId="77777777" w:rsidR="005C50EF" w:rsidRDefault="005C50EF">
      <w:pPr>
        <w:rPr>
          <w:rFonts w:ascii="Quattrocento Sans" w:eastAsia="Quattrocento Sans" w:hAnsi="Quattrocento Sans" w:cs="Quattrocento Sans"/>
          <w:b/>
          <w:sz w:val="24"/>
          <w:szCs w:val="24"/>
          <w:u w:val="single"/>
        </w:rPr>
      </w:pPr>
    </w:p>
    <w:p w14:paraId="00000058" w14:textId="77777777" w:rsidR="005C50EF" w:rsidRDefault="00000000">
      <w:pPr>
        <w:pStyle w:val="Titre2"/>
      </w:pPr>
      <w:bookmarkStart w:id="4" w:name="_lclph51aoe47" w:colFirst="0" w:colLast="0"/>
      <w:bookmarkEnd w:id="4"/>
      <w:r>
        <w:t>第一阶段：准备</w:t>
      </w:r>
    </w:p>
    <w:p w14:paraId="00000059" w14:textId="77777777" w:rsidR="005C50EF" w:rsidRDefault="00000000">
      <w:pPr>
        <w:rPr>
          <w:rFonts w:ascii="Quattrocento Sans" w:eastAsia="Quattrocento Sans" w:hAnsi="Quattrocento Sans" w:cs="Quattrocento Sans"/>
          <w:i/>
          <w:sz w:val="24"/>
          <w:szCs w:val="24"/>
        </w:rPr>
      </w:pPr>
      <w:r>
        <w:rPr>
          <w:rFonts w:ascii="Quattrocento Sans" w:eastAsia="Quattrocento Sans" w:hAnsi="Quattrocento Sans" w:cs="Quattrocento Sans"/>
          <w:i/>
          <w:sz w:val="24"/>
          <w:szCs w:val="24"/>
        </w:rPr>
        <w:t>我们对我们的投资组合公司有很高的期望。做好准备并尽量减少对投资组合公司的“要求”，是确保他们在未来愿意与我们合作其他项目的最佳方式。</w:t>
      </w:r>
    </w:p>
    <w:p w14:paraId="0000005A" w14:textId="77777777" w:rsidR="005C50EF" w:rsidRDefault="005C50EF">
      <w:pPr>
        <w:rPr>
          <w:rFonts w:ascii="Quattrocento Sans" w:eastAsia="Quattrocento Sans" w:hAnsi="Quattrocento Sans" w:cs="Quattrocento Sans"/>
          <w:b/>
          <w:sz w:val="24"/>
          <w:szCs w:val="24"/>
          <w:u w:val="single"/>
        </w:rPr>
      </w:pPr>
    </w:p>
    <w:p w14:paraId="0000005B" w14:textId="77777777"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请向分配给该公司的风险投资合伙人请求介绍。</w:t>
      </w:r>
    </w:p>
    <w:p w14:paraId="0000005C" w14:textId="3D618488"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安排与创始人或团队成员的电话会议，并说明目的。</w:t>
      </w:r>
    </w:p>
    <w:p w14:paraId="0000005D" w14:textId="6963BB4E"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请准备好参加电话会议，充分了解公司的业务及其影响机制。开始在机制的新标签中填写行，包括SDG问卷回复、替代情景、利益相关者和机制。可以找到有用的信息：</w:t>
      </w:r>
    </w:p>
    <w:p w14:paraId="0000005E"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在投资电子表格中，通常包含：</w:t>
      </w:r>
    </w:p>
    <w:p w14:paraId="0000005F" w14:textId="77777777" w:rsidR="005C50EF" w:rsidRDefault="00000000">
      <w:pPr>
        <w:numPr>
          <w:ilvl w:val="2"/>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公司网站</w:t>
      </w:r>
    </w:p>
    <w:p w14:paraId="00000060" w14:textId="77777777" w:rsidR="005C50EF" w:rsidRDefault="00000000">
      <w:pPr>
        <w:numPr>
          <w:ilvl w:val="2"/>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推介文稿</w:t>
      </w:r>
    </w:p>
    <w:p w14:paraId="00000061" w14:textId="77777777" w:rsidR="005C50EF" w:rsidRDefault="00000000">
      <w:pPr>
        <w:numPr>
          <w:ilvl w:val="2"/>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创始人的LinkedIn</w:t>
      </w:r>
    </w:p>
    <w:p w14:paraId="00000062"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在Copper中每月或每季度更新</w:t>
      </w:r>
    </w:p>
    <w:p w14:paraId="00000063"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快速谷歌搜索</w:t>
      </w:r>
    </w:p>
    <w:p w14:paraId="00000064" w14:textId="77777777"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填写相关利益相关者及适用的影响机制。</w:t>
      </w:r>
    </w:p>
    <w:p w14:paraId="00000065"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利益相关者是那些其利益将受到项目执行或完成影响的人——在这种情况下，是投资公司的成功。</w:t>
      </w:r>
    </w:p>
    <w:p w14:paraId="00000066"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或者，他们是那些能够影响或受到投资组合公司成功影响的人。</w:t>
      </w:r>
    </w:p>
    <w:p w14:paraId="00000067"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考虑主要和次要利益相关者：主要利益相关者是直接受到影响的（例如，在医疗保健环境中的患者），而次要利益相关者则是间接受到影响的（例如，该患者的家人）。</w:t>
      </w:r>
    </w:p>
    <w:p w14:paraId="00000068"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更多信息请点击这里</w:t>
      </w:r>
      <w:r w:rsidR="005C50EF">
        <w:fldChar w:fldCharType="begin"/>
      </w:r>
      <w:r w:rsidR="005C50EF">
        <w:instrText>HYPERLINK "https://www.pmi.org/learning/library/stakeholder-analysis-pivotal-practice-projects-8905" \h</w:instrText>
      </w:r>
      <w:r w:rsidR="005C50EF">
        <w:fldChar w:fldCharType="separate"/>
      </w:r>
      <w:r w:rsidR="005C50EF">
        <w:rPr>
          <w:rFonts w:ascii="Quattrocento Sans" w:eastAsia="Quattrocento Sans" w:hAnsi="Quattrocento Sans" w:cs="Quattrocento Sans"/>
          <w:color w:val="1155CC"/>
          <w:sz w:val="24"/>
          <w:szCs w:val="24"/>
          <w:u w:val="single"/>
        </w:rPr>
        <w:t>here</w:t>
      </w:r>
      <w:r w:rsidR="005C50EF">
        <w:fldChar w:fldCharType="end"/>
      </w:r>
    </w:p>
    <w:p w14:paraId="00000069" w14:textId="77777777"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为投资组合公司准备问题。根据背景研究的需要，但应始终包括：</w:t>
      </w:r>
    </w:p>
    <w:p w14:paraId="0000006A"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您认为您主要的影响驱动因素是什么？</w:t>
      </w:r>
    </w:p>
    <w:p w14:paraId="0000006B"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您之前是否做过量化影响的工作，如果有的话，您能分享一下吗？</w:t>
      </w:r>
    </w:p>
    <w:p w14:paraId="0000006C"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我是否遗漏了任何利益相关者或机制？（在共享机制电子表格后）</w:t>
      </w:r>
    </w:p>
    <w:p w14:paraId="0000006D" w14:textId="77777777" w:rsidR="005C50EF" w:rsidRDefault="005C50EF">
      <w:pPr>
        <w:rPr>
          <w:rFonts w:ascii="Quattrocento Sans" w:eastAsia="Quattrocento Sans" w:hAnsi="Quattrocento Sans" w:cs="Quattrocento Sans"/>
          <w:sz w:val="24"/>
          <w:szCs w:val="24"/>
        </w:rPr>
      </w:pPr>
    </w:p>
    <w:p w14:paraId="0000006E" w14:textId="77777777" w:rsidR="005C50EF" w:rsidRDefault="00000000">
      <w:pPr>
        <w:pStyle w:val="Titre2"/>
      </w:pPr>
      <w:bookmarkStart w:id="5" w:name="_bnz2pbwo3m17" w:colFirst="0" w:colLast="0"/>
      <w:bookmarkEnd w:id="5"/>
      <w:r>
        <w:t>第二阶段：研究</w:t>
      </w:r>
    </w:p>
    <w:p w14:paraId="0000006F" w14:textId="77777777" w:rsidR="005C50EF" w:rsidRDefault="00000000">
      <w:pPr>
        <w:jc w:val="both"/>
        <w:rPr>
          <w:rFonts w:ascii="Quattrocento Sans" w:eastAsia="Quattrocento Sans" w:hAnsi="Quattrocento Sans" w:cs="Quattrocento Sans"/>
          <w:i/>
          <w:sz w:val="24"/>
          <w:szCs w:val="24"/>
        </w:rPr>
      </w:pPr>
      <w:r>
        <w:rPr>
          <w:rFonts w:ascii="Quattrocento Sans" w:eastAsia="Quattrocento Sans" w:hAnsi="Quattrocento Sans" w:cs="Quattrocento Sans"/>
          <w:i/>
          <w:sz w:val="24"/>
          <w:szCs w:val="24"/>
        </w:rPr>
        <w:t>最终输出分为两个部分：一个包含计算、输入和输出的电子表格，以及一个解释发现的文档。它们用于不同的目的和不同的受众，并依赖于相同的发现。首先，我们创建一个电子</w:t>
      </w:r>
      <w:r>
        <w:rPr>
          <w:rFonts w:ascii="Quattrocento Sans" w:eastAsia="Quattrocento Sans" w:hAnsi="Quattrocento Sans" w:cs="Quattrocento Sans"/>
          <w:i/>
          <w:sz w:val="24"/>
          <w:szCs w:val="24"/>
        </w:rPr>
        <w:lastRenderedPageBreak/>
        <w:t>表格，包含每个机制的美元价值代理、任何单位转换和投资组合输入乘数。这必须是可独立审计的，因此虽然电子表格中的所有内容不会出现在文档中，但反之则不成立。</w:t>
      </w:r>
    </w:p>
    <w:p w14:paraId="00000070" w14:textId="77777777" w:rsidR="005C50EF" w:rsidRDefault="005C50EF">
      <w:pPr>
        <w:rPr>
          <w:rFonts w:ascii="Quattrocento Sans" w:eastAsia="Quattrocento Sans" w:hAnsi="Quattrocento Sans" w:cs="Quattrocento Sans"/>
          <w:b/>
          <w:sz w:val="24"/>
          <w:szCs w:val="24"/>
          <w:u w:val="single"/>
        </w:rPr>
      </w:pPr>
    </w:p>
    <w:p w14:paraId="00000071"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使用Google和Google Scholar查找每种机制的经济价值。</w:t>
      </w:r>
    </w:p>
    <w:p w14:paraId="00000072"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检查现有资源（图书馆）以查找之前已量化的任何机制。</w:t>
      </w:r>
    </w:p>
    <w:p w14:paraId="00000073"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将所有数据点添加到Excel的Library选项卡下，标题为该主题的颜色。每个项目都有一个颜色，如首行所定义。</w:t>
      </w:r>
    </w:p>
    <w:p w14:paraId="00000074"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通常，来源会提供与所需单位不同的数据。在资料库中包含来源单位和任何转换。</w:t>
      </w:r>
    </w:p>
    <w:p w14:paraId="00000075"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A列 - 定义数据点</w:t>
      </w:r>
    </w:p>
    <w:p w14:paraId="00000076"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B列和C列 - 最小/最大值</w:t>
      </w:r>
    </w:p>
    <w:p w14:paraId="00000077"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D列 - 单位</w:t>
      </w:r>
    </w:p>
    <w:p w14:paraId="00000078"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E列 - 来源</w:t>
      </w:r>
    </w:p>
    <w:p w14:paraId="00000079"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展示所需的任何工作，并将用于计算的最终数字加粗**。**</w:t>
      </w:r>
    </w:p>
    <w:p w14:paraId="0000007A" w14:textId="77777777" w:rsidR="005C50EF" w:rsidRPr="006A29F6" w:rsidRDefault="00000000">
      <w:pPr>
        <w:numPr>
          <w:ilvl w:val="0"/>
          <w:numId w:val="1"/>
        </w:numPr>
        <w:rPr>
          <w:rFonts w:ascii="Quattrocento Sans" w:eastAsia="Quattrocento Sans" w:hAnsi="Quattrocento Sans" w:cs="Quattrocento Sans"/>
          <w:sz w:val="24"/>
          <w:szCs w:val="24"/>
          <w:highlight w:val="yellow"/>
        </w:rPr>
      </w:pPr>
      <w:r w:rsidRPr="006A29F6">
        <w:rPr>
          <w:rFonts w:ascii="Quattrocento Sans" w:eastAsia="Quattrocento Sans" w:hAnsi="Quattrocento Sans" w:cs="Quattrocento Sans"/>
          <w:sz w:val="24"/>
          <w:szCs w:val="24"/>
          <w:highlight w:val="yellow"/>
        </w:rPr>
        <w:t>一个机制可能有多种量化方式。在这种情况下，使用数据验证函数和IF/THEN函数，以便在E列选择不同的方法时，F列会产生不同的值。</w:t>
      </w:r>
    </w:p>
    <w:p w14:paraId="0000007B"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每个影响将是社会、财务或环境方面的。尚待确定财务影响是否被视为社会影响。财务影响仅包括已经以美元计价的项目，无需代理或时间成本。</w:t>
      </w:r>
    </w:p>
    <w:p w14:paraId="0000007C"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值可以使用最合适的单位进行表示。每个机制的测量可能是“每”不同的事物。这是可以的；乘法将在下一步进行，您将把每个值乘以投资组合公司提供的单位数量。</w:t>
      </w:r>
    </w:p>
    <w:p w14:paraId="0000007D"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从投资组合公司获取输入。最后通过电子邮件请求他们，以确保您将所有请求包含在一封电子邮件中，以减少他们的负担。这将是他们的收入，以及任何其他影响衡量的单位。请确保仅询问该年度的这些数值。</w:t>
      </w:r>
    </w:p>
    <w:p w14:paraId="0000007E" w14:textId="77777777" w:rsidR="005C50EF" w:rsidRDefault="00000000">
      <w:pPr>
        <w:pStyle w:val="Titre2"/>
      </w:pPr>
      <w:bookmarkStart w:id="6" w:name="_kuunbmity4lm" w:colFirst="0" w:colLast="0"/>
      <w:bookmarkEnd w:id="6"/>
      <w:r>
        <w:t>第三阶段：总结与叙述</w:t>
      </w:r>
    </w:p>
    <w:p w14:paraId="0000007F" w14:textId="77777777" w:rsidR="005C50EF" w:rsidRDefault="00000000">
      <w:pPr>
        <w:rPr>
          <w:rFonts w:ascii="Quattrocento Sans" w:eastAsia="Quattrocento Sans" w:hAnsi="Quattrocento Sans" w:cs="Quattrocento Sans"/>
          <w:i/>
          <w:sz w:val="24"/>
          <w:szCs w:val="24"/>
        </w:rPr>
      </w:pPr>
      <w:r>
        <w:rPr>
          <w:rFonts w:ascii="Quattrocento Sans" w:eastAsia="Quattrocento Sans" w:hAnsi="Quattrocento Sans" w:cs="Quattrocento Sans"/>
          <w:i/>
          <w:sz w:val="24"/>
          <w:szCs w:val="24"/>
        </w:rPr>
        <w:t>现在计算已经完成，请创建一个Docs文件，向外部受众解释发现的结果。目的是制作一个文档，作为内部用途的Sheets文件指南，以及一个单独的可供外部使用的交付成果。</w:t>
      </w:r>
    </w:p>
    <w:p w14:paraId="00000080" w14:textId="77777777" w:rsidR="005C50EF" w:rsidRDefault="005C50EF">
      <w:pPr>
        <w:rPr>
          <w:rFonts w:ascii="Quattrocento Sans" w:eastAsia="Quattrocento Sans" w:hAnsi="Quattrocento Sans" w:cs="Quattrocento Sans"/>
          <w:sz w:val="24"/>
          <w:szCs w:val="24"/>
        </w:rPr>
      </w:pPr>
    </w:p>
    <w:p w14:paraId="00000081" w14:textId="77777777" w:rsidR="005C50EF" w:rsidRDefault="00000000">
      <w:pPr>
        <w:numPr>
          <w:ilvl w:val="0"/>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准备用于汇总总数的电子表格</w:t>
      </w:r>
    </w:p>
    <w:p w14:paraId="00000082"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按每单位价值列对机制进行排序，从高到低。</w:t>
      </w:r>
    </w:p>
    <w:p w14:paraId="00000083" w14:textId="77777777" w:rsidR="005C50EF" w:rsidRDefault="00000000">
      <w:pPr>
        <w:numPr>
          <w:ilvl w:val="1"/>
          <w:numId w:val="6"/>
        </w:numPr>
        <w:rPr>
          <w:sz w:val="24"/>
          <w:szCs w:val="24"/>
        </w:rPr>
      </w:pPr>
      <w:r>
        <w:rPr>
          <w:rFonts w:ascii="Quattrocento Sans" w:eastAsia="Quattrocento Sans" w:hAnsi="Quattrocento Sans" w:cs="Quattrocento Sans"/>
          <w:sz w:val="24"/>
          <w:szCs w:val="24"/>
        </w:rPr>
        <w:t>将机制下的A列和B列复制到新部分，总计。</w:t>
      </w:r>
    </w:p>
    <w:p w14:paraId="00000084"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将每个机制的单位值乘以其单位数量，以填充C列。</w:t>
      </w:r>
    </w:p>
    <w:p w14:paraId="00000085"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对于负面影响，乘以 -1</w:t>
      </w:r>
    </w:p>
    <w:p w14:paraId="00000086"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将D列和E列标题命名为“绝对值”和“%绝对值”</w:t>
      </w:r>
    </w:p>
    <w:p w14:paraId="00000087"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D列与C列相同，但所有值均为正数。这是为了避免正负值相互抵消而导致百分比失真。这是绝对值。</w:t>
      </w:r>
    </w:p>
    <w:p w14:paraId="00000088" w14:textId="77777777" w:rsidR="005C50EF" w:rsidRDefault="00000000">
      <w:pPr>
        <w:numPr>
          <w:ilvl w:val="1"/>
          <w:numId w:val="6"/>
        </w:numPr>
        <w:rPr>
          <w:sz w:val="24"/>
          <w:szCs w:val="24"/>
        </w:rPr>
      </w:pPr>
      <w:r>
        <w:rPr>
          <w:rFonts w:ascii="Quattrocento Sans" w:eastAsia="Quattrocento Sans" w:hAnsi="Quattrocento Sans" w:cs="Quattrocento Sans"/>
          <w:sz w:val="24"/>
          <w:szCs w:val="24"/>
        </w:rPr>
        <w:lastRenderedPageBreak/>
        <w:t>通过将D列中的值除以总绝对值来填充E列。</w:t>
      </w:r>
    </w:p>
    <w:p w14:paraId="00000089" w14:textId="77777777" w:rsidR="005C50EF" w:rsidRDefault="00000000">
      <w:pPr>
        <w:numPr>
          <w:ilvl w:val="0"/>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填写叙述模板，使用侧边栏评论中的指导。侧边栏评论可以在理解指导后删除。</w:t>
      </w:r>
    </w:p>
    <w:p w14:paraId="0000008A" w14:textId="77777777" w:rsidR="005C50EF" w:rsidRDefault="00000000">
      <w:pPr>
        <w:numPr>
          <w:ilvl w:val="0"/>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每个情境都是相对于其他事物的。在电子表格和叙述中明确说明“基础案例”，即投资组合公司正在破坏或改善的情况。通常会有两个：一种是“无所作为”的情况（与现状相比有什么影响？）和一种是“竞争对手”的情况（与其最接近的竞争对手或被挑战的现任者相比有什么影响？）。有时只有一个适用的相对情境；有些可能会有两个以上。</w:t>
      </w:r>
    </w:p>
    <w:p w14:paraId="0000008B" w14:textId="77777777" w:rsidR="005C50EF" w:rsidRDefault="00000000">
      <w:pPr>
        <w:numPr>
          <w:ilvl w:val="0"/>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任何在[方括号]中的内容都是为了根据具体情况填写合适的措辞。</w:t>
      </w:r>
    </w:p>
    <w:p w14:paraId="0000008C" w14:textId="77777777" w:rsidR="005C50EF" w:rsidRDefault="005C50EF">
      <w:pPr>
        <w:rPr>
          <w:rFonts w:ascii="Quattrocento Sans" w:eastAsia="Quattrocento Sans" w:hAnsi="Quattrocento Sans" w:cs="Quattrocento Sans"/>
          <w:sz w:val="24"/>
          <w:szCs w:val="24"/>
        </w:rPr>
      </w:pPr>
    </w:p>
    <w:p w14:paraId="0000008D" w14:textId="77777777" w:rsidR="005C50EF" w:rsidRDefault="00000000">
      <w:pPr>
        <w:pStyle w:val="Titre2"/>
      </w:pPr>
      <w:bookmarkStart w:id="7" w:name="_iou1xpcxtrhq" w:colFirst="0" w:colLast="0"/>
      <w:bookmarkEnd w:id="7"/>
      <w:r>
        <w:t>阶段四：建立支持</w:t>
      </w:r>
    </w:p>
    <w:p w14:paraId="0000008E" w14:textId="77777777" w:rsidR="005C50EF" w:rsidRDefault="00000000">
      <w:pPr>
        <w:numPr>
          <w:ilvl w:val="0"/>
          <w:numId w:val="3"/>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寻求Acme Fund管理层、风险投资合作伙伴及其他人的意见。</w:t>
      </w:r>
    </w:p>
    <w:p w14:paraId="0000008F" w14:textId="77777777" w:rsidR="005C50EF" w:rsidRDefault="00000000">
      <w:pPr>
        <w:numPr>
          <w:ilvl w:val="0"/>
          <w:numId w:val="3"/>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向投资组合公司展示并寻求他们的意见。对他们的意见要保持谨慎；他们会有动机让影响看起来尽可能好。确认他们对外分享的叙述感到满意（没有敏感或机密信息）。</w:t>
      </w:r>
    </w:p>
    <w:p w14:paraId="00000090" w14:textId="77777777" w:rsidR="005C50EF" w:rsidRDefault="00000000">
      <w:pPr>
        <w:numPr>
          <w:ilvl w:val="0"/>
          <w:numId w:val="3"/>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将最终版本分发给Acme Fund管理层和投资组合公司，保存到共享文件夹中。</w:t>
      </w:r>
    </w:p>
    <w:p w14:paraId="00000091" w14:textId="77777777" w:rsidR="005C50EF" w:rsidRDefault="005C50EF">
      <w:pPr>
        <w:rPr>
          <w:rFonts w:ascii="Quattrocento Sans" w:eastAsia="Quattrocento Sans" w:hAnsi="Quattrocento Sans" w:cs="Quattrocento Sans"/>
          <w:sz w:val="24"/>
          <w:szCs w:val="24"/>
        </w:rPr>
      </w:pPr>
    </w:p>
    <w:p w14:paraId="00000092" w14:textId="77777777" w:rsidR="005C50EF" w:rsidRDefault="00000000">
      <w:pPr>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提示：</w:t>
      </w:r>
    </w:p>
    <w:p w14:paraId="00000093" w14:textId="77777777" w:rsidR="005C50EF" w:rsidRDefault="00000000">
      <w:pPr>
        <w:numPr>
          <w:ilvl w:val="0"/>
          <w:numId w:val="4"/>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首先完成整个电子表格，然后再处理叙述。对电子表格的小改动可能会导致需要重新编写叙述的部分。</w:t>
      </w:r>
    </w:p>
    <w:p w14:paraId="00000094" w14:textId="77777777" w:rsidR="005C50EF" w:rsidRDefault="00000000">
      <w:pPr>
        <w:numPr>
          <w:ilvl w:val="0"/>
          <w:numId w:val="4"/>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将所有单元格互相链接，即使是 B3=A3。这样如果某个值发生变化，所有内容都会随之变化。</w:t>
      </w:r>
    </w:p>
    <w:p w14:paraId="00000095" w14:textId="77777777" w:rsidR="005C50EF" w:rsidRDefault="00000000">
      <w:pPr>
        <w:numPr>
          <w:ilvl w:val="0"/>
          <w:numId w:val="4"/>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最小化N/A。“进一步细化”部分确实允许对未涉及的内容进行解释，但在此阶段，未包含或量化某一机制的原因应该是具体的，而不仅仅是因为这样做具有挑战性或不完美。</w:t>
      </w:r>
    </w:p>
    <w:p w14:paraId="00000096" w14:textId="77777777" w:rsidR="005C50EF" w:rsidRDefault="00000000">
      <w:pPr>
        <w:numPr>
          <w:ilvl w:val="0"/>
          <w:numId w:val="4"/>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请记住，我们从投资组合公司请求的信息是保密的。确保敏感信息仅包含在内部的Excel文件中，而不在外部的叙述中。</w:t>
      </w:r>
    </w:p>
    <w:p w14:paraId="000000C6" w14:textId="267635FE" w:rsidR="005C50EF" w:rsidRDefault="00000000">
      <w:pPr>
        <w:jc w:val="both"/>
      </w:pPr>
      <w:bookmarkStart w:id="8" w:name="_q3e421wlcf72" w:colFirst="0" w:colLast="0"/>
      <w:bookmarkEnd w:id="8"/>
      <w:r>
        <w:br w:type="page"/>
      </w:r>
    </w:p>
    <w:p w14:paraId="000000C7" w14:textId="77777777" w:rsidR="005C50EF" w:rsidRDefault="00000000">
      <w:pPr>
        <w:pStyle w:val="Titre1"/>
      </w:pPr>
      <w:bookmarkStart w:id="9" w:name="_ae0ladt859es" w:colFirst="0" w:colLast="0"/>
      <w:bookmarkEnd w:id="9"/>
      <w:r>
        <w:lastRenderedPageBreak/>
        <w:t>标准影响测量方法论</w:t>
      </w:r>
    </w:p>
    <w:p w14:paraId="000000C8" w14:textId="77777777" w:rsidR="005C50EF" w:rsidRDefault="005C50EF">
      <w:pPr>
        <w:jc w:val="center"/>
        <w:rPr>
          <w:rFonts w:ascii="Quattrocento Sans" w:eastAsia="Quattrocento Sans" w:hAnsi="Quattrocento Sans" w:cs="Quattrocento Sans"/>
          <w:b/>
          <w:sz w:val="24"/>
          <w:szCs w:val="24"/>
        </w:rPr>
      </w:pPr>
    </w:p>
    <w:p w14:paraId="000000C9" w14:textId="77777777" w:rsidR="005C50EF" w:rsidRDefault="00000000">
      <w:pPr>
        <w:spacing w:line="360" w:lineRule="auto"/>
        <w:jc w:val="both"/>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清单方法论</w:t>
      </w:r>
    </w:p>
    <w:p w14:paraId="000000CA" w14:textId="77777777" w:rsidR="005C50EF" w:rsidRDefault="00000000">
      <w:pPr>
        <w:jc w:val="both"/>
        <w:rPr>
          <w:rFonts w:ascii="Quattrocento Sans" w:eastAsia="Quattrocento Sans" w:hAnsi="Quattrocento Sans" w:cs="Quattrocento Sans"/>
          <w:b/>
          <w:sz w:val="24"/>
          <w:szCs w:val="24"/>
        </w:rPr>
      </w:pPr>
      <w:r>
        <w:rPr>
          <w:rFonts w:ascii="Quattrocento Sans" w:eastAsia="Quattrocento Sans" w:hAnsi="Quattrocento Sans" w:cs="Quattrocento Sans"/>
          <w:sz w:val="24"/>
          <w:szCs w:val="24"/>
        </w:rPr>
        <w:t>正如本文所述，许多当今影响测量方法的弱点在于它们使用检查表，而没有考虑影响的相对大小。因此，像Philip Morris、Exxon或Facebook这样的公司在许多检查表因素上得分很高，因此获得高评级，而在某些因素上却可能产生巨大的（净）负面影响。</w:t>
      </w:r>
      <w:hyperlink r:id="rId7">
        <w:r w:rsidR="005C50EF">
          <w:rPr>
            <w:rFonts w:ascii="Quattrocento Sans" w:eastAsia="Quattrocento Sans" w:hAnsi="Quattrocento Sans" w:cs="Quattrocento Sans"/>
            <w:color w:val="1155CC"/>
            <w:sz w:val="24"/>
            <w:szCs w:val="24"/>
            <w:u w:val="single"/>
          </w:rPr>
          <w:t>this article</w:t>
        </w:r>
      </w:hyperlink>
    </w:p>
    <w:p w14:paraId="000000CB" w14:textId="77777777" w:rsidR="005C50EF" w:rsidRDefault="005C50EF">
      <w:pPr>
        <w:rPr>
          <w:rFonts w:ascii="Quattrocento Sans" w:eastAsia="Quattrocento Sans" w:hAnsi="Quattrocento Sans" w:cs="Quattrocento Sans"/>
          <w:sz w:val="24"/>
          <w:szCs w:val="24"/>
        </w:rPr>
      </w:pPr>
    </w:p>
    <w:p w14:paraId="000000CC" w14:textId="77777777" w:rsidR="005C50EF" w:rsidRDefault="005C50EF">
      <w:pPr>
        <w:jc w:val="both"/>
        <w:rPr>
          <w:rFonts w:ascii="Quattrocento Sans" w:eastAsia="Quattrocento Sans" w:hAnsi="Quattrocento Sans" w:cs="Quattrocento Sans"/>
          <w:sz w:val="24"/>
          <w:szCs w:val="24"/>
        </w:rPr>
      </w:pPr>
      <w:hyperlink r:id="rId8">
        <w:r>
          <w:rPr>
            <w:rFonts w:ascii="Quattrocento Sans" w:eastAsia="Quattrocento Sans" w:hAnsi="Quattrocento Sans" w:cs="Quattrocento Sans"/>
            <w:b/>
            <w:color w:val="1155CC"/>
            <w:sz w:val="24"/>
            <w:szCs w:val="24"/>
            <w:u w:val="single"/>
          </w:rPr>
          <w:t>IRIS+</w:t>
        </w:r>
      </w:hyperlink>
      <w:r>
        <w:rPr>
          <w:rFonts w:ascii="Quattrocento Sans" w:eastAsia="Quattrocento Sans" w:hAnsi="Quattrocento Sans" w:cs="Quattrocento Sans"/>
          <w:b/>
          <w:sz w:val="24"/>
          <w:szCs w:val="24"/>
        </w:rPr>
        <w:t>IRIS+：影响报告与投资标准（IRIS）是一个行业标准系统，用于将影响意图转化为结果。它包括一套非规定性的标准指标，供选择的指标超过400个，具体取决于感兴趣的影响因素。适合将公司与单一目标进行比较（例如，建造1,000个可负担住房单元）。不适合跟踪为实现该目标而产生的净（负面）影响成本（例如，为此破坏了1,000英亩的亚马逊雨林）。</w:t>
      </w:r>
    </w:p>
    <w:p w14:paraId="000000CD" w14:textId="77777777" w:rsidR="005C50EF" w:rsidRDefault="005C50EF">
      <w:pPr>
        <w:jc w:val="both"/>
        <w:rPr>
          <w:rFonts w:ascii="Quattrocento Sans" w:eastAsia="Quattrocento Sans" w:hAnsi="Quattrocento Sans" w:cs="Quattrocento Sans"/>
          <w:sz w:val="24"/>
          <w:szCs w:val="24"/>
        </w:rPr>
      </w:pPr>
    </w:p>
    <w:p w14:paraId="000000CE" w14:textId="77777777" w:rsidR="005C50EF" w:rsidRDefault="005C50EF">
      <w:pPr>
        <w:jc w:val="both"/>
        <w:rPr>
          <w:rFonts w:ascii="Quattrocento Sans" w:eastAsia="Quattrocento Sans" w:hAnsi="Quattrocento Sans" w:cs="Quattrocento Sans"/>
          <w:sz w:val="24"/>
          <w:szCs w:val="24"/>
        </w:rPr>
      </w:pPr>
      <w:hyperlink r:id="rId9">
        <w:r>
          <w:rPr>
            <w:rFonts w:ascii="Quattrocento Sans" w:eastAsia="Quattrocento Sans" w:hAnsi="Quattrocento Sans" w:cs="Quattrocento Sans"/>
            <w:b/>
            <w:color w:val="1155CC"/>
            <w:sz w:val="24"/>
            <w:szCs w:val="24"/>
            <w:u w:val="single"/>
          </w:rPr>
          <w:t>B Impact</w:t>
        </w:r>
      </w:hyperlink>
      <w:r>
        <w:rPr>
          <w:rFonts w:ascii="Quattrocento Sans" w:eastAsia="Quattrocento Sans" w:hAnsi="Quattrocento Sans" w:cs="Quattrocento Sans"/>
          <w:b/>
          <w:sz w:val="24"/>
          <w:szCs w:val="24"/>
        </w:rPr>
        <w:t>B Impact：一个免费的、保密的、基于清单的工具，用于给予公司0-100的评分，以描述其社会和环境影响。易于理解和比较。密切关注公司的政策，因此提供了改善评分的明确路径。在任何领域都不对过多的正面/负面影响提供额外的加分/惩罚，因此奖励“足够好”的行为，而不是绝对影响。</w:t>
      </w:r>
    </w:p>
    <w:p w14:paraId="000000CF" w14:textId="77777777" w:rsidR="005C50EF" w:rsidRDefault="005C50EF">
      <w:pPr>
        <w:jc w:val="both"/>
        <w:rPr>
          <w:rFonts w:ascii="Quattrocento Sans" w:eastAsia="Quattrocento Sans" w:hAnsi="Quattrocento Sans" w:cs="Quattrocento Sans"/>
          <w:sz w:val="24"/>
          <w:szCs w:val="24"/>
        </w:rPr>
      </w:pPr>
    </w:p>
    <w:p w14:paraId="000000D0" w14:textId="77777777" w:rsidR="005C50EF" w:rsidRDefault="005C50EF">
      <w:pPr>
        <w:jc w:val="both"/>
        <w:rPr>
          <w:rFonts w:ascii="Quattrocento Sans" w:eastAsia="Quattrocento Sans" w:hAnsi="Quattrocento Sans" w:cs="Quattrocento Sans"/>
          <w:sz w:val="24"/>
          <w:szCs w:val="24"/>
        </w:rPr>
      </w:pPr>
      <w:hyperlink r:id="rId10">
        <w:r>
          <w:rPr>
            <w:rFonts w:ascii="Quattrocento Sans" w:eastAsia="Quattrocento Sans" w:hAnsi="Quattrocento Sans" w:cs="Quattrocento Sans"/>
            <w:b/>
            <w:color w:val="1155CC"/>
            <w:sz w:val="24"/>
            <w:szCs w:val="24"/>
            <w:u w:val="single"/>
          </w:rPr>
          <w:t>GIIRS</w:t>
        </w:r>
      </w:hyperlink>
      <w:r>
        <w:rPr>
          <w:rFonts w:ascii="Quattrocento Sans" w:eastAsia="Quattrocento Sans" w:hAnsi="Quattrocento Sans" w:cs="Quattrocento Sans"/>
          <w:b/>
          <w:sz w:val="24"/>
          <w:szCs w:val="24"/>
        </w:rPr>
        <w:t>GIIRS：全球影响投资评级系统是一种五颗星评级，用于评估影响基金。要获得评级，基金的投资组合公司必须完成B影响评估，而基金本身则会收到一份修改过的B影响问卷。评估的是基金在部署资金方面的政策和程序，而不是最终的影响。</w:t>
      </w:r>
    </w:p>
    <w:p w14:paraId="000000D1" w14:textId="77777777" w:rsidR="005C50EF" w:rsidRDefault="005C50EF">
      <w:pPr>
        <w:jc w:val="both"/>
        <w:rPr>
          <w:rFonts w:ascii="Quattrocento Sans" w:eastAsia="Quattrocento Sans" w:hAnsi="Quattrocento Sans" w:cs="Quattrocento Sans"/>
          <w:sz w:val="24"/>
          <w:szCs w:val="24"/>
        </w:rPr>
      </w:pPr>
    </w:p>
    <w:p w14:paraId="000000D2" w14:textId="77777777" w:rsidR="005C50EF" w:rsidRDefault="005C50EF">
      <w:pPr>
        <w:jc w:val="both"/>
        <w:rPr>
          <w:rFonts w:ascii="Quattrocento Sans" w:eastAsia="Quattrocento Sans" w:hAnsi="Quattrocento Sans" w:cs="Quattrocento Sans"/>
          <w:sz w:val="24"/>
          <w:szCs w:val="24"/>
        </w:rPr>
      </w:pPr>
      <w:hyperlink r:id="rId11">
        <w:r>
          <w:rPr>
            <w:rFonts w:ascii="Quattrocento Sans" w:eastAsia="Quattrocento Sans" w:hAnsi="Quattrocento Sans" w:cs="Quattrocento Sans"/>
            <w:b/>
            <w:color w:val="1155CC"/>
            <w:sz w:val="24"/>
            <w:szCs w:val="24"/>
            <w:u w:val="single"/>
          </w:rPr>
          <w:t>GRI</w:t>
        </w:r>
      </w:hyperlink>
      <w:r>
        <w:rPr>
          <w:rFonts w:ascii="Quattrocento Sans" w:eastAsia="Quattrocento Sans" w:hAnsi="Quattrocento Sans" w:cs="Quattrocento Sans"/>
          <w:b/>
          <w:sz w:val="24"/>
          <w:szCs w:val="24"/>
        </w:rPr>
        <w:t>GRI：GRI标准为（通常是较大）组织在可持续发展框架内报告其影响创造了一个共同语言。这是一份高度详细的870页标准，重点关注可审计性（精确性优于准确性），详细记录标准、流程，并对意图给予信用。</w:t>
      </w:r>
      <w:hyperlink r:id="rId12" w:anchor="bookmark=id.o80ynyjrvzy2">
        <w:r>
          <w:rPr>
            <w:rFonts w:ascii="Quattrocento Sans" w:eastAsia="Quattrocento Sans" w:hAnsi="Quattrocento Sans" w:cs="Quattrocento Sans"/>
            <w:color w:val="1155CC"/>
            <w:sz w:val="24"/>
            <w:szCs w:val="24"/>
            <w:u w:val="single"/>
          </w:rPr>
          <w:t>precision</w:t>
        </w:r>
      </w:hyperlink>
      <w:hyperlink r:id="rId13" w:anchor="bookmark=id.qdxc753epp4">
        <w:r>
          <w:rPr>
            <w:rFonts w:ascii="Quattrocento Sans" w:eastAsia="Quattrocento Sans" w:hAnsi="Quattrocento Sans" w:cs="Quattrocento Sans"/>
            <w:color w:val="1155CC"/>
            <w:sz w:val="24"/>
            <w:szCs w:val="24"/>
            <w:u w:val="single"/>
          </w:rPr>
          <w:t>intent</w:t>
        </w:r>
      </w:hyperlink>
    </w:p>
    <w:p w14:paraId="000000D3" w14:textId="77777777" w:rsidR="005C50EF" w:rsidRDefault="005C50EF">
      <w:pPr>
        <w:jc w:val="both"/>
        <w:rPr>
          <w:rFonts w:ascii="Quattrocento Sans" w:eastAsia="Quattrocento Sans" w:hAnsi="Quattrocento Sans" w:cs="Quattrocento Sans"/>
          <w:sz w:val="24"/>
          <w:szCs w:val="24"/>
        </w:rPr>
      </w:pPr>
    </w:p>
    <w:p w14:paraId="000000D4" w14:textId="77777777" w:rsidR="005C50EF" w:rsidRDefault="005C50EF">
      <w:pPr>
        <w:jc w:val="both"/>
        <w:rPr>
          <w:rFonts w:ascii="Quattrocento Sans" w:eastAsia="Quattrocento Sans" w:hAnsi="Quattrocento Sans" w:cs="Quattrocento Sans"/>
          <w:sz w:val="24"/>
          <w:szCs w:val="24"/>
        </w:rPr>
      </w:pPr>
      <w:hyperlink r:id="rId14">
        <w:r>
          <w:rPr>
            <w:rFonts w:ascii="Quattrocento Sans" w:eastAsia="Quattrocento Sans" w:hAnsi="Quattrocento Sans" w:cs="Quattrocento Sans"/>
            <w:b/>
            <w:color w:val="1155CC"/>
            <w:sz w:val="24"/>
            <w:szCs w:val="24"/>
            <w:u w:val="single"/>
          </w:rPr>
          <w:t>UN SDGs</w:t>
        </w:r>
      </w:hyperlink>
      <w:r>
        <w:rPr>
          <w:rFonts w:ascii="Quattrocento Sans" w:eastAsia="Quattrocento Sans" w:hAnsi="Quattrocento Sans" w:cs="Quattrocento Sans"/>
          <w:sz w:val="24"/>
          <w:szCs w:val="24"/>
        </w:rPr>
        <w:t>联合国可持续发展目标：联合国可持续发展目标是人类社会的17个优先目标的清单。作为检查某项活动是否具有积极（或消极）社会影响以及公司是否“在世界上做出贡献”的清单非常有用。并不旨在允许目标或目标之间的比较和权衡。</w:t>
      </w:r>
    </w:p>
    <w:p w14:paraId="000000D5" w14:textId="77777777" w:rsidR="005C50EF" w:rsidRDefault="005C50EF">
      <w:pPr>
        <w:jc w:val="both"/>
        <w:rPr>
          <w:rFonts w:ascii="Quattrocento Sans" w:eastAsia="Quattrocento Sans" w:hAnsi="Quattrocento Sans" w:cs="Quattrocento Sans"/>
          <w:sz w:val="24"/>
          <w:szCs w:val="24"/>
        </w:rPr>
      </w:pPr>
    </w:p>
    <w:p w14:paraId="000000D6" w14:textId="77777777" w:rsidR="005C50EF" w:rsidRDefault="005C50EF">
      <w:pPr>
        <w:jc w:val="both"/>
        <w:rPr>
          <w:rFonts w:ascii="Quattrocento Sans" w:eastAsia="Quattrocento Sans" w:hAnsi="Quattrocento Sans" w:cs="Quattrocento Sans"/>
          <w:sz w:val="24"/>
          <w:szCs w:val="24"/>
        </w:rPr>
      </w:pPr>
    </w:p>
    <w:p w14:paraId="000000D7" w14:textId="77777777" w:rsidR="005C50EF" w:rsidRDefault="00000000">
      <w:pPr>
        <w:spacing w:line="360" w:lineRule="auto"/>
        <w:jc w:val="both"/>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金融风险方法论</w:t>
      </w:r>
    </w:p>
    <w:p w14:paraId="000000D8" w14:textId="77777777" w:rsidR="005C50EF" w:rsidRDefault="005C50EF">
      <w:pPr>
        <w:jc w:val="both"/>
        <w:rPr>
          <w:rFonts w:ascii="Quattrocento Sans" w:eastAsia="Quattrocento Sans" w:hAnsi="Quattrocento Sans" w:cs="Quattrocento Sans"/>
          <w:sz w:val="24"/>
          <w:szCs w:val="24"/>
        </w:rPr>
      </w:pPr>
      <w:hyperlink r:id="rId15">
        <w:r>
          <w:rPr>
            <w:rFonts w:ascii="Quattrocento Sans" w:eastAsia="Quattrocento Sans" w:hAnsi="Quattrocento Sans" w:cs="Quattrocento Sans"/>
            <w:b/>
            <w:color w:val="1155CC"/>
            <w:sz w:val="24"/>
            <w:szCs w:val="24"/>
            <w:u w:val="single"/>
          </w:rPr>
          <w:t>MSCI</w:t>
        </w:r>
      </w:hyperlink>
      <w:r>
        <w:rPr>
          <w:rFonts w:ascii="Quattrocento Sans" w:eastAsia="Quattrocento Sans" w:hAnsi="Quattrocento Sans" w:cs="Quattrocento Sans"/>
          <w:b/>
          <w:sz w:val="24"/>
          <w:szCs w:val="24"/>
        </w:rPr>
        <w:t>MSCI：一种相对的AAA到CCC排名系统，用于评估一家公司在特定环境、社会和治理（ESG）风险因素上是否优于其同行。重点在于对公司未来财务盈利能力的风险以及公司如何管理这些风险的暴露，而不是实际的环境和社会影响。这也是一个相对评分，这意味着在影响极为负面的行业中，如石油公司，仍然可以获得很高的评分。</w:t>
      </w:r>
    </w:p>
    <w:p w14:paraId="000000D9" w14:textId="77777777" w:rsidR="005C50EF" w:rsidRDefault="005C50EF">
      <w:pPr>
        <w:jc w:val="both"/>
        <w:rPr>
          <w:rFonts w:ascii="Quattrocento Sans" w:eastAsia="Quattrocento Sans" w:hAnsi="Quattrocento Sans" w:cs="Quattrocento Sans"/>
          <w:b/>
          <w:sz w:val="24"/>
          <w:szCs w:val="24"/>
        </w:rPr>
      </w:pPr>
    </w:p>
    <w:p w14:paraId="000000DA" w14:textId="77777777" w:rsidR="005C50EF" w:rsidRDefault="005C50EF">
      <w:pPr>
        <w:jc w:val="both"/>
        <w:rPr>
          <w:rFonts w:ascii="Quattrocento Sans" w:eastAsia="Quattrocento Sans" w:hAnsi="Quattrocento Sans" w:cs="Quattrocento Sans"/>
          <w:sz w:val="24"/>
          <w:szCs w:val="24"/>
        </w:rPr>
      </w:pPr>
      <w:hyperlink r:id="rId16">
        <w:r>
          <w:rPr>
            <w:rFonts w:ascii="Quattrocento Sans" w:eastAsia="Quattrocento Sans" w:hAnsi="Quattrocento Sans" w:cs="Quattrocento Sans"/>
            <w:b/>
            <w:color w:val="1155CC"/>
            <w:sz w:val="24"/>
            <w:szCs w:val="24"/>
            <w:u w:val="single"/>
          </w:rPr>
          <w:t>SASB</w:t>
        </w:r>
      </w:hyperlink>
      <w:r>
        <w:rPr>
          <w:rFonts w:ascii="Quattrocento Sans" w:eastAsia="Quattrocento Sans" w:hAnsi="Quattrocento Sans" w:cs="Quattrocento Sans"/>
          <w:b/>
          <w:sz w:val="24"/>
          <w:szCs w:val="24"/>
        </w:rPr>
        <w:t>SASB：可持续性会计标准委员会指导公司向投资者报告哪些ESG因素，涵盖70多个行业的清单，因为这些因素被认为与公司的财务表现相关。并不将这些因素转化为社会和环境影响。与ISSB密切合作。</w:t>
      </w:r>
    </w:p>
    <w:p w14:paraId="000000DB" w14:textId="77777777" w:rsidR="005C50EF" w:rsidRDefault="005C50EF">
      <w:pPr>
        <w:jc w:val="both"/>
        <w:rPr>
          <w:rFonts w:ascii="Quattrocento Sans" w:eastAsia="Quattrocento Sans" w:hAnsi="Quattrocento Sans" w:cs="Quattrocento Sans"/>
          <w:sz w:val="24"/>
          <w:szCs w:val="24"/>
        </w:rPr>
      </w:pPr>
    </w:p>
    <w:p w14:paraId="000000DC" w14:textId="77777777" w:rsidR="005C50EF" w:rsidRDefault="005C50EF">
      <w:pPr>
        <w:jc w:val="both"/>
        <w:rPr>
          <w:rFonts w:ascii="Quattrocento Sans" w:eastAsia="Quattrocento Sans" w:hAnsi="Quattrocento Sans" w:cs="Quattrocento Sans"/>
          <w:sz w:val="24"/>
          <w:szCs w:val="24"/>
        </w:rPr>
      </w:pPr>
      <w:hyperlink r:id="rId17">
        <w:r>
          <w:rPr>
            <w:rFonts w:ascii="Quattrocento Sans" w:eastAsia="Quattrocento Sans" w:hAnsi="Quattrocento Sans" w:cs="Quattrocento Sans"/>
            <w:b/>
            <w:color w:val="1155CC"/>
            <w:sz w:val="24"/>
            <w:szCs w:val="24"/>
            <w:u w:val="single"/>
          </w:rPr>
          <w:t>ISSB</w:t>
        </w:r>
      </w:hyperlink>
      <w:hyperlink r:id="rId18">
        <w:r>
          <w:rPr>
            <w:rFonts w:ascii="Quattrocento Sans" w:eastAsia="Quattrocento Sans" w:hAnsi="Quattrocento Sans" w:cs="Quattrocento Sans"/>
            <w:b/>
            <w:color w:val="1155CC"/>
            <w:sz w:val="24"/>
            <w:szCs w:val="24"/>
          </w:rPr>
          <w:t>:</w:t>
        </w:r>
      </w:hyperlink>
      <w:r>
        <w:rPr>
          <w:rFonts w:ascii="Quattrocento Sans" w:eastAsia="Quattrocento Sans" w:hAnsi="Quattrocento Sans" w:cs="Quattrocento Sans"/>
          <w:sz w:val="24"/>
          <w:szCs w:val="24"/>
        </w:rPr>
        <w:t>ISSB：国际可持续性标准委员会，隶属于国际财务报告准则（IFRS）。专注于制定统一的标准，以报告对公司财务表现产生影响的环境、社会和治理（ESG）因素。</w:t>
      </w:r>
    </w:p>
    <w:p w14:paraId="000000DD" w14:textId="77777777" w:rsidR="005C50EF" w:rsidRDefault="005C50EF">
      <w:pPr>
        <w:rPr>
          <w:rFonts w:ascii="Quattrocento Sans" w:eastAsia="Quattrocento Sans" w:hAnsi="Quattrocento Sans" w:cs="Quattrocento Sans"/>
          <w:b/>
          <w:sz w:val="24"/>
          <w:szCs w:val="24"/>
        </w:rPr>
      </w:pPr>
    </w:p>
    <w:p w14:paraId="000000DE" w14:textId="77777777" w:rsidR="005C50EF" w:rsidRDefault="00000000">
      <w:pPr>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指标方法论</w:t>
      </w:r>
    </w:p>
    <w:p w14:paraId="000000DF" w14:textId="77777777" w:rsidR="005C50EF" w:rsidRDefault="005C50EF">
      <w:pPr>
        <w:jc w:val="both"/>
        <w:rPr>
          <w:rFonts w:ascii="Quattrocento Sans" w:eastAsia="Quattrocento Sans" w:hAnsi="Quattrocento Sans" w:cs="Quattrocento Sans"/>
          <w:sz w:val="24"/>
          <w:szCs w:val="24"/>
        </w:rPr>
      </w:pPr>
      <w:hyperlink r:id="rId19">
        <w:r>
          <w:rPr>
            <w:rFonts w:ascii="Quattrocento Sans" w:eastAsia="Quattrocento Sans" w:hAnsi="Quattrocento Sans" w:cs="Quattrocento Sans"/>
            <w:b/>
            <w:color w:val="1155CC"/>
            <w:sz w:val="24"/>
            <w:szCs w:val="24"/>
            <w:u w:val="single"/>
          </w:rPr>
          <w:t>Actis</w:t>
        </w:r>
      </w:hyperlink>
      <w:r>
        <w:rPr>
          <w:rFonts w:ascii="Quattrocento Sans" w:eastAsia="Quattrocento Sans" w:hAnsi="Quattrocento Sans" w:cs="Quattrocento Sans"/>
          <w:b/>
          <w:sz w:val="24"/>
          <w:szCs w:val="24"/>
        </w:rPr>
        <w:t>Actis：一个专有框架，用于衡量我们投资的积极社会和环境影响，并能够在各个行业和地区之间进行比较。通过应用简单的权重因子（1-5的评分标准），试图克服基于清单的方法的一些局限性。不同产业之间不可比较。</w:t>
      </w:r>
    </w:p>
    <w:p w14:paraId="000000E0" w14:textId="77777777" w:rsidR="005C50EF" w:rsidRDefault="005C50EF">
      <w:pPr>
        <w:jc w:val="both"/>
        <w:rPr>
          <w:rFonts w:ascii="Quattrocento Sans" w:eastAsia="Quattrocento Sans" w:hAnsi="Quattrocento Sans" w:cs="Quattrocento Sans"/>
          <w:sz w:val="24"/>
          <w:szCs w:val="24"/>
        </w:rPr>
      </w:pPr>
    </w:p>
    <w:p w14:paraId="000000E1" w14:textId="77777777" w:rsidR="005C50EF" w:rsidRDefault="00000000">
      <w:p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美元方法论</w:t>
      </w:r>
    </w:p>
    <w:p w14:paraId="000000E2" w14:textId="77777777" w:rsidR="005C50EF" w:rsidRDefault="005C50EF">
      <w:pPr>
        <w:jc w:val="both"/>
        <w:rPr>
          <w:rFonts w:ascii="Quattrocento Sans" w:eastAsia="Quattrocento Sans" w:hAnsi="Quattrocento Sans" w:cs="Quattrocento Sans"/>
          <w:sz w:val="24"/>
          <w:szCs w:val="24"/>
        </w:rPr>
      </w:pPr>
      <w:hyperlink r:id="rId20">
        <w:r>
          <w:rPr>
            <w:rFonts w:ascii="Quattrocento Sans" w:eastAsia="Quattrocento Sans" w:hAnsi="Quattrocento Sans" w:cs="Quattrocento Sans"/>
            <w:b/>
            <w:color w:val="1155CC"/>
            <w:sz w:val="24"/>
            <w:szCs w:val="24"/>
            <w:u w:val="single"/>
          </w:rPr>
          <w:t>Impact-Weighted Accounts</w:t>
        </w:r>
      </w:hyperlink>
      <w:r>
        <w:rPr>
          <w:rFonts w:ascii="Quattrocento Sans" w:eastAsia="Quattrocento Sans" w:hAnsi="Quattrocento Sans" w:cs="Quattrocento Sans"/>
          <w:b/>
          <w:sz w:val="24"/>
          <w:szCs w:val="24"/>
        </w:rPr>
        <w:t>影响加权账户：这些是财务报表上的项目，例如损益表或资产负债表，旨在补充财务健康和业绩的陈述，通过反映公司对员工、客户、环境和更广泛社会的正面和负面影响。</w:t>
      </w:r>
    </w:p>
    <w:p w14:paraId="000000E3" w14:textId="77777777" w:rsidR="005C50EF" w:rsidRDefault="005C50EF">
      <w:pPr>
        <w:jc w:val="both"/>
        <w:rPr>
          <w:rFonts w:ascii="Quattrocento Sans" w:eastAsia="Quattrocento Sans" w:hAnsi="Quattrocento Sans" w:cs="Quattrocento Sans"/>
          <w:sz w:val="24"/>
          <w:szCs w:val="24"/>
        </w:rPr>
      </w:pPr>
    </w:p>
    <w:p w14:paraId="000000E4" w14:textId="77777777" w:rsidR="005C50EF" w:rsidRDefault="005C50EF">
      <w:pPr>
        <w:jc w:val="both"/>
        <w:rPr>
          <w:rFonts w:ascii="Quattrocento Sans" w:eastAsia="Quattrocento Sans" w:hAnsi="Quattrocento Sans" w:cs="Quattrocento Sans"/>
          <w:sz w:val="24"/>
          <w:szCs w:val="24"/>
        </w:rPr>
      </w:pPr>
      <w:hyperlink r:id="rId21">
        <w:r>
          <w:rPr>
            <w:rFonts w:ascii="Quattrocento Sans" w:eastAsia="Quattrocento Sans" w:hAnsi="Quattrocento Sans" w:cs="Quattrocento Sans"/>
            <w:b/>
            <w:color w:val="1155CC"/>
            <w:sz w:val="24"/>
            <w:szCs w:val="24"/>
            <w:u w:val="single"/>
          </w:rPr>
          <w:t>Social Return on Investment</w:t>
        </w:r>
      </w:hyperlink>
      <w:r>
        <w:rPr>
          <w:rFonts w:ascii="Quattrocento Sans" w:eastAsia="Quattrocento Sans" w:hAnsi="Quattrocento Sans" w:cs="Quattrocento Sans"/>
          <w:b/>
          <w:sz w:val="24"/>
          <w:szCs w:val="24"/>
        </w:rPr>
        <w:t>社会投资回报率（SROI）：一种基于结果的测量框架，帮助组织理解和量化他们所创造或破坏的社会、环境和经济价值。这是关于为重要事物赋予和提供美元价值。</w:t>
      </w:r>
    </w:p>
    <w:p w14:paraId="000000E5" w14:textId="77777777" w:rsidR="005C50EF" w:rsidRDefault="005C50EF">
      <w:pPr>
        <w:rPr>
          <w:rFonts w:ascii="Quattrocento Sans" w:eastAsia="Quattrocento Sans" w:hAnsi="Quattrocento Sans" w:cs="Quattrocento Sans"/>
          <w:sz w:val="24"/>
          <w:szCs w:val="24"/>
        </w:rPr>
      </w:pPr>
    </w:p>
    <w:p w14:paraId="000000E6" w14:textId="77777777" w:rsidR="005C50EF" w:rsidRDefault="005C50EF">
      <w:pPr>
        <w:jc w:val="both"/>
        <w:rPr>
          <w:rFonts w:ascii="Quattrocento Sans" w:eastAsia="Quattrocento Sans" w:hAnsi="Quattrocento Sans" w:cs="Quattrocento Sans"/>
          <w:sz w:val="24"/>
          <w:szCs w:val="24"/>
        </w:rPr>
      </w:pPr>
      <w:hyperlink r:id="rId22">
        <w:r>
          <w:rPr>
            <w:rFonts w:ascii="Quattrocento Sans" w:eastAsia="Quattrocento Sans" w:hAnsi="Quattrocento Sans" w:cs="Quattrocento Sans"/>
            <w:b/>
            <w:color w:val="1155CC"/>
            <w:sz w:val="24"/>
            <w:szCs w:val="24"/>
            <w:u w:val="single"/>
          </w:rPr>
          <w:t>True Price</w:t>
        </w:r>
      </w:hyperlink>
      <w:r>
        <w:rPr>
          <w:rFonts w:ascii="Quattrocento Sans" w:eastAsia="Quattrocento Sans" w:hAnsi="Quattrocento Sans" w:cs="Quattrocento Sans"/>
          <w:b/>
          <w:sz w:val="24"/>
          <w:szCs w:val="24"/>
        </w:rPr>
        <w:t>真实价格：应用经过验证的方法论进行影响测量和估值，以计算整个供应链的外部成本。这是一个标准化的三步流程，适用于所有行业和地区。</w:t>
      </w:r>
    </w:p>
    <w:p w14:paraId="000000E7" w14:textId="77777777" w:rsidR="005C50EF" w:rsidRDefault="005C50EF">
      <w:pPr>
        <w:rPr>
          <w:rFonts w:ascii="Quattrocento Sans" w:eastAsia="Quattrocento Sans" w:hAnsi="Quattrocento Sans" w:cs="Quattrocento Sans"/>
          <w:b/>
          <w:sz w:val="24"/>
          <w:szCs w:val="24"/>
        </w:rPr>
      </w:pPr>
    </w:p>
    <w:p w14:paraId="000000E8" w14:textId="77777777" w:rsidR="005C50EF" w:rsidRDefault="00000000">
      <w:pPr>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其他组：</w:t>
      </w:r>
    </w:p>
    <w:p w14:paraId="000000E9" w14:textId="77777777" w:rsidR="005C50EF" w:rsidRDefault="005C50EF">
      <w:pPr>
        <w:rPr>
          <w:rFonts w:ascii="Quattrocento Sans" w:eastAsia="Quattrocento Sans" w:hAnsi="Quattrocento Sans" w:cs="Quattrocento Sans"/>
          <w:b/>
          <w:sz w:val="24"/>
          <w:szCs w:val="24"/>
        </w:rPr>
      </w:pPr>
      <w:hyperlink r:id="rId23">
        <w:r>
          <w:rPr>
            <w:rFonts w:ascii="Quattrocento Sans" w:eastAsia="Quattrocento Sans" w:hAnsi="Quattrocento Sans" w:cs="Quattrocento Sans"/>
            <w:b/>
            <w:color w:val="1155CC"/>
            <w:sz w:val="24"/>
            <w:szCs w:val="24"/>
            <w:u w:val="single"/>
          </w:rPr>
          <w:t xml:space="preserve">Impact </w:t>
        </w:r>
        <w:proofErr w:type="spellStart"/>
        <w:r>
          <w:rPr>
            <w:rFonts w:ascii="Quattrocento Sans" w:eastAsia="Quattrocento Sans" w:hAnsi="Quattrocento Sans" w:cs="Quattrocento Sans"/>
            <w:b/>
            <w:color w:val="1155CC"/>
            <w:sz w:val="24"/>
            <w:szCs w:val="24"/>
            <w:u w:val="single"/>
          </w:rPr>
          <w:t>Programme</w:t>
        </w:r>
        <w:proofErr w:type="spellEnd"/>
      </w:hyperlink>
      <w:r>
        <w:rPr>
          <w:rFonts w:ascii="Quattrocento Sans" w:eastAsia="Quattrocento Sans" w:hAnsi="Quattrocento Sans" w:cs="Quattrocento Sans"/>
          <w:b/>
          <w:sz w:val="24"/>
          <w:szCs w:val="24"/>
        </w:rPr>
        <w:t>影响计划：一个英国团体，开展了为期四年的影响管理项目，旨在建立全球共识和影响测量的标准化。</w:t>
      </w:r>
    </w:p>
    <w:p w14:paraId="000000EA" w14:textId="77777777" w:rsidR="005C50EF" w:rsidRDefault="005C50EF">
      <w:pPr>
        <w:rPr>
          <w:rFonts w:ascii="Quattrocento Sans" w:eastAsia="Quattrocento Sans" w:hAnsi="Quattrocento Sans" w:cs="Quattrocento Sans"/>
          <w:b/>
          <w:sz w:val="24"/>
          <w:szCs w:val="24"/>
        </w:rPr>
      </w:pPr>
    </w:p>
    <w:p w14:paraId="000000EB" w14:textId="77777777" w:rsidR="005C50EF" w:rsidRDefault="00000000">
      <w:pPr>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咨询公司：</w:t>
      </w:r>
    </w:p>
    <w:p w14:paraId="000000EC"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许多公司在这一领域提供定制服务，包括Ecotone、Refinitiv、Sustainalytics等许多其他公司。</w:t>
      </w:r>
      <w:hyperlink r:id="rId24">
        <w:r w:rsidR="005C50EF">
          <w:rPr>
            <w:rFonts w:ascii="Quattrocento Sans" w:eastAsia="Quattrocento Sans" w:hAnsi="Quattrocento Sans" w:cs="Quattrocento Sans"/>
            <w:color w:val="1155CC"/>
            <w:sz w:val="24"/>
            <w:szCs w:val="24"/>
            <w:u w:val="single"/>
          </w:rPr>
          <w:t>Ecotone</w:t>
        </w:r>
      </w:hyperlink>
      <w:hyperlink r:id="rId25">
        <w:r w:rsidR="005C50EF">
          <w:rPr>
            <w:rFonts w:ascii="Quattrocento Sans" w:eastAsia="Quattrocento Sans" w:hAnsi="Quattrocento Sans" w:cs="Quattrocento Sans"/>
            <w:color w:val="1155CC"/>
            <w:sz w:val="24"/>
            <w:szCs w:val="24"/>
            <w:u w:val="single"/>
          </w:rPr>
          <w:t>Refinitiv</w:t>
        </w:r>
      </w:hyperlink>
      <w:hyperlink r:id="rId26">
        <w:r w:rsidR="005C50EF">
          <w:rPr>
            <w:rFonts w:ascii="Quattrocento Sans" w:eastAsia="Quattrocento Sans" w:hAnsi="Quattrocento Sans" w:cs="Quattrocento Sans"/>
            <w:color w:val="1155CC"/>
            <w:sz w:val="24"/>
            <w:szCs w:val="24"/>
            <w:u w:val="single"/>
          </w:rPr>
          <w:t>Sustainalytics</w:t>
        </w:r>
      </w:hyperlink>
    </w:p>
    <w:sectPr w:rsidR="005C50EF">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82356" w14:textId="77777777" w:rsidR="009E64A0" w:rsidRDefault="009E64A0">
      <w:pPr>
        <w:spacing w:line="240" w:lineRule="auto"/>
      </w:pPr>
      <w:r>
        <w:separator/>
      </w:r>
    </w:p>
  </w:endnote>
  <w:endnote w:type="continuationSeparator" w:id="0">
    <w:p w14:paraId="512EE028" w14:textId="77777777" w:rsidR="009E64A0" w:rsidRDefault="009E6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AA4E3E5-0400-3349-8104-4223CF5C0C47}"/>
  </w:font>
  <w:font w:name="Arial">
    <w:panose1 w:val="020B0604020202020204"/>
    <w:charset w:val="00"/>
    <w:family w:val="swiss"/>
    <w:pitch w:val="variable"/>
    <w:sig w:usb0="E0002EFF" w:usb1="C000785B" w:usb2="00000009" w:usb3="00000000" w:csb0="000001FF" w:csb1="00000000"/>
    <w:embedRegular r:id="rId2" w:fontKey="{1904DC6B-D159-E340-B9FC-5F3255D70429}"/>
    <w:embedBold r:id="rId3" w:fontKey="{C3AC49F0-45DB-6A48-A662-99C7C2524338}"/>
    <w:embedItalic r:id="rId4" w:fontKey="{87BBC325-01C2-474A-A525-5D2F0A1C94AE}"/>
  </w:font>
  <w:font w:name="Quattrocento Sans">
    <w:panose1 w:val="020B0502050000020003"/>
    <w:charset w:val="00"/>
    <w:family w:val="swiss"/>
    <w:pitch w:val="variable"/>
    <w:sig w:usb0="800000BF" w:usb1="4000005B" w:usb2="00000000" w:usb3="00000000" w:csb0="00000001" w:csb1="00000000"/>
    <w:embedRegular r:id="rId5" w:fontKey="{7945CADA-CAA3-1242-A730-B7165D42DF9D}"/>
    <w:embedBold r:id="rId6" w:fontKey="{D190A5BD-A3BE-8845-B6B5-C84EE918A74C}"/>
    <w:embedItalic r:id="rId7" w:fontKey="{066531EF-A0C4-1148-B2DE-282B3026EB18}"/>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8" w:fontKey="{8EC69005-590F-6345-8F54-39BE417D09C3}"/>
  </w:font>
  <w:font w:name="Cambria">
    <w:panose1 w:val="02040503050406030204"/>
    <w:charset w:val="00"/>
    <w:family w:val="roman"/>
    <w:pitch w:val="variable"/>
    <w:sig w:usb0="E00006FF" w:usb1="420024FF" w:usb2="02000000" w:usb3="00000000" w:csb0="0000019F" w:csb1="00000000"/>
    <w:embedRegular r:id="rId9" w:fontKey="{978DA418-EBFD-314B-BD87-CA2631CCE8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D" w14:textId="006D4D8C" w:rsidR="005C50EF" w:rsidRDefault="00000000">
    <w:pPr>
      <w:jc w:val="right"/>
    </w:pPr>
    <w:r>
      <w:fldChar w:fldCharType="begin"/>
    </w:r>
    <w:r>
      <w:instrText>PAGE</w:instrText>
    </w:r>
    <w:r>
      <w:fldChar w:fldCharType="separate"/>
    </w:r>
    <w:r w:rsidR="002D68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9A058" w14:textId="77777777" w:rsidR="009E64A0" w:rsidRDefault="009E64A0">
      <w:pPr>
        <w:spacing w:line="240" w:lineRule="auto"/>
      </w:pPr>
      <w:r>
        <w:separator/>
      </w:r>
    </w:p>
  </w:footnote>
  <w:footnote w:type="continuationSeparator" w:id="0">
    <w:p w14:paraId="0B350FBC" w14:textId="77777777" w:rsidR="009E64A0" w:rsidRDefault="009E64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5642E"/>
    <w:multiLevelType w:val="multilevel"/>
    <w:tmpl w:val="E8687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C45DB1"/>
    <w:multiLevelType w:val="multilevel"/>
    <w:tmpl w:val="4F364E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4118D7"/>
    <w:multiLevelType w:val="multilevel"/>
    <w:tmpl w:val="61346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3C1897"/>
    <w:multiLevelType w:val="multilevel"/>
    <w:tmpl w:val="1D4406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63A44A45"/>
    <w:multiLevelType w:val="multilevel"/>
    <w:tmpl w:val="EC1A2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1B33C59"/>
    <w:multiLevelType w:val="multilevel"/>
    <w:tmpl w:val="A050C5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B70781"/>
    <w:multiLevelType w:val="multilevel"/>
    <w:tmpl w:val="07F48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104502">
    <w:abstractNumId w:val="4"/>
  </w:num>
  <w:num w:numId="2" w16cid:durableId="463231190">
    <w:abstractNumId w:val="0"/>
  </w:num>
  <w:num w:numId="3" w16cid:durableId="693457072">
    <w:abstractNumId w:val="5"/>
  </w:num>
  <w:num w:numId="4" w16cid:durableId="609044661">
    <w:abstractNumId w:val="2"/>
  </w:num>
  <w:num w:numId="5" w16cid:durableId="816651133">
    <w:abstractNumId w:val="3"/>
  </w:num>
  <w:num w:numId="6" w16cid:durableId="1633363362">
    <w:abstractNumId w:val="1"/>
  </w:num>
  <w:num w:numId="7" w16cid:durableId="1633711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0EF"/>
    <w:rsid w:val="001009EA"/>
    <w:rsid w:val="00102910"/>
    <w:rsid w:val="002D68A6"/>
    <w:rsid w:val="0034397C"/>
    <w:rsid w:val="00370879"/>
    <w:rsid w:val="00485ADC"/>
    <w:rsid w:val="005C50EF"/>
    <w:rsid w:val="006A29F6"/>
    <w:rsid w:val="006D0DD9"/>
    <w:rsid w:val="00726E8B"/>
    <w:rsid w:val="007F2E53"/>
    <w:rsid w:val="00822AF9"/>
    <w:rsid w:val="00871EA2"/>
    <w:rsid w:val="009B7B66"/>
    <w:rsid w:val="009E64A0"/>
    <w:rsid w:val="00B32F27"/>
    <w:rsid w:val="00BB06CA"/>
    <w:rsid w:val="00BB49E7"/>
    <w:rsid w:val="00BD147C"/>
    <w:rsid w:val="00BE2CC5"/>
    <w:rsid w:val="00CB42A8"/>
  </w:rsids>
  <m:mathPr>
    <m:mathFont m:val="Cambria Math"/>
    <m:brkBin m:val="before"/>
    <m:brkBinSub m:val="--"/>
    <m:smallFrac m:val="0"/>
    <m:dispDef/>
    <m:lMargin m:val="0"/>
    <m:rMargin m:val="0"/>
    <m:defJc m:val="centerGroup"/>
    <m:wrapIndent m:val="1440"/>
    <m:intLim m:val="subSup"/>
    <m:naryLim m:val="undOvr"/>
  </m:mathPr>
  <w:themeFontLang w:val="fr-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591D"/>
  <w15:docId w15:val="{4EE75868-0320-45BE-A9E7-3C63C337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rFonts w:ascii="Quattrocento Sans" w:eastAsia="Quattrocento Sans" w:hAnsi="Quattrocento Sans" w:cs="Quattrocento Sans"/>
      <w:sz w:val="26"/>
      <w:szCs w:val="26"/>
      <w:u w:val="single"/>
    </w:rPr>
  </w:style>
  <w:style w:type="paragraph" w:styleId="Titre2">
    <w:name w:val="heading 2"/>
    <w:basedOn w:val="Normal"/>
    <w:next w:val="Normal"/>
    <w:uiPriority w:val="9"/>
    <w:unhideWhenUsed/>
    <w:qFormat/>
    <w:pPr>
      <w:keepNext/>
      <w:keepLines/>
      <w:spacing w:before="360" w:after="120"/>
      <w:outlineLvl w:val="1"/>
    </w:pPr>
    <w:rPr>
      <w:rFonts w:ascii="Quattrocento Sans" w:eastAsia="Quattrocento Sans" w:hAnsi="Quattrocento Sans" w:cs="Quattrocento Sans"/>
      <w:sz w:val="26"/>
      <w:szCs w:val="26"/>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ris.thegiin.org/" TargetMode="External"/><Relationship Id="rId13" Type="http://schemas.openxmlformats.org/officeDocument/2006/relationships/hyperlink" Target="https://docs.google.com/document/d/12dCI94yxfFJUp3VYL-K71cerH5qNtkGDd2iHMmHW6WE/edit" TargetMode="External"/><Relationship Id="rId18" Type="http://schemas.openxmlformats.org/officeDocument/2006/relationships/hyperlink" Target="https://www.ifrs.org/groups/international-sustainability-standards-board/" TargetMode="External"/><Relationship Id="rId26" Type="http://schemas.openxmlformats.org/officeDocument/2006/relationships/hyperlink" Target="https://www.sustainalytics.com/" TargetMode="External"/><Relationship Id="rId3" Type="http://schemas.openxmlformats.org/officeDocument/2006/relationships/settings" Target="settings.xml"/><Relationship Id="rId21" Type="http://schemas.openxmlformats.org/officeDocument/2006/relationships/hyperlink" Target="https://social-change.co.uk/sroi" TargetMode="External"/><Relationship Id="rId7" Type="http://schemas.openxmlformats.org/officeDocument/2006/relationships/hyperlink" Target="https://ssir.org/articles/entry/the_world_may_be_better_off_without_esg_investing" TargetMode="External"/><Relationship Id="rId12" Type="http://schemas.openxmlformats.org/officeDocument/2006/relationships/hyperlink" Target="https://docs.google.com/document/d/12dCI94yxfFJUp3VYL-K71cerH5qNtkGDd2iHMmHW6WE/edit" TargetMode="External"/><Relationship Id="rId17" Type="http://schemas.openxmlformats.org/officeDocument/2006/relationships/hyperlink" Target="https://www.ifrs.org/groups/international-sustainability-standards-board/" TargetMode="External"/><Relationship Id="rId25" Type="http://schemas.openxmlformats.org/officeDocument/2006/relationships/hyperlink" Target="https://www.refinitiv.com/en" TargetMode="External"/><Relationship Id="rId2" Type="http://schemas.openxmlformats.org/officeDocument/2006/relationships/styles" Target="styles.xml"/><Relationship Id="rId16" Type="http://schemas.openxmlformats.org/officeDocument/2006/relationships/hyperlink" Target="https://www.sasb.org/" TargetMode="External"/><Relationship Id="rId20" Type="http://schemas.openxmlformats.org/officeDocument/2006/relationships/hyperlink" Target="https://www.hbs.edu/impact-weighted-accounts/Pages/default.aspx"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lobalreporting.org/Pages/default.aspx" TargetMode="External"/><Relationship Id="rId24" Type="http://schemas.openxmlformats.org/officeDocument/2006/relationships/hyperlink" Target="https://ecotoneanalytics.com/" TargetMode="External"/><Relationship Id="rId5" Type="http://schemas.openxmlformats.org/officeDocument/2006/relationships/footnotes" Target="footnotes.xml"/><Relationship Id="rId15" Type="http://schemas.openxmlformats.org/officeDocument/2006/relationships/hyperlink" Target="https://www.msci.com/esg-ratings" TargetMode="External"/><Relationship Id="rId23" Type="http://schemas.openxmlformats.org/officeDocument/2006/relationships/hyperlink" Target="https://www.theimpactprogramme.org.uk/portfolio/impact-management-project/" TargetMode="External"/><Relationship Id="rId28" Type="http://schemas.openxmlformats.org/officeDocument/2006/relationships/fontTable" Target="fontTable.xml"/><Relationship Id="rId10" Type="http://schemas.openxmlformats.org/officeDocument/2006/relationships/hyperlink" Target="https://b-analytics.net/sites/all/themes/b_analytics/pdfs/Sample_Fund_2014_GIIRS_Rating_Report.pdf" TargetMode="External"/><Relationship Id="rId19" Type="http://schemas.openxmlformats.org/officeDocument/2006/relationships/hyperlink" Target="https://www.act.is/media-centre/press-releases/first-for-industry-as-actis-publishes-open-source-impact-measurement-framework/" TargetMode="External"/><Relationship Id="rId4" Type="http://schemas.openxmlformats.org/officeDocument/2006/relationships/webSettings" Target="webSettings.xml"/><Relationship Id="rId9" Type="http://schemas.openxmlformats.org/officeDocument/2006/relationships/hyperlink" Target="https://bimpactassessment.net/" TargetMode="External"/><Relationship Id="rId14" Type="http://schemas.openxmlformats.org/officeDocument/2006/relationships/hyperlink" Target="https://sdgs.un.org/goals" TargetMode="External"/><Relationship Id="rId22" Type="http://schemas.openxmlformats.org/officeDocument/2006/relationships/hyperlink" Target="https://trueprice.org/"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1286</Words>
  <Characters>7075</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Mia Chen</cp:lastModifiedBy>
  <cp:revision>10</cp:revision>
  <dcterms:created xsi:type="dcterms:W3CDTF">2024-09-08T13:14:00Z</dcterms:created>
  <dcterms:modified xsi:type="dcterms:W3CDTF">2025-12-31T09:18:00Z</dcterms:modified>
</cp:coreProperties>
</file>