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3120D" w14:textId="77777777" w:rsidR="004A3368" w:rsidRPr="00442872" w:rsidRDefault="004A3368" w:rsidP="00BC1E2B">
      <w:pPr>
        <w:spacing w:line="360" w:lineRule="auto"/>
        <w:contextualSpacing/>
        <w:jc w:val="both"/>
        <w:rPr>
          <w:rFonts w:ascii="Source Sans Pro" w:hAnsi="Source Sans Pro" w:cstheme="minorHAnsi"/>
        </w:rPr>
      </w:pPr>
      <w:r w:rsidRPr="00442872">
        <w:rPr>
          <w:rFonts w:ascii="Source Sans Pro" w:hAnsi="Source Sans Pro" w:cstheme="minorHAnsi"/>
          <w:noProof/>
          <w:lang w:eastAsia="en-AU"/>
        </w:rPr>
        <mc:AlternateContent>
          <mc:Choice Requires="wpg">
            <w:drawing>
              <wp:anchor distT="0" distB="0" distL="114300" distR="114300" simplePos="0" relativeHeight="251658240" behindDoc="1" locked="1" layoutInCell="1" allowOverlap="1" wp14:anchorId="3D4923D9" wp14:editId="1BCD9901">
                <wp:simplePos x="0" y="0"/>
                <wp:positionH relativeFrom="margin">
                  <wp:posOffset>-727075</wp:posOffset>
                </wp:positionH>
                <wp:positionV relativeFrom="paragraph">
                  <wp:posOffset>-457200</wp:posOffset>
                </wp:positionV>
                <wp:extent cx="7772400" cy="10058400"/>
                <wp:effectExtent l="0" t="0" r="0" b="0"/>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rgbClr val="787878"/>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rgbClr val="234A9E"/>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58972BF2" id="Group 1" o:spid="_x0000_s1026" alt="Decorative" style="position:absolute;margin-left:-57.25pt;margin-top:-36pt;width:612pt;height:11in;z-index:-251658240;mso-position-horizontal-relative:margin;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" path="m,21600l21600,10802,,,,21600xe" fillcolor="#787878"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" path="m,14678r,6922l21600,3032,21600,,17075,,,14678xe" fillcolor="#234a9e" stroked="f" strokeweight="1pt">
                  <v:stroke miterlimit="4" joinstyle="miter"/>
                  <v:path arrowok="t" o:extrusionok="f" o:connecttype="custom" o:connectlocs="3885566,4519931;3885566,4519931;3885566,4519931;3885566,4519931" o:connectangles="0,90,180,270"/>
                </v:shape>
                <w10:wrap anchorx="margin"/>
                <w10:anchorlock/>
              </v:group>
            </w:pict>
          </mc:Fallback>
        </mc:AlternateContent>
      </w:r>
    </w:p>
    <w:tbl>
      <w:tblPr>
        <w:tblW w:w="0" w:type="auto"/>
        <w:tblLayout w:type="fixed"/>
        <w:tblLook w:val="0600" w:firstRow="0" w:lastRow="0" w:firstColumn="0" w:lastColumn="0" w:noHBand="1" w:noVBand="1"/>
      </w:tblPr>
      <w:tblGrid>
        <w:gridCol w:w="5103"/>
        <w:gridCol w:w="5687"/>
      </w:tblGrid>
      <w:tr w:rsidR="004A3368" w:rsidRPr="00442872" w14:paraId="1DBC5F83" w14:textId="77777777" w:rsidTr="00C43EFB">
        <w:tc>
          <w:tcPr>
            <w:tcW w:w="5103" w:type="dxa"/>
          </w:tcPr>
          <w:p w14:paraId="50886A0B" w14:textId="77777777" w:rsidR="004A3368" w:rsidRPr="00442872" w:rsidRDefault="004A3368" w:rsidP="00BC1E2B">
            <w:pPr>
              <w:pStyle w:val="GraphicAnchor"/>
              <w:spacing w:line="360" w:lineRule="auto"/>
              <w:contextualSpacing/>
              <w:jc w:val="both"/>
              <w:rPr>
                <w:rFonts w:ascii="Source Sans Pro" w:hAnsi="Source Sans Pro" w:cstheme="minorHAnsi"/>
              </w:rPr>
            </w:pPr>
          </w:p>
        </w:tc>
        <w:tc>
          <w:tcPr>
            <w:tcW w:w="5687" w:type="dxa"/>
          </w:tcPr>
          <w:p w14:paraId="1C59025D" w14:textId="77777777" w:rsidR="004A3368" w:rsidRPr="00442872" w:rsidRDefault="004A3368" w:rsidP="00BC1E2B">
            <w:pPr>
              <w:pStyle w:val="GraphicAnchor"/>
              <w:spacing w:line="360" w:lineRule="auto"/>
              <w:contextualSpacing/>
              <w:jc w:val="both"/>
              <w:rPr>
                <w:rFonts w:ascii="Source Sans Pro" w:hAnsi="Source Sans Pro" w:cstheme="minorHAnsi"/>
              </w:rPr>
            </w:pPr>
          </w:p>
        </w:tc>
      </w:tr>
      <w:tr w:rsidR="004A3368" w:rsidRPr="00442872" w14:paraId="78E1CBFD" w14:textId="77777777" w:rsidTr="00C43EFB">
        <w:trPr>
          <w:trHeight w:val="2719"/>
        </w:trPr>
        <w:tc>
          <w:tcPr>
            <w:tcW w:w="5103" w:type="dxa"/>
          </w:tcPr>
          <w:p w14:paraId="5EA8E121" w14:textId="77777777" w:rsidR="004A3368" w:rsidRPr="00442872" w:rsidRDefault="004A3368" w:rsidP="00BC1E2B">
            <w:pPr>
              <w:spacing w:line="360" w:lineRule="auto"/>
              <w:contextualSpacing/>
              <w:jc w:val="both"/>
              <w:rPr>
                <w:rFonts w:ascii="Source Sans Pro" w:hAnsi="Source Sans Pro" w:cstheme="minorHAnsi"/>
              </w:rPr>
            </w:pPr>
            <w:bookmarkStart w:id="0" w:name="_Toc180763551"/>
            <w:r w:rsidRPr="00442872">
              <w:rPr>
                <w:rFonts w:ascii="Source Sans Pro" w:hAnsi="Source Sans Pro" w:cstheme="minorHAnsi"/>
                <w:noProof/>
              </w:rPr>
              <w:drawing>
                <wp:inline distT="0" distB="0" distL="0" distR="0" wp14:anchorId="6DE81B0A" wp14:editId="7C622D90">
                  <wp:extent cx="3119438" cy="998220"/>
                  <wp:effectExtent l="0" t="0" r="5080" b="0"/>
                  <wp:docPr id="1" name="Picture 1" descr="A black background with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let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22118" cy="999078"/>
                          </a:xfrm>
                          <a:prstGeom prst="rect">
                            <a:avLst/>
                          </a:prstGeom>
                        </pic:spPr>
                      </pic:pic>
                    </a:graphicData>
                  </a:graphic>
                </wp:inline>
              </w:drawing>
            </w:r>
            <w:bookmarkEnd w:id="0"/>
          </w:p>
        </w:tc>
        <w:tc>
          <w:tcPr>
            <w:tcW w:w="5687" w:type="dxa"/>
          </w:tcPr>
          <w:p w14:paraId="0FD1A634" w14:textId="77777777" w:rsidR="004A3368" w:rsidRPr="00442872" w:rsidRDefault="004A3368" w:rsidP="00BC1E2B">
            <w:pPr>
              <w:spacing w:line="360" w:lineRule="auto"/>
              <w:contextualSpacing/>
              <w:jc w:val="both"/>
              <w:rPr>
                <w:rFonts w:ascii="Source Sans Pro" w:hAnsi="Source Sans Pro" w:cstheme="minorHAnsi"/>
              </w:rPr>
            </w:pPr>
          </w:p>
        </w:tc>
      </w:tr>
      <w:tr w:rsidR="004A3368" w:rsidRPr="00442872" w14:paraId="633EF84B" w14:textId="77777777" w:rsidTr="00C43EFB">
        <w:trPr>
          <w:trHeight w:val="7776"/>
        </w:trPr>
        <w:tc>
          <w:tcPr>
            <w:tcW w:w="5103" w:type="dxa"/>
          </w:tcPr>
          <w:p w14:paraId="095BA478" w14:textId="77777777" w:rsidR="004A3368" w:rsidRPr="00442872" w:rsidRDefault="004A3368" w:rsidP="00BC1E2B">
            <w:pPr>
              <w:spacing w:line="360" w:lineRule="auto"/>
              <w:contextualSpacing/>
              <w:jc w:val="both"/>
              <w:rPr>
                <w:rFonts w:ascii="Source Sans Pro" w:hAnsi="Source Sans Pro" w:cstheme="minorHAnsi"/>
              </w:rPr>
            </w:pPr>
          </w:p>
        </w:tc>
        <w:tc>
          <w:tcPr>
            <w:tcW w:w="5687" w:type="dxa"/>
          </w:tcPr>
          <w:p w14:paraId="1BC1574D" w14:textId="77777777" w:rsidR="004A3368" w:rsidRPr="00442872" w:rsidRDefault="004A3368" w:rsidP="00BC1E2B">
            <w:pPr>
              <w:spacing w:line="360" w:lineRule="auto"/>
              <w:contextualSpacing/>
              <w:jc w:val="both"/>
              <w:rPr>
                <w:rFonts w:ascii="Source Sans Pro" w:hAnsi="Source Sans Pro" w:cstheme="minorHAnsi"/>
              </w:rPr>
            </w:pPr>
          </w:p>
        </w:tc>
      </w:tr>
      <w:tr w:rsidR="004A3368" w:rsidRPr="00442872" w14:paraId="23FB7407" w14:textId="77777777" w:rsidTr="00C43EFB">
        <w:trPr>
          <w:trHeight w:val="1299"/>
        </w:trPr>
        <w:tc>
          <w:tcPr>
            <w:tcW w:w="5103" w:type="dxa"/>
          </w:tcPr>
          <w:p w14:paraId="01C82E7D" w14:textId="77777777" w:rsidR="004A3368" w:rsidRPr="00442872" w:rsidRDefault="004A3368" w:rsidP="00BC1E2B">
            <w:pPr>
              <w:spacing w:line="360" w:lineRule="auto"/>
              <w:contextualSpacing/>
              <w:jc w:val="both"/>
              <w:rPr>
                <w:rFonts w:ascii="Source Sans Pro" w:hAnsi="Source Sans Pro" w:cstheme="minorHAnsi"/>
              </w:rPr>
            </w:pPr>
          </w:p>
        </w:tc>
        <w:tc>
          <w:tcPr>
            <w:tcW w:w="5687" w:type="dxa"/>
          </w:tcPr>
          <w:p w14:paraId="77AC31B2" w14:textId="77777777" w:rsidR="004A3368" w:rsidRPr="00442872" w:rsidRDefault="005A0AC2" w:rsidP="00BC1E2B">
            <w:pPr>
              <w:spacing w:line="360" w:lineRule="auto"/>
              <w:contextualSpacing/>
              <w:rPr>
                <w:rFonts w:ascii="Source Sans Pro" w:hAnsi="Source Sans Pro" w:cstheme="minorHAnsi"/>
                <w:b/>
                <w:bCs/>
              </w:rPr>
            </w:pPr>
            <w:r w:rsidRPr="00442872">
              <w:rPr>
                <w:rFonts w:ascii="Source Sans Pro" w:hAnsi="Source Sans Pro" w:cstheme="minorHAnsi"/>
                <w:b/>
                <w:bCs/>
                <w:sz w:val="44"/>
                <w:szCs w:val="40"/>
              </w:rPr>
              <w:t xml:space="preserve">CATASTROPHE MODELLING </w:t>
            </w:r>
            <w:r w:rsidR="00396E97" w:rsidRPr="00442872">
              <w:rPr>
                <w:rFonts w:ascii="Source Sans Pro" w:hAnsi="Source Sans Pro" w:cstheme="minorHAnsi"/>
                <w:b/>
                <w:bCs/>
                <w:sz w:val="44"/>
                <w:szCs w:val="40"/>
              </w:rPr>
              <w:t>HANDBOOK</w:t>
            </w:r>
          </w:p>
        </w:tc>
      </w:tr>
      <w:tr w:rsidR="004A3368" w:rsidRPr="00442872" w14:paraId="18EDBA06" w14:textId="77777777" w:rsidTr="00C43EFB">
        <w:trPr>
          <w:trHeight w:val="1402"/>
        </w:trPr>
        <w:tc>
          <w:tcPr>
            <w:tcW w:w="5103" w:type="dxa"/>
          </w:tcPr>
          <w:p w14:paraId="009EEC6A" w14:textId="77777777" w:rsidR="004A3368" w:rsidRPr="00442872" w:rsidRDefault="004A3368" w:rsidP="00BC1E2B">
            <w:pPr>
              <w:spacing w:line="360" w:lineRule="auto"/>
              <w:contextualSpacing/>
              <w:jc w:val="both"/>
              <w:rPr>
                <w:rFonts w:ascii="Source Sans Pro" w:hAnsi="Source Sans Pro" w:cstheme="minorHAnsi"/>
              </w:rPr>
            </w:pPr>
          </w:p>
        </w:tc>
        <w:tc>
          <w:tcPr>
            <w:tcW w:w="5687" w:type="dxa"/>
          </w:tcPr>
          <w:p w14:paraId="6BE05700" w14:textId="77777777" w:rsidR="004A3368" w:rsidRPr="00442872" w:rsidRDefault="00C43EFB" w:rsidP="00BC1E2B">
            <w:pPr>
              <w:spacing w:line="360" w:lineRule="auto"/>
              <w:contextualSpacing/>
              <w:jc w:val="both"/>
              <w:rPr>
                <w:rFonts w:ascii="Source Sans Pro" w:hAnsi="Source Sans Pro" w:cstheme="minorHAnsi"/>
                <w:b/>
                <w:bCs/>
                <w:color w:val="234A9E"/>
                <w:sz w:val="40"/>
                <w:szCs w:val="36"/>
              </w:rPr>
            </w:pPr>
            <w:r w:rsidRPr="00442872">
              <w:rPr>
                <w:rFonts w:ascii="Source Sans Pro" w:hAnsi="Source Sans Pro" w:cstheme="minorHAnsi"/>
                <w:b/>
                <w:bCs/>
                <w:color w:val="234A9E"/>
                <w:sz w:val="40"/>
                <w:szCs w:val="36"/>
              </w:rPr>
              <w:t>Model Development Guidelines</w:t>
            </w:r>
          </w:p>
          <w:p w14:paraId="1876998F" w14:textId="77777777" w:rsidR="004A3368" w:rsidRPr="00442872" w:rsidRDefault="004A3368" w:rsidP="00BC1E2B">
            <w:pPr>
              <w:spacing w:line="360" w:lineRule="auto"/>
              <w:contextualSpacing/>
              <w:jc w:val="both"/>
              <w:rPr>
                <w:rFonts w:ascii="Source Sans Pro" w:hAnsi="Source Sans Pro" w:cstheme="minorHAnsi"/>
                <w:b/>
                <w:bCs/>
                <w:sz w:val="24"/>
                <w:szCs w:val="16"/>
              </w:rPr>
            </w:pPr>
            <w:bookmarkStart w:id="1" w:name="_Toc180763554"/>
            <w:r w:rsidRPr="00442872">
              <w:rPr>
                <w:rFonts w:ascii="Source Sans Pro" w:hAnsi="Source Sans Pro" w:cstheme="minorHAnsi"/>
                <w:b/>
                <w:bCs/>
                <w:color w:val="787878"/>
                <w:sz w:val="22"/>
                <w:szCs w:val="20"/>
              </w:rPr>
              <w:t>FOR INTERNAL USE ONLY</w:t>
            </w:r>
            <w:bookmarkEnd w:id="1"/>
          </w:p>
        </w:tc>
      </w:tr>
    </w:tbl>
    <w:p w14:paraId="73063F0F" w14:textId="77777777" w:rsidR="004A3368" w:rsidRPr="00442872" w:rsidRDefault="004A3368" w:rsidP="00BC1E2B">
      <w:pPr>
        <w:spacing w:line="360" w:lineRule="auto"/>
        <w:contextualSpacing/>
        <w:jc w:val="both"/>
        <w:rPr>
          <w:rFonts w:ascii="Source Sans Pro" w:hAnsi="Source Sans Pro" w:cstheme="minorHAnsi"/>
        </w:rPr>
      </w:pPr>
    </w:p>
    <w:p w14:paraId="51AE1C35" w14:textId="77777777" w:rsidR="004A3368" w:rsidRPr="00442872" w:rsidRDefault="004A3368" w:rsidP="00BC1E2B">
      <w:pPr>
        <w:spacing w:line="360" w:lineRule="auto"/>
        <w:contextualSpacing/>
        <w:jc w:val="both"/>
        <w:rPr>
          <w:rFonts w:ascii="Source Sans Pro" w:hAnsi="Source Sans Pro" w:cstheme="minorHAnsi"/>
        </w:rPr>
        <w:sectPr w:rsidR="004A3368" w:rsidRPr="00442872">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0" w:left="720" w:header="0" w:footer="0" w:gutter="0"/>
          <w:cols w:space="708"/>
          <w:titlePg/>
          <w:docGrid w:linePitch="360"/>
        </w:sectPr>
      </w:pPr>
    </w:p>
    <w:sdt>
      <w:sdtPr>
        <w:rPr>
          <w:rFonts w:ascii="Source Sans Pro" w:eastAsiaTheme="minorHAnsi" w:hAnsi="Source Sans Pro" w:cstheme="minorHAnsi"/>
          <w:color w:val="auto"/>
          <w:sz w:val="28"/>
          <w:szCs w:val="24"/>
        </w:rPr>
        <w:id w:val="-225605907"/>
        <w:docPartObj>
          <w:docPartGallery w:val="Table of Contents"/>
          <w:docPartUnique/>
        </w:docPartObj>
      </w:sdtPr>
      <w:sdtEndPr>
        <w:rPr>
          <w:b/>
          <w:bCs/>
        </w:rPr>
      </w:sdtEndPr>
      <w:sdtContent>
        <w:p w14:paraId="1F7CFD8A" w14:textId="77777777" w:rsidR="0041420A" w:rsidRPr="00442872" w:rsidRDefault="0041420A" w:rsidP="00BC1E2B">
          <w:pPr>
            <w:pStyle w:val="TOCHeading"/>
            <w:spacing w:line="360" w:lineRule="auto"/>
            <w:contextualSpacing/>
            <w:jc w:val="both"/>
            <w:rPr>
              <w:rFonts w:ascii="Source Sans Pro" w:hAnsi="Source Sans Pro" w:cstheme="minorHAnsi"/>
            </w:rPr>
          </w:pPr>
          <w:r w:rsidRPr="00442872">
            <w:rPr>
              <w:rFonts w:ascii="Source Sans Pro" w:hAnsi="Source Sans Pro" w:cstheme="minorHAnsi"/>
            </w:rPr>
            <w:t>Table of Contents</w:t>
          </w:r>
        </w:p>
        <w:p w14:paraId="79C77AF4" w14:textId="4F07E7A6" w:rsidR="00B70721" w:rsidRDefault="0041420A">
          <w:pPr>
            <w:pStyle w:val="TOC2"/>
            <w:tabs>
              <w:tab w:val="left" w:pos="960"/>
              <w:tab w:val="right" w:leader="dot" w:pos="9350"/>
            </w:tabs>
            <w:rPr>
              <w:rFonts w:eastAsiaTheme="minorEastAsia"/>
              <w:noProof/>
              <w:kern w:val="2"/>
              <w:sz w:val="24"/>
              <w:lang w:val="en-ZM" w:eastAsia="en-ZM"/>
              <w14:ligatures w14:val="standardContextual"/>
            </w:rPr>
          </w:pPr>
          <w:r w:rsidRPr="00442872">
            <w:rPr>
              <w:rFonts w:ascii="Source Sans Pro" w:hAnsi="Source Sans Pro" w:cstheme="minorHAnsi"/>
            </w:rPr>
            <w:fldChar w:fldCharType="begin"/>
          </w:r>
          <w:r w:rsidRPr="00442872">
            <w:rPr>
              <w:rFonts w:ascii="Source Sans Pro" w:hAnsi="Source Sans Pro" w:cstheme="minorHAnsi"/>
            </w:rPr>
            <w:instrText xml:space="preserve"> TOC \o "1-3" \h \z \u </w:instrText>
          </w:r>
          <w:r w:rsidRPr="00442872">
            <w:rPr>
              <w:rFonts w:ascii="Source Sans Pro" w:hAnsi="Source Sans Pro" w:cstheme="minorHAnsi"/>
            </w:rPr>
            <w:fldChar w:fldCharType="separate"/>
          </w:r>
          <w:hyperlink w:anchor="_Toc236079009" w:history="1">
            <w:r w:rsidR="00B70721" w:rsidRPr="0036344B">
              <w:rPr>
                <w:rStyle w:val="Hyperlink"/>
                <w:rFonts w:ascii="Source Sans Pro" w:hAnsi="Source Sans Pro" w:cstheme="minorHAnsi"/>
                <w:iCs/>
                <w:noProof/>
              </w:rPr>
              <w:t>1.</w:t>
            </w:r>
            <w:r w:rsidR="00B70721">
              <w:rPr>
                <w:rFonts w:eastAsiaTheme="minorEastAsia"/>
                <w:noProof/>
                <w:kern w:val="2"/>
                <w:sz w:val="24"/>
                <w:lang w:val="en-ZM" w:eastAsia="en-ZM"/>
                <w14:ligatures w14:val="standardContextual"/>
              </w:rPr>
              <w:tab/>
            </w:r>
            <w:r w:rsidR="00B70721" w:rsidRPr="0036344B">
              <w:rPr>
                <w:rStyle w:val="Hyperlink"/>
                <w:rFonts w:ascii="Source Sans Pro" w:hAnsi="Source Sans Pro" w:cstheme="minorHAnsi"/>
                <w:iCs/>
                <w:noProof/>
              </w:rPr>
              <w:t>Introduction</w:t>
            </w:r>
            <w:r w:rsidR="00B70721">
              <w:rPr>
                <w:noProof/>
                <w:webHidden/>
              </w:rPr>
              <w:tab/>
            </w:r>
            <w:r w:rsidR="00B70721">
              <w:rPr>
                <w:noProof/>
                <w:webHidden/>
              </w:rPr>
              <w:fldChar w:fldCharType="begin"/>
            </w:r>
            <w:r w:rsidR="00B70721">
              <w:rPr>
                <w:noProof/>
                <w:webHidden/>
              </w:rPr>
              <w:instrText xml:space="preserve"> PAGEREF _Toc236079009 \h </w:instrText>
            </w:r>
            <w:r w:rsidR="00B70721">
              <w:rPr>
                <w:noProof/>
                <w:webHidden/>
              </w:rPr>
            </w:r>
            <w:r w:rsidR="00B70721">
              <w:rPr>
                <w:noProof/>
                <w:webHidden/>
              </w:rPr>
              <w:fldChar w:fldCharType="separate"/>
            </w:r>
            <w:r w:rsidR="00B70721">
              <w:rPr>
                <w:noProof/>
                <w:webHidden/>
              </w:rPr>
              <w:t>4</w:t>
            </w:r>
            <w:r w:rsidR="00B70721">
              <w:rPr>
                <w:noProof/>
                <w:webHidden/>
              </w:rPr>
              <w:fldChar w:fldCharType="end"/>
            </w:r>
          </w:hyperlink>
        </w:p>
        <w:p w14:paraId="74C4DE7F" w14:textId="4DCEC65A" w:rsidR="00B70721" w:rsidRDefault="00B70721">
          <w:pPr>
            <w:pStyle w:val="TOC2"/>
            <w:tabs>
              <w:tab w:val="left" w:pos="960"/>
              <w:tab w:val="right" w:leader="dot" w:pos="9350"/>
            </w:tabs>
            <w:rPr>
              <w:rFonts w:eastAsiaTheme="minorEastAsia"/>
              <w:noProof/>
              <w:kern w:val="2"/>
              <w:sz w:val="24"/>
              <w:lang w:val="en-ZM" w:eastAsia="en-ZM"/>
              <w14:ligatures w14:val="standardContextual"/>
            </w:rPr>
          </w:pPr>
          <w:hyperlink w:anchor="_Toc236079010" w:history="1">
            <w:r w:rsidRPr="0036344B">
              <w:rPr>
                <w:rStyle w:val="Hyperlink"/>
                <w:rFonts w:ascii="Source Sans Pro" w:hAnsi="Source Sans Pro"/>
                <w:iCs/>
                <w:noProof/>
              </w:rPr>
              <w:t>2.</w:t>
            </w:r>
            <w:r>
              <w:rPr>
                <w:rFonts w:eastAsiaTheme="minorEastAsia"/>
                <w:noProof/>
                <w:kern w:val="2"/>
                <w:sz w:val="24"/>
                <w:lang w:val="en-ZM" w:eastAsia="en-ZM"/>
                <w14:ligatures w14:val="standardContextual"/>
              </w:rPr>
              <w:tab/>
            </w:r>
            <w:r w:rsidRPr="0036344B">
              <w:rPr>
                <w:rStyle w:val="Hyperlink"/>
                <w:rFonts w:ascii="Source Sans Pro" w:hAnsi="Source Sans Pro" w:cstheme="minorHAnsi"/>
                <w:iCs/>
                <w:noProof/>
              </w:rPr>
              <w:t>Core Modelling Concepts</w:t>
            </w:r>
            <w:r>
              <w:rPr>
                <w:noProof/>
                <w:webHidden/>
              </w:rPr>
              <w:tab/>
            </w:r>
            <w:r>
              <w:rPr>
                <w:noProof/>
                <w:webHidden/>
              </w:rPr>
              <w:fldChar w:fldCharType="begin"/>
            </w:r>
            <w:r>
              <w:rPr>
                <w:noProof/>
                <w:webHidden/>
              </w:rPr>
              <w:instrText xml:space="preserve"> PAGEREF _Toc236079010 \h </w:instrText>
            </w:r>
            <w:r>
              <w:rPr>
                <w:noProof/>
                <w:webHidden/>
              </w:rPr>
            </w:r>
            <w:r>
              <w:rPr>
                <w:noProof/>
                <w:webHidden/>
              </w:rPr>
              <w:fldChar w:fldCharType="separate"/>
            </w:r>
            <w:r>
              <w:rPr>
                <w:noProof/>
                <w:webHidden/>
              </w:rPr>
              <w:t>6</w:t>
            </w:r>
            <w:r>
              <w:rPr>
                <w:noProof/>
                <w:webHidden/>
              </w:rPr>
              <w:fldChar w:fldCharType="end"/>
            </w:r>
          </w:hyperlink>
        </w:p>
        <w:p w14:paraId="3F9891B7" w14:textId="5922E93B" w:rsidR="00B70721" w:rsidRDefault="00B70721">
          <w:pPr>
            <w:pStyle w:val="TOC3"/>
            <w:tabs>
              <w:tab w:val="left" w:pos="960"/>
              <w:tab w:val="right" w:leader="dot" w:pos="9350"/>
            </w:tabs>
            <w:rPr>
              <w:rFonts w:cstheme="minorBidi"/>
              <w:noProof/>
              <w:kern w:val="2"/>
              <w:sz w:val="24"/>
              <w:szCs w:val="24"/>
              <w:lang w:val="en-ZM" w:eastAsia="en-ZM"/>
              <w14:ligatures w14:val="standardContextual"/>
            </w:rPr>
          </w:pPr>
          <w:hyperlink w:anchor="_Toc236079011" w:history="1">
            <w:r w:rsidRPr="0036344B">
              <w:rPr>
                <w:rStyle w:val="Hyperlink"/>
                <w:rFonts w:ascii="Source Sans Pro" w:hAnsi="Source Sans Pro"/>
                <w:noProof/>
              </w:rPr>
              <w:t>a.</w:t>
            </w:r>
            <w:r>
              <w:rPr>
                <w:rFonts w:cstheme="minorBidi"/>
                <w:noProof/>
                <w:kern w:val="2"/>
                <w:sz w:val="24"/>
                <w:szCs w:val="24"/>
                <w:lang w:val="en-ZM" w:eastAsia="en-ZM"/>
                <w14:ligatures w14:val="standardContextual"/>
              </w:rPr>
              <w:tab/>
            </w:r>
            <w:r w:rsidRPr="0036344B">
              <w:rPr>
                <w:rStyle w:val="Hyperlink"/>
                <w:rFonts w:ascii="Source Sans Pro" w:hAnsi="Source Sans Pro"/>
                <w:noProof/>
              </w:rPr>
              <w:t>Hazard Module</w:t>
            </w:r>
            <w:r>
              <w:rPr>
                <w:noProof/>
                <w:webHidden/>
              </w:rPr>
              <w:tab/>
            </w:r>
            <w:r>
              <w:rPr>
                <w:noProof/>
                <w:webHidden/>
              </w:rPr>
              <w:fldChar w:fldCharType="begin"/>
            </w:r>
            <w:r>
              <w:rPr>
                <w:noProof/>
                <w:webHidden/>
              </w:rPr>
              <w:instrText xml:space="preserve"> PAGEREF _Toc236079011 \h </w:instrText>
            </w:r>
            <w:r>
              <w:rPr>
                <w:noProof/>
                <w:webHidden/>
              </w:rPr>
            </w:r>
            <w:r>
              <w:rPr>
                <w:noProof/>
                <w:webHidden/>
              </w:rPr>
              <w:fldChar w:fldCharType="separate"/>
            </w:r>
            <w:r>
              <w:rPr>
                <w:noProof/>
                <w:webHidden/>
              </w:rPr>
              <w:t>6</w:t>
            </w:r>
            <w:r>
              <w:rPr>
                <w:noProof/>
                <w:webHidden/>
              </w:rPr>
              <w:fldChar w:fldCharType="end"/>
            </w:r>
          </w:hyperlink>
        </w:p>
        <w:p w14:paraId="5B1B02C1" w14:textId="4328530D" w:rsidR="00B70721" w:rsidRDefault="00B70721">
          <w:pPr>
            <w:pStyle w:val="TOC3"/>
            <w:tabs>
              <w:tab w:val="left" w:pos="960"/>
              <w:tab w:val="right" w:leader="dot" w:pos="9350"/>
            </w:tabs>
            <w:rPr>
              <w:rFonts w:cstheme="minorBidi"/>
              <w:noProof/>
              <w:kern w:val="2"/>
              <w:sz w:val="24"/>
              <w:szCs w:val="24"/>
              <w:lang w:val="en-ZM" w:eastAsia="en-ZM"/>
              <w14:ligatures w14:val="standardContextual"/>
            </w:rPr>
          </w:pPr>
          <w:hyperlink w:anchor="_Toc236079012" w:history="1">
            <w:r w:rsidRPr="0036344B">
              <w:rPr>
                <w:rStyle w:val="Hyperlink"/>
                <w:rFonts w:ascii="Source Sans Pro" w:hAnsi="Source Sans Pro"/>
                <w:noProof/>
              </w:rPr>
              <w:t>b.</w:t>
            </w:r>
            <w:r>
              <w:rPr>
                <w:rFonts w:cstheme="minorBidi"/>
                <w:noProof/>
                <w:kern w:val="2"/>
                <w:sz w:val="24"/>
                <w:szCs w:val="24"/>
                <w:lang w:val="en-ZM" w:eastAsia="en-ZM"/>
                <w14:ligatures w14:val="standardContextual"/>
              </w:rPr>
              <w:tab/>
            </w:r>
            <w:r w:rsidRPr="0036344B">
              <w:rPr>
                <w:rStyle w:val="Hyperlink"/>
                <w:rFonts w:ascii="Source Sans Pro" w:hAnsi="Source Sans Pro"/>
                <w:noProof/>
              </w:rPr>
              <w:t>Exposure Module</w:t>
            </w:r>
            <w:r>
              <w:rPr>
                <w:noProof/>
                <w:webHidden/>
              </w:rPr>
              <w:tab/>
            </w:r>
            <w:r>
              <w:rPr>
                <w:noProof/>
                <w:webHidden/>
              </w:rPr>
              <w:fldChar w:fldCharType="begin"/>
            </w:r>
            <w:r>
              <w:rPr>
                <w:noProof/>
                <w:webHidden/>
              </w:rPr>
              <w:instrText xml:space="preserve"> PAGEREF _Toc236079012 \h </w:instrText>
            </w:r>
            <w:r>
              <w:rPr>
                <w:noProof/>
                <w:webHidden/>
              </w:rPr>
            </w:r>
            <w:r>
              <w:rPr>
                <w:noProof/>
                <w:webHidden/>
              </w:rPr>
              <w:fldChar w:fldCharType="separate"/>
            </w:r>
            <w:r>
              <w:rPr>
                <w:noProof/>
                <w:webHidden/>
              </w:rPr>
              <w:t>7</w:t>
            </w:r>
            <w:r>
              <w:rPr>
                <w:noProof/>
                <w:webHidden/>
              </w:rPr>
              <w:fldChar w:fldCharType="end"/>
            </w:r>
          </w:hyperlink>
        </w:p>
        <w:p w14:paraId="364587D2" w14:textId="0E5331A5" w:rsidR="00B70721" w:rsidRDefault="00B70721">
          <w:pPr>
            <w:pStyle w:val="TOC3"/>
            <w:tabs>
              <w:tab w:val="left" w:pos="960"/>
              <w:tab w:val="right" w:leader="dot" w:pos="9350"/>
            </w:tabs>
            <w:rPr>
              <w:rFonts w:cstheme="minorBidi"/>
              <w:noProof/>
              <w:kern w:val="2"/>
              <w:sz w:val="24"/>
              <w:szCs w:val="24"/>
              <w:lang w:val="en-ZM" w:eastAsia="en-ZM"/>
              <w14:ligatures w14:val="standardContextual"/>
            </w:rPr>
          </w:pPr>
          <w:hyperlink w:anchor="_Toc236079013" w:history="1">
            <w:r w:rsidRPr="0036344B">
              <w:rPr>
                <w:rStyle w:val="Hyperlink"/>
                <w:rFonts w:ascii="Source Sans Pro" w:hAnsi="Source Sans Pro"/>
                <w:noProof/>
              </w:rPr>
              <w:t>c.</w:t>
            </w:r>
            <w:r>
              <w:rPr>
                <w:rFonts w:cstheme="minorBidi"/>
                <w:noProof/>
                <w:kern w:val="2"/>
                <w:sz w:val="24"/>
                <w:szCs w:val="24"/>
                <w:lang w:val="en-ZM" w:eastAsia="en-ZM"/>
                <w14:ligatures w14:val="standardContextual"/>
              </w:rPr>
              <w:tab/>
            </w:r>
            <w:r w:rsidRPr="0036344B">
              <w:rPr>
                <w:rStyle w:val="Hyperlink"/>
                <w:rFonts w:ascii="Source Sans Pro" w:hAnsi="Source Sans Pro"/>
                <w:noProof/>
              </w:rPr>
              <w:t>Vulnerability Module</w:t>
            </w:r>
            <w:r>
              <w:rPr>
                <w:noProof/>
                <w:webHidden/>
              </w:rPr>
              <w:tab/>
            </w:r>
            <w:r>
              <w:rPr>
                <w:noProof/>
                <w:webHidden/>
              </w:rPr>
              <w:fldChar w:fldCharType="begin"/>
            </w:r>
            <w:r>
              <w:rPr>
                <w:noProof/>
                <w:webHidden/>
              </w:rPr>
              <w:instrText xml:space="preserve"> PAGEREF _Toc236079013 \h </w:instrText>
            </w:r>
            <w:r>
              <w:rPr>
                <w:noProof/>
                <w:webHidden/>
              </w:rPr>
            </w:r>
            <w:r>
              <w:rPr>
                <w:noProof/>
                <w:webHidden/>
              </w:rPr>
              <w:fldChar w:fldCharType="separate"/>
            </w:r>
            <w:r>
              <w:rPr>
                <w:noProof/>
                <w:webHidden/>
              </w:rPr>
              <w:t>7</w:t>
            </w:r>
            <w:r>
              <w:rPr>
                <w:noProof/>
                <w:webHidden/>
              </w:rPr>
              <w:fldChar w:fldCharType="end"/>
            </w:r>
          </w:hyperlink>
        </w:p>
        <w:p w14:paraId="247857BC" w14:textId="3E92F5DB" w:rsidR="00B70721" w:rsidRDefault="00B70721">
          <w:pPr>
            <w:pStyle w:val="TOC3"/>
            <w:tabs>
              <w:tab w:val="left" w:pos="960"/>
              <w:tab w:val="right" w:leader="dot" w:pos="9350"/>
            </w:tabs>
            <w:rPr>
              <w:rFonts w:cstheme="minorBidi"/>
              <w:noProof/>
              <w:kern w:val="2"/>
              <w:sz w:val="24"/>
              <w:szCs w:val="24"/>
              <w:lang w:val="en-ZM" w:eastAsia="en-ZM"/>
              <w14:ligatures w14:val="standardContextual"/>
            </w:rPr>
          </w:pPr>
          <w:hyperlink w:anchor="_Toc236079014" w:history="1">
            <w:r w:rsidRPr="0036344B">
              <w:rPr>
                <w:rStyle w:val="Hyperlink"/>
                <w:rFonts w:ascii="Source Sans Pro" w:hAnsi="Source Sans Pro"/>
                <w:noProof/>
              </w:rPr>
              <w:t>d.</w:t>
            </w:r>
            <w:r>
              <w:rPr>
                <w:rFonts w:cstheme="minorBidi"/>
                <w:noProof/>
                <w:kern w:val="2"/>
                <w:sz w:val="24"/>
                <w:szCs w:val="24"/>
                <w:lang w:val="en-ZM" w:eastAsia="en-ZM"/>
                <w14:ligatures w14:val="standardContextual"/>
              </w:rPr>
              <w:tab/>
            </w:r>
            <w:r w:rsidRPr="0036344B">
              <w:rPr>
                <w:rStyle w:val="Hyperlink"/>
                <w:rFonts w:ascii="Source Sans Pro" w:hAnsi="Source Sans Pro"/>
                <w:noProof/>
              </w:rPr>
              <w:t>Financial Module</w:t>
            </w:r>
            <w:r>
              <w:rPr>
                <w:noProof/>
                <w:webHidden/>
              </w:rPr>
              <w:tab/>
            </w:r>
            <w:r>
              <w:rPr>
                <w:noProof/>
                <w:webHidden/>
              </w:rPr>
              <w:fldChar w:fldCharType="begin"/>
            </w:r>
            <w:r>
              <w:rPr>
                <w:noProof/>
                <w:webHidden/>
              </w:rPr>
              <w:instrText xml:space="preserve"> PAGEREF _Toc236079014 \h </w:instrText>
            </w:r>
            <w:r>
              <w:rPr>
                <w:noProof/>
                <w:webHidden/>
              </w:rPr>
            </w:r>
            <w:r>
              <w:rPr>
                <w:noProof/>
                <w:webHidden/>
              </w:rPr>
              <w:fldChar w:fldCharType="separate"/>
            </w:r>
            <w:r>
              <w:rPr>
                <w:noProof/>
                <w:webHidden/>
              </w:rPr>
              <w:t>7</w:t>
            </w:r>
            <w:r>
              <w:rPr>
                <w:noProof/>
                <w:webHidden/>
              </w:rPr>
              <w:fldChar w:fldCharType="end"/>
            </w:r>
          </w:hyperlink>
        </w:p>
        <w:p w14:paraId="37CA95F9" w14:textId="2BC06918" w:rsidR="00B70721" w:rsidRDefault="00B70721">
          <w:pPr>
            <w:pStyle w:val="TOC2"/>
            <w:tabs>
              <w:tab w:val="left" w:pos="960"/>
              <w:tab w:val="right" w:leader="dot" w:pos="9350"/>
            </w:tabs>
            <w:rPr>
              <w:rFonts w:eastAsiaTheme="minorEastAsia"/>
              <w:noProof/>
              <w:kern w:val="2"/>
              <w:sz w:val="24"/>
              <w:lang w:val="en-ZM" w:eastAsia="en-ZM"/>
              <w14:ligatures w14:val="standardContextual"/>
            </w:rPr>
          </w:pPr>
          <w:hyperlink w:anchor="_Toc236079015" w:history="1">
            <w:r w:rsidRPr="0036344B">
              <w:rPr>
                <w:rStyle w:val="Hyperlink"/>
                <w:rFonts w:ascii="Source Sans Pro" w:hAnsi="Source Sans Pro" w:cstheme="minorHAnsi"/>
                <w:iCs/>
                <w:noProof/>
              </w:rPr>
              <w:t>3.</w:t>
            </w:r>
            <w:r>
              <w:rPr>
                <w:rFonts w:eastAsiaTheme="minorEastAsia"/>
                <w:noProof/>
                <w:kern w:val="2"/>
                <w:sz w:val="24"/>
                <w:lang w:val="en-ZM" w:eastAsia="en-ZM"/>
                <w14:ligatures w14:val="standardContextual"/>
              </w:rPr>
              <w:tab/>
            </w:r>
            <w:r w:rsidRPr="0036344B">
              <w:rPr>
                <w:rStyle w:val="Hyperlink"/>
                <w:rFonts w:ascii="Source Sans Pro" w:hAnsi="Source Sans Pro" w:cstheme="minorHAnsi"/>
                <w:iCs/>
                <w:noProof/>
              </w:rPr>
              <w:t>Oasis Loss Modelling Framework Overview</w:t>
            </w:r>
            <w:r>
              <w:rPr>
                <w:noProof/>
                <w:webHidden/>
              </w:rPr>
              <w:tab/>
            </w:r>
            <w:r>
              <w:rPr>
                <w:noProof/>
                <w:webHidden/>
              </w:rPr>
              <w:fldChar w:fldCharType="begin"/>
            </w:r>
            <w:r>
              <w:rPr>
                <w:noProof/>
                <w:webHidden/>
              </w:rPr>
              <w:instrText xml:space="preserve"> PAGEREF _Toc236079015 \h </w:instrText>
            </w:r>
            <w:r>
              <w:rPr>
                <w:noProof/>
                <w:webHidden/>
              </w:rPr>
            </w:r>
            <w:r>
              <w:rPr>
                <w:noProof/>
                <w:webHidden/>
              </w:rPr>
              <w:fldChar w:fldCharType="separate"/>
            </w:r>
            <w:r>
              <w:rPr>
                <w:noProof/>
                <w:webHidden/>
              </w:rPr>
              <w:t>8</w:t>
            </w:r>
            <w:r>
              <w:rPr>
                <w:noProof/>
                <w:webHidden/>
              </w:rPr>
              <w:fldChar w:fldCharType="end"/>
            </w:r>
          </w:hyperlink>
        </w:p>
        <w:p w14:paraId="71E840A7" w14:textId="1B43CCCD"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16" w:history="1">
            <w:r w:rsidRPr="0036344B">
              <w:rPr>
                <w:rStyle w:val="Hyperlink"/>
                <w:rFonts w:ascii="Source Sans Pro" w:hAnsi="Source Sans Pro"/>
                <w:noProof/>
                <w:lang w:val="en-ZM"/>
              </w:rPr>
              <w:t>Key Concepts in Oasis</w:t>
            </w:r>
            <w:r>
              <w:rPr>
                <w:noProof/>
                <w:webHidden/>
              </w:rPr>
              <w:tab/>
            </w:r>
            <w:r>
              <w:rPr>
                <w:noProof/>
                <w:webHidden/>
              </w:rPr>
              <w:fldChar w:fldCharType="begin"/>
            </w:r>
            <w:r>
              <w:rPr>
                <w:noProof/>
                <w:webHidden/>
              </w:rPr>
              <w:instrText xml:space="preserve"> PAGEREF _Toc236079016 \h </w:instrText>
            </w:r>
            <w:r>
              <w:rPr>
                <w:noProof/>
                <w:webHidden/>
              </w:rPr>
            </w:r>
            <w:r>
              <w:rPr>
                <w:noProof/>
                <w:webHidden/>
              </w:rPr>
              <w:fldChar w:fldCharType="separate"/>
            </w:r>
            <w:r>
              <w:rPr>
                <w:noProof/>
                <w:webHidden/>
              </w:rPr>
              <w:t>8</w:t>
            </w:r>
            <w:r>
              <w:rPr>
                <w:noProof/>
                <w:webHidden/>
              </w:rPr>
              <w:fldChar w:fldCharType="end"/>
            </w:r>
          </w:hyperlink>
        </w:p>
        <w:p w14:paraId="760546A4" w14:textId="19875AB9"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17" w:history="1">
            <w:r w:rsidRPr="0036344B">
              <w:rPr>
                <w:rStyle w:val="Hyperlink"/>
                <w:rFonts w:ascii="Source Sans Pro" w:hAnsi="Source Sans Pro"/>
                <w:noProof/>
                <w:lang w:val="en-ZM"/>
              </w:rPr>
              <w:t>Core Model Input Files</w:t>
            </w:r>
            <w:r>
              <w:rPr>
                <w:noProof/>
                <w:webHidden/>
              </w:rPr>
              <w:tab/>
            </w:r>
            <w:r>
              <w:rPr>
                <w:noProof/>
                <w:webHidden/>
              </w:rPr>
              <w:fldChar w:fldCharType="begin"/>
            </w:r>
            <w:r>
              <w:rPr>
                <w:noProof/>
                <w:webHidden/>
              </w:rPr>
              <w:instrText xml:space="preserve"> PAGEREF _Toc236079017 \h </w:instrText>
            </w:r>
            <w:r>
              <w:rPr>
                <w:noProof/>
                <w:webHidden/>
              </w:rPr>
            </w:r>
            <w:r>
              <w:rPr>
                <w:noProof/>
                <w:webHidden/>
              </w:rPr>
              <w:fldChar w:fldCharType="separate"/>
            </w:r>
            <w:r>
              <w:rPr>
                <w:noProof/>
                <w:webHidden/>
              </w:rPr>
              <w:t>9</w:t>
            </w:r>
            <w:r>
              <w:rPr>
                <w:noProof/>
                <w:webHidden/>
              </w:rPr>
              <w:fldChar w:fldCharType="end"/>
            </w:r>
          </w:hyperlink>
        </w:p>
        <w:p w14:paraId="43740B12" w14:textId="1905E0B2"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18" w:history="1">
            <w:r w:rsidRPr="0036344B">
              <w:rPr>
                <w:rStyle w:val="Hyperlink"/>
                <w:rFonts w:ascii="Source Sans Pro" w:hAnsi="Source Sans Pro"/>
                <w:noProof/>
                <w:lang w:val="en-ZM"/>
              </w:rPr>
              <w:t>Oasis Calculation Engine</w:t>
            </w:r>
            <w:r>
              <w:rPr>
                <w:noProof/>
                <w:webHidden/>
              </w:rPr>
              <w:tab/>
            </w:r>
            <w:r>
              <w:rPr>
                <w:noProof/>
                <w:webHidden/>
              </w:rPr>
              <w:fldChar w:fldCharType="begin"/>
            </w:r>
            <w:r>
              <w:rPr>
                <w:noProof/>
                <w:webHidden/>
              </w:rPr>
              <w:instrText xml:space="preserve"> PAGEREF _Toc236079018 \h </w:instrText>
            </w:r>
            <w:r>
              <w:rPr>
                <w:noProof/>
                <w:webHidden/>
              </w:rPr>
            </w:r>
            <w:r>
              <w:rPr>
                <w:noProof/>
                <w:webHidden/>
              </w:rPr>
              <w:fldChar w:fldCharType="separate"/>
            </w:r>
            <w:r>
              <w:rPr>
                <w:noProof/>
                <w:webHidden/>
              </w:rPr>
              <w:t>10</w:t>
            </w:r>
            <w:r>
              <w:rPr>
                <w:noProof/>
                <w:webHidden/>
              </w:rPr>
              <w:fldChar w:fldCharType="end"/>
            </w:r>
          </w:hyperlink>
        </w:p>
        <w:p w14:paraId="55D9975E" w14:textId="6E0166B6" w:rsidR="00B70721" w:rsidRDefault="00B70721">
          <w:pPr>
            <w:pStyle w:val="TOC2"/>
            <w:tabs>
              <w:tab w:val="left" w:pos="960"/>
              <w:tab w:val="right" w:leader="dot" w:pos="9350"/>
            </w:tabs>
            <w:rPr>
              <w:rFonts w:eastAsiaTheme="minorEastAsia"/>
              <w:noProof/>
              <w:kern w:val="2"/>
              <w:sz w:val="24"/>
              <w:lang w:val="en-ZM" w:eastAsia="en-ZM"/>
              <w14:ligatures w14:val="standardContextual"/>
            </w:rPr>
          </w:pPr>
          <w:hyperlink w:anchor="_Toc236079019" w:history="1">
            <w:r w:rsidRPr="0036344B">
              <w:rPr>
                <w:rStyle w:val="Hyperlink"/>
                <w:rFonts w:ascii="Source Sans Pro" w:hAnsi="Source Sans Pro" w:cstheme="minorHAnsi"/>
                <w:iCs/>
                <w:noProof/>
              </w:rPr>
              <w:t>4.</w:t>
            </w:r>
            <w:r>
              <w:rPr>
                <w:rFonts w:eastAsiaTheme="minorEastAsia"/>
                <w:noProof/>
                <w:kern w:val="2"/>
                <w:sz w:val="24"/>
                <w:lang w:val="en-ZM" w:eastAsia="en-ZM"/>
                <w14:ligatures w14:val="standardContextual"/>
              </w:rPr>
              <w:tab/>
            </w:r>
            <w:r w:rsidRPr="0036344B">
              <w:rPr>
                <w:rStyle w:val="Hyperlink"/>
                <w:rFonts w:ascii="Source Sans Pro" w:hAnsi="Source Sans Pro" w:cstheme="minorHAnsi"/>
                <w:iCs/>
                <w:noProof/>
              </w:rPr>
              <w:t>The OpenQuake Hazard Engine</w:t>
            </w:r>
            <w:r>
              <w:rPr>
                <w:noProof/>
                <w:webHidden/>
              </w:rPr>
              <w:tab/>
            </w:r>
            <w:r>
              <w:rPr>
                <w:noProof/>
                <w:webHidden/>
              </w:rPr>
              <w:fldChar w:fldCharType="begin"/>
            </w:r>
            <w:r>
              <w:rPr>
                <w:noProof/>
                <w:webHidden/>
              </w:rPr>
              <w:instrText xml:space="preserve"> PAGEREF _Toc236079019 \h </w:instrText>
            </w:r>
            <w:r>
              <w:rPr>
                <w:noProof/>
                <w:webHidden/>
              </w:rPr>
            </w:r>
            <w:r>
              <w:rPr>
                <w:noProof/>
                <w:webHidden/>
              </w:rPr>
              <w:fldChar w:fldCharType="separate"/>
            </w:r>
            <w:r>
              <w:rPr>
                <w:noProof/>
                <w:webHidden/>
              </w:rPr>
              <w:t>11</w:t>
            </w:r>
            <w:r>
              <w:rPr>
                <w:noProof/>
                <w:webHidden/>
              </w:rPr>
              <w:fldChar w:fldCharType="end"/>
            </w:r>
          </w:hyperlink>
        </w:p>
        <w:p w14:paraId="1790C539" w14:textId="729CF585"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20" w:history="1">
            <w:r w:rsidRPr="0036344B">
              <w:rPr>
                <w:rStyle w:val="Hyperlink"/>
                <w:rFonts w:ascii="Source Sans Pro" w:hAnsi="Source Sans Pro"/>
                <w:noProof/>
                <w:lang w:val="en-ZM"/>
              </w:rPr>
              <w:t>Where OpenQuake fits in the workflow</w:t>
            </w:r>
            <w:r>
              <w:rPr>
                <w:noProof/>
                <w:webHidden/>
              </w:rPr>
              <w:tab/>
            </w:r>
            <w:r>
              <w:rPr>
                <w:noProof/>
                <w:webHidden/>
              </w:rPr>
              <w:fldChar w:fldCharType="begin"/>
            </w:r>
            <w:r>
              <w:rPr>
                <w:noProof/>
                <w:webHidden/>
              </w:rPr>
              <w:instrText xml:space="preserve"> PAGEREF _Toc236079020 \h </w:instrText>
            </w:r>
            <w:r>
              <w:rPr>
                <w:noProof/>
                <w:webHidden/>
              </w:rPr>
            </w:r>
            <w:r>
              <w:rPr>
                <w:noProof/>
                <w:webHidden/>
              </w:rPr>
              <w:fldChar w:fldCharType="separate"/>
            </w:r>
            <w:r>
              <w:rPr>
                <w:noProof/>
                <w:webHidden/>
              </w:rPr>
              <w:t>11</w:t>
            </w:r>
            <w:r>
              <w:rPr>
                <w:noProof/>
                <w:webHidden/>
              </w:rPr>
              <w:fldChar w:fldCharType="end"/>
            </w:r>
          </w:hyperlink>
        </w:p>
        <w:p w14:paraId="27EAC78B" w14:textId="7F44189E"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21" w:history="1">
            <w:r w:rsidRPr="0036344B">
              <w:rPr>
                <w:rStyle w:val="Hyperlink"/>
                <w:rFonts w:ascii="Source Sans Pro" w:hAnsi="Source Sans Pro"/>
                <w:noProof/>
                <w:lang w:val="en-ZM"/>
              </w:rPr>
              <w:t>The inputs OpenQuake requires</w:t>
            </w:r>
            <w:r>
              <w:rPr>
                <w:noProof/>
                <w:webHidden/>
              </w:rPr>
              <w:tab/>
            </w:r>
            <w:r>
              <w:rPr>
                <w:noProof/>
                <w:webHidden/>
              </w:rPr>
              <w:fldChar w:fldCharType="begin"/>
            </w:r>
            <w:r>
              <w:rPr>
                <w:noProof/>
                <w:webHidden/>
              </w:rPr>
              <w:instrText xml:space="preserve"> PAGEREF _Toc236079021 \h </w:instrText>
            </w:r>
            <w:r>
              <w:rPr>
                <w:noProof/>
                <w:webHidden/>
              </w:rPr>
            </w:r>
            <w:r>
              <w:rPr>
                <w:noProof/>
                <w:webHidden/>
              </w:rPr>
              <w:fldChar w:fldCharType="separate"/>
            </w:r>
            <w:r>
              <w:rPr>
                <w:noProof/>
                <w:webHidden/>
              </w:rPr>
              <w:t>12</w:t>
            </w:r>
            <w:r>
              <w:rPr>
                <w:noProof/>
                <w:webHidden/>
              </w:rPr>
              <w:fldChar w:fldCharType="end"/>
            </w:r>
          </w:hyperlink>
        </w:p>
        <w:p w14:paraId="74F5DCEF" w14:textId="04C0A659"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22" w:history="1">
            <w:r w:rsidRPr="0036344B">
              <w:rPr>
                <w:rStyle w:val="Hyperlink"/>
                <w:rFonts w:ascii="Source Sans Pro" w:hAnsi="Source Sans Pro"/>
                <w:noProof/>
                <w:lang w:val="en-ZM"/>
              </w:rPr>
              <w:t>Generating stochastic events and ruptures</w:t>
            </w:r>
            <w:r>
              <w:rPr>
                <w:noProof/>
                <w:webHidden/>
              </w:rPr>
              <w:tab/>
            </w:r>
            <w:r>
              <w:rPr>
                <w:noProof/>
                <w:webHidden/>
              </w:rPr>
              <w:fldChar w:fldCharType="begin"/>
            </w:r>
            <w:r>
              <w:rPr>
                <w:noProof/>
                <w:webHidden/>
              </w:rPr>
              <w:instrText xml:space="preserve"> PAGEREF _Toc236079022 \h </w:instrText>
            </w:r>
            <w:r>
              <w:rPr>
                <w:noProof/>
                <w:webHidden/>
              </w:rPr>
            </w:r>
            <w:r>
              <w:rPr>
                <w:noProof/>
                <w:webHidden/>
              </w:rPr>
              <w:fldChar w:fldCharType="separate"/>
            </w:r>
            <w:r>
              <w:rPr>
                <w:noProof/>
                <w:webHidden/>
              </w:rPr>
              <w:t>14</w:t>
            </w:r>
            <w:r>
              <w:rPr>
                <w:noProof/>
                <w:webHidden/>
              </w:rPr>
              <w:fldChar w:fldCharType="end"/>
            </w:r>
          </w:hyperlink>
        </w:p>
        <w:p w14:paraId="1729BAEE" w14:textId="1F1E0503"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23" w:history="1">
            <w:r w:rsidRPr="0036344B">
              <w:rPr>
                <w:rStyle w:val="Hyperlink"/>
                <w:rFonts w:ascii="Source Sans Pro" w:hAnsi="Source Sans Pro"/>
                <w:noProof/>
                <w:lang w:val="en-ZM"/>
              </w:rPr>
              <w:t>From ruptures to ground motion fields, and the role of sigma and epsilon</w:t>
            </w:r>
            <w:r>
              <w:rPr>
                <w:noProof/>
                <w:webHidden/>
              </w:rPr>
              <w:tab/>
            </w:r>
            <w:r>
              <w:rPr>
                <w:noProof/>
                <w:webHidden/>
              </w:rPr>
              <w:fldChar w:fldCharType="begin"/>
            </w:r>
            <w:r>
              <w:rPr>
                <w:noProof/>
                <w:webHidden/>
              </w:rPr>
              <w:instrText xml:space="preserve"> PAGEREF _Toc236079023 \h </w:instrText>
            </w:r>
            <w:r>
              <w:rPr>
                <w:noProof/>
                <w:webHidden/>
              </w:rPr>
            </w:r>
            <w:r>
              <w:rPr>
                <w:noProof/>
                <w:webHidden/>
              </w:rPr>
              <w:fldChar w:fldCharType="separate"/>
            </w:r>
            <w:r>
              <w:rPr>
                <w:noProof/>
                <w:webHidden/>
              </w:rPr>
              <w:t>15</w:t>
            </w:r>
            <w:r>
              <w:rPr>
                <w:noProof/>
                <w:webHidden/>
              </w:rPr>
              <w:fldChar w:fldCharType="end"/>
            </w:r>
          </w:hyperlink>
        </w:p>
        <w:p w14:paraId="36F50AE9" w14:textId="3AEF0C60"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24" w:history="1">
            <w:r w:rsidRPr="0036344B">
              <w:rPr>
                <w:rStyle w:val="Hyperlink"/>
                <w:rFonts w:ascii="Source Sans Pro" w:hAnsi="Source Sans Pro"/>
                <w:noProof/>
                <w:lang w:val="en-ZM"/>
              </w:rPr>
              <w:t>The outputs OpenQuake produces</w:t>
            </w:r>
            <w:r>
              <w:rPr>
                <w:noProof/>
                <w:webHidden/>
              </w:rPr>
              <w:tab/>
            </w:r>
            <w:r>
              <w:rPr>
                <w:noProof/>
                <w:webHidden/>
              </w:rPr>
              <w:fldChar w:fldCharType="begin"/>
            </w:r>
            <w:r>
              <w:rPr>
                <w:noProof/>
                <w:webHidden/>
              </w:rPr>
              <w:instrText xml:space="preserve"> PAGEREF _Toc236079024 \h </w:instrText>
            </w:r>
            <w:r>
              <w:rPr>
                <w:noProof/>
                <w:webHidden/>
              </w:rPr>
            </w:r>
            <w:r>
              <w:rPr>
                <w:noProof/>
                <w:webHidden/>
              </w:rPr>
              <w:fldChar w:fldCharType="separate"/>
            </w:r>
            <w:r>
              <w:rPr>
                <w:noProof/>
                <w:webHidden/>
              </w:rPr>
              <w:t>16</w:t>
            </w:r>
            <w:r>
              <w:rPr>
                <w:noProof/>
                <w:webHidden/>
              </w:rPr>
              <w:fldChar w:fldCharType="end"/>
            </w:r>
          </w:hyperlink>
        </w:p>
        <w:p w14:paraId="71B06D4D" w14:textId="348735E5" w:rsidR="00B70721" w:rsidRDefault="00B70721">
          <w:pPr>
            <w:pStyle w:val="TOC2"/>
            <w:tabs>
              <w:tab w:val="left" w:pos="960"/>
              <w:tab w:val="right" w:leader="dot" w:pos="9350"/>
            </w:tabs>
            <w:rPr>
              <w:rFonts w:eastAsiaTheme="minorEastAsia"/>
              <w:noProof/>
              <w:kern w:val="2"/>
              <w:sz w:val="24"/>
              <w:lang w:val="en-ZM" w:eastAsia="en-ZM"/>
              <w14:ligatures w14:val="standardContextual"/>
            </w:rPr>
          </w:pPr>
          <w:hyperlink w:anchor="_Toc236079025" w:history="1">
            <w:r w:rsidRPr="0036344B">
              <w:rPr>
                <w:rStyle w:val="Hyperlink"/>
                <w:rFonts w:ascii="Source Sans Pro" w:hAnsi="Source Sans Pro" w:cstheme="minorHAnsi"/>
                <w:iCs/>
                <w:noProof/>
              </w:rPr>
              <w:t>5.</w:t>
            </w:r>
            <w:r>
              <w:rPr>
                <w:rFonts w:eastAsiaTheme="minorEastAsia"/>
                <w:noProof/>
                <w:kern w:val="2"/>
                <w:sz w:val="24"/>
                <w:lang w:val="en-ZM" w:eastAsia="en-ZM"/>
                <w14:ligatures w14:val="standardContextual"/>
              </w:rPr>
              <w:tab/>
            </w:r>
            <w:r w:rsidRPr="0036344B">
              <w:rPr>
                <w:rStyle w:val="Hyperlink"/>
                <w:rFonts w:ascii="Source Sans Pro" w:hAnsi="Source Sans Pro" w:cstheme="minorHAnsi"/>
                <w:iCs/>
                <w:noProof/>
              </w:rPr>
              <w:t>Building the Oasis Model and its Data Files</w:t>
            </w:r>
            <w:r>
              <w:rPr>
                <w:noProof/>
                <w:webHidden/>
              </w:rPr>
              <w:tab/>
            </w:r>
            <w:r>
              <w:rPr>
                <w:noProof/>
                <w:webHidden/>
              </w:rPr>
              <w:fldChar w:fldCharType="begin"/>
            </w:r>
            <w:r>
              <w:rPr>
                <w:noProof/>
                <w:webHidden/>
              </w:rPr>
              <w:instrText xml:space="preserve"> PAGEREF _Toc236079025 \h </w:instrText>
            </w:r>
            <w:r>
              <w:rPr>
                <w:noProof/>
                <w:webHidden/>
              </w:rPr>
            </w:r>
            <w:r>
              <w:rPr>
                <w:noProof/>
                <w:webHidden/>
              </w:rPr>
              <w:fldChar w:fldCharType="separate"/>
            </w:r>
            <w:r>
              <w:rPr>
                <w:noProof/>
                <w:webHidden/>
              </w:rPr>
              <w:t>17</w:t>
            </w:r>
            <w:r>
              <w:rPr>
                <w:noProof/>
                <w:webHidden/>
              </w:rPr>
              <w:fldChar w:fldCharType="end"/>
            </w:r>
          </w:hyperlink>
        </w:p>
        <w:p w14:paraId="185E08F4" w14:textId="158ECF95"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26" w:history="1">
            <w:r w:rsidRPr="0036344B">
              <w:rPr>
                <w:rStyle w:val="Hyperlink"/>
                <w:rFonts w:ascii="Source Sans Pro" w:hAnsi="Source Sans Pro"/>
                <w:noProof/>
                <w:lang w:val="en-ZM"/>
              </w:rPr>
              <w:t>The architecture and the flow of data</w:t>
            </w:r>
            <w:r>
              <w:rPr>
                <w:noProof/>
                <w:webHidden/>
              </w:rPr>
              <w:tab/>
            </w:r>
            <w:r>
              <w:rPr>
                <w:noProof/>
                <w:webHidden/>
              </w:rPr>
              <w:fldChar w:fldCharType="begin"/>
            </w:r>
            <w:r>
              <w:rPr>
                <w:noProof/>
                <w:webHidden/>
              </w:rPr>
              <w:instrText xml:space="preserve"> PAGEREF _Toc236079026 \h </w:instrText>
            </w:r>
            <w:r>
              <w:rPr>
                <w:noProof/>
                <w:webHidden/>
              </w:rPr>
            </w:r>
            <w:r>
              <w:rPr>
                <w:noProof/>
                <w:webHidden/>
              </w:rPr>
              <w:fldChar w:fldCharType="separate"/>
            </w:r>
            <w:r>
              <w:rPr>
                <w:noProof/>
                <w:webHidden/>
              </w:rPr>
              <w:t>17</w:t>
            </w:r>
            <w:r>
              <w:rPr>
                <w:noProof/>
                <w:webHidden/>
              </w:rPr>
              <w:fldChar w:fldCharType="end"/>
            </w:r>
          </w:hyperlink>
        </w:p>
        <w:p w14:paraId="6A8A345B" w14:textId="7970403B"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27" w:history="1">
            <w:r w:rsidRPr="0036344B">
              <w:rPr>
                <w:rStyle w:val="Hyperlink"/>
                <w:rFonts w:ascii="Source Sans Pro" w:hAnsi="Source Sans Pro"/>
                <w:noProof/>
                <w:lang w:val="en-ZM"/>
              </w:rPr>
              <w:t>The model files supplied by the hazard science</w:t>
            </w:r>
            <w:r>
              <w:rPr>
                <w:noProof/>
                <w:webHidden/>
              </w:rPr>
              <w:tab/>
            </w:r>
            <w:r>
              <w:rPr>
                <w:noProof/>
                <w:webHidden/>
              </w:rPr>
              <w:fldChar w:fldCharType="begin"/>
            </w:r>
            <w:r>
              <w:rPr>
                <w:noProof/>
                <w:webHidden/>
              </w:rPr>
              <w:instrText xml:space="preserve"> PAGEREF _Toc236079027 \h </w:instrText>
            </w:r>
            <w:r>
              <w:rPr>
                <w:noProof/>
                <w:webHidden/>
              </w:rPr>
            </w:r>
            <w:r>
              <w:rPr>
                <w:noProof/>
                <w:webHidden/>
              </w:rPr>
              <w:fldChar w:fldCharType="separate"/>
            </w:r>
            <w:r>
              <w:rPr>
                <w:noProof/>
                <w:webHidden/>
              </w:rPr>
              <w:t>17</w:t>
            </w:r>
            <w:r>
              <w:rPr>
                <w:noProof/>
                <w:webHidden/>
              </w:rPr>
              <w:fldChar w:fldCharType="end"/>
            </w:r>
          </w:hyperlink>
        </w:p>
        <w:p w14:paraId="53077E58" w14:textId="29FE8757"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28" w:history="1">
            <w:r w:rsidRPr="0036344B">
              <w:rPr>
                <w:rStyle w:val="Hyperlink"/>
                <w:rFonts w:ascii="Source Sans Pro" w:hAnsi="Source Sans Pro"/>
                <w:noProof/>
                <w:lang w:val="en-ZM"/>
              </w:rPr>
              <w:t>The keys lookup that connects exposure to the model</w:t>
            </w:r>
            <w:r>
              <w:rPr>
                <w:noProof/>
                <w:webHidden/>
              </w:rPr>
              <w:tab/>
            </w:r>
            <w:r>
              <w:rPr>
                <w:noProof/>
                <w:webHidden/>
              </w:rPr>
              <w:fldChar w:fldCharType="begin"/>
            </w:r>
            <w:r>
              <w:rPr>
                <w:noProof/>
                <w:webHidden/>
              </w:rPr>
              <w:instrText xml:space="preserve"> PAGEREF _Toc236079028 \h </w:instrText>
            </w:r>
            <w:r>
              <w:rPr>
                <w:noProof/>
                <w:webHidden/>
              </w:rPr>
            </w:r>
            <w:r>
              <w:rPr>
                <w:noProof/>
                <w:webHidden/>
              </w:rPr>
              <w:fldChar w:fldCharType="separate"/>
            </w:r>
            <w:r>
              <w:rPr>
                <w:noProof/>
                <w:webHidden/>
              </w:rPr>
              <w:t>19</w:t>
            </w:r>
            <w:r>
              <w:rPr>
                <w:noProof/>
                <w:webHidden/>
              </w:rPr>
              <w:fldChar w:fldCharType="end"/>
            </w:r>
          </w:hyperlink>
        </w:p>
        <w:p w14:paraId="6186D666" w14:textId="650290DF"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29" w:history="1">
            <w:r w:rsidRPr="0036344B">
              <w:rPr>
                <w:rStyle w:val="Hyperlink"/>
                <w:rFonts w:ascii="Source Sans Pro" w:hAnsi="Source Sans Pro"/>
                <w:noProof/>
                <w:lang w:val="en-ZM"/>
              </w:rPr>
              <w:t>The files generated from the user's exposure</w:t>
            </w:r>
            <w:r>
              <w:rPr>
                <w:noProof/>
                <w:webHidden/>
              </w:rPr>
              <w:tab/>
            </w:r>
            <w:r>
              <w:rPr>
                <w:noProof/>
                <w:webHidden/>
              </w:rPr>
              <w:fldChar w:fldCharType="begin"/>
            </w:r>
            <w:r>
              <w:rPr>
                <w:noProof/>
                <w:webHidden/>
              </w:rPr>
              <w:instrText xml:space="preserve"> PAGEREF _Toc236079029 \h </w:instrText>
            </w:r>
            <w:r>
              <w:rPr>
                <w:noProof/>
                <w:webHidden/>
              </w:rPr>
            </w:r>
            <w:r>
              <w:rPr>
                <w:noProof/>
                <w:webHidden/>
              </w:rPr>
              <w:fldChar w:fldCharType="separate"/>
            </w:r>
            <w:r>
              <w:rPr>
                <w:noProof/>
                <w:webHidden/>
              </w:rPr>
              <w:t>19</w:t>
            </w:r>
            <w:r>
              <w:rPr>
                <w:noProof/>
                <w:webHidden/>
              </w:rPr>
              <w:fldChar w:fldCharType="end"/>
            </w:r>
          </w:hyperlink>
        </w:p>
        <w:p w14:paraId="0CDBFE7E" w14:textId="7ED704CD"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30" w:history="1">
            <w:r w:rsidRPr="0036344B">
              <w:rPr>
                <w:rStyle w:val="Hyperlink"/>
                <w:rFonts w:ascii="Source Sans Pro" w:hAnsi="Source Sans Pro"/>
                <w:noProof/>
                <w:lang w:val="en-ZM"/>
              </w:rPr>
              <w:t>How the engine calculates ground up and insured losses</w:t>
            </w:r>
            <w:r>
              <w:rPr>
                <w:noProof/>
                <w:webHidden/>
              </w:rPr>
              <w:tab/>
            </w:r>
            <w:r>
              <w:rPr>
                <w:noProof/>
                <w:webHidden/>
              </w:rPr>
              <w:fldChar w:fldCharType="begin"/>
            </w:r>
            <w:r>
              <w:rPr>
                <w:noProof/>
                <w:webHidden/>
              </w:rPr>
              <w:instrText xml:space="preserve"> PAGEREF _Toc236079030 \h </w:instrText>
            </w:r>
            <w:r>
              <w:rPr>
                <w:noProof/>
                <w:webHidden/>
              </w:rPr>
            </w:r>
            <w:r>
              <w:rPr>
                <w:noProof/>
                <w:webHidden/>
              </w:rPr>
              <w:fldChar w:fldCharType="separate"/>
            </w:r>
            <w:r>
              <w:rPr>
                <w:noProof/>
                <w:webHidden/>
              </w:rPr>
              <w:t>20</w:t>
            </w:r>
            <w:r>
              <w:rPr>
                <w:noProof/>
                <w:webHidden/>
              </w:rPr>
              <w:fldChar w:fldCharType="end"/>
            </w:r>
          </w:hyperlink>
        </w:p>
        <w:p w14:paraId="6EBEEFC7" w14:textId="46447002"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31" w:history="1">
            <w:r w:rsidRPr="0036344B">
              <w:rPr>
                <w:rStyle w:val="Hyperlink"/>
                <w:rFonts w:ascii="Source Sans Pro" w:hAnsi="Source Sans Pro"/>
                <w:noProof/>
                <w:lang w:val="en-ZM"/>
              </w:rPr>
              <w:t>From samples to Event Loss Tables and portfolio metrics</w:t>
            </w:r>
            <w:r>
              <w:rPr>
                <w:noProof/>
                <w:webHidden/>
              </w:rPr>
              <w:tab/>
            </w:r>
            <w:r>
              <w:rPr>
                <w:noProof/>
                <w:webHidden/>
              </w:rPr>
              <w:fldChar w:fldCharType="begin"/>
            </w:r>
            <w:r>
              <w:rPr>
                <w:noProof/>
                <w:webHidden/>
              </w:rPr>
              <w:instrText xml:space="preserve"> PAGEREF _Toc236079031 \h </w:instrText>
            </w:r>
            <w:r>
              <w:rPr>
                <w:noProof/>
                <w:webHidden/>
              </w:rPr>
            </w:r>
            <w:r>
              <w:rPr>
                <w:noProof/>
                <w:webHidden/>
              </w:rPr>
              <w:fldChar w:fldCharType="separate"/>
            </w:r>
            <w:r>
              <w:rPr>
                <w:noProof/>
                <w:webHidden/>
              </w:rPr>
              <w:t>21</w:t>
            </w:r>
            <w:r>
              <w:rPr>
                <w:noProof/>
                <w:webHidden/>
              </w:rPr>
              <w:fldChar w:fldCharType="end"/>
            </w:r>
          </w:hyperlink>
        </w:p>
        <w:p w14:paraId="2E01947D" w14:textId="2569654E" w:rsidR="00B70721" w:rsidRDefault="00B70721">
          <w:pPr>
            <w:pStyle w:val="TOC2"/>
            <w:tabs>
              <w:tab w:val="left" w:pos="960"/>
              <w:tab w:val="right" w:leader="dot" w:pos="9350"/>
            </w:tabs>
            <w:rPr>
              <w:rFonts w:eastAsiaTheme="minorEastAsia"/>
              <w:noProof/>
              <w:kern w:val="2"/>
              <w:sz w:val="24"/>
              <w:lang w:val="en-ZM" w:eastAsia="en-ZM"/>
              <w14:ligatures w14:val="standardContextual"/>
            </w:rPr>
          </w:pPr>
          <w:hyperlink w:anchor="_Toc236079032" w:history="1">
            <w:r w:rsidRPr="0036344B">
              <w:rPr>
                <w:rStyle w:val="Hyperlink"/>
                <w:rFonts w:ascii="Source Sans Pro" w:hAnsi="Source Sans Pro" w:cstheme="minorHAnsi"/>
                <w:iCs/>
                <w:noProof/>
              </w:rPr>
              <w:t>6.</w:t>
            </w:r>
            <w:r>
              <w:rPr>
                <w:rFonts w:eastAsiaTheme="minorEastAsia"/>
                <w:noProof/>
                <w:kern w:val="2"/>
                <w:sz w:val="24"/>
                <w:lang w:val="en-ZM" w:eastAsia="en-ZM"/>
                <w14:ligatures w14:val="standardContextual"/>
              </w:rPr>
              <w:tab/>
            </w:r>
            <w:r w:rsidRPr="0036344B">
              <w:rPr>
                <w:rStyle w:val="Hyperlink"/>
                <w:rFonts w:ascii="Source Sans Pro" w:hAnsi="Source Sans Pro" w:cstheme="minorHAnsi"/>
                <w:iCs/>
                <w:noProof/>
              </w:rPr>
              <w:t>The Klapton Re Earthquake Model in Practice</w:t>
            </w:r>
            <w:r>
              <w:rPr>
                <w:noProof/>
                <w:webHidden/>
              </w:rPr>
              <w:tab/>
            </w:r>
            <w:r>
              <w:rPr>
                <w:noProof/>
                <w:webHidden/>
              </w:rPr>
              <w:fldChar w:fldCharType="begin"/>
            </w:r>
            <w:r>
              <w:rPr>
                <w:noProof/>
                <w:webHidden/>
              </w:rPr>
              <w:instrText xml:space="preserve"> PAGEREF _Toc236079032 \h </w:instrText>
            </w:r>
            <w:r>
              <w:rPr>
                <w:noProof/>
                <w:webHidden/>
              </w:rPr>
            </w:r>
            <w:r>
              <w:rPr>
                <w:noProof/>
                <w:webHidden/>
              </w:rPr>
              <w:fldChar w:fldCharType="separate"/>
            </w:r>
            <w:r>
              <w:rPr>
                <w:noProof/>
                <w:webHidden/>
              </w:rPr>
              <w:t>21</w:t>
            </w:r>
            <w:r>
              <w:rPr>
                <w:noProof/>
                <w:webHidden/>
              </w:rPr>
              <w:fldChar w:fldCharType="end"/>
            </w:r>
          </w:hyperlink>
        </w:p>
        <w:p w14:paraId="0DAA482B" w14:textId="20A2EC58"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33" w:history="1">
            <w:r w:rsidRPr="0036344B">
              <w:rPr>
                <w:rStyle w:val="Hyperlink"/>
                <w:rFonts w:ascii="Source Sans Pro" w:hAnsi="Source Sans Pro"/>
                <w:noProof/>
                <w:lang w:val="en-ZM"/>
              </w:rPr>
              <w:t>The exposure data and its limitations</w:t>
            </w:r>
            <w:r>
              <w:rPr>
                <w:noProof/>
                <w:webHidden/>
              </w:rPr>
              <w:tab/>
            </w:r>
            <w:r>
              <w:rPr>
                <w:noProof/>
                <w:webHidden/>
              </w:rPr>
              <w:fldChar w:fldCharType="begin"/>
            </w:r>
            <w:r>
              <w:rPr>
                <w:noProof/>
                <w:webHidden/>
              </w:rPr>
              <w:instrText xml:space="preserve"> PAGEREF _Toc236079033 \h </w:instrText>
            </w:r>
            <w:r>
              <w:rPr>
                <w:noProof/>
                <w:webHidden/>
              </w:rPr>
            </w:r>
            <w:r>
              <w:rPr>
                <w:noProof/>
                <w:webHidden/>
              </w:rPr>
              <w:fldChar w:fldCharType="separate"/>
            </w:r>
            <w:r>
              <w:rPr>
                <w:noProof/>
                <w:webHidden/>
              </w:rPr>
              <w:t>22</w:t>
            </w:r>
            <w:r>
              <w:rPr>
                <w:noProof/>
                <w:webHidden/>
              </w:rPr>
              <w:fldChar w:fldCharType="end"/>
            </w:r>
          </w:hyperlink>
        </w:p>
        <w:p w14:paraId="589F5B68" w14:textId="47AC4698"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34" w:history="1">
            <w:r w:rsidRPr="0036344B">
              <w:rPr>
                <w:rStyle w:val="Hyperlink"/>
                <w:rFonts w:ascii="Source Sans Pro" w:hAnsi="Source Sans Pro"/>
                <w:noProof/>
                <w:lang w:val="en-ZM"/>
              </w:rPr>
              <w:t>Geocoding through the Google Places API</w:t>
            </w:r>
            <w:r>
              <w:rPr>
                <w:noProof/>
                <w:webHidden/>
              </w:rPr>
              <w:tab/>
            </w:r>
            <w:r>
              <w:rPr>
                <w:noProof/>
                <w:webHidden/>
              </w:rPr>
              <w:fldChar w:fldCharType="begin"/>
            </w:r>
            <w:r>
              <w:rPr>
                <w:noProof/>
                <w:webHidden/>
              </w:rPr>
              <w:instrText xml:space="preserve"> PAGEREF _Toc236079034 \h </w:instrText>
            </w:r>
            <w:r>
              <w:rPr>
                <w:noProof/>
                <w:webHidden/>
              </w:rPr>
            </w:r>
            <w:r>
              <w:rPr>
                <w:noProof/>
                <w:webHidden/>
              </w:rPr>
              <w:fldChar w:fldCharType="separate"/>
            </w:r>
            <w:r>
              <w:rPr>
                <w:noProof/>
                <w:webHidden/>
              </w:rPr>
              <w:t>22</w:t>
            </w:r>
            <w:r>
              <w:rPr>
                <w:noProof/>
                <w:webHidden/>
              </w:rPr>
              <w:fldChar w:fldCharType="end"/>
            </w:r>
          </w:hyperlink>
        </w:p>
        <w:p w14:paraId="7482910D" w14:textId="7158DE4C"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35" w:history="1">
            <w:r w:rsidRPr="0036344B">
              <w:rPr>
                <w:rStyle w:val="Hyperlink"/>
                <w:rFonts w:ascii="Source Sans Pro" w:hAnsi="Source Sans Pro"/>
                <w:noProof/>
                <w:lang w:val="en-ZM"/>
              </w:rPr>
              <w:t>Selecting hazard models from GEM</w:t>
            </w:r>
            <w:r>
              <w:rPr>
                <w:noProof/>
                <w:webHidden/>
              </w:rPr>
              <w:tab/>
            </w:r>
            <w:r>
              <w:rPr>
                <w:noProof/>
                <w:webHidden/>
              </w:rPr>
              <w:fldChar w:fldCharType="begin"/>
            </w:r>
            <w:r>
              <w:rPr>
                <w:noProof/>
                <w:webHidden/>
              </w:rPr>
              <w:instrText xml:space="preserve"> PAGEREF _Toc236079035 \h </w:instrText>
            </w:r>
            <w:r>
              <w:rPr>
                <w:noProof/>
                <w:webHidden/>
              </w:rPr>
            </w:r>
            <w:r>
              <w:rPr>
                <w:noProof/>
                <w:webHidden/>
              </w:rPr>
              <w:fldChar w:fldCharType="separate"/>
            </w:r>
            <w:r>
              <w:rPr>
                <w:noProof/>
                <w:webHidden/>
              </w:rPr>
              <w:t>22</w:t>
            </w:r>
            <w:r>
              <w:rPr>
                <w:noProof/>
                <w:webHidden/>
              </w:rPr>
              <w:fldChar w:fldCharType="end"/>
            </w:r>
          </w:hyperlink>
        </w:p>
        <w:p w14:paraId="50038B9E" w14:textId="4F49582B"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36" w:history="1">
            <w:r w:rsidRPr="0036344B">
              <w:rPr>
                <w:rStyle w:val="Hyperlink"/>
                <w:rFonts w:ascii="Source Sans Pro" w:hAnsi="Source Sans Pro"/>
                <w:noProof/>
                <w:lang w:val="en-ZM"/>
              </w:rPr>
              <w:t>Coverage, deductible and value assumptions</w:t>
            </w:r>
            <w:r>
              <w:rPr>
                <w:noProof/>
                <w:webHidden/>
              </w:rPr>
              <w:tab/>
            </w:r>
            <w:r>
              <w:rPr>
                <w:noProof/>
                <w:webHidden/>
              </w:rPr>
              <w:fldChar w:fldCharType="begin"/>
            </w:r>
            <w:r>
              <w:rPr>
                <w:noProof/>
                <w:webHidden/>
              </w:rPr>
              <w:instrText xml:space="preserve"> PAGEREF _Toc236079036 \h </w:instrText>
            </w:r>
            <w:r>
              <w:rPr>
                <w:noProof/>
                <w:webHidden/>
              </w:rPr>
            </w:r>
            <w:r>
              <w:rPr>
                <w:noProof/>
                <w:webHidden/>
              </w:rPr>
              <w:fldChar w:fldCharType="separate"/>
            </w:r>
            <w:r>
              <w:rPr>
                <w:noProof/>
                <w:webHidden/>
              </w:rPr>
              <w:t>23</w:t>
            </w:r>
            <w:r>
              <w:rPr>
                <w:noProof/>
                <w:webHidden/>
              </w:rPr>
              <w:fldChar w:fldCharType="end"/>
            </w:r>
          </w:hyperlink>
        </w:p>
        <w:p w14:paraId="33101BD1" w14:textId="5C0D6055"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37" w:history="1">
            <w:r w:rsidRPr="0036344B">
              <w:rPr>
                <w:rStyle w:val="Hyperlink"/>
                <w:rFonts w:ascii="Source Sans Pro" w:hAnsi="Source Sans Pro"/>
                <w:noProof/>
                <w:lang w:val="en-ZM"/>
              </w:rPr>
              <w:t>Assigning building classes and vulnerability</w:t>
            </w:r>
            <w:r>
              <w:rPr>
                <w:noProof/>
                <w:webHidden/>
              </w:rPr>
              <w:tab/>
            </w:r>
            <w:r>
              <w:rPr>
                <w:noProof/>
                <w:webHidden/>
              </w:rPr>
              <w:fldChar w:fldCharType="begin"/>
            </w:r>
            <w:r>
              <w:rPr>
                <w:noProof/>
                <w:webHidden/>
              </w:rPr>
              <w:instrText xml:space="preserve"> PAGEREF _Toc236079037 \h </w:instrText>
            </w:r>
            <w:r>
              <w:rPr>
                <w:noProof/>
                <w:webHidden/>
              </w:rPr>
            </w:r>
            <w:r>
              <w:rPr>
                <w:noProof/>
                <w:webHidden/>
              </w:rPr>
              <w:fldChar w:fldCharType="separate"/>
            </w:r>
            <w:r>
              <w:rPr>
                <w:noProof/>
                <w:webHidden/>
              </w:rPr>
              <w:t>23</w:t>
            </w:r>
            <w:r>
              <w:rPr>
                <w:noProof/>
                <w:webHidden/>
              </w:rPr>
              <w:fldChar w:fldCharType="end"/>
            </w:r>
          </w:hyperlink>
        </w:p>
        <w:p w14:paraId="0C07FE97" w14:textId="07C76F1F" w:rsidR="00B70721" w:rsidRDefault="00B70721">
          <w:pPr>
            <w:pStyle w:val="TOC2"/>
            <w:tabs>
              <w:tab w:val="left" w:pos="960"/>
              <w:tab w:val="right" w:leader="dot" w:pos="9350"/>
            </w:tabs>
            <w:rPr>
              <w:rFonts w:eastAsiaTheme="minorEastAsia"/>
              <w:noProof/>
              <w:kern w:val="2"/>
              <w:sz w:val="24"/>
              <w:lang w:val="en-ZM" w:eastAsia="en-ZM"/>
              <w14:ligatures w14:val="standardContextual"/>
            </w:rPr>
          </w:pPr>
          <w:hyperlink w:anchor="_Toc236079038" w:history="1">
            <w:r w:rsidRPr="0036344B">
              <w:rPr>
                <w:rStyle w:val="Hyperlink"/>
                <w:rFonts w:ascii="Source Sans Pro" w:hAnsi="Source Sans Pro" w:cstheme="minorHAnsi"/>
                <w:iCs/>
                <w:noProof/>
              </w:rPr>
              <w:t>7.</w:t>
            </w:r>
            <w:r>
              <w:rPr>
                <w:rFonts w:eastAsiaTheme="minorEastAsia"/>
                <w:noProof/>
                <w:kern w:val="2"/>
                <w:sz w:val="24"/>
                <w:lang w:val="en-ZM" w:eastAsia="en-ZM"/>
                <w14:ligatures w14:val="standardContextual"/>
              </w:rPr>
              <w:tab/>
            </w:r>
            <w:r w:rsidRPr="0036344B">
              <w:rPr>
                <w:rStyle w:val="Hyperlink"/>
                <w:rFonts w:ascii="Source Sans Pro" w:hAnsi="Source Sans Pro" w:cstheme="minorHAnsi"/>
                <w:iCs/>
                <w:noProof/>
              </w:rPr>
              <w:t>Post-Processing the Event Loss Table in Python</w:t>
            </w:r>
            <w:r>
              <w:rPr>
                <w:noProof/>
                <w:webHidden/>
              </w:rPr>
              <w:tab/>
            </w:r>
            <w:r>
              <w:rPr>
                <w:noProof/>
                <w:webHidden/>
              </w:rPr>
              <w:fldChar w:fldCharType="begin"/>
            </w:r>
            <w:r>
              <w:rPr>
                <w:noProof/>
                <w:webHidden/>
              </w:rPr>
              <w:instrText xml:space="preserve"> PAGEREF _Toc236079038 \h </w:instrText>
            </w:r>
            <w:r>
              <w:rPr>
                <w:noProof/>
                <w:webHidden/>
              </w:rPr>
            </w:r>
            <w:r>
              <w:rPr>
                <w:noProof/>
                <w:webHidden/>
              </w:rPr>
              <w:fldChar w:fldCharType="separate"/>
            </w:r>
            <w:r>
              <w:rPr>
                <w:noProof/>
                <w:webHidden/>
              </w:rPr>
              <w:t>24</w:t>
            </w:r>
            <w:r>
              <w:rPr>
                <w:noProof/>
                <w:webHidden/>
              </w:rPr>
              <w:fldChar w:fldCharType="end"/>
            </w:r>
          </w:hyperlink>
        </w:p>
        <w:p w14:paraId="29BE9C48" w14:textId="2C574B9C"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39" w:history="1">
            <w:r w:rsidRPr="0036344B">
              <w:rPr>
                <w:rStyle w:val="Hyperlink"/>
                <w:rFonts w:ascii="Source Sans Pro" w:hAnsi="Source Sans Pro"/>
                <w:noProof/>
                <w:lang w:val="en-ZM"/>
              </w:rPr>
              <w:t>The inputs and how they are combined</w:t>
            </w:r>
            <w:r>
              <w:rPr>
                <w:noProof/>
                <w:webHidden/>
              </w:rPr>
              <w:tab/>
            </w:r>
            <w:r>
              <w:rPr>
                <w:noProof/>
                <w:webHidden/>
              </w:rPr>
              <w:fldChar w:fldCharType="begin"/>
            </w:r>
            <w:r>
              <w:rPr>
                <w:noProof/>
                <w:webHidden/>
              </w:rPr>
              <w:instrText xml:space="preserve"> PAGEREF _Toc236079039 \h </w:instrText>
            </w:r>
            <w:r>
              <w:rPr>
                <w:noProof/>
                <w:webHidden/>
              </w:rPr>
            </w:r>
            <w:r>
              <w:rPr>
                <w:noProof/>
                <w:webHidden/>
              </w:rPr>
              <w:fldChar w:fldCharType="separate"/>
            </w:r>
            <w:r>
              <w:rPr>
                <w:noProof/>
                <w:webHidden/>
              </w:rPr>
              <w:t>25</w:t>
            </w:r>
            <w:r>
              <w:rPr>
                <w:noProof/>
                <w:webHidden/>
              </w:rPr>
              <w:fldChar w:fldCharType="end"/>
            </w:r>
          </w:hyperlink>
        </w:p>
        <w:p w14:paraId="107E3D31" w14:textId="0F053151"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40" w:history="1">
            <w:r w:rsidRPr="0036344B">
              <w:rPr>
                <w:rStyle w:val="Hyperlink"/>
                <w:rFonts w:ascii="Source Sans Pro" w:hAnsi="Source Sans Pro"/>
                <w:noProof/>
                <w:lang w:val="en-ZM"/>
              </w:rPr>
              <w:t>Average Annual Loss</w:t>
            </w:r>
            <w:r>
              <w:rPr>
                <w:noProof/>
                <w:webHidden/>
              </w:rPr>
              <w:tab/>
            </w:r>
            <w:r>
              <w:rPr>
                <w:noProof/>
                <w:webHidden/>
              </w:rPr>
              <w:fldChar w:fldCharType="begin"/>
            </w:r>
            <w:r>
              <w:rPr>
                <w:noProof/>
                <w:webHidden/>
              </w:rPr>
              <w:instrText xml:space="preserve"> PAGEREF _Toc236079040 \h </w:instrText>
            </w:r>
            <w:r>
              <w:rPr>
                <w:noProof/>
                <w:webHidden/>
              </w:rPr>
            </w:r>
            <w:r>
              <w:rPr>
                <w:noProof/>
                <w:webHidden/>
              </w:rPr>
              <w:fldChar w:fldCharType="separate"/>
            </w:r>
            <w:r>
              <w:rPr>
                <w:noProof/>
                <w:webHidden/>
              </w:rPr>
              <w:t>25</w:t>
            </w:r>
            <w:r>
              <w:rPr>
                <w:noProof/>
                <w:webHidden/>
              </w:rPr>
              <w:fldChar w:fldCharType="end"/>
            </w:r>
          </w:hyperlink>
        </w:p>
        <w:p w14:paraId="55FE3BC5" w14:textId="552504F7"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41" w:history="1">
            <w:r w:rsidRPr="0036344B">
              <w:rPr>
                <w:rStyle w:val="Hyperlink"/>
                <w:rFonts w:ascii="Source Sans Pro" w:hAnsi="Source Sans Pro"/>
                <w:noProof/>
                <w:lang w:val="en-ZM"/>
              </w:rPr>
              <w:t>Aggregate and Occurrence Exceedance Probability</w:t>
            </w:r>
            <w:r>
              <w:rPr>
                <w:noProof/>
                <w:webHidden/>
              </w:rPr>
              <w:tab/>
            </w:r>
            <w:r>
              <w:rPr>
                <w:noProof/>
                <w:webHidden/>
              </w:rPr>
              <w:fldChar w:fldCharType="begin"/>
            </w:r>
            <w:r>
              <w:rPr>
                <w:noProof/>
                <w:webHidden/>
              </w:rPr>
              <w:instrText xml:space="preserve"> PAGEREF _Toc236079041 \h </w:instrText>
            </w:r>
            <w:r>
              <w:rPr>
                <w:noProof/>
                <w:webHidden/>
              </w:rPr>
            </w:r>
            <w:r>
              <w:rPr>
                <w:noProof/>
                <w:webHidden/>
              </w:rPr>
              <w:fldChar w:fldCharType="separate"/>
            </w:r>
            <w:r>
              <w:rPr>
                <w:noProof/>
                <w:webHidden/>
              </w:rPr>
              <w:t>25</w:t>
            </w:r>
            <w:r>
              <w:rPr>
                <w:noProof/>
                <w:webHidden/>
              </w:rPr>
              <w:fldChar w:fldCharType="end"/>
            </w:r>
          </w:hyperlink>
        </w:p>
        <w:p w14:paraId="1547CC89" w14:textId="0D685BD6"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42" w:history="1">
            <w:r w:rsidRPr="0036344B">
              <w:rPr>
                <w:rStyle w:val="Hyperlink"/>
                <w:rFonts w:ascii="Source Sans Pro" w:hAnsi="Source Sans Pro"/>
                <w:noProof/>
                <w:lang w:val="en-ZM"/>
              </w:rPr>
              <w:t>Applying the retrocession programme</w:t>
            </w:r>
            <w:r>
              <w:rPr>
                <w:noProof/>
                <w:webHidden/>
              </w:rPr>
              <w:tab/>
            </w:r>
            <w:r>
              <w:rPr>
                <w:noProof/>
                <w:webHidden/>
              </w:rPr>
              <w:fldChar w:fldCharType="begin"/>
            </w:r>
            <w:r>
              <w:rPr>
                <w:noProof/>
                <w:webHidden/>
              </w:rPr>
              <w:instrText xml:space="preserve"> PAGEREF _Toc236079042 \h </w:instrText>
            </w:r>
            <w:r>
              <w:rPr>
                <w:noProof/>
                <w:webHidden/>
              </w:rPr>
            </w:r>
            <w:r>
              <w:rPr>
                <w:noProof/>
                <w:webHidden/>
              </w:rPr>
              <w:fldChar w:fldCharType="separate"/>
            </w:r>
            <w:r>
              <w:rPr>
                <w:noProof/>
                <w:webHidden/>
              </w:rPr>
              <w:t>26</w:t>
            </w:r>
            <w:r>
              <w:rPr>
                <w:noProof/>
                <w:webHidden/>
              </w:rPr>
              <w:fldChar w:fldCharType="end"/>
            </w:r>
          </w:hyperlink>
        </w:p>
        <w:p w14:paraId="7E7E60AF" w14:textId="155C498A"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43" w:history="1">
            <w:r w:rsidRPr="0036344B">
              <w:rPr>
                <w:rStyle w:val="Hyperlink"/>
                <w:rFonts w:ascii="Source Sans Pro" w:hAnsi="Source Sans Pro"/>
                <w:noProof/>
                <w:lang w:val="en-ZM"/>
              </w:rPr>
              <w:t>The output workbook</w:t>
            </w:r>
            <w:r>
              <w:rPr>
                <w:noProof/>
                <w:webHidden/>
              </w:rPr>
              <w:tab/>
            </w:r>
            <w:r>
              <w:rPr>
                <w:noProof/>
                <w:webHidden/>
              </w:rPr>
              <w:fldChar w:fldCharType="begin"/>
            </w:r>
            <w:r>
              <w:rPr>
                <w:noProof/>
                <w:webHidden/>
              </w:rPr>
              <w:instrText xml:space="preserve"> PAGEREF _Toc236079043 \h </w:instrText>
            </w:r>
            <w:r>
              <w:rPr>
                <w:noProof/>
                <w:webHidden/>
              </w:rPr>
            </w:r>
            <w:r>
              <w:rPr>
                <w:noProof/>
                <w:webHidden/>
              </w:rPr>
              <w:fldChar w:fldCharType="separate"/>
            </w:r>
            <w:r>
              <w:rPr>
                <w:noProof/>
                <w:webHidden/>
              </w:rPr>
              <w:t>27</w:t>
            </w:r>
            <w:r>
              <w:rPr>
                <w:noProof/>
                <w:webHidden/>
              </w:rPr>
              <w:fldChar w:fldCharType="end"/>
            </w:r>
          </w:hyperlink>
        </w:p>
        <w:p w14:paraId="51500D43" w14:textId="4858481A" w:rsidR="00B70721" w:rsidRDefault="00B70721">
          <w:pPr>
            <w:pStyle w:val="TOC2"/>
            <w:tabs>
              <w:tab w:val="left" w:pos="960"/>
              <w:tab w:val="right" w:leader="dot" w:pos="9350"/>
            </w:tabs>
            <w:rPr>
              <w:rFonts w:eastAsiaTheme="minorEastAsia"/>
              <w:noProof/>
              <w:kern w:val="2"/>
              <w:sz w:val="24"/>
              <w:lang w:val="en-ZM" w:eastAsia="en-ZM"/>
              <w14:ligatures w14:val="standardContextual"/>
            </w:rPr>
          </w:pPr>
          <w:hyperlink w:anchor="_Toc236079044" w:history="1">
            <w:r w:rsidRPr="0036344B">
              <w:rPr>
                <w:rStyle w:val="Hyperlink"/>
                <w:rFonts w:ascii="Source Sans Pro" w:hAnsi="Source Sans Pro" w:cstheme="minorHAnsi"/>
                <w:iCs/>
                <w:noProof/>
              </w:rPr>
              <w:t>8.</w:t>
            </w:r>
            <w:r>
              <w:rPr>
                <w:rFonts w:eastAsiaTheme="minorEastAsia"/>
                <w:noProof/>
                <w:kern w:val="2"/>
                <w:sz w:val="24"/>
                <w:lang w:val="en-ZM" w:eastAsia="en-ZM"/>
                <w14:ligatures w14:val="standardContextual"/>
              </w:rPr>
              <w:tab/>
            </w:r>
            <w:r w:rsidRPr="0036344B">
              <w:rPr>
                <w:rStyle w:val="Hyperlink"/>
                <w:rFonts w:ascii="Source Sans Pro" w:hAnsi="Source Sans Pro" w:cstheme="minorHAnsi"/>
                <w:iCs/>
                <w:noProof/>
              </w:rPr>
              <w:t>Extending the Framework to Other Perils</w:t>
            </w:r>
            <w:r>
              <w:rPr>
                <w:noProof/>
                <w:webHidden/>
              </w:rPr>
              <w:tab/>
            </w:r>
            <w:r>
              <w:rPr>
                <w:noProof/>
                <w:webHidden/>
              </w:rPr>
              <w:fldChar w:fldCharType="begin"/>
            </w:r>
            <w:r>
              <w:rPr>
                <w:noProof/>
                <w:webHidden/>
              </w:rPr>
              <w:instrText xml:space="preserve"> PAGEREF _Toc236079044 \h </w:instrText>
            </w:r>
            <w:r>
              <w:rPr>
                <w:noProof/>
                <w:webHidden/>
              </w:rPr>
            </w:r>
            <w:r>
              <w:rPr>
                <w:noProof/>
                <w:webHidden/>
              </w:rPr>
              <w:fldChar w:fldCharType="separate"/>
            </w:r>
            <w:r>
              <w:rPr>
                <w:noProof/>
                <w:webHidden/>
              </w:rPr>
              <w:t>27</w:t>
            </w:r>
            <w:r>
              <w:rPr>
                <w:noProof/>
                <w:webHidden/>
              </w:rPr>
              <w:fldChar w:fldCharType="end"/>
            </w:r>
          </w:hyperlink>
        </w:p>
        <w:p w14:paraId="0719AE91" w14:textId="217DD07C"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45" w:history="1">
            <w:r w:rsidRPr="0036344B">
              <w:rPr>
                <w:rStyle w:val="Hyperlink"/>
                <w:rFonts w:ascii="Source Sans Pro" w:hAnsi="Source Sans Pro"/>
                <w:noProof/>
                <w:lang w:val="en-ZM"/>
              </w:rPr>
              <w:t>Flood</w:t>
            </w:r>
            <w:r>
              <w:rPr>
                <w:noProof/>
                <w:webHidden/>
              </w:rPr>
              <w:tab/>
            </w:r>
            <w:r>
              <w:rPr>
                <w:noProof/>
                <w:webHidden/>
              </w:rPr>
              <w:fldChar w:fldCharType="begin"/>
            </w:r>
            <w:r>
              <w:rPr>
                <w:noProof/>
                <w:webHidden/>
              </w:rPr>
              <w:instrText xml:space="preserve"> PAGEREF _Toc236079045 \h </w:instrText>
            </w:r>
            <w:r>
              <w:rPr>
                <w:noProof/>
                <w:webHidden/>
              </w:rPr>
            </w:r>
            <w:r>
              <w:rPr>
                <w:noProof/>
                <w:webHidden/>
              </w:rPr>
              <w:fldChar w:fldCharType="separate"/>
            </w:r>
            <w:r>
              <w:rPr>
                <w:noProof/>
                <w:webHidden/>
              </w:rPr>
              <w:t>28</w:t>
            </w:r>
            <w:r>
              <w:rPr>
                <w:noProof/>
                <w:webHidden/>
              </w:rPr>
              <w:fldChar w:fldCharType="end"/>
            </w:r>
          </w:hyperlink>
        </w:p>
        <w:p w14:paraId="7F4AA160" w14:textId="79555509"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46" w:history="1">
            <w:r w:rsidRPr="0036344B">
              <w:rPr>
                <w:rStyle w:val="Hyperlink"/>
                <w:rFonts w:ascii="Source Sans Pro" w:hAnsi="Source Sans Pro"/>
                <w:noProof/>
                <w:lang w:val="en-ZM"/>
              </w:rPr>
              <w:t>Tropical Cyclone</w:t>
            </w:r>
            <w:r>
              <w:rPr>
                <w:noProof/>
                <w:webHidden/>
              </w:rPr>
              <w:tab/>
            </w:r>
            <w:r>
              <w:rPr>
                <w:noProof/>
                <w:webHidden/>
              </w:rPr>
              <w:fldChar w:fldCharType="begin"/>
            </w:r>
            <w:r>
              <w:rPr>
                <w:noProof/>
                <w:webHidden/>
              </w:rPr>
              <w:instrText xml:space="preserve"> PAGEREF _Toc236079046 \h </w:instrText>
            </w:r>
            <w:r>
              <w:rPr>
                <w:noProof/>
                <w:webHidden/>
              </w:rPr>
            </w:r>
            <w:r>
              <w:rPr>
                <w:noProof/>
                <w:webHidden/>
              </w:rPr>
              <w:fldChar w:fldCharType="separate"/>
            </w:r>
            <w:r>
              <w:rPr>
                <w:noProof/>
                <w:webHidden/>
              </w:rPr>
              <w:t>28</w:t>
            </w:r>
            <w:r>
              <w:rPr>
                <w:noProof/>
                <w:webHidden/>
              </w:rPr>
              <w:fldChar w:fldCharType="end"/>
            </w:r>
          </w:hyperlink>
        </w:p>
        <w:p w14:paraId="6D1DE29F" w14:textId="40C774A2" w:rsidR="00B70721" w:rsidRDefault="00B70721">
          <w:pPr>
            <w:pStyle w:val="TOC3"/>
            <w:tabs>
              <w:tab w:val="right" w:leader="dot" w:pos="9350"/>
            </w:tabs>
            <w:rPr>
              <w:rFonts w:cstheme="minorBidi"/>
              <w:noProof/>
              <w:kern w:val="2"/>
              <w:sz w:val="24"/>
              <w:szCs w:val="24"/>
              <w:lang w:val="en-ZM" w:eastAsia="en-ZM"/>
              <w14:ligatures w14:val="standardContextual"/>
            </w:rPr>
          </w:pPr>
          <w:hyperlink w:anchor="_Toc236079047" w:history="1">
            <w:r w:rsidRPr="0036344B">
              <w:rPr>
                <w:rStyle w:val="Hyperlink"/>
                <w:rFonts w:ascii="Source Sans Pro" w:hAnsi="Source Sans Pro"/>
                <w:noProof/>
                <w:lang w:val="en-ZM"/>
              </w:rPr>
              <w:t>Wildfire</w:t>
            </w:r>
            <w:r>
              <w:rPr>
                <w:noProof/>
                <w:webHidden/>
              </w:rPr>
              <w:tab/>
            </w:r>
            <w:r>
              <w:rPr>
                <w:noProof/>
                <w:webHidden/>
              </w:rPr>
              <w:fldChar w:fldCharType="begin"/>
            </w:r>
            <w:r>
              <w:rPr>
                <w:noProof/>
                <w:webHidden/>
              </w:rPr>
              <w:instrText xml:space="preserve"> PAGEREF _Toc236079047 \h </w:instrText>
            </w:r>
            <w:r>
              <w:rPr>
                <w:noProof/>
                <w:webHidden/>
              </w:rPr>
            </w:r>
            <w:r>
              <w:rPr>
                <w:noProof/>
                <w:webHidden/>
              </w:rPr>
              <w:fldChar w:fldCharType="separate"/>
            </w:r>
            <w:r>
              <w:rPr>
                <w:noProof/>
                <w:webHidden/>
              </w:rPr>
              <w:t>28</w:t>
            </w:r>
            <w:r>
              <w:rPr>
                <w:noProof/>
                <w:webHidden/>
              </w:rPr>
              <w:fldChar w:fldCharType="end"/>
            </w:r>
          </w:hyperlink>
        </w:p>
        <w:p w14:paraId="0FA36343" w14:textId="2E8BEC9E" w:rsidR="0041420A" w:rsidRPr="00442872" w:rsidRDefault="0041420A" w:rsidP="00BC1E2B">
          <w:pPr>
            <w:spacing w:line="360" w:lineRule="auto"/>
            <w:contextualSpacing/>
            <w:jc w:val="both"/>
            <w:rPr>
              <w:rFonts w:ascii="Source Sans Pro" w:hAnsi="Source Sans Pro" w:cstheme="minorHAnsi"/>
            </w:rPr>
          </w:pPr>
          <w:r w:rsidRPr="00442872">
            <w:rPr>
              <w:rFonts w:ascii="Source Sans Pro" w:hAnsi="Source Sans Pro" w:cstheme="minorHAnsi"/>
              <w:b/>
              <w:bCs/>
            </w:rPr>
            <w:fldChar w:fldCharType="end"/>
          </w:r>
        </w:p>
      </w:sdtContent>
    </w:sdt>
    <w:p w14:paraId="0A23C022" w14:textId="77777777" w:rsidR="000A7CFE" w:rsidRPr="00442872" w:rsidRDefault="000A7CFE" w:rsidP="00BC1E2B">
      <w:pPr>
        <w:spacing w:after="160" w:line="360" w:lineRule="auto"/>
        <w:contextualSpacing/>
        <w:jc w:val="both"/>
        <w:rPr>
          <w:rFonts w:ascii="Source Sans Pro" w:hAnsi="Source Sans Pro" w:cstheme="minorHAnsi"/>
          <w:sz w:val="24"/>
          <w:szCs w:val="22"/>
        </w:rPr>
      </w:pPr>
      <w:r w:rsidRPr="00442872">
        <w:rPr>
          <w:rFonts w:ascii="Source Sans Pro" w:hAnsi="Source Sans Pro" w:cstheme="minorHAnsi"/>
          <w:sz w:val="24"/>
          <w:szCs w:val="22"/>
        </w:rPr>
        <w:br w:type="page"/>
      </w:r>
    </w:p>
    <w:p w14:paraId="188E9412" w14:textId="77777777" w:rsidR="00C57E7E" w:rsidRPr="00442872" w:rsidRDefault="000763FE" w:rsidP="00BC1E2B">
      <w:pPr>
        <w:pStyle w:val="Heading2"/>
        <w:numPr>
          <w:ilvl w:val="0"/>
          <w:numId w:val="4"/>
        </w:numPr>
        <w:spacing w:line="360" w:lineRule="auto"/>
        <w:ind w:left="360"/>
        <w:contextualSpacing/>
        <w:jc w:val="both"/>
        <w:rPr>
          <w:rFonts w:ascii="Source Sans Pro" w:hAnsi="Source Sans Pro" w:cstheme="minorHAnsi"/>
          <w:i w:val="0"/>
          <w:iCs/>
          <w:color w:val="234A9E"/>
          <w:sz w:val="36"/>
          <w:szCs w:val="22"/>
        </w:rPr>
      </w:pPr>
      <w:bookmarkStart w:id="2" w:name="_Toc236079009"/>
      <w:r w:rsidRPr="00442872">
        <w:rPr>
          <w:rFonts w:ascii="Source Sans Pro" w:hAnsi="Source Sans Pro" w:cstheme="minorHAnsi"/>
          <w:i w:val="0"/>
          <w:iCs/>
          <w:color w:val="234A9E"/>
          <w:sz w:val="36"/>
          <w:szCs w:val="22"/>
        </w:rPr>
        <w:lastRenderedPageBreak/>
        <w:t>Introduction</w:t>
      </w:r>
      <w:bookmarkEnd w:id="2"/>
      <w:r w:rsidR="005933DF" w:rsidRPr="00442872">
        <w:rPr>
          <w:rFonts w:ascii="Source Sans Pro" w:hAnsi="Source Sans Pro" w:cstheme="minorHAnsi"/>
          <w:i w:val="0"/>
          <w:iCs/>
          <w:color w:val="234A9E"/>
          <w:sz w:val="36"/>
          <w:szCs w:val="22"/>
        </w:rPr>
        <w:t xml:space="preserve"> </w:t>
      </w:r>
    </w:p>
    <w:p w14:paraId="30D34776" w14:textId="77777777" w:rsidR="000D15F3" w:rsidRPr="00442872" w:rsidRDefault="000D15F3" w:rsidP="00BC1E2B">
      <w:pPr>
        <w:spacing w:after="240" w:line="360" w:lineRule="auto"/>
        <w:contextualSpacing/>
        <w:jc w:val="both"/>
        <w:rPr>
          <w:rFonts w:ascii="Source Sans Pro" w:hAnsi="Source Sans Pro" w:cstheme="minorHAnsi"/>
          <w:sz w:val="22"/>
          <w:szCs w:val="20"/>
          <w:lang w:val="en-ZM"/>
        </w:rPr>
      </w:pPr>
      <w:r w:rsidRPr="000D15F3">
        <w:rPr>
          <w:rFonts w:ascii="Source Sans Pro" w:hAnsi="Source Sans Pro" w:cstheme="minorHAnsi"/>
          <w:sz w:val="22"/>
          <w:szCs w:val="20"/>
          <w:lang w:val="en-ZM"/>
        </w:rPr>
        <w:t>This handbook provides comprehensive guidance on the development of catastrophe models for Klapton Reinsurance Limited (Klapton Re). Klapton Re’s approach emphasizes the use of open data and open-source frameworks to promote transparency, reproducibility, and collaboration in model development. The handbook covers the full catastrophe modelling lifecycle, including the peril and hazard, vulnerability, exposure, and financial modules. It also explains the use of the Oasis Loss Modelling Framework computation engine to generate ground-up, insured, and reinsured losses in a consistent and scalable manner.</w:t>
      </w:r>
    </w:p>
    <w:p w14:paraId="34695A4D" w14:textId="77777777" w:rsidR="00FC2344" w:rsidRPr="000D15F3" w:rsidRDefault="00FC2344" w:rsidP="00BC1E2B">
      <w:pPr>
        <w:spacing w:after="240" w:line="360" w:lineRule="auto"/>
        <w:contextualSpacing/>
        <w:jc w:val="both"/>
        <w:rPr>
          <w:rFonts w:ascii="Source Sans Pro" w:hAnsi="Source Sans Pro" w:cstheme="minorHAnsi"/>
          <w:sz w:val="22"/>
          <w:szCs w:val="20"/>
          <w:lang w:val="en-ZM"/>
        </w:rPr>
      </w:pPr>
    </w:p>
    <w:p w14:paraId="48BA0D0B" w14:textId="77777777" w:rsidR="000D15F3" w:rsidRPr="00442872" w:rsidRDefault="000D15F3" w:rsidP="00BC1E2B">
      <w:pPr>
        <w:spacing w:after="240" w:line="360" w:lineRule="auto"/>
        <w:contextualSpacing/>
        <w:jc w:val="both"/>
        <w:rPr>
          <w:rFonts w:ascii="Source Sans Pro" w:hAnsi="Source Sans Pro" w:cstheme="minorHAnsi"/>
          <w:sz w:val="22"/>
          <w:szCs w:val="20"/>
          <w:lang w:val="en-ZM"/>
        </w:rPr>
      </w:pPr>
      <w:r w:rsidRPr="000D15F3">
        <w:rPr>
          <w:rFonts w:ascii="Source Sans Pro" w:hAnsi="Source Sans Pro" w:cstheme="minorHAnsi"/>
          <w:sz w:val="22"/>
          <w:szCs w:val="20"/>
          <w:lang w:val="en-ZM"/>
        </w:rPr>
        <w:t>A fundamental principle of catastrophe modelling is that no two perils are modelled in the same way. Each peril arises from distinct physical mechanisms, affects different types of exposure, and requires unique mitigation and response strategies. For instance, earthquakes originate from the sudden release of tectonic stress along fault lines, producing ground shaking and structural collapse. Such risks are mitigated through seismic-resistant building codes and geotechnical risk mapping. Tropical cyclones, by contrast, form over warm ocean waters, generating destructive winds, storm surges, and heavy rainfall. These are typically mitigated through coastal zoning, flood defences, and early warning systems. Floods, whether caused by river overflow (fluvial) or intense rainfall (pluvial), primarily threaten low-lying areas and are managed through drainage infrastructure and watershed control. Wildfires, often driven by prolonged drought and accumulated vegetation, depend heavily on climatic and land-use factors. Each peril’s physical and statistical behaviour dictates how it must be modelled, reinforcing the need for peril-specific methodologies to produce credible risk insights.</w:t>
      </w:r>
    </w:p>
    <w:p w14:paraId="24934D5E" w14:textId="77777777" w:rsidR="00FC2344" w:rsidRPr="000D15F3" w:rsidRDefault="00FC2344" w:rsidP="00BC1E2B">
      <w:pPr>
        <w:spacing w:after="240" w:line="360" w:lineRule="auto"/>
        <w:contextualSpacing/>
        <w:jc w:val="both"/>
        <w:rPr>
          <w:rFonts w:ascii="Source Sans Pro" w:hAnsi="Source Sans Pro" w:cstheme="minorHAnsi"/>
          <w:sz w:val="22"/>
          <w:szCs w:val="20"/>
          <w:lang w:val="en-ZM"/>
        </w:rPr>
      </w:pPr>
    </w:p>
    <w:p w14:paraId="420BD7FB" w14:textId="77777777" w:rsidR="000D15F3" w:rsidRPr="00442872" w:rsidRDefault="000D15F3" w:rsidP="00BC1E2B">
      <w:pPr>
        <w:spacing w:after="240" w:line="360" w:lineRule="auto"/>
        <w:contextualSpacing/>
        <w:jc w:val="both"/>
        <w:rPr>
          <w:rFonts w:ascii="Source Sans Pro" w:hAnsi="Source Sans Pro" w:cstheme="minorHAnsi"/>
          <w:sz w:val="22"/>
          <w:szCs w:val="20"/>
          <w:lang w:val="en-ZM"/>
        </w:rPr>
      </w:pPr>
      <w:r w:rsidRPr="000D15F3">
        <w:rPr>
          <w:rFonts w:ascii="Source Sans Pro" w:hAnsi="Source Sans Pro" w:cstheme="minorHAnsi"/>
          <w:sz w:val="22"/>
          <w:szCs w:val="20"/>
          <w:lang w:val="en-ZM"/>
        </w:rPr>
        <w:t xml:space="preserve">Building on this foundation, one of the most technically demanding aspects of catastrophe model development lies in the parameterization of peril-specific models. This involves creating realistic event sets and robust vulnerability functions that accurately reflect both the frequency and severity of potential losses. In some cases, models must also account for correlations between perils or cascading effects, such as cyclone-induced flooding. Open data initiatives and open-source modelling frameworks have greatly advanced this area of research. Tools such as </w:t>
      </w:r>
      <w:proofErr w:type="spellStart"/>
      <w:r w:rsidRPr="000D15F3">
        <w:rPr>
          <w:rFonts w:ascii="Source Sans Pro" w:hAnsi="Source Sans Pro" w:cstheme="minorHAnsi"/>
          <w:sz w:val="22"/>
          <w:szCs w:val="20"/>
          <w:lang w:val="en-ZM"/>
        </w:rPr>
        <w:t>OpenQuake</w:t>
      </w:r>
      <w:proofErr w:type="spellEnd"/>
      <w:r w:rsidRPr="000D15F3">
        <w:rPr>
          <w:rFonts w:ascii="Source Sans Pro" w:hAnsi="Source Sans Pro" w:cstheme="minorHAnsi"/>
          <w:sz w:val="22"/>
          <w:szCs w:val="20"/>
          <w:lang w:val="en-ZM"/>
        </w:rPr>
        <w:t xml:space="preserve">, developed by the Global Earthquake Model (GEM) Foundation, enable the simulation of seismic hazard and loss scenarios using openly available ground motion and exposure data. For wind-related perils, datasets such as </w:t>
      </w:r>
      <w:proofErr w:type="spellStart"/>
      <w:r w:rsidRPr="000D15F3">
        <w:rPr>
          <w:rFonts w:ascii="Source Sans Pro" w:hAnsi="Source Sans Pro" w:cstheme="minorHAnsi"/>
          <w:sz w:val="22"/>
          <w:szCs w:val="20"/>
          <w:lang w:val="en-ZM"/>
        </w:rPr>
        <w:lastRenderedPageBreak/>
        <w:t>IBTrACS</w:t>
      </w:r>
      <w:proofErr w:type="spellEnd"/>
      <w:r w:rsidRPr="000D15F3">
        <w:rPr>
          <w:rFonts w:ascii="Source Sans Pro" w:hAnsi="Source Sans Pro" w:cstheme="minorHAnsi"/>
          <w:sz w:val="22"/>
          <w:szCs w:val="20"/>
          <w:lang w:val="en-ZM"/>
        </w:rPr>
        <w:t xml:space="preserve"> (International Best Track Archive for Climate Stewardship) provide comprehensive historical storm track information that supports the generation of stochastic cyclone catalogues and calibration of wind-field models. In flood modelling, open frameworks such as Delft-FIAT and hydrological systems like HEC-RAS allow users to simulate inundation depths and assess depth–damage relationships based on digital elevation and hydrometric data. Similarly, wildfire behaviour can be simulated through open tools such as FARSITE or Canada’s Fire Behaviour Prediction (FBP) System, which use inputs on vegetation, fuel type, and weather conditions to model fire spread and intensity. Across all these perils, translating hazard data into exposure-specific vulnerability curves, while reflecting differences in building typology, construction quality, and regional standards, remains essential to model realism and accuracy.</w:t>
      </w:r>
    </w:p>
    <w:p w14:paraId="5B6980F0" w14:textId="77777777" w:rsidR="00FC2344" w:rsidRPr="000D15F3" w:rsidRDefault="00FC2344" w:rsidP="00BC1E2B">
      <w:pPr>
        <w:spacing w:after="240" w:line="360" w:lineRule="auto"/>
        <w:contextualSpacing/>
        <w:jc w:val="both"/>
        <w:rPr>
          <w:rFonts w:ascii="Source Sans Pro" w:hAnsi="Source Sans Pro" w:cstheme="minorHAnsi"/>
          <w:sz w:val="22"/>
          <w:szCs w:val="20"/>
          <w:lang w:val="en-ZM"/>
        </w:rPr>
      </w:pPr>
    </w:p>
    <w:p w14:paraId="79845F56" w14:textId="77777777" w:rsidR="000D15F3" w:rsidRPr="00442872" w:rsidRDefault="000D15F3" w:rsidP="00BC1E2B">
      <w:pPr>
        <w:spacing w:after="240" w:line="360" w:lineRule="auto"/>
        <w:contextualSpacing/>
        <w:jc w:val="both"/>
        <w:rPr>
          <w:rFonts w:ascii="Source Sans Pro" w:hAnsi="Source Sans Pro" w:cstheme="minorHAnsi"/>
          <w:sz w:val="22"/>
          <w:szCs w:val="20"/>
          <w:lang w:val="en-ZM"/>
        </w:rPr>
      </w:pPr>
      <w:r w:rsidRPr="000D15F3">
        <w:rPr>
          <w:rFonts w:ascii="Source Sans Pro" w:hAnsi="Source Sans Pro" w:cstheme="minorHAnsi"/>
          <w:sz w:val="22"/>
          <w:szCs w:val="20"/>
          <w:lang w:val="en-ZM"/>
        </w:rPr>
        <w:t xml:space="preserve">Once models are parameterised, the next challenge is understanding how uncertainty propagates through catastrophe model outputs. </w:t>
      </w:r>
      <w:proofErr w:type="gramStart"/>
      <w:r w:rsidRPr="000D15F3">
        <w:rPr>
          <w:rFonts w:ascii="Source Sans Pro" w:hAnsi="Source Sans Pro" w:cstheme="minorHAnsi"/>
          <w:sz w:val="22"/>
          <w:szCs w:val="20"/>
          <w:lang w:val="en-ZM"/>
        </w:rPr>
        <w:t>In particular, primary</w:t>
      </w:r>
      <w:proofErr w:type="gramEnd"/>
      <w:r w:rsidRPr="000D15F3">
        <w:rPr>
          <w:rFonts w:ascii="Source Sans Pro" w:hAnsi="Source Sans Pro" w:cstheme="minorHAnsi"/>
          <w:sz w:val="22"/>
          <w:szCs w:val="20"/>
          <w:lang w:val="en-ZM"/>
        </w:rPr>
        <w:t xml:space="preserve"> and secondary uncertainty represent two dimensions of risk variability that influence the reliability and interpretation of results. Primary uncertainty captures the randomness inherent in </w:t>
      </w:r>
      <w:proofErr w:type="gramStart"/>
      <w:r w:rsidRPr="000D15F3">
        <w:rPr>
          <w:rFonts w:ascii="Source Sans Pro" w:hAnsi="Source Sans Pro" w:cstheme="minorHAnsi"/>
          <w:sz w:val="22"/>
          <w:szCs w:val="20"/>
          <w:lang w:val="en-ZM"/>
        </w:rPr>
        <w:t>whether or not</w:t>
      </w:r>
      <w:proofErr w:type="gramEnd"/>
      <w:r w:rsidRPr="000D15F3">
        <w:rPr>
          <w:rFonts w:ascii="Source Sans Pro" w:hAnsi="Source Sans Pro" w:cstheme="minorHAnsi"/>
          <w:sz w:val="22"/>
          <w:szCs w:val="20"/>
          <w:lang w:val="en-ZM"/>
        </w:rPr>
        <w:t xml:space="preserve"> a given event will occur. For example, it reflects the probability of a Category 4 cyclone making landfall </w:t>
      </w:r>
      <w:proofErr w:type="gramStart"/>
      <w:r w:rsidRPr="000D15F3">
        <w:rPr>
          <w:rFonts w:ascii="Source Sans Pro" w:hAnsi="Source Sans Pro" w:cstheme="minorHAnsi"/>
          <w:sz w:val="22"/>
          <w:szCs w:val="20"/>
          <w:lang w:val="en-ZM"/>
        </w:rPr>
        <w:t>in a given</w:t>
      </w:r>
      <w:proofErr w:type="gramEnd"/>
      <w:r w:rsidRPr="000D15F3">
        <w:rPr>
          <w:rFonts w:ascii="Source Sans Pro" w:hAnsi="Source Sans Pro" w:cstheme="minorHAnsi"/>
          <w:sz w:val="22"/>
          <w:szCs w:val="20"/>
          <w:lang w:val="en-ZM"/>
        </w:rPr>
        <w:t xml:space="preserve"> region or a magnitude 7.5 earthquake striking a known fault line. This form of uncertainty concerns the occurrence, timing, and location of events within a stochastic event set. It is typically quantified through Monte Carlo simulations that generate thousands of potential realizations to approximate the full distribution of possible outcomes.</w:t>
      </w:r>
    </w:p>
    <w:p w14:paraId="664A5283" w14:textId="77777777" w:rsidR="00FC2344" w:rsidRPr="000D15F3" w:rsidRDefault="00FC2344" w:rsidP="00BC1E2B">
      <w:pPr>
        <w:spacing w:after="240" w:line="360" w:lineRule="auto"/>
        <w:contextualSpacing/>
        <w:jc w:val="both"/>
        <w:rPr>
          <w:rFonts w:ascii="Source Sans Pro" w:hAnsi="Source Sans Pro" w:cstheme="minorHAnsi"/>
          <w:sz w:val="22"/>
          <w:szCs w:val="20"/>
          <w:lang w:val="en-ZM"/>
        </w:rPr>
      </w:pPr>
    </w:p>
    <w:p w14:paraId="4C4C5790" w14:textId="77777777" w:rsidR="000D15F3" w:rsidRPr="000D15F3" w:rsidRDefault="000D15F3" w:rsidP="00BC1E2B">
      <w:pPr>
        <w:spacing w:after="240" w:line="360" w:lineRule="auto"/>
        <w:contextualSpacing/>
        <w:jc w:val="both"/>
        <w:rPr>
          <w:rFonts w:ascii="Source Sans Pro" w:hAnsi="Source Sans Pro" w:cstheme="minorHAnsi"/>
          <w:sz w:val="22"/>
          <w:szCs w:val="20"/>
          <w:lang w:val="en-ZM"/>
        </w:rPr>
      </w:pPr>
      <w:r w:rsidRPr="000D15F3">
        <w:rPr>
          <w:rFonts w:ascii="Source Sans Pro" w:hAnsi="Source Sans Pro" w:cstheme="minorHAnsi"/>
          <w:sz w:val="22"/>
          <w:szCs w:val="20"/>
          <w:lang w:val="en-ZM"/>
        </w:rPr>
        <w:t>Secondary uncertainty, on the other hand, describes the variability in losses given that an event has already occurred. Even under identical hazard conditions, damage outcomes may vary significantly due to differences in construction quality, local soil conditions, or data precision. In practice, secondary uncertainty is incorporated through probabilistic treatments of vulnerability curves, damage ratios, and exposure characteristics. Together, primary and secondary uncertainty ensure that catastrophe models capture both the stochastic nature of hazard occurrence and the variability in damage response. This dual-layered treatment provides a more realistic view of loss distributions and improves the interpretation of key portfolio metrics such as Probable Maximum Loss (PML) and Average Annual Loss (AAL).</w:t>
      </w:r>
    </w:p>
    <w:p w14:paraId="27C7FF56" w14:textId="77777777" w:rsidR="004A3368" w:rsidRPr="00442872" w:rsidRDefault="000D15F3" w:rsidP="00BC1E2B">
      <w:pPr>
        <w:spacing w:after="240" w:line="360" w:lineRule="auto"/>
        <w:contextualSpacing/>
        <w:jc w:val="both"/>
        <w:rPr>
          <w:rFonts w:ascii="Source Sans Pro" w:hAnsi="Source Sans Pro" w:cstheme="minorHAnsi"/>
          <w:sz w:val="22"/>
          <w:szCs w:val="20"/>
          <w:lang w:val="en-ZM"/>
        </w:rPr>
      </w:pPr>
      <w:r w:rsidRPr="000D15F3">
        <w:rPr>
          <w:rFonts w:ascii="Source Sans Pro" w:hAnsi="Source Sans Pro" w:cstheme="minorHAnsi"/>
          <w:sz w:val="22"/>
          <w:szCs w:val="20"/>
          <w:lang w:val="en-ZM"/>
        </w:rPr>
        <w:lastRenderedPageBreak/>
        <w:t>Ultimately, catastrophe models serve as a critical decision-support tool within reinsurance and broader risk management. By converting simulated hazard, exposure, and vulnerability data into loss exceedance curves, Klapton Re can estimate key risk measures such as PML, AAL, and Tail Value at Risk (</w:t>
      </w:r>
      <w:proofErr w:type="spellStart"/>
      <w:r w:rsidRPr="000D15F3">
        <w:rPr>
          <w:rFonts w:ascii="Source Sans Pro" w:hAnsi="Source Sans Pro" w:cstheme="minorHAnsi"/>
          <w:sz w:val="22"/>
          <w:szCs w:val="20"/>
          <w:lang w:val="en-ZM"/>
        </w:rPr>
        <w:t>TVaR</w:t>
      </w:r>
      <w:proofErr w:type="spellEnd"/>
      <w:r w:rsidRPr="000D15F3">
        <w:rPr>
          <w:rFonts w:ascii="Source Sans Pro" w:hAnsi="Source Sans Pro" w:cstheme="minorHAnsi"/>
          <w:sz w:val="22"/>
          <w:szCs w:val="20"/>
          <w:lang w:val="en-ZM"/>
        </w:rPr>
        <w:t xml:space="preserve">). These metrics inform treaty pricing, capital adequacy assessments, and retrocession planning, ensuring that portfolios remain resilient under extreme but plausible conditions. Open and transparent modelling practices are especially valuable in this context, as they allow Klapton Re to validate underlying assumptions, tailor models to local exposures, and align with evolving regulatory expectations for model governance. </w:t>
      </w:r>
    </w:p>
    <w:p w14:paraId="3E9B5FC8" w14:textId="77777777" w:rsidR="000056FC" w:rsidRPr="00442872" w:rsidRDefault="000056FC" w:rsidP="00BC1E2B">
      <w:pPr>
        <w:spacing w:after="160" w:line="360" w:lineRule="auto"/>
        <w:rPr>
          <w:rFonts w:ascii="Source Sans Pro" w:hAnsi="Source Sans Pro" w:cstheme="minorHAnsi"/>
          <w:sz w:val="22"/>
          <w:szCs w:val="22"/>
        </w:rPr>
      </w:pPr>
    </w:p>
    <w:p w14:paraId="69B657D1" w14:textId="77777777" w:rsidR="000056FC" w:rsidRPr="00442872" w:rsidRDefault="00376BA6" w:rsidP="00BC1E2B">
      <w:pPr>
        <w:pStyle w:val="Heading2"/>
        <w:numPr>
          <w:ilvl w:val="0"/>
          <w:numId w:val="4"/>
        </w:numPr>
        <w:spacing w:line="360" w:lineRule="auto"/>
        <w:ind w:left="360"/>
        <w:contextualSpacing/>
        <w:jc w:val="both"/>
        <w:rPr>
          <w:rFonts w:ascii="Source Sans Pro" w:hAnsi="Source Sans Pro"/>
          <w:b/>
          <w:bCs/>
          <w:i w:val="0"/>
          <w:iCs/>
          <w:color w:val="234A9E"/>
          <w:sz w:val="22"/>
          <w:szCs w:val="22"/>
        </w:rPr>
      </w:pPr>
      <w:bookmarkStart w:id="3" w:name="_Toc236079010"/>
      <w:r w:rsidRPr="00442872">
        <w:rPr>
          <w:rStyle w:val="Strong"/>
          <w:rFonts w:ascii="Source Sans Pro" w:hAnsi="Source Sans Pro" w:cstheme="minorHAnsi"/>
          <w:b w:val="0"/>
          <w:bCs w:val="0"/>
          <w:i w:val="0"/>
          <w:iCs/>
          <w:color w:val="234A9E"/>
          <w:sz w:val="36"/>
          <w:szCs w:val="22"/>
        </w:rPr>
        <w:t xml:space="preserve">Core Modelling </w:t>
      </w:r>
      <w:r w:rsidR="005475A4" w:rsidRPr="00442872">
        <w:rPr>
          <w:rStyle w:val="Strong"/>
          <w:rFonts w:ascii="Source Sans Pro" w:hAnsi="Source Sans Pro" w:cstheme="minorHAnsi"/>
          <w:b w:val="0"/>
          <w:bCs w:val="0"/>
          <w:i w:val="0"/>
          <w:iCs/>
          <w:color w:val="234A9E"/>
          <w:sz w:val="36"/>
          <w:szCs w:val="22"/>
        </w:rPr>
        <w:t>Concepts</w:t>
      </w:r>
      <w:bookmarkEnd w:id="3"/>
    </w:p>
    <w:p w14:paraId="1353D6CD" w14:textId="77777777" w:rsidR="00DF70F9" w:rsidRPr="00442872" w:rsidRDefault="00713C4F" w:rsidP="00601985">
      <w:pPr>
        <w:spacing w:after="160" w:line="360" w:lineRule="auto"/>
        <w:jc w:val="both"/>
        <w:rPr>
          <w:rFonts w:ascii="Source Sans Pro" w:hAnsi="Source Sans Pro" w:cstheme="minorHAnsi"/>
          <w:sz w:val="22"/>
          <w:szCs w:val="22"/>
        </w:rPr>
      </w:pPr>
      <w:r w:rsidRPr="00442872">
        <w:rPr>
          <w:rFonts w:ascii="Source Sans Pro" w:hAnsi="Source Sans Pro" w:cstheme="minorHAnsi"/>
          <w:sz w:val="22"/>
          <w:szCs w:val="22"/>
        </w:rPr>
        <w:t>The</w:t>
      </w:r>
      <w:r w:rsidR="00FD3A8C" w:rsidRPr="00442872">
        <w:rPr>
          <w:rFonts w:ascii="Source Sans Pro" w:hAnsi="Source Sans Pro" w:cstheme="minorHAnsi"/>
          <w:sz w:val="22"/>
          <w:szCs w:val="22"/>
        </w:rPr>
        <w:t>re are four core components of a catastrophe risk model</w:t>
      </w:r>
      <w:r w:rsidR="00E70CFE" w:rsidRPr="00442872">
        <w:rPr>
          <w:rFonts w:ascii="Source Sans Pro" w:hAnsi="Source Sans Pro" w:cstheme="minorHAnsi"/>
          <w:sz w:val="22"/>
          <w:szCs w:val="22"/>
        </w:rPr>
        <w:t xml:space="preserve"> as detailed below:</w:t>
      </w:r>
    </w:p>
    <w:p w14:paraId="12644334" w14:textId="77777777" w:rsidR="00DF70F9" w:rsidRPr="00442872" w:rsidRDefault="00316DF1" w:rsidP="00225D71">
      <w:pPr>
        <w:pStyle w:val="Heading3"/>
        <w:numPr>
          <w:ilvl w:val="0"/>
          <w:numId w:val="26"/>
        </w:numPr>
        <w:rPr>
          <w:rFonts w:ascii="Source Sans Pro" w:hAnsi="Source Sans Pro"/>
        </w:rPr>
      </w:pPr>
      <w:bookmarkStart w:id="4" w:name="_Toc236079011"/>
      <w:r w:rsidRPr="00442872">
        <w:rPr>
          <w:rFonts w:ascii="Source Sans Pro" w:hAnsi="Source Sans Pro"/>
        </w:rPr>
        <w:t>Hazard Module</w:t>
      </w:r>
      <w:bookmarkEnd w:id="4"/>
    </w:p>
    <w:p w14:paraId="2B72D55E" w14:textId="77777777" w:rsidR="00225D71" w:rsidRPr="00442872" w:rsidRDefault="00225D71" w:rsidP="00225D71">
      <w:pPr>
        <w:rPr>
          <w:rFonts w:ascii="Source Sans Pro" w:hAnsi="Source Sans Pro"/>
        </w:rPr>
      </w:pPr>
    </w:p>
    <w:p w14:paraId="6F7048D1" w14:textId="77777777" w:rsidR="00392D67" w:rsidRPr="00392D67" w:rsidRDefault="00392D67" w:rsidP="00392D67">
      <w:pPr>
        <w:pStyle w:val="ListParagraph"/>
        <w:spacing w:after="160" w:line="360" w:lineRule="auto"/>
        <w:jc w:val="both"/>
        <w:rPr>
          <w:rFonts w:ascii="Source Sans Pro" w:hAnsi="Source Sans Pro" w:cstheme="minorHAnsi"/>
          <w:sz w:val="22"/>
          <w:szCs w:val="22"/>
          <w:lang w:val="en-ZM"/>
        </w:rPr>
      </w:pPr>
      <w:r w:rsidRPr="00392D67">
        <w:rPr>
          <w:rFonts w:ascii="Source Sans Pro" w:hAnsi="Source Sans Pro" w:cstheme="minorHAnsi"/>
          <w:sz w:val="22"/>
          <w:szCs w:val="22"/>
          <w:lang w:val="en-ZM"/>
        </w:rPr>
        <w:t>This represents the physical peril itself, such as ground shaking from an earthquake, high winds from a cyclone, excess rainfall that leads to flooding, or radiant heat from a wildfire. The hazard module contains a catalogue of events, which may be historical or synthetically generated through stochastic simulation. Each event is defined by key physical parameters such as magnitude and rupture for earthquakes, wind speed and track for cyclones, rainfall and discharge for floods, or ignition source and fuel conditions for wildfires.</w:t>
      </w:r>
    </w:p>
    <w:p w14:paraId="41A679AE" w14:textId="77777777" w:rsidR="00392D67" w:rsidRPr="00392D67" w:rsidRDefault="00392D67" w:rsidP="00392D67">
      <w:pPr>
        <w:pStyle w:val="ListParagraph"/>
        <w:spacing w:after="160" w:line="360" w:lineRule="auto"/>
        <w:jc w:val="both"/>
        <w:rPr>
          <w:rFonts w:ascii="Source Sans Pro" w:hAnsi="Source Sans Pro" w:cstheme="minorHAnsi"/>
          <w:sz w:val="22"/>
          <w:szCs w:val="22"/>
          <w:lang w:val="en-ZM"/>
        </w:rPr>
      </w:pPr>
      <w:r w:rsidRPr="00392D67">
        <w:rPr>
          <w:rFonts w:ascii="Source Sans Pro" w:hAnsi="Source Sans Pro" w:cstheme="minorHAnsi"/>
          <w:sz w:val="22"/>
          <w:szCs w:val="22"/>
          <w:lang w:val="en-ZM"/>
        </w:rPr>
        <w:t xml:space="preserve">For every event, the model provides a geographic distribution of hazard intensity across the affected area. The intensity measure type (IMT) defines how this severity is quantified and varies by peril. Common examples include peak ground acceleration (PGA) or spectral acceleration </w:t>
      </w:r>
      <w:r w:rsidR="0069568C" w:rsidRPr="00442872">
        <w:rPr>
          <w:rFonts w:ascii="Source Sans Pro" w:hAnsi="Source Sans Pro" w:cstheme="minorHAnsi"/>
          <w:sz w:val="22"/>
          <w:szCs w:val="22"/>
          <w:lang w:val="en-ZM"/>
        </w:rPr>
        <w:t>at a given period</w:t>
      </w:r>
      <w:r w:rsidRPr="00392D67">
        <w:rPr>
          <w:rFonts w:ascii="Source Sans Pro" w:hAnsi="Source Sans Pro" w:cstheme="minorHAnsi"/>
          <w:sz w:val="22"/>
          <w:szCs w:val="22"/>
          <w:lang w:val="en-ZM"/>
        </w:rPr>
        <w:t xml:space="preserve"> </w:t>
      </w:r>
      <w:r w:rsidR="00757154" w:rsidRPr="00442872">
        <w:rPr>
          <w:rFonts w:ascii="Source Sans Pro" w:hAnsi="Source Sans Pro" w:cstheme="minorHAnsi"/>
          <w:sz w:val="22"/>
          <w:szCs w:val="22"/>
          <w:lang w:val="en-ZM"/>
        </w:rPr>
        <w:t xml:space="preserve">T (SA[T]) </w:t>
      </w:r>
      <w:r w:rsidRPr="00392D67">
        <w:rPr>
          <w:rFonts w:ascii="Source Sans Pro" w:hAnsi="Source Sans Pro" w:cstheme="minorHAnsi"/>
          <w:sz w:val="22"/>
          <w:szCs w:val="22"/>
          <w:lang w:val="en-ZM"/>
        </w:rPr>
        <w:t xml:space="preserve">for earthquakes, maximum gust wind speed for cyclones, inundation depth for floods, and </w:t>
      </w:r>
      <w:r w:rsidR="00E42925" w:rsidRPr="00442872">
        <w:rPr>
          <w:rFonts w:ascii="Source Sans Pro" w:hAnsi="Source Sans Pro" w:cstheme="minorHAnsi"/>
          <w:sz w:val="22"/>
          <w:szCs w:val="22"/>
          <w:lang w:val="en-ZM"/>
        </w:rPr>
        <w:t>Fireline</w:t>
      </w:r>
      <w:r w:rsidRPr="00392D67">
        <w:rPr>
          <w:rFonts w:ascii="Source Sans Pro" w:hAnsi="Source Sans Pro" w:cstheme="minorHAnsi"/>
          <w:sz w:val="22"/>
          <w:szCs w:val="22"/>
          <w:lang w:val="en-ZM"/>
        </w:rPr>
        <w:t xml:space="preserve"> intensity for wildfires. The selection of IMT is critical, as it determines how hazard intensity is linked to expected physical impact in the vulnerability stage.</w:t>
      </w:r>
    </w:p>
    <w:p w14:paraId="2A96D683" w14:textId="77777777" w:rsidR="00B34EC9" w:rsidRPr="00442872" w:rsidRDefault="00392D67" w:rsidP="00392D67">
      <w:pPr>
        <w:pStyle w:val="ListParagraph"/>
        <w:spacing w:after="160" w:line="360" w:lineRule="auto"/>
        <w:jc w:val="both"/>
        <w:rPr>
          <w:rFonts w:ascii="Source Sans Pro" w:hAnsi="Source Sans Pro" w:cstheme="minorHAnsi"/>
          <w:sz w:val="22"/>
          <w:szCs w:val="22"/>
          <w:lang w:val="en-ZM"/>
        </w:rPr>
      </w:pPr>
      <w:r w:rsidRPr="00392D67">
        <w:rPr>
          <w:rFonts w:ascii="Source Sans Pro" w:hAnsi="Source Sans Pro" w:cstheme="minorHAnsi"/>
          <w:sz w:val="22"/>
          <w:szCs w:val="22"/>
          <w:lang w:val="en-ZM"/>
        </w:rPr>
        <w:t xml:space="preserve">The hazard can be defined deterministically, representing a single scenario event, or probabilistically, representing a large set of possible events with associated occurrence frequencies. Together, these events and their corresponding intensity footprints form the </w:t>
      </w:r>
      <w:r w:rsidRPr="00392D67">
        <w:rPr>
          <w:rFonts w:ascii="Source Sans Pro" w:hAnsi="Source Sans Pro" w:cstheme="minorHAnsi"/>
          <w:sz w:val="22"/>
          <w:szCs w:val="22"/>
          <w:lang w:val="en-ZM"/>
        </w:rPr>
        <w:lastRenderedPageBreak/>
        <w:t>hazard component of the model and provide the physical foundation upon which exposure and loss are evaluated.</w:t>
      </w:r>
    </w:p>
    <w:p w14:paraId="77B0324F" w14:textId="77777777" w:rsidR="00B34EC9" w:rsidRPr="00442872" w:rsidRDefault="00B34EC9" w:rsidP="00225D71">
      <w:pPr>
        <w:pStyle w:val="Heading3"/>
        <w:numPr>
          <w:ilvl w:val="0"/>
          <w:numId w:val="26"/>
        </w:numPr>
        <w:rPr>
          <w:rFonts w:ascii="Source Sans Pro" w:hAnsi="Source Sans Pro"/>
        </w:rPr>
      </w:pPr>
      <w:bookmarkStart w:id="5" w:name="_Toc236079012"/>
      <w:r w:rsidRPr="00442872">
        <w:rPr>
          <w:rFonts w:ascii="Source Sans Pro" w:hAnsi="Source Sans Pro"/>
        </w:rPr>
        <w:t>Exposure Module</w:t>
      </w:r>
      <w:bookmarkEnd w:id="5"/>
    </w:p>
    <w:p w14:paraId="3D86EEEB" w14:textId="77777777" w:rsidR="00225D71" w:rsidRPr="00442872" w:rsidRDefault="00225D71" w:rsidP="00225D71">
      <w:pPr>
        <w:rPr>
          <w:rFonts w:ascii="Source Sans Pro" w:hAnsi="Source Sans Pro"/>
        </w:rPr>
      </w:pPr>
    </w:p>
    <w:p w14:paraId="7C888EB3" w14:textId="77777777" w:rsidR="00225D71" w:rsidRPr="00442872" w:rsidRDefault="00DC3DD1" w:rsidP="00225D71">
      <w:pPr>
        <w:pStyle w:val="ListParagraph"/>
        <w:spacing w:after="160" w:line="360" w:lineRule="auto"/>
        <w:jc w:val="both"/>
        <w:rPr>
          <w:rFonts w:ascii="Source Sans Pro" w:hAnsi="Source Sans Pro" w:cstheme="minorHAnsi"/>
          <w:sz w:val="22"/>
          <w:szCs w:val="22"/>
        </w:rPr>
      </w:pPr>
      <w:r w:rsidRPr="00442872">
        <w:rPr>
          <w:rFonts w:ascii="Source Sans Pro" w:hAnsi="Source Sans Pro" w:cstheme="minorHAnsi"/>
          <w:sz w:val="22"/>
          <w:szCs w:val="22"/>
        </w:rPr>
        <w:t>Exposure refers to the assets, infrastructure, or insured properties that could be affected by the hazard. It includes their locations, physical characteristics, and financial attributes</w:t>
      </w:r>
      <w:r w:rsidR="00322BE4" w:rsidRPr="00442872">
        <w:rPr>
          <w:rFonts w:ascii="Source Sans Pro" w:hAnsi="Source Sans Pro" w:cstheme="minorHAnsi"/>
          <w:sz w:val="22"/>
          <w:szCs w:val="22"/>
        </w:rPr>
        <w:t>. Each exposure item is georeferenced and described by features such as occupancy type, construction material, building height</w:t>
      </w:r>
      <w:r w:rsidR="00093773" w:rsidRPr="00442872">
        <w:rPr>
          <w:rFonts w:ascii="Source Sans Pro" w:hAnsi="Source Sans Pro" w:cstheme="minorHAnsi"/>
          <w:sz w:val="22"/>
          <w:szCs w:val="22"/>
        </w:rPr>
        <w:t>, and protection measures. The exposure data determines how hazard</w:t>
      </w:r>
      <w:r w:rsidR="00FF3338" w:rsidRPr="00442872">
        <w:rPr>
          <w:rFonts w:ascii="Source Sans Pro" w:hAnsi="Source Sans Pro" w:cstheme="minorHAnsi"/>
          <w:sz w:val="22"/>
          <w:szCs w:val="22"/>
        </w:rPr>
        <w:t xml:space="preserve"> intensities are mapped to individual </w:t>
      </w:r>
      <w:r w:rsidR="00F538DE" w:rsidRPr="00442872">
        <w:rPr>
          <w:rFonts w:ascii="Source Sans Pro" w:hAnsi="Source Sans Pro" w:cstheme="minorHAnsi"/>
          <w:sz w:val="22"/>
          <w:szCs w:val="22"/>
        </w:rPr>
        <w:t>assets and how losses aggregate across portfolios</w:t>
      </w:r>
      <w:r w:rsidR="003C4DCC" w:rsidRPr="00442872">
        <w:rPr>
          <w:rFonts w:ascii="Source Sans Pro" w:hAnsi="Source Sans Pro" w:cstheme="minorHAnsi"/>
          <w:sz w:val="22"/>
          <w:szCs w:val="22"/>
        </w:rPr>
        <w:t>. The spatial concentration of exposure has a significant effect on risk accumulation, for example</w:t>
      </w:r>
      <w:r w:rsidR="00CD6A77" w:rsidRPr="00442872">
        <w:rPr>
          <w:rFonts w:ascii="Source Sans Pro" w:hAnsi="Source Sans Pro" w:cstheme="minorHAnsi"/>
          <w:sz w:val="22"/>
          <w:szCs w:val="22"/>
        </w:rPr>
        <w:t xml:space="preserve">, coastal assets </w:t>
      </w:r>
      <w:r w:rsidR="00ED2A53" w:rsidRPr="00442872">
        <w:rPr>
          <w:rFonts w:ascii="Source Sans Pro" w:hAnsi="Source Sans Pro" w:cstheme="minorHAnsi"/>
          <w:sz w:val="22"/>
          <w:szCs w:val="22"/>
        </w:rPr>
        <w:t xml:space="preserve">are more exposed to </w:t>
      </w:r>
      <w:r w:rsidR="00776406" w:rsidRPr="00442872">
        <w:rPr>
          <w:rFonts w:ascii="Source Sans Pro" w:hAnsi="Source Sans Pro" w:cstheme="minorHAnsi"/>
          <w:sz w:val="22"/>
          <w:szCs w:val="22"/>
        </w:rPr>
        <w:t xml:space="preserve">tropical cyclones and </w:t>
      </w:r>
      <w:r w:rsidR="00D07351" w:rsidRPr="00442872">
        <w:rPr>
          <w:rFonts w:ascii="Source Sans Pro" w:hAnsi="Source Sans Pro" w:cstheme="minorHAnsi"/>
          <w:sz w:val="22"/>
          <w:szCs w:val="22"/>
        </w:rPr>
        <w:t>flood plains are more exposed to riverine flooding.</w:t>
      </w:r>
    </w:p>
    <w:p w14:paraId="1DD7675C" w14:textId="77777777" w:rsidR="00D07351" w:rsidRPr="00442872" w:rsidRDefault="00CF7EC6" w:rsidP="00225D71">
      <w:pPr>
        <w:pStyle w:val="Heading3"/>
        <w:numPr>
          <w:ilvl w:val="0"/>
          <w:numId w:val="26"/>
        </w:numPr>
        <w:rPr>
          <w:rFonts w:ascii="Source Sans Pro" w:hAnsi="Source Sans Pro"/>
        </w:rPr>
      </w:pPr>
      <w:bookmarkStart w:id="6" w:name="_Toc236079013"/>
      <w:r w:rsidRPr="00442872">
        <w:rPr>
          <w:rFonts w:ascii="Source Sans Pro" w:hAnsi="Source Sans Pro"/>
        </w:rPr>
        <w:t>Vulnerability Module</w:t>
      </w:r>
      <w:bookmarkEnd w:id="6"/>
    </w:p>
    <w:p w14:paraId="6BA4F17C" w14:textId="77777777" w:rsidR="00225D71" w:rsidRPr="00442872" w:rsidRDefault="00225D71" w:rsidP="00225D71">
      <w:pPr>
        <w:rPr>
          <w:rFonts w:ascii="Source Sans Pro" w:hAnsi="Source Sans Pro"/>
        </w:rPr>
      </w:pPr>
    </w:p>
    <w:p w14:paraId="31D123AD" w14:textId="77777777" w:rsidR="00F72475" w:rsidRPr="00F72475" w:rsidRDefault="00F72475" w:rsidP="00F72475">
      <w:pPr>
        <w:pStyle w:val="ListParagraph"/>
        <w:spacing w:after="160" w:line="360" w:lineRule="auto"/>
        <w:jc w:val="both"/>
        <w:rPr>
          <w:rFonts w:ascii="Source Sans Pro" w:hAnsi="Source Sans Pro" w:cstheme="minorHAnsi"/>
          <w:sz w:val="22"/>
          <w:szCs w:val="22"/>
          <w:lang w:val="en-ZM"/>
        </w:rPr>
      </w:pPr>
      <w:r w:rsidRPr="00F72475">
        <w:rPr>
          <w:rFonts w:ascii="Source Sans Pro" w:hAnsi="Source Sans Pro" w:cstheme="minorHAnsi"/>
          <w:sz w:val="22"/>
          <w:szCs w:val="22"/>
          <w:lang w:val="en-ZM"/>
        </w:rPr>
        <w:t xml:space="preserve">Vulnerability describes how an exposed asset responds to a given level of hazard intensity. It is represented by vulnerability or fragility functions that link hazard intensity to expected damage or loss. These functions express the probability distribution of the damage ratio, which is the proportion of an asset’s value expected to be lost at each intensity level. A damage ratio of zero indicates no loss, while a value of one represents </w:t>
      </w:r>
      <w:proofErr w:type="gramStart"/>
      <w:r w:rsidRPr="00F72475">
        <w:rPr>
          <w:rFonts w:ascii="Source Sans Pro" w:hAnsi="Source Sans Pro" w:cstheme="minorHAnsi"/>
          <w:sz w:val="22"/>
          <w:szCs w:val="22"/>
          <w:lang w:val="en-ZM"/>
        </w:rPr>
        <w:t>total destruction</w:t>
      </w:r>
      <w:proofErr w:type="gramEnd"/>
      <w:r w:rsidRPr="00F72475">
        <w:rPr>
          <w:rFonts w:ascii="Source Sans Pro" w:hAnsi="Source Sans Pro" w:cstheme="minorHAnsi"/>
          <w:sz w:val="22"/>
          <w:szCs w:val="22"/>
          <w:lang w:val="en-ZM"/>
        </w:rPr>
        <w:t>.</w:t>
      </w:r>
    </w:p>
    <w:p w14:paraId="3F52609D" w14:textId="77777777" w:rsidR="00CF7EC6" w:rsidRPr="00442872" w:rsidRDefault="00F72475" w:rsidP="00F72475">
      <w:pPr>
        <w:pStyle w:val="ListParagraph"/>
        <w:spacing w:after="160" w:line="360" w:lineRule="auto"/>
        <w:jc w:val="both"/>
        <w:rPr>
          <w:rFonts w:ascii="Source Sans Pro" w:hAnsi="Source Sans Pro" w:cstheme="minorHAnsi"/>
          <w:sz w:val="22"/>
          <w:szCs w:val="22"/>
          <w:lang w:val="en-ZM"/>
        </w:rPr>
      </w:pPr>
      <w:r w:rsidRPr="00F72475">
        <w:rPr>
          <w:rFonts w:ascii="Source Sans Pro" w:hAnsi="Source Sans Pro" w:cstheme="minorHAnsi"/>
          <w:sz w:val="22"/>
          <w:szCs w:val="22"/>
          <w:lang w:val="en-ZM"/>
        </w:rPr>
        <w:t>The shape of these functions depends on construction type, occupancy, and regional factors, reflecting differences in structural strength, design standards, and local building practices. For example, well-engineered concrete buildings may show lower vulnerability to earthquakes compared to unreinforced masonry, while structures with strong roofing systems may perform better under cyclonic winds. These functions also include variability to account for the uncertainty in observed outcomes, recognising that two similar structures exposed to the same hazard level may not sustain identical losses.</w:t>
      </w:r>
    </w:p>
    <w:p w14:paraId="56514CC9" w14:textId="77777777" w:rsidR="00975AF3" w:rsidRPr="00442872" w:rsidRDefault="00FC53C9" w:rsidP="00225D71">
      <w:pPr>
        <w:pStyle w:val="Heading3"/>
        <w:numPr>
          <w:ilvl w:val="0"/>
          <w:numId w:val="26"/>
        </w:numPr>
        <w:rPr>
          <w:rFonts w:ascii="Source Sans Pro" w:hAnsi="Source Sans Pro"/>
        </w:rPr>
      </w:pPr>
      <w:bookmarkStart w:id="7" w:name="_Toc236079014"/>
      <w:r w:rsidRPr="00442872">
        <w:rPr>
          <w:rFonts w:ascii="Source Sans Pro" w:hAnsi="Source Sans Pro"/>
        </w:rPr>
        <w:t>Financial Module</w:t>
      </w:r>
      <w:bookmarkEnd w:id="7"/>
    </w:p>
    <w:p w14:paraId="07FBAE7D" w14:textId="77777777" w:rsidR="00225D71" w:rsidRPr="00442872" w:rsidRDefault="00225D71" w:rsidP="00225D71">
      <w:pPr>
        <w:rPr>
          <w:rFonts w:ascii="Source Sans Pro" w:hAnsi="Source Sans Pro"/>
        </w:rPr>
      </w:pPr>
    </w:p>
    <w:p w14:paraId="5D61A15D" w14:textId="77777777" w:rsidR="00FC53C9" w:rsidRPr="00442872" w:rsidRDefault="00FC53C9" w:rsidP="00FC53C9">
      <w:pPr>
        <w:pStyle w:val="ListParagraph"/>
        <w:spacing w:after="160" w:line="360" w:lineRule="auto"/>
        <w:jc w:val="both"/>
        <w:rPr>
          <w:rFonts w:ascii="Source Sans Pro" w:hAnsi="Source Sans Pro" w:cstheme="minorHAnsi"/>
          <w:sz w:val="22"/>
          <w:szCs w:val="22"/>
        </w:rPr>
      </w:pPr>
      <w:r w:rsidRPr="00442872">
        <w:rPr>
          <w:rFonts w:ascii="Source Sans Pro" w:hAnsi="Source Sans Pro" w:cstheme="minorHAnsi"/>
          <w:sz w:val="22"/>
          <w:szCs w:val="22"/>
        </w:rPr>
        <w:t>Once ground-up losses are estimated for each asset, the financial module</w:t>
      </w:r>
      <w:r w:rsidR="0071386D" w:rsidRPr="00442872">
        <w:rPr>
          <w:rFonts w:ascii="Source Sans Pro" w:hAnsi="Source Sans Pro" w:cstheme="minorHAnsi"/>
          <w:sz w:val="22"/>
          <w:szCs w:val="22"/>
        </w:rPr>
        <w:t xml:space="preserve"> applies policy and reinsurance terms to produce insured losses. These terms include deductibles, coverage limits, and excess layers that determine how much of the loss is retained or transferred</w:t>
      </w:r>
      <w:r w:rsidR="0001207C" w:rsidRPr="00442872">
        <w:rPr>
          <w:rFonts w:ascii="Source Sans Pro" w:hAnsi="Source Sans Pro" w:cstheme="minorHAnsi"/>
          <w:sz w:val="22"/>
          <w:szCs w:val="22"/>
        </w:rPr>
        <w:t xml:space="preserve">. The financial </w:t>
      </w:r>
      <w:r w:rsidR="00530B90" w:rsidRPr="00442872">
        <w:rPr>
          <w:rFonts w:ascii="Source Sans Pro" w:hAnsi="Source Sans Pro" w:cstheme="minorHAnsi"/>
          <w:sz w:val="22"/>
          <w:szCs w:val="22"/>
        </w:rPr>
        <w:lastRenderedPageBreak/>
        <w:t xml:space="preserve">module </w:t>
      </w:r>
      <w:r w:rsidR="00FE5CC4" w:rsidRPr="00442872">
        <w:rPr>
          <w:rFonts w:ascii="Source Sans Pro" w:hAnsi="Source Sans Pro" w:cstheme="minorHAnsi"/>
          <w:sz w:val="22"/>
          <w:szCs w:val="22"/>
        </w:rPr>
        <w:t>does not alter the underlying hazard or vulnerability but transforms physical loss into financial results relevant to insurers and reinsurers</w:t>
      </w:r>
      <w:r w:rsidR="00DA3101" w:rsidRPr="00442872">
        <w:rPr>
          <w:rFonts w:ascii="Source Sans Pro" w:hAnsi="Source Sans Pro" w:cstheme="minorHAnsi"/>
          <w:sz w:val="22"/>
          <w:szCs w:val="22"/>
        </w:rPr>
        <w:t>. Within frameworks such as Oasis LMF, this module is standar</w:t>
      </w:r>
      <w:r w:rsidR="00816FE4" w:rsidRPr="00442872">
        <w:rPr>
          <w:rFonts w:ascii="Source Sans Pro" w:hAnsi="Source Sans Pro" w:cstheme="minorHAnsi"/>
          <w:sz w:val="22"/>
          <w:szCs w:val="22"/>
        </w:rPr>
        <w:t xml:space="preserve">dized </w:t>
      </w:r>
      <w:r w:rsidR="00466200" w:rsidRPr="00442872">
        <w:rPr>
          <w:rFonts w:ascii="Source Sans Pro" w:hAnsi="Source Sans Pro" w:cstheme="minorHAnsi"/>
          <w:sz w:val="22"/>
          <w:szCs w:val="22"/>
        </w:rPr>
        <w:t>and ensures that the results are consistent with defined exposure</w:t>
      </w:r>
      <w:r w:rsidR="0044669F" w:rsidRPr="00442872">
        <w:rPr>
          <w:rFonts w:ascii="Source Sans Pro" w:hAnsi="Source Sans Pro" w:cstheme="minorHAnsi"/>
          <w:sz w:val="22"/>
          <w:szCs w:val="22"/>
        </w:rPr>
        <w:t xml:space="preserve"> and policy structures. </w:t>
      </w:r>
    </w:p>
    <w:p w14:paraId="05785038" w14:textId="77777777" w:rsidR="0044669F" w:rsidRPr="00442872" w:rsidRDefault="0044669F" w:rsidP="00FC53C9">
      <w:pPr>
        <w:pStyle w:val="ListParagraph"/>
        <w:spacing w:after="160" w:line="360" w:lineRule="auto"/>
        <w:jc w:val="both"/>
        <w:rPr>
          <w:rFonts w:ascii="Source Sans Pro" w:hAnsi="Source Sans Pro" w:cstheme="minorHAnsi"/>
          <w:sz w:val="22"/>
          <w:szCs w:val="22"/>
        </w:rPr>
      </w:pPr>
    </w:p>
    <w:p w14:paraId="73AA293E" w14:textId="77777777" w:rsidR="0044669F" w:rsidRPr="00442872" w:rsidRDefault="0044669F" w:rsidP="0044669F">
      <w:pPr>
        <w:pStyle w:val="ListParagraph"/>
        <w:spacing w:after="160" w:line="360" w:lineRule="auto"/>
        <w:ind w:left="0"/>
        <w:jc w:val="both"/>
        <w:rPr>
          <w:rFonts w:ascii="Source Sans Pro" w:hAnsi="Source Sans Pro" w:cstheme="minorHAnsi"/>
          <w:sz w:val="22"/>
          <w:szCs w:val="22"/>
        </w:rPr>
      </w:pPr>
      <w:r w:rsidRPr="00442872">
        <w:rPr>
          <w:rFonts w:ascii="Source Sans Pro" w:hAnsi="Source Sans Pro" w:cstheme="minorHAnsi"/>
          <w:sz w:val="22"/>
          <w:szCs w:val="22"/>
        </w:rPr>
        <w:t xml:space="preserve">In </w:t>
      </w:r>
      <w:r w:rsidR="00D64384" w:rsidRPr="00442872">
        <w:rPr>
          <w:rFonts w:ascii="Source Sans Pro" w:hAnsi="Source Sans Pro" w:cstheme="minorHAnsi"/>
          <w:sz w:val="22"/>
          <w:szCs w:val="22"/>
        </w:rPr>
        <w:t>an event-based catastrophe model, these components interact as a chain. Each event from the hazard module impacts the exposure portfolio</w:t>
      </w:r>
      <w:r w:rsidR="002832D1" w:rsidRPr="00442872">
        <w:rPr>
          <w:rFonts w:ascii="Source Sans Pro" w:hAnsi="Source Sans Pro" w:cstheme="minorHAnsi"/>
          <w:sz w:val="22"/>
          <w:szCs w:val="22"/>
        </w:rPr>
        <w:t xml:space="preserve"> with specific intensities at each location.</w:t>
      </w:r>
      <w:r w:rsidR="001F20E4" w:rsidRPr="00442872">
        <w:rPr>
          <w:rFonts w:ascii="Source Sans Pro" w:hAnsi="Source Sans Pro" w:cstheme="minorHAnsi"/>
          <w:sz w:val="22"/>
          <w:szCs w:val="22"/>
        </w:rPr>
        <w:t xml:space="preserve"> The </w:t>
      </w:r>
      <w:r w:rsidR="004A60B6" w:rsidRPr="00442872">
        <w:rPr>
          <w:rFonts w:ascii="Source Sans Pro" w:hAnsi="Source Sans Pro" w:cstheme="minorHAnsi"/>
          <w:sz w:val="22"/>
          <w:szCs w:val="22"/>
        </w:rPr>
        <w:t>vulnerability module converts those intensities</w:t>
      </w:r>
      <w:r w:rsidR="00572ABD" w:rsidRPr="00442872">
        <w:rPr>
          <w:rFonts w:ascii="Source Sans Pro" w:hAnsi="Source Sans Pro" w:cstheme="minorHAnsi"/>
          <w:sz w:val="22"/>
          <w:szCs w:val="22"/>
        </w:rPr>
        <w:t xml:space="preserve"> into expected damage and loss values, and the financial module then applies insurance terms. When losses are aggregated across all simulated events</w:t>
      </w:r>
      <w:r w:rsidR="00CC71E2" w:rsidRPr="00442872">
        <w:rPr>
          <w:rFonts w:ascii="Source Sans Pro" w:hAnsi="Source Sans Pro" w:cstheme="minorHAnsi"/>
          <w:sz w:val="22"/>
          <w:szCs w:val="22"/>
        </w:rPr>
        <w:t>, the model produces portfolio</w:t>
      </w:r>
      <w:r w:rsidR="009D3CB8" w:rsidRPr="00442872">
        <w:rPr>
          <w:rFonts w:ascii="Source Sans Pro" w:hAnsi="Source Sans Pro" w:cstheme="minorHAnsi"/>
          <w:sz w:val="22"/>
          <w:szCs w:val="22"/>
        </w:rPr>
        <w:t xml:space="preserve">-level risk metrics such as AAL and PML. </w:t>
      </w:r>
      <w:r w:rsidR="009252DF" w:rsidRPr="00442872">
        <w:rPr>
          <w:rFonts w:ascii="Source Sans Pro" w:hAnsi="Source Sans Pro" w:cstheme="minorHAnsi"/>
          <w:sz w:val="22"/>
          <w:szCs w:val="22"/>
        </w:rPr>
        <w:t xml:space="preserve">This integrated approach is consistent </w:t>
      </w:r>
      <w:r w:rsidR="007523C7" w:rsidRPr="00442872">
        <w:rPr>
          <w:rFonts w:ascii="Source Sans Pro" w:hAnsi="Source Sans Pro" w:cstheme="minorHAnsi"/>
          <w:sz w:val="22"/>
          <w:szCs w:val="22"/>
        </w:rPr>
        <w:t>across perils</w:t>
      </w:r>
      <w:r w:rsidR="008A06CA" w:rsidRPr="00442872">
        <w:rPr>
          <w:rFonts w:ascii="Source Sans Pro" w:hAnsi="Source Sans Pro" w:cstheme="minorHAnsi"/>
          <w:sz w:val="22"/>
          <w:szCs w:val="22"/>
        </w:rPr>
        <w:t>, whether assessing earthquake, cyclone, flood,</w:t>
      </w:r>
      <w:r w:rsidR="00C111E5" w:rsidRPr="00442872">
        <w:rPr>
          <w:rFonts w:ascii="Source Sans Pro" w:hAnsi="Source Sans Pro" w:cstheme="minorHAnsi"/>
          <w:sz w:val="22"/>
          <w:szCs w:val="22"/>
        </w:rPr>
        <w:t xml:space="preserve"> wildfire or any other risk and forms the foundation</w:t>
      </w:r>
      <w:r w:rsidR="002A643F" w:rsidRPr="00442872">
        <w:rPr>
          <w:rFonts w:ascii="Source Sans Pro" w:hAnsi="Source Sans Pro" w:cstheme="minorHAnsi"/>
          <w:sz w:val="22"/>
          <w:szCs w:val="22"/>
        </w:rPr>
        <w:t xml:space="preserve"> of catastrophe modelling in Oasis LMF.</w:t>
      </w:r>
    </w:p>
    <w:p w14:paraId="61FD1281" w14:textId="77777777" w:rsidR="006606E1" w:rsidRPr="00442872" w:rsidRDefault="006606E1" w:rsidP="0044669F">
      <w:pPr>
        <w:pStyle w:val="ListParagraph"/>
        <w:spacing w:after="160" w:line="360" w:lineRule="auto"/>
        <w:ind w:left="0"/>
        <w:jc w:val="both"/>
        <w:rPr>
          <w:rFonts w:ascii="Source Sans Pro" w:hAnsi="Source Sans Pro" w:cstheme="minorHAnsi"/>
          <w:b/>
          <w:bCs/>
          <w:sz w:val="22"/>
          <w:szCs w:val="22"/>
        </w:rPr>
      </w:pPr>
    </w:p>
    <w:p w14:paraId="44BBB6C1" w14:textId="77777777" w:rsidR="00AB00F5" w:rsidRPr="00442872" w:rsidRDefault="00BC05C3" w:rsidP="00433726">
      <w:pPr>
        <w:pStyle w:val="Heading2"/>
        <w:numPr>
          <w:ilvl w:val="0"/>
          <w:numId w:val="4"/>
        </w:numPr>
        <w:spacing w:line="360" w:lineRule="auto"/>
        <w:ind w:left="360"/>
        <w:contextualSpacing/>
        <w:jc w:val="both"/>
        <w:rPr>
          <w:rFonts w:ascii="Source Sans Pro" w:hAnsi="Source Sans Pro" w:cstheme="minorHAnsi"/>
          <w:i w:val="0"/>
          <w:iCs/>
          <w:color w:val="234A9E"/>
          <w:sz w:val="36"/>
          <w:szCs w:val="22"/>
        </w:rPr>
      </w:pPr>
      <w:bookmarkStart w:id="8" w:name="_Toc236079015"/>
      <w:r w:rsidRPr="00442872">
        <w:rPr>
          <w:rStyle w:val="Strong"/>
          <w:rFonts w:ascii="Source Sans Pro" w:hAnsi="Source Sans Pro" w:cstheme="minorHAnsi"/>
          <w:b w:val="0"/>
          <w:bCs w:val="0"/>
          <w:i w:val="0"/>
          <w:iCs/>
          <w:color w:val="234A9E"/>
          <w:sz w:val="36"/>
          <w:szCs w:val="22"/>
        </w:rPr>
        <w:t>Oasis Loss Modelling Fram</w:t>
      </w:r>
      <w:r w:rsidR="00433726" w:rsidRPr="00442872">
        <w:rPr>
          <w:rStyle w:val="Strong"/>
          <w:rFonts w:ascii="Source Sans Pro" w:hAnsi="Source Sans Pro" w:cstheme="minorHAnsi"/>
          <w:b w:val="0"/>
          <w:bCs w:val="0"/>
          <w:i w:val="0"/>
          <w:iCs/>
          <w:color w:val="234A9E"/>
          <w:sz w:val="36"/>
          <w:szCs w:val="22"/>
        </w:rPr>
        <w:t>e</w:t>
      </w:r>
      <w:r w:rsidRPr="00442872">
        <w:rPr>
          <w:rStyle w:val="Strong"/>
          <w:rFonts w:ascii="Source Sans Pro" w:hAnsi="Source Sans Pro" w:cstheme="minorHAnsi"/>
          <w:b w:val="0"/>
          <w:bCs w:val="0"/>
          <w:i w:val="0"/>
          <w:iCs/>
          <w:color w:val="234A9E"/>
          <w:sz w:val="36"/>
          <w:szCs w:val="22"/>
        </w:rPr>
        <w:t>work</w:t>
      </w:r>
      <w:r w:rsidR="00433726" w:rsidRPr="00442872">
        <w:rPr>
          <w:rStyle w:val="Strong"/>
          <w:rFonts w:ascii="Source Sans Pro" w:hAnsi="Source Sans Pro" w:cstheme="minorHAnsi"/>
          <w:b w:val="0"/>
          <w:bCs w:val="0"/>
          <w:i w:val="0"/>
          <w:iCs/>
          <w:color w:val="234A9E"/>
          <w:sz w:val="36"/>
          <w:szCs w:val="22"/>
        </w:rPr>
        <w:t xml:space="preserve"> Overview</w:t>
      </w:r>
      <w:bookmarkEnd w:id="8"/>
    </w:p>
    <w:p w14:paraId="705EE66C" w14:textId="77777777" w:rsidR="00593066" w:rsidRPr="00593066" w:rsidRDefault="00593066" w:rsidP="00593066">
      <w:pPr>
        <w:spacing w:after="160" w:line="360" w:lineRule="auto"/>
        <w:jc w:val="both"/>
        <w:rPr>
          <w:rFonts w:ascii="Source Sans Pro" w:hAnsi="Source Sans Pro" w:cstheme="minorHAnsi"/>
          <w:sz w:val="22"/>
          <w:szCs w:val="22"/>
          <w:lang w:val="en-ZM"/>
        </w:rPr>
      </w:pPr>
      <w:r w:rsidRPr="00593066">
        <w:rPr>
          <w:rFonts w:ascii="Source Sans Pro" w:hAnsi="Source Sans Pro" w:cstheme="minorHAnsi"/>
          <w:sz w:val="22"/>
          <w:szCs w:val="22"/>
          <w:lang w:val="en-ZM"/>
        </w:rPr>
        <w:t>The Oasis Loss Modelling Framework (Oasis LMF) is an open-source platform designed to standardize the implementation of catastrophe models. It separates the scientific components of hazard and vulnerability from the commercial components of exposure and financial terms. This separation aligns well with the modular structure described earlier, where the hazard, exposure, vulnerability, and financial modules interact to produce consistent loss estimates.</w:t>
      </w:r>
    </w:p>
    <w:p w14:paraId="03BAB50C" w14:textId="77777777" w:rsidR="00593066" w:rsidRPr="00593066" w:rsidRDefault="00593066" w:rsidP="00593066">
      <w:pPr>
        <w:spacing w:after="160" w:line="360" w:lineRule="auto"/>
        <w:jc w:val="both"/>
        <w:rPr>
          <w:rFonts w:ascii="Source Sans Pro" w:hAnsi="Source Sans Pro" w:cstheme="minorHAnsi"/>
          <w:sz w:val="22"/>
          <w:szCs w:val="22"/>
          <w:lang w:val="en-ZM"/>
        </w:rPr>
      </w:pPr>
      <w:r w:rsidRPr="00593066">
        <w:rPr>
          <w:rFonts w:ascii="Source Sans Pro" w:hAnsi="Source Sans Pro" w:cstheme="minorHAnsi"/>
          <w:sz w:val="22"/>
          <w:szCs w:val="22"/>
          <w:lang w:val="en-ZM"/>
        </w:rPr>
        <w:t>At its core, Oasis allows model developers to provide hazard and vulnerability data in standardized formats, while the Oasis engine performs the event-based loss calculations and applies financial terms. This framework enables insurers, reinsurers, and other users to integrate their own exposure data and obtain loss estimates using any Oasis-compliant model, ensuring transparency and comparability across perils and regions.</w:t>
      </w:r>
    </w:p>
    <w:p w14:paraId="2CC051EC" w14:textId="77777777" w:rsidR="00593066" w:rsidRPr="00442872" w:rsidRDefault="00593066" w:rsidP="00866620">
      <w:pPr>
        <w:pStyle w:val="Heading3"/>
        <w:rPr>
          <w:rFonts w:ascii="Source Sans Pro" w:hAnsi="Source Sans Pro"/>
          <w:lang w:val="en-ZM"/>
        </w:rPr>
      </w:pPr>
      <w:bookmarkStart w:id="9" w:name="_Toc236079016"/>
      <w:r w:rsidRPr="00442872">
        <w:rPr>
          <w:rFonts w:ascii="Source Sans Pro" w:hAnsi="Source Sans Pro"/>
          <w:lang w:val="en-ZM"/>
        </w:rPr>
        <w:t>Key Concepts in Oasis</w:t>
      </w:r>
      <w:bookmarkEnd w:id="9"/>
    </w:p>
    <w:p w14:paraId="691385ED" w14:textId="77777777" w:rsidR="00866620" w:rsidRPr="00442872" w:rsidRDefault="00866620" w:rsidP="00866620">
      <w:pPr>
        <w:rPr>
          <w:rFonts w:ascii="Source Sans Pro" w:hAnsi="Source Sans Pro"/>
          <w:lang w:val="en-ZM"/>
        </w:rPr>
      </w:pPr>
    </w:p>
    <w:p w14:paraId="2D05C1F8" w14:textId="77777777" w:rsidR="00593066" w:rsidRPr="00593066" w:rsidRDefault="00593066" w:rsidP="00593066">
      <w:pPr>
        <w:spacing w:after="160" w:line="360" w:lineRule="auto"/>
        <w:jc w:val="both"/>
        <w:rPr>
          <w:rFonts w:ascii="Source Sans Pro" w:hAnsi="Source Sans Pro" w:cstheme="minorHAnsi"/>
          <w:sz w:val="22"/>
          <w:szCs w:val="22"/>
          <w:lang w:val="en-ZM"/>
        </w:rPr>
      </w:pPr>
      <w:r w:rsidRPr="00593066">
        <w:rPr>
          <w:rFonts w:ascii="Source Sans Pro" w:hAnsi="Source Sans Pro" w:cstheme="minorHAnsi"/>
          <w:sz w:val="22"/>
          <w:szCs w:val="22"/>
          <w:lang w:val="en-ZM"/>
        </w:rPr>
        <w:t>Oasis uses abstract identifiers to ensure that hazard, exposure, and vulnerability data link correctly within the model. Two key identifiers are central to this linkage:</w:t>
      </w:r>
    </w:p>
    <w:p w14:paraId="50EF1E03" w14:textId="77777777" w:rsidR="00593066" w:rsidRPr="00593066" w:rsidRDefault="00593066" w:rsidP="00593066">
      <w:pPr>
        <w:numPr>
          <w:ilvl w:val="0"/>
          <w:numId w:val="27"/>
        </w:numPr>
        <w:spacing w:after="160" w:line="360" w:lineRule="auto"/>
        <w:jc w:val="both"/>
        <w:rPr>
          <w:rFonts w:ascii="Source Sans Pro" w:hAnsi="Source Sans Pro" w:cstheme="minorHAnsi"/>
          <w:sz w:val="22"/>
          <w:szCs w:val="22"/>
          <w:lang w:val="en-ZM"/>
        </w:rPr>
      </w:pPr>
      <w:proofErr w:type="spellStart"/>
      <w:r w:rsidRPr="00593066">
        <w:rPr>
          <w:rFonts w:ascii="Source Sans Pro" w:hAnsi="Source Sans Pro" w:cstheme="minorHAnsi"/>
          <w:b/>
          <w:bCs/>
          <w:sz w:val="22"/>
          <w:szCs w:val="22"/>
          <w:lang w:val="en-ZM"/>
        </w:rPr>
        <w:t>areaperil_id</w:t>
      </w:r>
      <w:proofErr w:type="spellEnd"/>
      <w:r w:rsidRPr="00593066">
        <w:rPr>
          <w:rFonts w:ascii="Source Sans Pro" w:hAnsi="Source Sans Pro" w:cstheme="minorHAnsi"/>
          <w:b/>
          <w:bCs/>
          <w:sz w:val="22"/>
          <w:szCs w:val="22"/>
          <w:lang w:val="en-ZM"/>
        </w:rPr>
        <w:t>:</w:t>
      </w:r>
      <w:r w:rsidRPr="00593066">
        <w:rPr>
          <w:rFonts w:ascii="Source Sans Pro" w:hAnsi="Source Sans Pro" w:cstheme="minorHAnsi"/>
          <w:sz w:val="22"/>
          <w:szCs w:val="22"/>
          <w:lang w:val="en-ZM"/>
        </w:rPr>
        <w:t xml:space="preserve"> Represents the geographic area or grid cell affected by events.</w:t>
      </w:r>
    </w:p>
    <w:p w14:paraId="005F278B" w14:textId="77777777" w:rsidR="00593066" w:rsidRPr="00593066" w:rsidRDefault="00593066" w:rsidP="00593066">
      <w:pPr>
        <w:numPr>
          <w:ilvl w:val="0"/>
          <w:numId w:val="27"/>
        </w:numPr>
        <w:spacing w:after="160" w:line="360" w:lineRule="auto"/>
        <w:jc w:val="both"/>
        <w:rPr>
          <w:rFonts w:ascii="Source Sans Pro" w:hAnsi="Source Sans Pro" w:cstheme="minorHAnsi"/>
          <w:sz w:val="22"/>
          <w:szCs w:val="22"/>
          <w:lang w:val="en-ZM"/>
        </w:rPr>
      </w:pPr>
      <w:proofErr w:type="spellStart"/>
      <w:r w:rsidRPr="00593066">
        <w:rPr>
          <w:rFonts w:ascii="Source Sans Pro" w:hAnsi="Source Sans Pro" w:cstheme="minorHAnsi"/>
          <w:b/>
          <w:bCs/>
          <w:sz w:val="22"/>
          <w:szCs w:val="22"/>
          <w:lang w:val="en-ZM"/>
        </w:rPr>
        <w:lastRenderedPageBreak/>
        <w:t>vulnerability_id</w:t>
      </w:r>
      <w:proofErr w:type="spellEnd"/>
      <w:r w:rsidRPr="00593066">
        <w:rPr>
          <w:rFonts w:ascii="Source Sans Pro" w:hAnsi="Source Sans Pro" w:cstheme="minorHAnsi"/>
          <w:b/>
          <w:bCs/>
          <w:sz w:val="22"/>
          <w:szCs w:val="22"/>
          <w:lang w:val="en-ZM"/>
        </w:rPr>
        <w:t>:</w:t>
      </w:r>
      <w:r w:rsidRPr="00593066">
        <w:rPr>
          <w:rFonts w:ascii="Source Sans Pro" w:hAnsi="Source Sans Pro" w:cstheme="minorHAnsi"/>
          <w:sz w:val="22"/>
          <w:szCs w:val="22"/>
          <w:lang w:val="en-ZM"/>
        </w:rPr>
        <w:t xml:space="preserve"> Represents a specific vulnerability function or damage curve.</w:t>
      </w:r>
    </w:p>
    <w:p w14:paraId="5D7CB9CA" w14:textId="77777777" w:rsidR="00593066" w:rsidRPr="00593066" w:rsidRDefault="00593066" w:rsidP="00593066">
      <w:pPr>
        <w:spacing w:after="160" w:line="360" w:lineRule="auto"/>
        <w:jc w:val="both"/>
        <w:rPr>
          <w:rFonts w:ascii="Source Sans Pro" w:hAnsi="Source Sans Pro" w:cstheme="minorHAnsi"/>
          <w:sz w:val="22"/>
          <w:szCs w:val="22"/>
          <w:lang w:val="en-ZM"/>
        </w:rPr>
      </w:pPr>
      <w:r w:rsidRPr="00593066">
        <w:rPr>
          <w:rFonts w:ascii="Source Sans Pro" w:hAnsi="Source Sans Pro" w:cstheme="minorHAnsi"/>
          <w:sz w:val="22"/>
          <w:szCs w:val="22"/>
          <w:lang w:val="en-ZM"/>
        </w:rPr>
        <w:t xml:space="preserve">Hazard and vulnerability modules meet at a common intensity measure scale, which defines how hazard severity is quantified (for example, peak ground acceleration for earthquakes, wind speed for cyclones, or flood depth for inundation). In Oasis, hazard intensity and damage are both </w:t>
      </w:r>
      <w:r w:rsidR="00866620" w:rsidRPr="00442872">
        <w:rPr>
          <w:rFonts w:ascii="Source Sans Pro" w:hAnsi="Source Sans Pro" w:cstheme="minorHAnsi"/>
          <w:sz w:val="22"/>
          <w:szCs w:val="22"/>
          <w:lang w:val="en-ZM"/>
        </w:rPr>
        <w:t>discretised</w:t>
      </w:r>
      <w:r w:rsidRPr="00593066">
        <w:rPr>
          <w:rFonts w:ascii="Source Sans Pro" w:hAnsi="Source Sans Pro" w:cstheme="minorHAnsi"/>
          <w:sz w:val="22"/>
          <w:szCs w:val="22"/>
          <w:lang w:val="en-ZM"/>
        </w:rPr>
        <w:t xml:space="preserve"> into bins or intervals. Hazard data are defined in intensity bins, while vulnerability data define the probability of damage in discrete damage bins for each intensity level.</w:t>
      </w:r>
    </w:p>
    <w:p w14:paraId="14F0605D" w14:textId="77777777" w:rsidR="00593066" w:rsidRPr="00593066" w:rsidRDefault="00593066" w:rsidP="00593066">
      <w:pPr>
        <w:spacing w:after="160" w:line="360" w:lineRule="auto"/>
        <w:jc w:val="both"/>
        <w:rPr>
          <w:rFonts w:ascii="Source Sans Pro" w:hAnsi="Source Sans Pro" w:cstheme="minorHAnsi"/>
          <w:sz w:val="22"/>
          <w:szCs w:val="22"/>
          <w:lang w:val="en-ZM"/>
        </w:rPr>
      </w:pPr>
      <w:r w:rsidRPr="00593066">
        <w:rPr>
          <w:rFonts w:ascii="Source Sans Pro" w:hAnsi="Source Sans Pro" w:cstheme="minorHAnsi"/>
          <w:sz w:val="22"/>
          <w:szCs w:val="22"/>
          <w:lang w:val="en-ZM"/>
        </w:rPr>
        <w:t xml:space="preserve">This </w:t>
      </w:r>
      <w:r w:rsidR="00866620" w:rsidRPr="00442872">
        <w:rPr>
          <w:rFonts w:ascii="Source Sans Pro" w:hAnsi="Source Sans Pro" w:cstheme="minorHAnsi"/>
          <w:sz w:val="22"/>
          <w:szCs w:val="22"/>
          <w:lang w:val="en-ZM"/>
        </w:rPr>
        <w:t>discretised</w:t>
      </w:r>
      <w:r w:rsidRPr="00593066">
        <w:rPr>
          <w:rFonts w:ascii="Source Sans Pro" w:hAnsi="Source Sans Pro" w:cstheme="minorHAnsi"/>
          <w:sz w:val="22"/>
          <w:szCs w:val="22"/>
          <w:lang w:val="en-ZM"/>
        </w:rPr>
        <w:t xml:space="preserve"> structure allows Oasis to use Monte Carlo simulation efficiently, preserving uncertainty representation without requiring complex continuous formulations. It ensures that hazard and vulnerability data from different model developers can be combined within a common, consistent computational framework.</w:t>
      </w:r>
    </w:p>
    <w:p w14:paraId="64AD99D0" w14:textId="77777777" w:rsidR="00593066" w:rsidRPr="00442872" w:rsidRDefault="00593066" w:rsidP="00866620">
      <w:pPr>
        <w:pStyle w:val="Heading3"/>
        <w:rPr>
          <w:rFonts w:ascii="Source Sans Pro" w:hAnsi="Source Sans Pro"/>
          <w:lang w:val="en-ZM"/>
        </w:rPr>
      </w:pPr>
      <w:bookmarkStart w:id="10" w:name="_Toc236079017"/>
      <w:r w:rsidRPr="00442872">
        <w:rPr>
          <w:rFonts w:ascii="Source Sans Pro" w:hAnsi="Source Sans Pro"/>
          <w:lang w:val="en-ZM"/>
        </w:rPr>
        <w:t>Core Model Input Files</w:t>
      </w:r>
      <w:bookmarkEnd w:id="10"/>
    </w:p>
    <w:p w14:paraId="72F2AC15" w14:textId="77777777" w:rsidR="00866620" w:rsidRPr="00442872" w:rsidRDefault="00866620" w:rsidP="00866620">
      <w:pPr>
        <w:rPr>
          <w:rFonts w:ascii="Source Sans Pro" w:hAnsi="Source Sans Pro"/>
          <w:lang w:val="en-ZM"/>
        </w:rPr>
      </w:pPr>
    </w:p>
    <w:p w14:paraId="62C09491" w14:textId="77777777" w:rsidR="00593066" w:rsidRPr="00593066" w:rsidRDefault="00593066" w:rsidP="00593066">
      <w:pPr>
        <w:spacing w:after="160" w:line="360" w:lineRule="auto"/>
        <w:jc w:val="both"/>
        <w:rPr>
          <w:rFonts w:ascii="Source Sans Pro" w:hAnsi="Source Sans Pro" w:cstheme="minorHAnsi"/>
          <w:sz w:val="22"/>
          <w:szCs w:val="22"/>
          <w:lang w:val="en-ZM"/>
        </w:rPr>
      </w:pPr>
      <w:r w:rsidRPr="00593066">
        <w:rPr>
          <w:rFonts w:ascii="Source Sans Pro" w:hAnsi="Source Sans Pro" w:cstheme="minorHAnsi"/>
          <w:sz w:val="22"/>
          <w:szCs w:val="22"/>
          <w:lang w:val="en-ZM"/>
        </w:rPr>
        <w:t>Oasis models are defined through a set of standardized input files, typically in CSV format (or optimized binary versions for performance). These files describe the scientific and financial components of the model.</w:t>
      </w:r>
    </w:p>
    <w:p w14:paraId="11107118" w14:textId="77777777" w:rsidR="00866620" w:rsidRPr="00340BF7" w:rsidRDefault="00593066" w:rsidP="00866620">
      <w:pPr>
        <w:pStyle w:val="ListParagraph"/>
        <w:numPr>
          <w:ilvl w:val="0"/>
          <w:numId w:val="30"/>
        </w:numPr>
        <w:spacing w:after="160" w:line="360" w:lineRule="auto"/>
        <w:jc w:val="both"/>
        <w:rPr>
          <w:rFonts w:ascii="Source Sans Pro" w:hAnsi="Source Sans Pro" w:cstheme="minorHAnsi"/>
          <w:color w:val="1F3864" w:themeColor="accent1" w:themeShade="80"/>
          <w:sz w:val="22"/>
          <w:szCs w:val="22"/>
          <w:lang w:val="en-ZM"/>
        </w:rPr>
      </w:pPr>
      <w:r w:rsidRPr="00340BF7">
        <w:rPr>
          <w:rFonts w:ascii="Source Sans Pro" w:hAnsi="Source Sans Pro" w:cstheme="minorHAnsi"/>
          <w:color w:val="1F3864" w:themeColor="accent1" w:themeShade="80"/>
          <w:sz w:val="22"/>
          <w:szCs w:val="22"/>
          <w:lang w:val="en-ZM"/>
        </w:rPr>
        <w:t>Hazard</w:t>
      </w:r>
      <w:r w:rsidR="00866620" w:rsidRPr="00340BF7">
        <w:rPr>
          <w:rFonts w:ascii="Source Sans Pro" w:hAnsi="Source Sans Pro" w:cstheme="minorHAnsi"/>
          <w:color w:val="1F3864" w:themeColor="accent1" w:themeShade="80"/>
          <w:sz w:val="22"/>
          <w:szCs w:val="22"/>
          <w:lang w:val="en-ZM"/>
        </w:rPr>
        <w:t xml:space="preserve"> </w:t>
      </w:r>
      <w:r w:rsidRPr="00340BF7">
        <w:rPr>
          <w:rFonts w:ascii="Source Sans Pro" w:hAnsi="Source Sans Pro" w:cstheme="minorHAnsi"/>
          <w:color w:val="1F3864" w:themeColor="accent1" w:themeShade="80"/>
          <w:sz w:val="22"/>
          <w:szCs w:val="22"/>
          <w:lang w:val="en-ZM"/>
        </w:rPr>
        <w:t>Module Files</w:t>
      </w:r>
    </w:p>
    <w:p w14:paraId="3ECF6735" w14:textId="77777777" w:rsidR="00593066" w:rsidRPr="00442872" w:rsidRDefault="00593066" w:rsidP="00866620">
      <w:pPr>
        <w:pStyle w:val="ListParagraph"/>
        <w:spacing w:after="160" w:line="360" w:lineRule="auto"/>
        <w:jc w:val="both"/>
        <w:rPr>
          <w:rFonts w:ascii="Source Sans Pro" w:hAnsi="Source Sans Pro" w:cstheme="minorHAnsi"/>
          <w:sz w:val="22"/>
          <w:szCs w:val="22"/>
          <w:lang w:val="en-ZM"/>
        </w:rPr>
      </w:pPr>
      <w:r w:rsidRPr="00442872">
        <w:rPr>
          <w:rFonts w:ascii="Source Sans Pro" w:hAnsi="Source Sans Pro" w:cstheme="minorHAnsi"/>
          <w:sz w:val="22"/>
          <w:szCs w:val="22"/>
          <w:lang w:val="en-ZM"/>
        </w:rPr>
        <w:t>These files define the events and their hazard footprints:</w:t>
      </w:r>
    </w:p>
    <w:p w14:paraId="35B72CA7" w14:textId="77777777" w:rsidR="00593066" w:rsidRPr="00593066" w:rsidRDefault="00593066" w:rsidP="00593066">
      <w:pPr>
        <w:numPr>
          <w:ilvl w:val="0"/>
          <w:numId w:val="28"/>
        </w:numPr>
        <w:spacing w:after="160" w:line="360" w:lineRule="auto"/>
        <w:jc w:val="both"/>
        <w:rPr>
          <w:rFonts w:ascii="Source Sans Pro" w:hAnsi="Source Sans Pro" w:cstheme="minorHAnsi"/>
          <w:sz w:val="22"/>
          <w:szCs w:val="22"/>
          <w:lang w:val="en-ZM"/>
        </w:rPr>
      </w:pPr>
      <w:r w:rsidRPr="00593066">
        <w:rPr>
          <w:rFonts w:ascii="Source Sans Pro" w:hAnsi="Source Sans Pro" w:cstheme="minorHAnsi"/>
          <w:b/>
          <w:bCs/>
          <w:sz w:val="22"/>
          <w:szCs w:val="22"/>
          <w:lang w:val="en-ZM"/>
        </w:rPr>
        <w:t>Events file:</w:t>
      </w:r>
      <w:r w:rsidRPr="00593066">
        <w:rPr>
          <w:rFonts w:ascii="Source Sans Pro" w:hAnsi="Source Sans Pro" w:cstheme="minorHAnsi"/>
          <w:sz w:val="22"/>
          <w:szCs w:val="22"/>
          <w:lang w:val="en-ZM"/>
        </w:rPr>
        <w:t xml:space="preserve"> Lists all events in the model, including their identifiers and metadata.</w:t>
      </w:r>
    </w:p>
    <w:p w14:paraId="4F38D8AF" w14:textId="77777777" w:rsidR="00593066" w:rsidRPr="00593066" w:rsidRDefault="00593066" w:rsidP="00593066">
      <w:pPr>
        <w:numPr>
          <w:ilvl w:val="0"/>
          <w:numId w:val="28"/>
        </w:numPr>
        <w:spacing w:after="160" w:line="360" w:lineRule="auto"/>
        <w:jc w:val="both"/>
        <w:rPr>
          <w:rFonts w:ascii="Source Sans Pro" w:hAnsi="Source Sans Pro" w:cstheme="minorHAnsi"/>
          <w:sz w:val="22"/>
          <w:szCs w:val="22"/>
          <w:lang w:val="en-ZM"/>
        </w:rPr>
      </w:pPr>
      <w:r w:rsidRPr="00593066">
        <w:rPr>
          <w:rFonts w:ascii="Source Sans Pro" w:hAnsi="Source Sans Pro" w:cstheme="minorHAnsi"/>
          <w:b/>
          <w:bCs/>
          <w:sz w:val="22"/>
          <w:szCs w:val="22"/>
          <w:lang w:val="en-ZM"/>
        </w:rPr>
        <w:t>Area Perils file:</w:t>
      </w:r>
      <w:r w:rsidRPr="00593066">
        <w:rPr>
          <w:rFonts w:ascii="Source Sans Pro" w:hAnsi="Source Sans Pro" w:cstheme="minorHAnsi"/>
          <w:sz w:val="22"/>
          <w:szCs w:val="22"/>
          <w:lang w:val="en-ZM"/>
        </w:rPr>
        <w:t xml:space="preserve"> Maps each </w:t>
      </w:r>
      <w:proofErr w:type="spellStart"/>
      <w:r w:rsidRPr="00593066">
        <w:rPr>
          <w:rFonts w:ascii="Source Sans Pro" w:hAnsi="Source Sans Pro" w:cstheme="minorHAnsi"/>
          <w:sz w:val="22"/>
          <w:szCs w:val="22"/>
          <w:lang w:val="en-ZM"/>
        </w:rPr>
        <w:t>areaperil_id</w:t>
      </w:r>
      <w:proofErr w:type="spellEnd"/>
      <w:r w:rsidRPr="00593066">
        <w:rPr>
          <w:rFonts w:ascii="Source Sans Pro" w:hAnsi="Source Sans Pro" w:cstheme="minorHAnsi"/>
          <w:sz w:val="22"/>
          <w:szCs w:val="22"/>
          <w:lang w:val="en-ZM"/>
        </w:rPr>
        <w:t xml:space="preserve"> to a geographic location or zone.</w:t>
      </w:r>
    </w:p>
    <w:p w14:paraId="52DD9F7E" w14:textId="77777777" w:rsidR="00593066" w:rsidRPr="00593066" w:rsidRDefault="00593066" w:rsidP="00593066">
      <w:pPr>
        <w:numPr>
          <w:ilvl w:val="0"/>
          <w:numId w:val="28"/>
        </w:numPr>
        <w:spacing w:after="160" w:line="360" w:lineRule="auto"/>
        <w:jc w:val="both"/>
        <w:rPr>
          <w:rFonts w:ascii="Source Sans Pro" w:hAnsi="Source Sans Pro" w:cstheme="minorHAnsi"/>
          <w:sz w:val="22"/>
          <w:szCs w:val="22"/>
          <w:lang w:val="en-ZM"/>
        </w:rPr>
      </w:pPr>
      <w:r w:rsidRPr="00593066">
        <w:rPr>
          <w:rFonts w:ascii="Source Sans Pro" w:hAnsi="Source Sans Pro" w:cstheme="minorHAnsi"/>
          <w:b/>
          <w:bCs/>
          <w:sz w:val="22"/>
          <w:szCs w:val="22"/>
          <w:lang w:val="en-ZM"/>
        </w:rPr>
        <w:t>Intensity Bin Dictionary:</w:t>
      </w:r>
      <w:r w:rsidRPr="00593066">
        <w:rPr>
          <w:rFonts w:ascii="Source Sans Pro" w:hAnsi="Source Sans Pro" w:cstheme="minorHAnsi"/>
          <w:sz w:val="22"/>
          <w:szCs w:val="22"/>
          <w:lang w:val="en-ZM"/>
        </w:rPr>
        <w:t xml:space="preserve"> Defines the intensity intervals and their units.</w:t>
      </w:r>
    </w:p>
    <w:p w14:paraId="1B3C9086" w14:textId="77777777" w:rsidR="00593066" w:rsidRPr="00593066" w:rsidRDefault="00593066" w:rsidP="00593066">
      <w:pPr>
        <w:numPr>
          <w:ilvl w:val="0"/>
          <w:numId w:val="28"/>
        </w:numPr>
        <w:spacing w:after="160" w:line="360" w:lineRule="auto"/>
        <w:jc w:val="both"/>
        <w:rPr>
          <w:rFonts w:ascii="Source Sans Pro" w:hAnsi="Source Sans Pro" w:cstheme="minorHAnsi"/>
          <w:sz w:val="22"/>
          <w:szCs w:val="22"/>
          <w:lang w:val="en-ZM"/>
        </w:rPr>
      </w:pPr>
      <w:r w:rsidRPr="00593066">
        <w:rPr>
          <w:rFonts w:ascii="Source Sans Pro" w:hAnsi="Source Sans Pro" w:cstheme="minorHAnsi"/>
          <w:b/>
          <w:bCs/>
          <w:sz w:val="22"/>
          <w:szCs w:val="22"/>
          <w:lang w:val="en-ZM"/>
        </w:rPr>
        <w:t>Footprint file:</w:t>
      </w:r>
      <w:r w:rsidRPr="00593066">
        <w:rPr>
          <w:rFonts w:ascii="Source Sans Pro" w:hAnsi="Source Sans Pro" w:cstheme="minorHAnsi"/>
          <w:sz w:val="22"/>
          <w:szCs w:val="22"/>
          <w:lang w:val="en-ZM"/>
        </w:rPr>
        <w:t xml:space="preserve"> Specifies the probability distribution of hazard intensity for each event at each area peril.</w:t>
      </w:r>
    </w:p>
    <w:p w14:paraId="7D811FCB" w14:textId="77777777" w:rsidR="00593066" w:rsidRPr="00593066" w:rsidRDefault="00593066" w:rsidP="00593066">
      <w:pPr>
        <w:spacing w:after="160" w:line="360" w:lineRule="auto"/>
        <w:jc w:val="both"/>
        <w:rPr>
          <w:rFonts w:ascii="Source Sans Pro" w:hAnsi="Source Sans Pro" w:cstheme="minorHAnsi"/>
          <w:sz w:val="22"/>
          <w:szCs w:val="22"/>
          <w:lang w:val="en-ZM"/>
        </w:rPr>
      </w:pPr>
      <w:r w:rsidRPr="00593066">
        <w:rPr>
          <w:rFonts w:ascii="Source Sans Pro" w:hAnsi="Source Sans Pro" w:cstheme="minorHAnsi"/>
          <w:sz w:val="22"/>
          <w:szCs w:val="22"/>
          <w:lang w:val="en-ZM"/>
        </w:rPr>
        <w:t>Together, these files describe the full range of potential events and their spatial intensity patterns. The footprint file is the central element, as it quantifies hazard intensity per event-location pair. An optional Occurrence file may assign events to specific years or frequencies, enabling year-by-year loss simulations and supporting portfolio-level risk metrics such as AAL and PML.</w:t>
      </w:r>
    </w:p>
    <w:p w14:paraId="5DADBB03" w14:textId="77777777" w:rsidR="00EB6B02" w:rsidRPr="00340BF7" w:rsidRDefault="00593066" w:rsidP="00EB6B02">
      <w:pPr>
        <w:pStyle w:val="ListParagraph"/>
        <w:numPr>
          <w:ilvl w:val="0"/>
          <w:numId w:val="30"/>
        </w:numPr>
        <w:spacing w:after="160" w:line="360" w:lineRule="auto"/>
        <w:jc w:val="both"/>
        <w:rPr>
          <w:rFonts w:ascii="Source Sans Pro" w:hAnsi="Source Sans Pro" w:cstheme="minorHAnsi"/>
          <w:color w:val="1F3864" w:themeColor="accent1" w:themeShade="80"/>
          <w:sz w:val="22"/>
          <w:szCs w:val="22"/>
          <w:lang w:val="en-ZM"/>
        </w:rPr>
      </w:pPr>
      <w:r w:rsidRPr="00340BF7">
        <w:rPr>
          <w:rFonts w:ascii="Source Sans Pro" w:hAnsi="Source Sans Pro" w:cstheme="minorHAnsi"/>
          <w:color w:val="1F3864" w:themeColor="accent1" w:themeShade="80"/>
          <w:sz w:val="22"/>
          <w:szCs w:val="22"/>
          <w:lang w:val="en-ZM"/>
        </w:rPr>
        <w:t>Vulnerability Module Files</w:t>
      </w:r>
    </w:p>
    <w:p w14:paraId="6CEC3D20" w14:textId="77777777" w:rsidR="00593066" w:rsidRPr="00442872" w:rsidRDefault="00593066" w:rsidP="00EB6B02">
      <w:pPr>
        <w:pStyle w:val="ListParagraph"/>
        <w:spacing w:after="160" w:line="360" w:lineRule="auto"/>
        <w:ind w:left="360"/>
        <w:jc w:val="both"/>
        <w:rPr>
          <w:rFonts w:ascii="Source Sans Pro" w:hAnsi="Source Sans Pro" w:cstheme="minorHAnsi"/>
          <w:sz w:val="22"/>
          <w:szCs w:val="22"/>
          <w:lang w:val="en-ZM"/>
        </w:rPr>
      </w:pPr>
      <w:r w:rsidRPr="00442872">
        <w:rPr>
          <w:rFonts w:ascii="Source Sans Pro" w:hAnsi="Source Sans Pro" w:cstheme="minorHAnsi"/>
          <w:sz w:val="22"/>
          <w:szCs w:val="22"/>
          <w:lang w:val="en-ZM"/>
        </w:rPr>
        <w:t>These define how assets respond to hazard intensities:</w:t>
      </w:r>
    </w:p>
    <w:p w14:paraId="3DF1E910" w14:textId="77777777" w:rsidR="00593066" w:rsidRPr="00593066" w:rsidRDefault="00593066" w:rsidP="00593066">
      <w:pPr>
        <w:numPr>
          <w:ilvl w:val="0"/>
          <w:numId w:val="29"/>
        </w:numPr>
        <w:spacing w:after="160" w:line="360" w:lineRule="auto"/>
        <w:jc w:val="both"/>
        <w:rPr>
          <w:rFonts w:ascii="Source Sans Pro" w:hAnsi="Source Sans Pro" w:cstheme="minorHAnsi"/>
          <w:sz w:val="22"/>
          <w:szCs w:val="22"/>
          <w:lang w:val="en-ZM"/>
        </w:rPr>
      </w:pPr>
      <w:r w:rsidRPr="00593066">
        <w:rPr>
          <w:rFonts w:ascii="Source Sans Pro" w:hAnsi="Source Sans Pro" w:cstheme="minorHAnsi"/>
          <w:b/>
          <w:bCs/>
          <w:sz w:val="22"/>
          <w:szCs w:val="22"/>
          <w:lang w:val="en-ZM"/>
        </w:rPr>
        <w:lastRenderedPageBreak/>
        <w:t>Vulnerability Functions file:</w:t>
      </w:r>
      <w:r w:rsidRPr="00593066">
        <w:rPr>
          <w:rFonts w:ascii="Source Sans Pro" w:hAnsi="Source Sans Pro" w:cstheme="minorHAnsi"/>
          <w:sz w:val="22"/>
          <w:szCs w:val="22"/>
          <w:lang w:val="en-ZM"/>
        </w:rPr>
        <w:t xml:space="preserve"> Provides, for each </w:t>
      </w:r>
      <w:proofErr w:type="spellStart"/>
      <w:r w:rsidRPr="00593066">
        <w:rPr>
          <w:rFonts w:ascii="Source Sans Pro" w:hAnsi="Source Sans Pro" w:cstheme="minorHAnsi"/>
          <w:sz w:val="22"/>
          <w:szCs w:val="22"/>
          <w:lang w:val="en-ZM"/>
        </w:rPr>
        <w:t>vulnerability_id</w:t>
      </w:r>
      <w:proofErr w:type="spellEnd"/>
      <w:r w:rsidRPr="00593066">
        <w:rPr>
          <w:rFonts w:ascii="Source Sans Pro" w:hAnsi="Source Sans Pro" w:cstheme="minorHAnsi"/>
          <w:sz w:val="22"/>
          <w:szCs w:val="22"/>
          <w:lang w:val="en-ZM"/>
        </w:rPr>
        <w:t xml:space="preserve"> and intensity bin, the probability distribution of damage across damage bins.</w:t>
      </w:r>
    </w:p>
    <w:p w14:paraId="0486EF25" w14:textId="77777777" w:rsidR="00593066" w:rsidRPr="00593066" w:rsidRDefault="00593066" w:rsidP="00593066">
      <w:pPr>
        <w:numPr>
          <w:ilvl w:val="0"/>
          <w:numId w:val="29"/>
        </w:numPr>
        <w:spacing w:after="160" w:line="360" w:lineRule="auto"/>
        <w:jc w:val="both"/>
        <w:rPr>
          <w:rFonts w:ascii="Source Sans Pro" w:hAnsi="Source Sans Pro" w:cstheme="minorHAnsi"/>
          <w:sz w:val="22"/>
          <w:szCs w:val="22"/>
          <w:lang w:val="en-ZM"/>
        </w:rPr>
      </w:pPr>
      <w:r w:rsidRPr="00593066">
        <w:rPr>
          <w:rFonts w:ascii="Source Sans Pro" w:hAnsi="Source Sans Pro" w:cstheme="minorHAnsi"/>
          <w:b/>
          <w:bCs/>
          <w:sz w:val="22"/>
          <w:szCs w:val="22"/>
          <w:lang w:val="en-ZM"/>
        </w:rPr>
        <w:t>Vulnerability Dictionary:</w:t>
      </w:r>
      <w:r w:rsidRPr="00593066">
        <w:rPr>
          <w:rFonts w:ascii="Source Sans Pro" w:hAnsi="Source Sans Pro" w:cstheme="minorHAnsi"/>
          <w:sz w:val="22"/>
          <w:szCs w:val="22"/>
          <w:lang w:val="en-ZM"/>
        </w:rPr>
        <w:t xml:space="preserve"> Describes each vulnerability function in human-readable terms, such as the building class or structural type it represents.</w:t>
      </w:r>
    </w:p>
    <w:p w14:paraId="47911A3C" w14:textId="77777777" w:rsidR="00593066" w:rsidRPr="00593066" w:rsidRDefault="00593066" w:rsidP="00593066">
      <w:pPr>
        <w:numPr>
          <w:ilvl w:val="0"/>
          <w:numId w:val="29"/>
        </w:numPr>
        <w:spacing w:after="160" w:line="360" w:lineRule="auto"/>
        <w:jc w:val="both"/>
        <w:rPr>
          <w:rFonts w:ascii="Source Sans Pro" w:hAnsi="Source Sans Pro" w:cstheme="minorHAnsi"/>
          <w:sz w:val="22"/>
          <w:szCs w:val="22"/>
          <w:lang w:val="en-ZM"/>
        </w:rPr>
      </w:pPr>
      <w:r w:rsidRPr="00593066">
        <w:rPr>
          <w:rFonts w:ascii="Source Sans Pro" w:hAnsi="Source Sans Pro" w:cstheme="minorHAnsi"/>
          <w:b/>
          <w:bCs/>
          <w:sz w:val="22"/>
          <w:szCs w:val="22"/>
          <w:lang w:val="en-ZM"/>
        </w:rPr>
        <w:t>Damage Bin Dictionary:</w:t>
      </w:r>
      <w:r w:rsidRPr="00593066">
        <w:rPr>
          <w:rFonts w:ascii="Source Sans Pro" w:hAnsi="Source Sans Pro" w:cstheme="minorHAnsi"/>
          <w:sz w:val="22"/>
          <w:szCs w:val="22"/>
          <w:lang w:val="en-ZM"/>
        </w:rPr>
        <w:t xml:space="preserve"> Defines the bounds of each damage bin as fractions of value lost.</w:t>
      </w:r>
    </w:p>
    <w:p w14:paraId="24A847B1" w14:textId="77777777" w:rsidR="00593066" w:rsidRPr="00593066" w:rsidRDefault="00593066" w:rsidP="00593066">
      <w:pPr>
        <w:spacing w:after="160" w:line="360" w:lineRule="auto"/>
        <w:jc w:val="both"/>
        <w:rPr>
          <w:rFonts w:ascii="Source Sans Pro" w:hAnsi="Source Sans Pro" w:cstheme="minorHAnsi"/>
          <w:sz w:val="22"/>
          <w:szCs w:val="22"/>
          <w:lang w:val="en-ZM"/>
        </w:rPr>
      </w:pPr>
      <w:r w:rsidRPr="00593066">
        <w:rPr>
          <w:rFonts w:ascii="Source Sans Pro" w:hAnsi="Source Sans Pro" w:cstheme="minorHAnsi"/>
          <w:sz w:val="22"/>
          <w:szCs w:val="22"/>
          <w:lang w:val="en-ZM"/>
        </w:rPr>
        <w:t>In some implementations</w:t>
      </w:r>
      <w:r w:rsidR="002102D9">
        <w:rPr>
          <w:rFonts w:ascii="Source Sans Pro" w:hAnsi="Source Sans Pro" w:cstheme="minorHAnsi"/>
          <w:sz w:val="22"/>
          <w:szCs w:val="22"/>
          <w:lang w:val="en-ZM"/>
        </w:rPr>
        <w:t xml:space="preserve"> of Oasis LMF</w:t>
      </w:r>
      <w:r w:rsidRPr="00593066">
        <w:rPr>
          <w:rFonts w:ascii="Source Sans Pro" w:hAnsi="Source Sans Pro" w:cstheme="minorHAnsi"/>
          <w:sz w:val="22"/>
          <w:szCs w:val="22"/>
          <w:lang w:val="en-ZM"/>
        </w:rPr>
        <w:t>, a mapping file or “keys lookup” process is used to assign vulnerability IDs to exposure records based on characteristics such as construction type or occupancy. This mapping can be part of the model itself or handled during exposure data preparation.</w:t>
      </w:r>
    </w:p>
    <w:p w14:paraId="66D3073F" w14:textId="77777777" w:rsidR="00EB6B02" w:rsidRPr="00340BF7" w:rsidRDefault="00593066" w:rsidP="00EB6B02">
      <w:pPr>
        <w:pStyle w:val="ListParagraph"/>
        <w:numPr>
          <w:ilvl w:val="0"/>
          <w:numId w:val="30"/>
        </w:numPr>
        <w:spacing w:after="160" w:line="360" w:lineRule="auto"/>
        <w:jc w:val="both"/>
        <w:rPr>
          <w:rFonts w:ascii="Source Sans Pro" w:hAnsi="Source Sans Pro" w:cstheme="minorHAnsi"/>
          <w:color w:val="1F3864" w:themeColor="accent1" w:themeShade="80"/>
          <w:sz w:val="22"/>
          <w:szCs w:val="22"/>
          <w:lang w:val="en-ZM"/>
        </w:rPr>
      </w:pPr>
      <w:r w:rsidRPr="00340BF7">
        <w:rPr>
          <w:rFonts w:ascii="Source Sans Pro" w:hAnsi="Source Sans Pro" w:cstheme="minorHAnsi"/>
          <w:color w:val="1F3864" w:themeColor="accent1" w:themeShade="80"/>
          <w:sz w:val="22"/>
          <w:szCs w:val="22"/>
          <w:lang w:val="en-ZM"/>
        </w:rPr>
        <w:t>Exposure and Financial Files</w:t>
      </w:r>
    </w:p>
    <w:p w14:paraId="48C9F3B2" w14:textId="77777777" w:rsidR="00593066" w:rsidRPr="00442872" w:rsidRDefault="00593066" w:rsidP="00EB6B02">
      <w:pPr>
        <w:pStyle w:val="ListParagraph"/>
        <w:spacing w:after="160" w:line="360" w:lineRule="auto"/>
        <w:ind w:left="360"/>
        <w:jc w:val="both"/>
        <w:rPr>
          <w:rFonts w:ascii="Source Sans Pro" w:hAnsi="Source Sans Pro" w:cstheme="minorHAnsi"/>
          <w:sz w:val="22"/>
          <w:szCs w:val="22"/>
          <w:lang w:val="en-ZM"/>
        </w:rPr>
      </w:pPr>
      <w:r w:rsidRPr="00442872">
        <w:rPr>
          <w:rFonts w:ascii="Source Sans Pro" w:hAnsi="Source Sans Pro" w:cstheme="minorHAnsi"/>
          <w:sz w:val="22"/>
          <w:szCs w:val="22"/>
          <w:lang w:val="en-ZM"/>
        </w:rPr>
        <w:t>These are provided by the model user, not the developer. The exposure file, formatted according to the Oasis Open Exposure Data (OED) standard, contains each asset’s location, construction, occupancy, and insured values. Insurance contract terms, including deductibles, limits, and reinsurance structures, are also defined in standardized financial input files.</w:t>
      </w:r>
    </w:p>
    <w:p w14:paraId="0696DE84" w14:textId="77777777" w:rsidR="00593066" w:rsidRPr="00593066" w:rsidRDefault="00593066" w:rsidP="00593066">
      <w:pPr>
        <w:spacing w:after="160" w:line="360" w:lineRule="auto"/>
        <w:jc w:val="both"/>
        <w:rPr>
          <w:rFonts w:ascii="Source Sans Pro" w:hAnsi="Source Sans Pro" w:cstheme="minorHAnsi"/>
          <w:sz w:val="22"/>
          <w:szCs w:val="22"/>
          <w:lang w:val="en-ZM"/>
        </w:rPr>
      </w:pPr>
      <w:r w:rsidRPr="00593066">
        <w:rPr>
          <w:rFonts w:ascii="Source Sans Pro" w:hAnsi="Source Sans Pro" w:cstheme="minorHAnsi"/>
          <w:sz w:val="22"/>
          <w:szCs w:val="22"/>
          <w:lang w:val="en-ZM"/>
        </w:rPr>
        <w:t xml:space="preserve">When the model is executed, each exposure record is assigned both an </w:t>
      </w:r>
      <w:proofErr w:type="spellStart"/>
      <w:r w:rsidRPr="00593066">
        <w:rPr>
          <w:rFonts w:ascii="Source Sans Pro" w:hAnsi="Source Sans Pro" w:cstheme="minorHAnsi"/>
          <w:sz w:val="22"/>
          <w:szCs w:val="22"/>
          <w:lang w:val="en-ZM"/>
        </w:rPr>
        <w:t>areaperil_id</w:t>
      </w:r>
      <w:proofErr w:type="spellEnd"/>
      <w:r w:rsidRPr="00593066">
        <w:rPr>
          <w:rFonts w:ascii="Source Sans Pro" w:hAnsi="Source Sans Pro" w:cstheme="minorHAnsi"/>
          <w:sz w:val="22"/>
          <w:szCs w:val="22"/>
          <w:lang w:val="en-ZM"/>
        </w:rPr>
        <w:t xml:space="preserve"> and a </w:t>
      </w:r>
      <w:proofErr w:type="spellStart"/>
      <w:r w:rsidRPr="00593066">
        <w:rPr>
          <w:rFonts w:ascii="Source Sans Pro" w:hAnsi="Source Sans Pro" w:cstheme="minorHAnsi"/>
          <w:sz w:val="22"/>
          <w:szCs w:val="22"/>
          <w:lang w:val="en-ZM"/>
        </w:rPr>
        <w:t>vulnerability_id</w:t>
      </w:r>
      <w:proofErr w:type="spellEnd"/>
      <w:r w:rsidRPr="00593066">
        <w:rPr>
          <w:rFonts w:ascii="Source Sans Pro" w:hAnsi="Source Sans Pro" w:cstheme="minorHAnsi"/>
          <w:sz w:val="22"/>
          <w:szCs w:val="22"/>
          <w:lang w:val="en-ZM"/>
        </w:rPr>
        <w:t xml:space="preserve"> through lookup procedures that match its location and characteristics to the model’s definitions. The Oasis engine then retrieves the corresponding hazard intensity from the footprint and applies the relevant vulnerability curve to estimate losses.</w:t>
      </w:r>
    </w:p>
    <w:p w14:paraId="64E3222D" w14:textId="77777777" w:rsidR="00593066" w:rsidRPr="00442872" w:rsidRDefault="00593066" w:rsidP="00442872">
      <w:pPr>
        <w:pStyle w:val="Heading3"/>
        <w:rPr>
          <w:rFonts w:ascii="Source Sans Pro" w:hAnsi="Source Sans Pro"/>
          <w:lang w:val="en-ZM"/>
        </w:rPr>
      </w:pPr>
      <w:bookmarkStart w:id="11" w:name="_Toc236079018"/>
      <w:r w:rsidRPr="00442872">
        <w:rPr>
          <w:rFonts w:ascii="Source Sans Pro" w:hAnsi="Source Sans Pro"/>
          <w:lang w:val="en-ZM"/>
        </w:rPr>
        <w:t>Oasis Calculation Engine</w:t>
      </w:r>
      <w:bookmarkEnd w:id="11"/>
    </w:p>
    <w:p w14:paraId="78A30956" w14:textId="77777777" w:rsidR="00442872" w:rsidRPr="00442872" w:rsidRDefault="00442872" w:rsidP="00442872">
      <w:pPr>
        <w:rPr>
          <w:rFonts w:ascii="Source Sans Pro" w:hAnsi="Source Sans Pro"/>
          <w:lang w:val="en-ZM"/>
        </w:rPr>
      </w:pPr>
    </w:p>
    <w:p w14:paraId="21AA2526" w14:textId="77777777" w:rsidR="00AC6D5E" w:rsidRPr="00AC6D5E" w:rsidRDefault="00AC6D5E" w:rsidP="00AC6D5E">
      <w:pPr>
        <w:spacing w:after="160" w:line="360" w:lineRule="auto"/>
        <w:jc w:val="both"/>
        <w:rPr>
          <w:rFonts w:ascii="Source Sans Pro" w:hAnsi="Source Sans Pro" w:cstheme="minorHAnsi"/>
          <w:sz w:val="22"/>
          <w:szCs w:val="22"/>
          <w:lang w:val="en-ZM"/>
        </w:rPr>
      </w:pPr>
      <w:r w:rsidRPr="00AC6D5E">
        <w:rPr>
          <w:rFonts w:ascii="Source Sans Pro" w:hAnsi="Source Sans Pro" w:cstheme="minorHAnsi"/>
          <w:sz w:val="22"/>
          <w:szCs w:val="22"/>
          <w:lang w:val="en-ZM"/>
        </w:rPr>
        <w:t>The Oasis engine performs loss calculations using a simulation-based approach. It combines the probability distribution of hazard intensity with the corresponding vulnerability function to derive an effective damage distribution for each event–exposure pair.</w:t>
      </w:r>
    </w:p>
    <w:p w14:paraId="175FF4DB" w14:textId="77777777" w:rsidR="00AC6D5E" w:rsidRPr="00AC6D5E" w:rsidRDefault="00AC6D5E" w:rsidP="00AC6D5E">
      <w:pPr>
        <w:spacing w:after="160" w:line="360" w:lineRule="auto"/>
        <w:jc w:val="both"/>
        <w:rPr>
          <w:rFonts w:ascii="Source Sans Pro" w:hAnsi="Source Sans Pro" w:cstheme="minorHAnsi"/>
          <w:sz w:val="22"/>
          <w:szCs w:val="22"/>
          <w:lang w:val="en-ZM"/>
        </w:rPr>
      </w:pPr>
      <w:r w:rsidRPr="00AC6D5E">
        <w:rPr>
          <w:rFonts w:ascii="Source Sans Pro" w:hAnsi="Source Sans Pro" w:cstheme="minorHAnsi"/>
          <w:sz w:val="22"/>
          <w:szCs w:val="22"/>
          <w:lang w:val="en-ZM"/>
        </w:rPr>
        <w:t>If the footprint specifies a single deterministic intensity for an event at a given location, the vulnerability curve for that intensity is used directly to compute losses. If the footprint defines a range of possible intensities (for instance, a 50% probability of moderate wind speed and 50% of extreme wind speed), Oasis blends these probabilities to reflect both hazard and vulnerability uncertainty.</w:t>
      </w:r>
    </w:p>
    <w:p w14:paraId="57412510" w14:textId="77777777" w:rsidR="00AC6D5E" w:rsidRPr="00AC6D5E" w:rsidRDefault="00AC6D5E" w:rsidP="00AC6D5E">
      <w:pPr>
        <w:spacing w:after="160" w:line="360" w:lineRule="auto"/>
        <w:jc w:val="both"/>
        <w:rPr>
          <w:rFonts w:ascii="Source Sans Pro" w:hAnsi="Source Sans Pro" w:cstheme="minorHAnsi"/>
          <w:sz w:val="22"/>
          <w:szCs w:val="22"/>
          <w:lang w:val="en-ZM"/>
        </w:rPr>
      </w:pPr>
      <w:r w:rsidRPr="00AC6D5E">
        <w:rPr>
          <w:rFonts w:ascii="Source Sans Pro" w:hAnsi="Source Sans Pro" w:cstheme="minorHAnsi"/>
          <w:sz w:val="22"/>
          <w:szCs w:val="22"/>
          <w:lang w:val="en-ZM"/>
        </w:rPr>
        <w:t>In practice, many models assume one deterministic intensity per event–location pair, simplifying the calculation.</w:t>
      </w:r>
      <w:r w:rsidRPr="00442872">
        <w:rPr>
          <w:rFonts w:ascii="Source Sans Pro" w:hAnsi="Source Sans Pro" w:cstheme="minorHAnsi"/>
          <w:sz w:val="22"/>
          <w:szCs w:val="22"/>
          <w:lang w:val="en-ZM"/>
        </w:rPr>
        <w:t xml:space="preserve"> It is important</w:t>
      </w:r>
      <w:r w:rsidR="00866620" w:rsidRPr="00442872">
        <w:rPr>
          <w:rFonts w:ascii="Source Sans Pro" w:hAnsi="Source Sans Pro" w:cstheme="minorHAnsi"/>
          <w:sz w:val="22"/>
          <w:szCs w:val="22"/>
          <w:lang w:val="en-ZM"/>
        </w:rPr>
        <w:t xml:space="preserve"> to note that a</w:t>
      </w:r>
      <w:r w:rsidRPr="00AC6D5E">
        <w:rPr>
          <w:rFonts w:ascii="Source Sans Pro" w:hAnsi="Source Sans Pro" w:cstheme="minorHAnsi"/>
          <w:sz w:val="22"/>
          <w:szCs w:val="22"/>
          <w:lang w:val="en-ZM"/>
        </w:rPr>
        <w:t xml:space="preserve"> deterministic intensity does not imply that the overall </w:t>
      </w:r>
      <w:r w:rsidRPr="00AC6D5E">
        <w:rPr>
          <w:rFonts w:ascii="Source Sans Pro" w:hAnsi="Source Sans Pro" w:cstheme="minorHAnsi"/>
          <w:sz w:val="22"/>
          <w:szCs w:val="22"/>
          <w:lang w:val="en-ZM"/>
        </w:rPr>
        <w:lastRenderedPageBreak/>
        <w:t>modelling approach is deterministic. Oasis remains inherently probabilistic because each event in the hazard catalogue is assigned an occurrence rate or annual probability, and the loss outcomes are sampled through Monte Carlo simulation. The vulnerability functions themselves are probabilistic, defining a range of possible damage ratios for a given intensity. When the model is executed, thousands of random samples across events and exposures generate a full distribution of potential loss outcomes. This process captures both the stochastic nature of event occurrence and the uncertainty in damage response, ensuring that even with fixed intensities, the resulting portfolio losses and risk metrics such as AAL and PML reflect a probabilistic framework.</w:t>
      </w:r>
    </w:p>
    <w:p w14:paraId="7937B6CB" w14:textId="77777777" w:rsidR="00AC6D5E" w:rsidRPr="00AC6D5E" w:rsidRDefault="00AC6D5E" w:rsidP="00AC6D5E">
      <w:pPr>
        <w:spacing w:after="160" w:line="360" w:lineRule="auto"/>
        <w:jc w:val="both"/>
        <w:rPr>
          <w:rFonts w:ascii="Source Sans Pro" w:hAnsi="Source Sans Pro" w:cstheme="minorHAnsi"/>
          <w:sz w:val="22"/>
          <w:szCs w:val="22"/>
          <w:lang w:val="en-ZM"/>
        </w:rPr>
      </w:pPr>
      <w:r w:rsidRPr="00AC6D5E">
        <w:rPr>
          <w:rFonts w:ascii="Source Sans Pro" w:hAnsi="Source Sans Pro" w:cstheme="minorHAnsi"/>
          <w:sz w:val="22"/>
          <w:szCs w:val="22"/>
          <w:lang w:val="en-ZM"/>
        </w:rPr>
        <w:t>The engine then samples from the effective damage distribution to determine the damage bin and corresponding loss ratio. Multiplying the sampled loss ratio by the asset’s insured value yields a simulated loss. By repeating this process over thousands of trials, Oasis estimates both mean loss and its variability.</w:t>
      </w:r>
    </w:p>
    <w:p w14:paraId="696C7DBC" w14:textId="77777777" w:rsidR="00AC6D5E" w:rsidRPr="00AC6D5E" w:rsidRDefault="00AC6D5E" w:rsidP="00AC6D5E">
      <w:pPr>
        <w:spacing w:after="160" w:line="360" w:lineRule="auto"/>
        <w:jc w:val="both"/>
        <w:rPr>
          <w:rFonts w:ascii="Source Sans Pro" w:hAnsi="Source Sans Pro" w:cstheme="minorHAnsi"/>
          <w:sz w:val="22"/>
          <w:szCs w:val="22"/>
          <w:lang w:val="en-ZM"/>
        </w:rPr>
      </w:pPr>
      <w:r w:rsidRPr="00AC6D5E">
        <w:rPr>
          <w:rFonts w:ascii="Source Sans Pro" w:hAnsi="Source Sans Pro" w:cstheme="minorHAnsi"/>
          <w:sz w:val="22"/>
          <w:szCs w:val="22"/>
          <w:lang w:val="en-ZM"/>
        </w:rPr>
        <w:t>Because Oasis relies on a standardised and tested computational kernel (</w:t>
      </w:r>
      <w:proofErr w:type="spellStart"/>
      <w:r w:rsidRPr="00AC6D5E">
        <w:rPr>
          <w:rFonts w:ascii="Source Sans Pro" w:hAnsi="Source Sans Pro" w:cstheme="minorHAnsi"/>
          <w:sz w:val="22"/>
          <w:szCs w:val="22"/>
          <w:lang w:val="en-ZM"/>
        </w:rPr>
        <w:t>ktools</w:t>
      </w:r>
      <w:proofErr w:type="spellEnd"/>
      <w:r w:rsidRPr="00AC6D5E">
        <w:rPr>
          <w:rFonts w:ascii="Source Sans Pro" w:hAnsi="Source Sans Pro" w:cstheme="minorHAnsi"/>
          <w:sz w:val="22"/>
          <w:szCs w:val="22"/>
          <w:lang w:val="en-ZM"/>
        </w:rPr>
        <w:t>), it ensures that results are consistent, transparent, and reproducible across models. Model developers therefore focus on improving the hazard and vulnerability components, while the engine handles the financial calculations and aggregation logic.</w:t>
      </w:r>
    </w:p>
    <w:p w14:paraId="02207609" w14:textId="77777777" w:rsidR="009817AF" w:rsidRPr="00442872" w:rsidRDefault="009817AF" w:rsidP="00601985">
      <w:pPr>
        <w:spacing w:after="160" w:line="360" w:lineRule="auto"/>
        <w:jc w:val="both"/>
        <w:rPr>
          <w:rFonts w:ascii="Source Sans Pro" w:hAnsi="Source Sans Pro" w:cstheme="minorHAnsi"/>
          <w:sz w:val="22"/>
          <w:szCs w:val="22"/>
        </w:rPr>
      </w:pPr>
    </w:p>
    <w:p w14:paraId="325CD77D" w14:textId="77777777" w:rsidR="000C37C8" w:rsidRDefault="00000000">
      <w:pPr>
        <w:pStyle w:val="Heading2"/>
        <w:numPr>
          <w:ilvl w:val="0"/>
          <w:numId w:val="4"/>
        </w:numPr>
        <w:spacing w:line="360" w:lineRule="auto"/>
        <w:ind w:left="360"/>
        <w:contextualSpacing/>
        <w:jc w:val="both"/>
        <w:rPr>
          <w:rFonts w:ascii="Source Sans Pro" w:hAnsi="Source Sans Pro" w:cstheme="minorHAnsi"/>
          <w:i w:val="0"/>
          <w:iCs/>
          <w:color w:val="234A9E"/>
          <w:sz w:val="36"/>
          <w:szCs w:val="22"/>
        </w:rPr>
      </w:pPr>
      <w:bookmarkStart w:id="12" w:name="_Toc90101"/>
      <w:bookmarkStart w:id="13" w:name="_Toc236079019"/>
      <w:r>
        <w:rPr>
          <w:rFonts w:ascii="Source Sans Pro" w:hAnsi="Source Sans Pro" w:cstheme="minorHAnsi"/>
          <w:i w:val="0"/>
          <w:iCs/>
          <w:color w:val="234A9E"/>
          <w:sz w:val="36"/>
          <w:szCs w:val="22"/>
        </w:rPr>
        <w:t>The OpenQuake Hazard Engine</w:t>
      </w:r>
      <w:bookmarkEnd w:id="12"/>
      <w:bookmarkEnd w:id="13"/>
    </w:p>
    <w:p w14:paraId="2EC3B44D"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The sections above describe the four modules of a catastrophe model and the way Oasis LMF brings them together. Before those modules can be assembled, the hazard itself has to be generated. For earthquake, Klapton Re uses OpenQuake, the calculation engine developed by the Global Earthquake Model (GEM) Foundation. OpenQuake is where the physical peril is simulated, and its outputs become the raw material from which the Oasis hazard footprint is later built. This section explains what OpenQuake is, the inputs it requires, how it generates earthquakes and the shaking they produce, and the outputs it returns. It is written as a technical reference, so that a reader can understand not only the steps that were followed but also why each component is required.</w:t>
      </w:r>
    </w:p>
    <w:p w14:paraId="24E8A8F1" w14:textId="77777777" w:rsidR="000C37C8" w:rsidRDefault="00000000">
      <w:pPr>
        <w:pStyle w:val="Heading3"/>
        <w:rPr>
          <w:rFonts w:ascii="Source Sans Pro" w:hAnsi="Source Sans Pro"/>
          <w:lang w:val="en-ZM"/>
        </w:rPr>
      </w:pPr>
      <w:bookmarkStart w:id="14" w:name="_Toc90102"/>
      <w:bookmarkStart w:id="15" w:name="_Toc236079020"/>
      <w:r>
        <w:rPr>
          <w:rFonts w:ascii="Source Sans Pro" w:hAnsi="Source Sans Pro"/>
          <w:lang w:val="en-ZM"/>
        </w:rPr>
        <w:t>Where OpenQuake fits in the workflow</w:t>
      </w:r>
      <w:bookmarkEnd w:id="14"/>
      <w:bookmarkEnd w:id="15"/>
    </w:p>
    <w:p w14:paraId="0CA5FD85" w14:textId="77777777" w:rsidR="000C37C8" w:rsidRDefault="000C37C8">
      <w:pPr>
        <w:rPr>
          <w:rFonts w:ascii="Source Sans Pro" w:hAnsi="Source Sans Pro"/>
        </w:rPr>
      </w:pPr>
    </w:p>
    <w:p w14:paraId="56FB943B"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lastRenderedPageBreak/>
        <w:t>OpenQuake sits at the very start of the earthquake modelling chain. Its job is to answer two questions. First, which earthquakes could occur, how large, how often and where. Second, given that an earthquake has occurred, how strongly will the ground shake at each location of interest. The first question is answered by a seismic source model, the second by a ground motion model. Everything OpenQuake produces flows from the interaction of these two ingredients. Once OpenQuake has generated a catalogue of simulated earthquakes and the ground shaking each one produces at our sites, that information can be translated into the events, occurrence and footprint files that Oasis needs. In short, OpenQuake owns the hazard module, while Oasis owns the exposure, vulnerability and financial calculations that turn shaking into loss.</w:t>
      </w:r>
    </w:p>
    <w:p w14:paraId="0C728F20"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OpenQuake can run in several modes. A classical calculation integrates over all possible earthquakes to produce hazard curves and maps directly, without simulating individual events. An event based calculation instead samples a large set of individual earthquakes, called a stochastic event set, and computes the ground motion each one produces. Because catastrophe loss modelling is inherently event based, and because Oasis works on discrete events, the event based calculation is the one that matters most for this framework. Scenario calculations, which model a single chosen earthquake, are also useful for stress testing and for validating a specific historical event.</w:t>
      </w:r>
    </w:p>
    <w:p w14:paraId="21E9837C" w14:textId="77777777" w:rsidR="000C37C8" w:rsidRDefault="00000000">
      <w:pPr>
        <w:pStyle w:val="Heading3"/>
        <w:rPr>
          <w:rFonts w:ascii="Source Sans Pro" w:hAnsi="Source Sans Pro"/>
          <w:lang w:val="en-ZM"/>
        </w:rPr>
      </w:pPr>
      <w:bookmarkStart w:id="16" w:name="_Toc90103"/>
      <w:bookmarkStart w:id="17" w:name="_Toc236079021"/>
      <w:r>
        <w:rPr>
          <w:rFonts w:ascii="Source Sans Pro" w:hAnsi="Source Sans Pro"/>
          <w:lang w:val="en-ZM"/>
        </w:rPr>
        <w:t>The inputs OpenQuake requires</w:t>
      </w:r>
      <w:bookmarkEnd w:id="16"/>
      <w:bookmarkEnd w:id="17"/>
    </w:p>
    <w:p w14:paraId="1666031E" w14:textId="77777777" w:rsidR="000C37C8" w:rsidRDefault="000C37C8">
      <w:pPr>
        <w:rPr>
          <w:rFonts w:ascii="Source Sans Pro" w:hAnsi="Source Sans Pro"/>
        </w:rPr>
      </w:pPr>
    </w:p>
    <w:p w14:paraId="62924BEC"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An OpenQuake calculation is defined by a small collection of input files that are referenced from a single configuration file. Each input plays a specific role, and understanding that role is the key to understanding the engine.</w:t>
      </w:r>
    </w:p>
    <w:p w14:paraId="21777527"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b/>
          <w:bCs/>
          <w:sz w:val="22"/>
          <w:szCs w:val="20"/>
          <w:lang w:val="en-ZM"/>
        </w:rPr>
        <w:t>The job configuration file.</w:t>
      </w:r>
      <w:r>
        <w:rPr>
          <w:rFonts w:ascii="Source Sans Pro" w:hAnsi="Source Sans Pro" w:cstheme="minorHAnsi"/>
          <w:sz w:val="22"/>
          <w:szCs w:val="20"/>
          <w:lang w:val="en-ZM"/>
        </w:rPr>
        <w:t xml:space="preserve"> This is the plain text file, conventionally named job.ini, that controls the whole calculation. It tells the engine which calculation mode to run, the investigation time in years, how many stochastic event sets to generate, the intensity measure types of interest such as peak ground acceleration or spectral acceleration at particular periods, the truncation level applied to ground motion variability, the maximum source to site distance to consider, and the location of every other input file. The configuration file is where the modeller expresses the choices that shape the run, so it is the natural starting point when reading or auditing a model.</w:t>
      </w:r>
    </w:p>
    <w:p w14:paraId="7ED61987"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b/>
          <w:bCs/>
          <w:sz w:val="22"/>
          <w:szCs w:val="20"/>
          <w:lang w:val="en-ZM"/>
        </w:rPr>
        <w:t>The seismic source model.</w:t>
      </w:r>
      <w:r>
        <w:rPr>
          <w:rFonts w:ascii="Source Sans Pro" w:hAnsi="Source Sans Pro" w:cstheme="minorHAnsi"/>
          <w:sz w:val="22"/>
          <w:szCs w:val="20"/>
          <w:lang w:val="en-ZM"/>
        </w:rPr>
        <w:t xml:space="preserve"> This describes where earthquakes come from. It is an XML file, written in the NRML format used by OpenQuake, that defines the seismic sources in the region. Sources may be area sources representing diffuse seismicity across a zone, point sources, simple or complex fault </w:t>
      </w:r>
      <w:r>
        <w:rPr>
          <w:rFonts w:ascii="Source Sans Pro" w:hAnsi="Source Sans Pro" w:cstheme="minorHAnsi"/>
          <w:sz w:val="22"/>
          <w:szCs w:val="20"/>
          <w:lang w:val="en-ZM"/>
        </w:rPr>
        <w:lastRenderedPageBreak/>
        <w:t>sources representing known faults, or characteristic fault sources. Each source carries the information needed to simulate earthquakes from it, including its geometry, the tectonic region it belongs to, a magnitude frequency distribution that sets how often earthquakes of each size occur, a magnitude scaling relationship that relates magnitude to rupture size, and distributions describing the likely orientation and depth of ruptures. The magnitude frequency distribution is often a truncated Gutenberg to Richter relationship, defined by an a value for overall activity and a b value for the relative frequency of large to small events.</w:t>
      </w:r>
    </w:p>
    <w:p w14:paraId="769E515E"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b/>
          <w:bCs/>
          <w:sz w:val="22"/>
          <w:szCs w:val="20"/>
          <w:lang w:val="en-ZM"/>
        </w:rPr>
        <w:t>The logic trees.</w:t>
      </w:r>
      <w:r>
        <w:rPr>
          <w:rFonts w:ascii="Source Sans Pro" w:hAnsi="Source Sans Pro" w:cstheme="minorHAnsi"/>
          <w:sz w:val="22"/>
          <w:szCs w:val="20"/>
          <w:lang w:val="en-ZM"/>
        </w:rPr>
        <w:t xml:space="preserve"> No single set of assumptions about seismicity or ground motion is beyond dispute, so OpenQuake represents this uncertainty explicitly through logic trees. The source model logic tree captures alternative views about the sources themselves, for example different b values, different maximum magnitudes, or different source geometries, each branch carrying a weight that reflects the modeller's confidence in it. The ground motion logic tree assigns ground motion models to each tectonic region type, again with weights across the alternatives. When the engine runs, it either samples paths through these trees or enumerates them, so that the final hazard reflects the full spread of scientific opinion rather than a single assumption. This is how epistemic uncertainty, the uncertainty in our knowledge, is handled, as distinct from the aleatory uncertainty in ground motion that is discussed below.</w:t>
      </w:r>
    </w:p>
    <w:p w14:paraId="32A470C5"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b/>
          <w:bCs/>
          <w:sz w:val="22"/>
          <w:szCs w:val="20"/>
          <w:lang w:val="en-ZM"/>
        </w:rPr>
        <w:t>The ground motion models.</w:t>
      </w:r>
      <w:r>
        <w:rPr>
          <w:rFonts w:ascii="Source Sans Pro" w:hAnsi="Source Sans Pro" w:cstheme="minorHAnsi"/>
          <w:sz w:val="22"/>
          <w:szCs w:val="20"/>
          <w:lang w:val="en-ZM"/>
        </w:rPr>
        <w:t xml:space="preserve"> A ground motion model, still widely referred to as a Ground Motion Prediction Equation or GMPE, predicts how strongly the ground will shake at a site given an earthquake. For a rupture of a given magnitude, at a given distance, and for a given site condition, style of faulting and other parameters, the model returns the median ground motion for each intensity measure, together with the standard deviation of that prediction. Because Klapton Re does not employ seismologists or engineers, these models are not developed in house. They are taken from the published literature and from the models curated by GEM, and are simply selected and applied within OpenQuake. The choice of model is important, because different models can give materially different shaking for the same earthquake, which is precisely why several are usually combined through the ground motion logic tree.</w:t>
      </w:r>
    </w:p>
    <w:p w14:paraId="69870583"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b/>
          <w:bCs/>
          <w:sz w:val="22"/>
          <w:szCs w:val="20"/>
          <w:lang w:val="en-ZM"/>
        </w:rPr>
        <w:t>The site model and site parameters.</w:t>
      </w:r>
      <w:r>
        <w:rPr>
          <w:rFonts w:ascii="Source Sans Pro" w:hAnsi="Source Sans Pro" w:cstheme="minorHAnsi"/>
          <w:sz w:val="22"/>
          <w:szCs w:val="20"/>
          <w:lang w:val="en-ZM"/>
        </w:rPr>
        <w:t xml:space="preserve"> Ground motion models need to know the conditions at each site, because soft soil amplifies shaking while hard rock does not. The most important site parameter is Vs30, the average shear wave velocity in the upper thirty metres of ground, which serves as a proxy for how soft or stiff the ground is. Other parameters such as the depths to particular velocity horizons may also </w:t>
      </w:r>
      <w:r>
        <w:rPr>
          <w:rFonts w:ascii="Source Sans Pro" w:hAnsi="Source Sans Pro" w:cstheme="minorHAnsi"/>
          <w:sz w:val="22"/>
          <w:szCs w:val="20"/>
          <w:lang w:val="en-ZM"/>
        </w:rPr>
        <w:lastRenderedPageBreak/>
        <w:t>be required by some models. The site model supplies these values at each location. Where measured values are not available, they can be inferred from a global Vs30 grid derived from topography. The sites at which hazard is computed are the geocoded exposure locations described later in this framework, so the site model is effectively where our portfolio meets the science.</w:t>
      </w:r>
    </w:p>
    <w:p w14:paraId="7BEB6B85"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b/>
          <w:bCs/>
          <w:sz w:val="22"/>
          <w:szCs w:val="20"/>
          <w:lang w:val="en-ZM"/>
        </w:rPr>
        <w:t>The exposure and vulnerability models.</w:t>
      </w:r>
      <w:r>
        <w:rPr>
          <w:rFonts w:ascii="Source Sans Pro" w:hAnsi="Source Sans Pro" w:cstheme="minorHAnsi"/>
          <w:sz w:val="22"/>
          <w:szCs w:val="20"/>
          <w:lang w:val="en-ZM"/>
        </w:rPr>
        <w:t xml:space="preserve"> When OpenQuake is used to compute risk directly, rather than only hazard, it also accepts an exposure model listing assets and their values, and vulnerability or fragility models relating shaking to loss or to damage state. In the Klapton Re workflow these risk steps are performed inside Oasis rather than inside OpenQuake, so OpenQuake is used mainly for its hazard outputs. It is nonetheless useful to know that the engine can carry the calculation all the way through to loss, because it explains why some GEM materials describe exposure and vulnerability alongside hazard.</w:t>
      </w:r>
    </w:p>
    <w:p w14:paraId="1188D3F7" w14:textId="77777777" w:rsidR="000C37C8" w:rsidRDefault="00000000">
      <w:pPr>
        <w:pStyle w:val="Heading3"/>
        <w:rPr>
          <w:rFonts w:ascii="Source Sans Pro" w:hAnsi="Source Sans Pro"/>
          <w:lang w:val="en-ZM"/>
        </w:rPr>
      </w:pPr>
      <w:bookmarkStart w:id="18" w:name="_Toc90104"/>
      <w:bookmarkStart w:id="19" w:name="_Toc236079022"/>
      <w:r>
        <w:rPr>
          <w:rFonts w:ascii="Source Sans Pro" w:hAnsi="Source Sans Pro"/>
          <w:lang w:val="en-ZM"/>
        </w:rPr>
        <w:t>Generating stochastic events and ruptures</w:t>
      </w:r>
      <w:bookmarkEnd w:id="18"/>
      <w:bookmarkEnd w:id="19"/>
    </w:p>
    <w:p w14:paraId="49386DF1" w14:textId="77777777" w:rsidR="000C37C8" w:rsidRDefault="000C37C8">
      <w:pPr>
        <w:rPr>
          <w:rFonts w:ascii="Source Sans Pro" w:hAnsi="Source Sans Pro"/>
        </w:rPr>
      </w:pPr>
    </w:p>
    <w:p w14:paraId="14DE8DC5"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With the inputs in place, an event based calculation proceeds by simulation. For each path sampled through the logic trees, the engine draws earthquakes from the sources in proportion to their occurrence rates over the chosen investigation time. The collection of earthquakes produced in this way is a stochastic event set. Repeating the process many times, controlled by the number of stochastic event sets and the investigation time, builds up a synthetic earthquake catalogue that is statistically consistent with the source model but far longer than any historical record. This long synthetic catalogue is what allows rare, severe events to be represented in sufficient numbers to estimate the tail of the loss distribution.</w:t>
      </w:r>
    </w:p>
    <w:p w14:paraId="38F18287"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Each earthquake in the catalogue is represented by a rupture. A rupture is a full physical description of a single earthquake, including its magnitude, the position and geometry of the fault surface that slips, the hypocentre, and the rake that describes the style of faulting. A rupture is not the same thing as an event. A rupture describes a possible earthquake, while an event is one particular occurrence of that rupture within the simulation. A single rupture may be sampled more than once across the catalogue, producing several events that share the same physical earthquake but occur at different points in the simulated timeline. This distinction matters downstream, because losses are accumulated by event and by period, while the physics is defined at the level of the rupture.</w:t>
      </w:r>
    </w:p>
    <w:p w14:paraId="24294538" w14:textId="77777777" w:rsidR="000C37C8" w:rsidRDefault="00000000">
      <w:pPr>
        <w:pStyle w:val="Heading3"/>
        <w:rPr>
          <w:rFonts w:ascii="Source Sans Pro" w:hAnsi="Source Sans Pro"/>
          <w:lang w:val="en-ZM"/>
        </w:rPr>
      </w:pPr>
      <w:bookmarkStart w:id="20" w:name="_Toc90105"/>
      <w:bookmarkStart w:id="21" w:name="_Toc236079023"/>
      <w:r>
        <w:rPr>
          <w:rFonts w:ascii="Source Sans Pro" w:hAnsi="Source Sans Pro"/>
          <w:lang w:val="en-ZM"/>
        </w:rPr>
        <w:lastRenderedPageBreak/>
        <w:t>From ruptures to ground motion fields, and the role of sigma and epsilon</w:t>
      </w:r>
      <w:bookmarkEnd w:id="20"/>
      <w:bookmarkEnd w:id="21"/>
    </w:p>
    <w:p w14:paraId="5E513674" w14:textId="77777777" w:rsidR="000C37C8" w:rsidRDefault="000C37C8">
      <w:pPr>
        <w:rPr>
          <w:rFonts w:ascii="Source Sans Pro" w:hAnsi="Source Sans Pro"/>
        </w:rPr>
      </w:pPr>
    </w:p>
    <w:p w14:paraId="6CA2FA6C"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A rupture on its own only tells us that an earthquake happened. To estimate loss we need to know how hard the ground shook at each of our sites, and this is the job of the ground motion field. For every event, OpenQuake takes the associated rupture and applies the ground motion model to every site in the site model. For each site it computes the median predicted shaking, then adds variability around that median to produce the actual value used. The complete set of these values across all sites for a single event is the ground motion field for that event.</w:t>
      </w:r>
    </w:p>
    <w:p w14:paraId="436DEBDC"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 xml:space="preserve">The variability is where sigma and epsilon enter. </w:t>
      </w:r>
      <w:r>
        <w:rPr>
          <w:rFonts w:ascii="Source Sans Pro" w:hAnsi="Source Sans Pro" w:cstheme="minorHAnsi"/>
          <w:b/>
          <w:bCs/>
          <w:sz w:val="22"/>
          <w:szCs w:val="20"/>
          <w:lang w:val="en-ZM"/>
        </w:rPr>
        <w:t>Sigma</w:t>
      </w:r>
      <w:r>
        <w:rPr>
          <w:rFonts w:ascii="Source Sans Pro" w:hAnsi="Source Sans Pro" w:cstheme="minorHAnsi"/>
          <w:sz w:val="22"/>
          <w:szCs w:val="20"/>
          <w:lang w:val="en-ZM"/>
        </w:rPr>
        <w:t xml:space="preserve"> is the standard deviation of the ground motion prediction, expressed in terms of the natural logarithm of the intensity measure. It represents aleatory variability, the natural scatter observed in real earthquakes, where two sites at the same distance from the same earthquake and on similar ground can still experience noticeably different shaking. Sigma is not a single number applied uniformly. It is usually split into a between event component, often written as tau, which captures the fact that some earthquakes are simply stronger shakers than the average for their magnitude, and a within event component, often written as phi, which captures the site to site scatter within a single earthquake. </w:t>
      </w:r>
      <w:r>
        <w:rPr>
          <w:rFonts w:ascii="Source Sans Pro" w:hAnsi="Source Sans Pro" w:cstheme="minorHAnsi"/>
          <w:b/>
          <w:bCs/>
          <w:sz w:val="22"/>
          <w:szCs w:val="20"/>
          <w:lang w:val="en-ZM"/>
        </w:rPr>
        <w:t>Epsilon</w:t>
      </w:r>
      <w:r>
        <w:rPr>
          <w:rFonts w:ascii="Source Sans Pro" w:hAnsi="Source Sans Pro" w:cstheme="minorHAnsi"/>
          <w:sz w:val="22"/>
          <w:szCs w:val="20"/>
          <w:lang w:val="en-ZM"/>
        </w:rPr>
        <w:t xml:space="preserve"> is the number of standard deviations by which a particular realisation departs from the median. It is drawn from a standard normal distribution, and it is what turns a deterministic median into a realistic, variable outcome. The realised shaking at a site is obtained by taking the median in log space, adding the between event term, which is one epsilon shared by all sites in the event multiplied by tau, and adding the within event term, which is a separate epsilon at each site multiplied by phi, and then converting back out of log space.</w:t>
      </w:r>
    </w:p>
    <w:p w14:paraId="6AFE1CAE"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These quantities are required because ignoring them would badly understate the risk. If every event produced exactly its median shaking, the model would miss the unusually strong events and the unusually strong local realisations that drive the largest losses. The truncation level in the configuration file caps how many standard deviations epsilon may reach, preventing physically implausible extremes. The within event epsilons are also not independent across sites. Real earthquakes shake neighbouring locations in a correlated way, so OpenQuake can apply a spatial correlation model to the within event residuals, which has an important effect on portfolio losses because it governs how often many exposures are struck hard at the same time. OpenQuake stores the sigma and the between event epsilon for each event so that the ground motion field can be reconstructed and so that downstream tools can preserve the correlation structure.</w:t>
      </w:r>
    </w:p>
    <w:p w14:paraId="319F1D2C" w14:textId="77777777" w:rsidR="000C37C8" w:rsidRDefault="00000000">
      <w:pPr>
        <w:pStyle w:val="Heading3"/>
        <w:rPr>
          <w:rFonts w:ascii="Source Sans Pro" w:hAnsi="Source Sans Pro"/>
          <w:lang w:val="en-ZM"/>
        </w:rPr>
      </w:pPr>
      <w:bookmarkStart w:id="22" w:name="_Toc90106"/>
      <w:bookmarkStart w:id="23" w:name="_Toc236079024"/>
      <w:r>
        <w:rPr>
          <w:rFonts w:ascii="Source Sans Pro" w:hAnsi="Source Sans Pro"/>
          <w:lang w:val="en-ZM"/>
        </w:rPr>
        <w:lastRenderedPageBreak/>
        <w:t>The outputs OpenQuake produces</w:t>
      </w:r>
      <w:bookmarkEnd w:id="22"/>
      <w:bookmarkEnd w:id="23"/>
    </w:p>
    <w:p w14:paraId="402EF26F" w14:textId="77777777" w:rsidR="000C37C8" w:rsidRDefault="000C37C8">
      <w:pPr>
        <w:rPr>
          <w:rFonts w:ascii="Source Sans Pro" w:hAnsi="Source Sans Pro"/>
        </w:rPr>
      </w:pPr>
    </w:p>
    <w:p w14:paraId="641750CF"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 xml:space="preserve">An event based run produces a family of related outputs. Their central purpose is to describe, for every simulated earthquake, both the earthquake itself and the shaking it caused. The most important outputs for the loss workflow are summarised below, with a note on how each one </w:t>
      </w:r>
      <w:proofErr w:type="gramStart"/>
      <w:r>
        <w:rPr>
          <w:rFonts w:ascii="Source Sans Pro" w:hAnsi="Source Sans Pro" w:cstheme="minorHAnsi"/>
          <w:sz w:val="22"/>
          <w:szCs w:val="20"/>
          <w:lang w:val="en-ZM"/>
        </w:rPr>
        <w:t>is used</w:t>
      </w:r>
      <w:proofErr w:type="gramEnd"/>
      <w:r>
        <w:rPr>
          <w:rFonts w:ascii="Source Sans Pro" w:hAnsi="Source Sans Pro" w:cstheme="minorHAnsi"/>
          <w:sz w:val="22"/>
          <w:szCs w:val="20"/>
          <w:lang w:val="en-ZM"/>
        </w:rPr>
        <w:t>.</w:t>
      </w:r>
    </w:p>
    <w:p w14:paraId="3C41C766" w14:textId="77777777" w:rsidR="00B70721" w:rsidRDefault="00B70721">
      <w:pPr>
        <w:spacing w:after="240" w:line="360" w:lineRule="auto"/>
        <w:contextualSpacing/>
        <w:jc w:val="both"/>
        <w:rPr>
          <w:rFonts w:ascii="Source Sans Pro" w:hAnsi="Source Sans Pro" w:cstheme="minorHAnsi"/>
          <w:sz w:val="22"/>
          <w:szCs w:val="20"/>
          <w:lang w:val="en-ZM"/>
        </w:rP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7160"/>
      </w:tblGrid>
      <w:tr w:rsidR="000C37C8" w14:paraId="131BC0A3" w14:textId="77777777">
        <w:trPr>
          <w:tblHeader/>
        </w:trPr>
        <w:tc>
          <w:tcPr>
            <w:tcW w:w="2200" w:type="dxa"/>
            <w:shd w:val="clear" w:color="auto" w:fill="234A94"/>
            <w:tcMar>
              <w:top w:w="40" w:type="dxa"/>
              <w:left w:w="80" w:type="dxa"/>
              <w:bottom w:w="40" w:type="dxa"/>
              <w:right w:w="80" w:type="dxa"/>
            </w:tcMar>
            <w:vAlign w:val="center"/>
          </w:tcPr>
          <w:p w14:paraId="6D83EFC9" w14:textId="77777777" w:rsidR="000C37C8" w:rsidRDefault="00000000">
            <w:pPr>
              <w:spacing w:after="40"/>
              <w:rPr>
                <w:rFonts w:ascii="Source Sans Pro" w:hAnsi="Source Sans Pro" w:cstheme="minorHAnsi"/>
                <w:b/>
                <w:bCs/>
                <w:color w:val="FFFFFF"/>
                <w:sz w:val="20"/>
                <w:szCs w:val="20"/>
                <w:lang w:val="en-ZM"/>
              </w:rPr>
            </w:pPr>
            <w:r>
              <w:rPr>
                <w:rFonts w:ascii="Source Sans Pro" w:hAnsi="Source Sans Pro" w:cstheme="minorHAnsi"/>
                <w:b/>
                <w:bCs/>
                <w:color w:val="FFFFFF"/>
                <w:sz w:val="20"/>
                <w:szCs w:val="20"/>
                <w:lang w:val="en-ZM"/>
              </w:rPr>
              <w:t>Output</w:t>
            </w:r>
          </w:p>
        </w:tc>
        <w:tc>
          <w:tcPr>
            <w:tcW w:w="7160" w:type="dxa"/>
            <w:shd w:val="clear" w:color="auto" w:fill="234A94"/>
            <w:tcMar>
              <w:top w:w="40" w:type="dxa"/>
              <w:left w:w="80" w:type="dxa"/>
              <w:bottom w:w="40" w:type="dxa"/>
              <w:right w:w="80" w:type="dxa"/>
            </w:tcMar>
            <w:vAlign w:val="center"/>
          </w:tcPr>
          <w:p w14:paraId="7992E302" w14:textId="77777777" w:rsidR="000C37C8" w:rsidRDefault="00000000">
            <w:pPr>
              <w:spacing w:after="40"/>
              <w:rPr>
                <w:rFonts w:ascii="Source Sans Pro" w:hAnsi="Source Sans Pro" w:cstheme="minorHAnsi"/>
                <w:b/>
                <w:bCs/>
                <w:color w:val="FFFFFF"/>
                <w:sz w:val="20"/>
                <w:szCs w:val="20"/>
                <w:lang w:val="en-ZM"/>
              </w:rPr>
            </w:pPr>
            <w:r>
              <w:rPr>
                <w:rFonts w:ascii="Source Sans Pro" w:hAnsi="Source Sans Pro" w:cstheme="minorHAnsi"/>
                <w:b/>
                <w:bCs/>
                <w:color w:val="FFFFFF"/>
                <w:sz w:val="20"/>
                <w:szCs w:val="20"/>
                <w:lang w:val="en-ZM"/>
              </w:rPr>
              <w:t>What it contains and how it is used</w:t>
            </w:r>
          </w:p>
        </w:tc>
      </w:tr>
      <w:tr w:rsidR="000C37C8" w14:paraId="691CA037" w14:textId="77777777">
        <w:tc>
          <w:tcPr>
            <w:tcW w:w="2200" w:type="dxa"/>
            <w:tcMar>
              <w:top w:w="40" w:type="dxa"/>
              <w:left w:w="80" w:type="dxa"/>
              <w:bottom w:w="40" w:type="dxa"/>
              <w:right w:w="80" w:type="dxa"/>
            </w:tcMar>
            <w:vAlign w:val="center"/>
          </w:tcPr>
          <w:p w14:paraId="2AB9D8E6"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Ruptures</w:t>
            </w:r>
          </w:p>
        </w:tc>
        <w:tc>
          <w:tcPr>
            <w:tcW w:w="7160" w:type="dxa"/>
            <w:tcMar>
              <w:top w:w="40" w:type="dxa"/>
              <w:left w:w="80" w:type="dxa"/>
              <w:bottom w:w="40" w:type="dxa"/>
              <w:right w:w="80" w:type="dxa"/>
            </w:tcMar>
            <w:vAlign w:val="center"/>
          </w:tcPr>
          <w:p w14:paraId="36C2C56C"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The sampled ruptures, each with magnitude, geometry, hypocentre and rake. This is the physical description of every earthquake in the synthetic catalogue.</w:t>
            </w:r>
          </w:p>
        </w:tc>
      </w:tr>
      <w:tr w:rsidR="000C37C8" w14:paraId="2C35C69A" w14:textId="77777777">
        <w:tc>
          <w:tcPr>
            <w:tcW w:w="2200" w:type="dxa"/>
            <w:tcMar>
              <w:top w:w="40" w:type="dxa"/>
              <w:left w:w="80" w:type="dxa"/>
              <w:bottom w:w="40" w:type="dxa"/>
              <w:right w:w="80" w:type="dxa"/>
            </w:tcMar>
            <w:vAlign w:val="center"/>
          </w:tcPr>
          <w:p w14:paraId="0A3B51F9"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Events</w:t>
            </w:r>
          </w:p>
        </w:tc>
        <w:tc>
          <w:tcPr>
            <w:tcW w:w="7160" w:type="dxa"/>
            <w:tcMar>
              <w:top w:w="40" w:type="dxa"/>
              <w:left w:w="80" w:type="dxa"/>
              <w:bottom w:w="40" w:type="dxa"/>
              <w:right w:w="80" w:type="dxa"/>
            </w:tcMar>
            <w:vAlign w:val="center"/>
          </w:tcPr>
          <w:p w14:paraId="20C477D4"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The table of events, linking each event to its rupture, to the logic tree path or realisation it belongs to, and to the stochastic event set. Event identifiers here become the event identifiers used throughout Oasis.</w:t>
            </w:r>
          </w:p>
        </w:tc>
      </w:tr>
      <w:tr w:rsidR="000C37C8" w14:paraId="495210C4" w14:textId="77777777">
        <w:tc>
          <w:tcPr>
            <w:tcW w:w="2200" w:type="dxa"/>
            <w:tcMar>
              <w:top w:w="40" w:type="dxa"/>
              <w:left w:w="80" w:type="dxa"/>
              <w:bottom w:w="40" w:type="dxa"/>
              <w:right w:w="80" w:type="dxa"/>
            </w:tcMar>
            <w:vAlign w:val="center"/>
          </w:tcPr>
          <w:p w14:paraId="2610B978"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Ground motion fields</w:t>
            </w:r>
          </w:p>
        </w:tc>
        <w:tc>
          <w:tcPr>
            <w:tcW w:w="7160" w:type="dxa"/>
            <w:tcMar>
              <w:top w:w="40" w:type="dxa"/>
              <w:left w:w="80" w:type="dxa"/>
              <w:bottom w:w="40" w:type="dxa"/>
              <w:right w:w="80" w:type="dxa"/>
            </w:tcMar>
            <w:vAlign w:val="center"/>
          </w:tcPr>
          <w:p w14:paraId="6AA7FAEC"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For every event and every site, the ground shaking value for each intensity measure. These values are the direct input to the Oasis hazard footprint.</w:t>
            </w:r>
          </w:p>
        </w:tc>
      </w:tr>
      <w:tr w:rsidR="000C37C8" w14:paraId="61095703" w14:textId="77777777">
        <w:tc>
          <w:tcPr>
            <w:tcW w:w="2200" w:type="dxa"/>
            <w:tcMar>
              <w:top w:w="40" w:type="dxa"/>
              <w:left w:w="80" w:type="dxa"/>
              <w:bottom w:w="40" w:type="dxa"/>
              <w:right w:w="80" w:type="dxa"/>
            </w:tcMar>
            <w:vAlign w:val="center"/>
          </w:tcPr>
          <w:p w14:paraId="6C5A11A8"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Sigma and epsilon</w:t>
            </w:r>
          </w:p>
        </w:tc>
        <w:tc>
          <w:tcPr>
            <w:tcW w:w="7160" w:type="dxa"/>
            <w:tcMar>
              <w:top w:w="40" w:type="dxa"/>
              <w:left w:w="80" w:type="dxa"/>
              <w:bottom w:w="40" w:type="dxa"/>
              <w:right w:w="80" w:type="dxa"/>
            </w:tcMar>
            <w:vAlign w:val="center"/>
          </w:tcPr>
          <w:p w14:paraId="56644DCB"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The standard deviations and the between event epsilon retained per event, so that the ground motion field and its correlation can be reconstructed or perturbed downstream.</w:t>
            </w:r>
          </w:p>
        </w:tc>
      </w:tr>
      <w:tr w:rsidR="000C37C8" w14:paraId="4510C6A2" w14:textId="77777777">
        <w:tc>
          <w:tcPr>
            <w:tcW w:w="2200" w:type="dxa"/>
            <w:tcMar>
              <w:top w:w="40" w:type="dxa"/>
              <w:left w:w="80" w:type="dxa"/>
              <w:bottom w:w="40" w:type="dxa"/>
              <w:right w:w="80" w:type="dxa"/>
            </w:tcMar>
            <w:vAlign w:val="center"/>
          </w:tcPr>
          <w:p w14:paraId="3E5BE801"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Site collection</w:t>
            </w:r>
          </w:p>
        </w:tc>
        <w:tc>
          <w:tcPr>
            <w:tcW w:w="7160" w:type="dxa"/>
            <w:tcMar>
              <w:top w:w="40" w:type="dxa"/>
              <w:left w:w="80" w:type="dxa"/>
              <w:bottom w:w="40" w:type="dxa"/>
              <w:right w:w="80" w:type="dxa"/>
            </w:tcMar>
            <w:vAlign w:val="center"/>
          </w:tcPr>
          <w:p w14:paraId="66E04700"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The site mesh, listing the coordinates and site parameters such as Vs30 for every location at which hazard was computed.</w:t>
            </w:r>
          </w:p>
        </w:tc>
      </w:tr>
      <w:tr w:rsidR="000C37C8" w14:paraId="70EEB73F" w14:textId="77777777">
        <w:tc>
          <w:tcPr>
            <w:tcW w:w="2200" w:type="dxa"/>
            <w:tcMar>
              <w:top w:w="40" w:type="dxa"/>
              <w:left w:w="80" w:type="dxa"/>
              <w:bottom w:w="40" w:type="dxa"/>
              <w:right w:w="80" w:type="dxa"/>
            </w:tcMar>
            <w:vAlign w:val="center"/>
          </w:tcPr>
          <w:p w14:paraId="2FA10374"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Hazard curves</w:t>
            </w:r>
          </w:p>
        </w:tc>
        <w:tc>
          <w:tcPr>
            <w:tcW w:w="7160" w:type="dxa"/>
            <w:tcMar>
              <w:top w:w="40" w:type="dxa"/>
              <w:left w:w="80" w:type="dxa"/>
              <w:bottom w:w="40" w:type="dxa"/>
              <w:right w:w="80" w:type="dxa"/>
            </w:tcMar>
            <w:vAlign w:val="center"/>
          </w:tcPr>
          <w:p w14:paraId="4F0E415F"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For each site, the probability of exceeding a range of shaking levels over the investigation time. Useful for validation and for site level risk views.</w:t>
            </w:r>
          </w:p>
        </w:tc>
      </w:tr>
      <w:tr w:rsidR="000C37C8" w14:paraId="3DA916A5" w14:textId="77777777">
        <w:tc>
          <w:tcPr>
            <w:tcW w:w="2200" w:type="dxa"/>
            <w:tcMar>
              <w:top w:w="40" w:type="dxa"/>
              <w:left w:w="80" w:type="dxa"/>
              <w:bottom w:w="40" w:type="dxa"/>
              <w:right w:w="80" w:type="dxa"/>
            </w:tcMar>
            <w:vAlign w:val="center"/>
          </w:tcPr>
          <w:p w14:paraId="10F8CEA5"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Hazard maps</w:t>
            </w:r>
          </w:p>
        </w:tc>
        <w:tc>
          <w:tcPr>
            <w:tcW w:w="7160" w:type="dxa"/>
            <w:tcMar>
              <w:top w:w="40" w:type="dxa"/>
              <w:left w:w="80" w:type="dxa"/>
              <w:bottom w:w="40" w:type="dxa"/>
              <w:right w:w="80" w:type="dxa"/>
            </w:tcMar>
            <w:vAlign w:val="center"/>
          </w:tcPr>
          <w:p w14:paraId="341C5301"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The shaking level reached at a chosen probability of exceedance or return period, mapped across the region.</w:t>
            </w:r>
          </w:p>
        </w:tc>
      </w:tr>
      <w:tr w:rsidR="000C37C8" w14:paraId="181662CF" w14:textId="77777777">
        <w:tc>
          <w:tcPr>
            <w:tcW w:w="2200" w:type="dxa"/>
            <w:tcMar>
              <w:top w:w="40" w:type="dxa"/>
              <w:left w:w="80" w:type="dxa"/>
              <w:bottom w:w="40" w:type="dxa"/>
              <w:right w:w="80" w:type="dxa"/>
            </w:tcMar>
            <w:vAlign w:val="center"/>
          </w:tcPr>
          <w:p w14:paraId="1AD68425"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Uniform hazard spectra</w:t>
            </w:r>
          </w:p>
        </w:tc>
        <w:tc>
          <w:tcPr>
            <w:tcW w:w="7160" w:type="dxa"/>
            <w:tcMar>
              <w:top w:w="40" w:type="dxa"/>
              <w:left w:w="80" w:type="dxa"/>
              <w:bottom w:w="40" w:type="dxa"/>
              <w:right w:w="80" w:type="dxa"/>
            </w:tcMar>
            <w:vAlign w:val="center"/>
          </w:tcPr>
          <w:p w14:paraId="32984EDE"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For each site, the spectral acceleration across a range of periods at a fixed probability of exceedance, describing the shape of the expected shaking.</w:t>
            </w:r>
          </w:p>
        </w:tc>
      </w:tr>
    </w:tbl>
    <w:p w14:paraId="2DD94F9B" w14:textId="77777777" w:rsidR="000C37C8" w:rsidRDefault="000C37C8">
      <w:pPr>
        <w:spacing w:after="120"/>
        <w:rPr>
          <w:rFonts w:ascii="Source Sans Pro" w:hAnsi="Source Sans Pro" w:cstheme="minorHAnsi"/>
          <w:sz w:val="22"/>
          <w:szCs w:val="20"/>
          <w:lang w:val="en-ZM"/>
        </w:rPr>
      </w:pPr>
    </w:p>
    <w:p w14:paraId="04CFADD3"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For the Oasis workflow, the events, the occurrence information derived from the catalogue, the site collection and the ground motion fields are the outputs that matter most. The events and their occurrence over the simulated periods become the Oasis events and occurrence files. The site collection defines the geography that the Oasis area peril grid must cover. The ground motion fields, together with the sigma and epsilon information, are what a model builder converts into the Oasis footprint, mapping each event to an intensity at each area peril. The hazard curves, maps and spectra are not consumed by Oasis directly, but they are valuable for checking that the hazard is behaving sensibly before any loss is calculated.</w:t>
      </w:r>
    </w:p>
    <w:p w14:paraId="2E4C3A31" w14:textId="77777777" w:rsidR="000C37C8" w:rsidRDefault="00000000">
      <w:pPr>
        <w:pStyle w:val="Heading2"/>
        <w:numPr>
          <w:ilvl w:val="0"/>
          <w:numId w:val="4"/>
        </w:numPr>
        <w:spacing w:line="360" w:lineRule="auto"/>
        <w:ind w:left="360"/>
        <w:contextualSpacing/>
        <w:jc w:val="both"/>
        <w:rPr>
          <w:rFonts w:ascii="Source Sans Pro" w:hAnsi="Source Sans Pro" w:cstheme="minorHAnsi"/>
          <w:i w:val="0"/>
          <w:iCs/>
          <w:color w:val="234A9E"/>
          <w:sz w:val="36"/>
          <w:szCs w:val="22"/>
        </w:rPr>
      </w:pPr>
      <w:bookmarkStart w:id="24" w:name="_Toc90107"/>
      <w:bookmarkStart w:id="25" w:name="_Toc236079025"/>
      <w:r>
        <w:rPr>
          <w:rFonts w:ascii="Source Sans Pro" w:hAnsi="Source Sans Pro" w:cstheme="minorHAnsi"/>
          <w:i w:val="0"/>
          <w:iCs/>
          <w:color w:val="234A9E"/>
          <w:sz w:val="36"/>
          <w:szCs w:val="22"/>
        </w:rPr>
        <w:lastRenderedPageBreak/>
        <w:t>Building the Oasis Model and its Data Files</w:t>
      </w:r>
      <w:bookmarkEnd w:id="24"/>
      <w:bookmarkEnd w:id="25"/>
    </w:p>
    <w:p w14:paraId="3D6128AB"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The overview earlier in this handbook introduced Oasis LMF, its separation of science from commercial terms, and the abstract identifiers that hold a model together. This section goes further and describes, file by file, how an Oasis model is actually constructed, where each file comes from, and how the engine moves from a hazard footprint to an insured loss. It is written so that a reader can see clearly which files are supplied by the hazard science, which are produced from the user's exposure, and which are internal to Oasis. As before, the workflow described here is generic to Oasis and applies to any peril, while the way the footprint and vulnerability are built is specific to earthquake.</w:t>
      </w:r>
    </w:p>
    <w:p w14:paraId="5361EACE" w14:textId="77777777" w:rsidR="000C37C8" w:rsidRDefault="00000000">
      <w:pPr>
        <w:pStyle w:val="Heading3"/>
        <w:rPr>
          <w:rFonts w:ascii="Source Sans Pro" w:hAnsi="Source Sans Pro"/>
          <w:lang w:val="en-ZM"/>
        </w:rPr>
      </w:pPr>
      <w:bookmarkStart w:id="26" w:name="_Toc90108"/>
      <w:bookmarkStart w:id="27" w:name="_Toc236079026"/>
      <w:r>
        <w:rPr>
          <w:rFonts w:ascii="Source Sans Pro" w:hAnsi="Source Sans Pro"/>
          <w:lang w:val="en-ZM"/>
        </w:rPr>
        <w:t>The architecture and the flow of data</w:t>
      </w:r>
      <w:bookmarkEnd w:id="26"/>
      <w:bookmarkEnd w:id="27"/>
    </w:p>
    <w:p w14:paraId="6E79D400" w14:textId="77777777" w:rsidR="000C37C8" w:rsidRDefault="000C37C8">
      <w:pPr>
        <w:rPr>
          <w:rFonts w:ascii="Source Sans Pro" w:hAnsi="Source Sans Pro"/>
        </w:rPr>
      </w:pPr>
    </w:p>
    <w:p w14:paraId="52C6E4CE"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Oasis is best understood as a pipeline. At one end sits the hazard, expressed as a footprint that says how intensely each event affects each small area of ground. Next sits the vulnerability, which says how much damage a given intensity causes to a given kind of building. These two scientific components meet the user's exposure, which says what is located where and what it is worth, and the financial terms, which say how losses are shared between the insured, the insurer and any reinsurers. The Oasis calculation kernel, known as ktools, runs the numbers through this pipeline using Monte Carlo sampling, and produces losses at whatever level of aggregation is requested. The hazard and vulnerability modules are the responsibility of the model developer, the exposure and financial modules are the responsibility of the model user, and the calculation engine is common to every model. This clean division is what allows any Oasis compliant model to be run against any portfolio.</w:t>
      </w:r>
    </w:p>
    <w:p w14:paraId="3344A6C0"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Oasis data standards are what make this possible. The scientific files follow the Oasis model data formats, and the user's exposure and policy data follow the Open Exposure Data standard, usually abbreviated to OED. Because the formats are fixed, the engine never needs to know anything about the peril it is modelling. It simply reads intensities, damage distributions, values and terms, and calculates. This is also why the framework can speak of a generic Oasis workflow that is the same for earthquake, flood or windstorm, even though the science that fills the files is completely different.</w:t>
      </w:r>
    </w:p>
    <w:p w14:paraId="6BBDED83" w14:textId="77777777" w:rsidR="000C37C8" w:rsidRDefault="00000000">
      <w:pPr>
        <w:pStyle w:val="Heading3"/>
        <w:rPr>
          <w:rFonts w:ascii="Source Sans Pro" w:hAnsi="Source Sans Pro"/>
          <w:lang w:val="en-ZM"/>
        </w:rPr>
      </w:pPr>
      <w:bookmarkStart w:id="28" w:name="_Toc90109"/>
      <w:bookmarkStart w:id="29" w:name="_Toc236079027"/>
      <w:r>
        <w:rPr>
          <w:rFonts w:ascii="Source Sans Pro" w:hAnsi="Source Sans Pro"/>
          <w:lang w:val="en-ZM"/>
        </w:rPr>
        <w:t>The model files supplied by the hazard science</w:t>
      </w:r>
      <w:bookmarkEnd w:id="28"/>
      <w:bookmarkEnd w:id="29"/>
    </w:p>
    <w:p w14:paraId="704DABA7" w14:textId="77777777" w:rsidR="000C37C8" w:rsidRDefault="000C37C8">
      <w:pPr>
        <w:rPr>
          <w:rFonts w:ascii="Source Sans Pro" w:hAnsi="Source Sans Pro"/>
        </w:rPr>
      </w:pPr>
    </w:p>
    <w:p w14:paraId="6EBF299D"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 xml:space="preserve">The following files make up the model itself. They are prepared once by the model developer and then reused for every analysis. In a production model they are held in an efficient binary form, but each has </w:t>
      </w:r>
      <w:r>
        <w:rPr>
          <w:rFonts w:ascii="Source Sans Pro" w:hAnsi="Source Sans Pro" w:cstheme="minorHAnsi"/>
          <w:sz w:val="22"/>
          <w:szCs w:val="20"/>
          <w:lang w:val="en-ZM"/>
        </w:rPr>
        <w:lastRenderedPageBreak/>
        <w:t>a readable equivalent, and it is easiest to understand them in that form. The table below lists the core model files, their purpose, and where they originate in the earthquake workflow.</w:t>
      </w:r>
    </w:p>
    <w:p w14:paraId="2134A193" w14:textId="77777777" w:rsidR="00B70721" w:rsidRDefault="00B70721">
      <w:pPr>
        <w:spacing w:after="240" w:line="360" w:lineRule="auto"/>
        <w:contextualSpacing/>
        <w:jc w:val="both"/>
        <w:rPr>
          <w:rFonts w:ascii="Source Sans Pro" w:hAnsi="Source Sans Pro" w:cstheme="minorHAnsi"/>
          <w:sz w:val="22"/>
          <w:szCs w:val="20"/>
          <w:lang w:val="en-ZM"/>
        </w:rP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50"/>
        <w:gridCol w:w="4550"/>
        <w:gridCol w:w="2360"/>
      </w:tblGrid>
      <w:tr w:rsidR="000C37C8" w14:paraId="42FBBD4D" w14:textId="77777777">
        <w:trPr>
          <w:tblHeader/>
        </w:trPr>
        <w:tc>
          <w:tcPr>
            <w:tcW w:w="2450" w:type="dxa"/>
            <w:shd w:val="clear" w:color="auto" w:fill="234A94"/>
            <w:tcMar>
              <w:top w:w="40" w:type="dxa"/>
              <w:left w:w="80" w:type="dxa"/>
              <w:bottom w:w="40" w:type="dxa"/>
              <w:right w:w="80" w:type="dxa"/>
            </w:tcMar>
            <w:vAlign w:val="center"/>
          </w:tcPr>
          <w:p w14:paraId="36AC674B" w14:textId="77777777" w:rsidR="000C37C8" w:rsidRDefault="00000000">
            <w:pPr>
              <w:spacing w:after="40"/>
              <w:rPr>
                <w:rFonts w:ascii="Source Sans Pro" w:hAnsi="Source Sans Pro" w:cstheme="minorHAnsi"/>
                <w:b/>
                <w:bCs/>
                <w:color w:val="FFFFFF"/>
                <w:sz w:val="20"/>
                <w:szCs w:val="20"/>
                <w:lang w:val="en-ZM"/>
              </w:rPr>
            </w:pPr>
            <w:r>
              <w:rPr>
                <w:rFonts w:ascii="Source Sans Pro" w:hAnsi="Source Sans Pro" w:cstheme="minorHAnsi"/>
                <w:b/>
                <w:bCs/>
                <w:color w:val="FFFFFF"/>
                <w:sz w:val="20"/>
                <w:szCs w:val="20"/>
                <w:lang w:val="en-ZM"/>
              </w:rPr>
              <w:t>File</w:t>
            </w:r>
          </w:p>
        </w:tc>
        <w:tc>
          <w:tcPr>
            <w:tcW w:w="4550" w:type="dxa"/>
            <w:shd w:val="clear" w:color="auto" w:fill="234A94"/>
            <w:tcMar>
              <w:top w:w="40" w:type="dxa"/>
              <w:left w:w="80" w:type="dxa"/>
              <w:bottom w:w="40" w:type="dxa"/>
              <w:right w:w="80" w:type="dxa"/>
            </w:tcMar>
            <w:vAlign w:val="center"/>
          </w:tcPr>
          <w:p w14:paraId="0F037A72" w14:textId="77777777" w:rsidR="000C37C8" w:rsidRDefault="00000000">
            <w:pPr>
              <w:spacing w:after="40"/>
              <w:rPr>
                <w:rFonts w:ascii="Source Sans Pro" w:hAnsi="Source Sans Pro" w:cstheme="minorHAnsi"/>
                <w:b/>
                <w:bCs/>
                <w:color w:val="FFFFFF"/>
                <w:sz w:val="20"/>
                <w:szCs w:val="20"/>
                <w:lang w:val="en-ZM"/>
              </w:rPr>
            </w:pPr>
            <w:r>
              <w:rPr>
                <w:rFonts w:ascii="Source Sans Pro" w:hAnsi="Source Sans Pro" w:cstheme="minorHAnsi"/>
                <w:b/>
                <w:bCs/>
                <w:color w:val="FFFFFF"/>
                <w:sz w:val="20"/>
                <w:szCs w:val="20"/>
                <w:lang w:val="en-ZM"/>
              </w:rPr>
              <w:t>Purpose</w:t>
            </w:r>
          </w:p>
        </w:tc>
        <w:tc>
          <w:tcPr>
            <w:tcW w:w="2360" w:type="dxa"/>
            <w:shd w:val="clear" w:color="auto" w:fill="234A94"/>
            <w:tcMar>
              <w:top w:w="40" w:type="dxa"/>
              <w:left w:w="80" w:type="dxa"/>
              <w:bottom w:w="40" w:type="dxa"/>
              <w:right w:w="80" w:type="dxa"/>
            </w:tcMar>
            <w:vAlign w:val="center"/>
          </w:tcPr>
          <w:p w14:paraId="137D24DC" w14:textId="77777777" w:rsidR="000C37C8" w:rsidRDefault="00000000">
            <w:pPr>
              <w:spacing w:after="40"/>
              <w:rPr>
                <w:rFonts w:ascii="Source Sans Pro" w:hAnsi="Source Sans Pro" w:cstheme="minorHAnsi"/>
                <w:b/>
                <w:bCs/>
                <w:color w:val="FFFFFF"/>
                <w:sz w:val="20"/>
                <w:szCs w:val="20"/>
                <w:lang w:val="en-ZM"/>
              </w:rPr>
            </w:pPr>
            <w:r>
              <w:rPr>
                <w:rFonts w:ascii="Source Sans Pro" w:hAnsi="Source Sans Pro" w:cstheme="minorHAnsi"/>
                <w:b/>
                <w:bCs/>
                <w:color w:val="FFFFFF"/>
                <w:sz w:val="20"/>
                <w:szCs w:val="20"/>
                <w:lang w:val="en-ZM"/>
              </w:rPr>
              <w:t>Origin</w:t>
            </w:r>
          </w:p>
        </w:tc>
      </w:tr>
      <w:tr w:rsidR="000C37C8" w14:paraId="10060CA5" w14:textId="77777777">
        <w:tc>
          <w:tcPr>
            <w:tcW w:w="2450" w:type="dxa"/>
            <w:tcMar>
              <w:top w:w="40" w:type="dxa"/>
              <w:left w:w="80" w:type="dxa"/>
              <w:bottom w:w="40" w:type="dxa"/>
              <w:right w:w="80" w:type="dxa"/>
            </w:tcMar>
            <w:vAlign w:val="center"/>
          </w:tcPr>
          <w:p w14:paraId="4E9A0159"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Area peril dictionary</w:t>
            </w:r>
          </w:p>
        </w:tc>
        <w:tc>
          <w:tcPr>
            <w:tcW w:w="4550" w:type="dxa"/>
            <w:tcMar>
              <w:top w:w="40" w:type="dxa"/>
              <w:left w:w="80" w:type="dxa"/>
              <w:bottom w:w="40" w:type="dxa"/>
              <w:right w:w="80" w:type="dxa"/>
            </w:tcMar>
            <w:vAlign w:val="center"/>
          </w:tcPr>
          <w:p w14:paraId="05328D06"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Defines the area peril identifiers and the piece of geography each one represents, usually a grid cell. It is the spatial key that links a footprint to a location.</w:t>
            </w:r>
          </w:p>
        </w:tc>
        <w:tc>
          <w:tcPr>
            <w:tcW w:w="2360" w:type="dxa"/>
            <w:tcMar>
              <w:top w:w="40" w:type="dxa"/>
              <w:left w:w="80" w:type="dxa"/>
              <w:bottom w:w="40" w:type="dxa"/>
              <w:right w:w="80" w:type="dxa"/>
            </w:tcMar>
            <w:vAlign w:val="center"/>
          </w:tcPr>
          <w:p w14:paraId="7F58E2E9"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Defined by the model developer from the site geography.</w:t>
            </w:r>
          </w:p>
        </w:tc>
      </w:tr>
      <w:tr w:rsidR="000C37C8" w14:paraId="35756170" w14:textId="77777777">
        <w:tc>
          <w:tcPr>
            <w:tcW w:w="2450" w:type="dxa"/>
            <w:tcMar>
              <w:top w:w="40" w:type="dxa"/>
              <w:left w:w="80" w:type="dxa"/>
              <w:bottom w:w="40" w:type="dxa"/>
              <w:right w:w="80" w:type="dxa"/>
            </w:tcMar>
            <w:vAlign w:val="center"/>
          </w:tcPr>
          <w:p w14:paraId="531FBD21"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Intensity bin dictionary</w:t>
            </w:r>
          </w:p>
        </w:tc>
        <w:tc>
          <w:tcPr>
            <w:tcW w:w="4550" w:type="dxa"/>
            <w:tcMar>
              <w:top w:w="40" w:type="dxa"/>
              <w:left w:w="80" w:type="dxa"/>
              <w:bottom w:w="40" w:type="dxa"/>
              <w:right w:w="80" w:type="dxa"/>
            </w:tcMar>
            <w:vAlign w:val="center"/>
          </w:tcPr>
          <w:p w14:paraId="03A774C2"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Divides the continuous hazard intensity scale into discrete bins, each with a lower and upper bound. Both the footprint and the vulnerability refer to these bins.</w:t>
            </w:r>
          </w:p>
        </w:tc>
        <w:tc>
          <w:tcPr>
            <w:tcW w:w="2360" w:type="dxa"/>
            <w:tcMar>
              <w:top w:w="40" w:type="dxa"/>
              <w:left w:w="80" w:type="dxa"/>
              <w:bottom w:w="40" w:type="dxa"/>
              <w:right w:w="80" w:type="dxa"/>
            </w:tcMar>
            <w:vAlign w:val="center"/>
          </w:tcPr>
          <w:p w14:paraId="4A36DAD1"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Defined by the model developer.</w:t>
            </w:r>
          </w:p>
        </w:tc>
      </w:tr>
      <w:tr w:rsidR="000C37C8" w14:paraId="3D2EB089" w14:textId="77777777">
        <w:tc>
          <w:tcPr>
            <w:tcW w:w="2450" w:type="dxa"/>
            <w:tcMar>
              <w:top w:w="40" w:type="dxa"/>
              <w:left w:w="80" w:type="dxa"/>
              <w:bottom w:w="40" w:type="dxa"/>
              <w:right w:w="80" w:type="dxa"/>
            </w:tcMar>
            <w:vAlign w:val="center"/>
          </w:tcPr>
          <w:p w14:paraId="7327D389"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Footprint</w:t>
            </w:r>
          </w:p>
        </w:tc>
        <w:tc>
          <w:tcPr>
            <w:tcW w:w="4550" w:type="dxa"/>
            <w:tcMar>
              <w:top w:w="40" w:type="dxa"/>
              <w:left w:w="80" w:type="dxa"/>
              <w:bottom w:w="40" w:type="dxa"/>
              <w:right w:w="80" w:type="dxa"/>
            </w:tcMar>
            <w:vAlign w:val="center"/>
          </w:tcPr>
          <w:p w14:paraId="59EB2468"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For each event and each area peril, the probability distribution of hazard intensity across the intensity bins. This is the heart of the hazard module.</w:t>
            </w:r>
          </w:p>
        </w:tc>
        <w:tc>
          <w:tcPr>
            <w:tcW w:w="2360" w:type="dxa"/>
            <w:tcMar>
              <w:top w:w="40" w:type="dxa"/>
              <w:left w:w="80" w:type="dxa"/>
              <w:bottom w:w="40" w:type="dxa"/>
              <w:right w:w="80" w:type="dxa"/>
            </w:tcMar>
            <w:vAlign w:val="center"/>
          </w:tcPr>
          <w:p w14:paraId="2CE08A84"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Built from the OpenQuake ground motion fields, sigma and epsilon.</w:t>
            </w:r>
          </w:p>
        </w:tc>
      </w:tr>
      <w:tr w:rsidR="000C37C8" w14:paraId="23B09E99" w14:textId="77777777">
        <w:tc>
          <w:tcPr>
            <w:tcW w:w="2450" w:type="dxa"/>
            <w:tcMar>
              <w:top w:w="40" w:type="dxa"/>
              <w:left w:w="80" w:type="dxa"/>
              <w:bottom w:w="40" w:type="dxa"/>
              <w:right w:w="80" w:type="dxa"/>
            </w:tcMar>
            <w:vAlign w:val="center"/>
          </w:tcPr>
          <w:p w14:paraId="433755A8"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Damage bin dictionary</w:t>
            </w:r>
          </w:p>
        </w:tc>
        <w:tc>
          <w:tcPr>
            <w:tcW w:w="4550" w:type="dxa"/>
            <w:tcMar>
              <w:top w:w="40" w:type="dxa"/>
              <w:left w:w="80" w:type="dxa"/>
              <w:bottom w:w="40" w:type="dxa"/>
              <w:right w:w="80" w:type="dxa"/>
            </w:tcMar>
            <w:vAlign w:val="center"/>
          </w:tcPr>
          <w:p w14:paraId="3CDDD85C"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Divides the damage ratio scale, running from no loss to total loss, into discrete bins expressed as fractions of value.</w:t>
            </w:r>
          </w:p>
        </w:tc>
        <w:tc>
          <w:tcPr>
            <w:tcW w:w="2360" w:type="dxa"/>
            <w:tcMar>
              <w:top w:w="40" w:type="dxa"/>
              <w:left w:w="80" w:type="dxa"/>
              <w:bottom w:w="40" w:type="dxa"/>
              <w:right w:w="80" w:type="dxa"/>
            </w:tcMar>
            <w:vAlign w:val="center"/>
          </w:tcPr>
          <w:p w14:paraId="25C22275"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Defined by the model developer.</w:t>
            </w:r>
          </w:p>
        </w:tc>
      </w:tr>
      <w:tr w:rsidR="000C37C8" w14:paraId="0EF77D0E" w14:textId="77777777">
        <w:tc>
          <w:tcPr>
            <w:tcW w:w="2450" w:type="dxa"/>
            <w:tcMar>
              <w:top w:w="40" w:type="dxa"/>
              <w:left w:w="80" w:type="dxa"/>
              <w:bottom w:w="40" w:type="dxa"/>
              <w:right w:w="80" w:type="dxa"/>
            </w:tcMar>
            <w:vAlign w:val="center"/>
          </w:tcPr>
          <w:p w14:paraId="49C120FC"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Vulnerability</w:t>
            </w:r>
          </w:p>
        </w:tc>
        <w:tc>
          <w:tcPr>
            <w:tcW w:w="4550" w:type="dxa"/>
            <w:tcMar>
              <w:top w:w="40" w:type="dxa"/>
              <w:left w:w="80" w:type="dxa"/>
              <w:bottom w:w="40" w:type="dxa"/>
              <w:right w:w="80" w:type="dxa"/>
            </w:tcMar>
            <w:vAlign w:val="center"/>
          </w:tcPr>
          <w:p w14:paraId="111B2F61"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For each vulnerability function and each intensity bin, the probability distribution of damage across the damage bins.</w:t>
            </w:r>
          </w:p>
        </w:tc>
        <w:tc>
          <w:tcPr>
            <w:tcW w:w="2360" w:type="dxa"/>
            <w:tcMar>
              <w:top w:w="40" w:type="dxa"/>
              <w:left w:w="80" w:type="dxa"/>
              <w:bottom w:w="40" w:type="dxa"/>
              <w:right w:w="80" w:type="dxa"/>
            </w:tcMar>
            <w:vAlign w:val="center"/>
          </w:tcPr>
          <w:p w14:paraId="5AF548D2"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Built from GEM vulnerability functions for the assigned building classes.</w:t>
            </w:r>
          </w:p>
        </w:tc>
      </w:tr>
      <w:tr w:rsidR="000C37C8" w14:paraId="59A31A07" w14:textId="77777777">
        <w:tc>
          <w:tcPr>
            <w:tcW w:w="2450" w:type="dxa"/>
            <w:tcMar>
              <w:top w:w="40" w:type="dxa"/>
              <w:left w:w="80" w:type="dxa"/>
              <w:bottom w:w="40" w:type="dxa"/>
              <w:right w:w="80" w:type="dxa"/>
            </w:tcMar>
            <w:vAlign w:val="center"/>
          </w:tcPr>
          <w:p w14:paraId="4785309E"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Events</w:t>
            </w:r>
          </w:p>
        </w:tc>
        <w:tc>
          <w:tcPr>
            <w:tcW w:w="4550" w:type="dxa"/>
            <w:tcMar>
              <w:top w:w="40" w:type="dxa"/>
              <w:left w:w="80" w:type="dxa"/>
              <w:bottom w:w="40" w:type="dxa"/>
              <w:right w:w="80" w:type="dxa"/>
            </w:tcMar>
            <w:vAlign w:val="center"/>
          </w:tcPr>
          <w:p w14:paraId="5BA6EF85"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The list of every event identifier in the model.</w:t>
            </w:r>
          </w:p>
        </w:tc>
        <w:tc>
          <w:tcPr>
            <w:tcW w:w="2360" w:type="dxa"/>
            <w:tcMar>
              <w:top w:w="40" w:type="dxa"/>
              <w:left w:w="80" w:type="dxa"/>
              <w:bottom w:w="40" w:type="dxa"/>
              <w:right w:w="80" w:type="dxa"/>
            </w:tcMar>
            <w:vAlign w:val="center"/>
          </w:tcPr>
          <w:p w14:paraId="2E3F9E27"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Derived from the OpenQuake event set.</w:t>
            </w:r>
          </w:p>
        </w:tc>
      </w:tr>
      <w:tr w:rsidR="000C37C8" w14:paraId="515A6D4B" w14:textId="77777777">
        <w:tc>
          <w:tcPr>
            <w:tcW w:w="2450" w:type="dxa"/>
            <w:tcMar>
              <w:top w:w="40" w:type="dxa"/>
              <w:left w:w="80" w:type="dxa"/>
              <w:bottom w:w="40" w:type="dxa"/>
              <w:right w:w="80" w:type="dxa"/>
            </w:tcMar>
            <w:vAlign w:val="center"/>
          </w:tcPr>
          <w:p w14:paraId="612A72E8"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Occurrence</w:t>
            </w:r>
          </w:p>
        </w:tc>
        <w:tc>
          <w:tcPr>
            <w:tcW w:w="4550" w:type="dxa"/>
            <w:tcMar>
              <w:top w:w="40" w:type="dxa"/>
              <w:left w:w="80" w:type="dxa"/>
              <w:bottom w:w="40" w:type="dxa"/>
              <w:right w:w="80" w:type="dxa"/>
            </w:tcMar>
            <w:vAlign w:val="center"/>
          </w:tcPr>
          <w:p w14:paraId="34870B7E"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Maps each event to the simulated period, or year, in which it occurs, and its timing within that period. This is what turns a set of events into a catalogue spanning many years.</w:t>
            </w:r>
          </w:p>
        </w:tc>
        <w:tc>
          <w:tcPr>
            <w:tcW w:w="2360" w:type="dxa"/>
            <w:tcMar>
              <w:top w:w="40" w:type="dxa"/>
              <w:left w:w="80" w:type="dxa"/>
              <w:bottom w:w="40" w:type="dxa"/>
              <w:right w:w="80" w:type="dxa"/>
            </w:tcMar>
            <w:vAlign w:val="center"/>
          </w:tcPr>
          <w:p w14:paraId="3BD0B91D"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Derived from the OpenQuake stochastic catalogue.</w:t>
            </w:r>
          </w:p>
        </w:tc>
      </w:tr>
      <w:tr w:rsidR="000C37C8" w14:paraId="125CCA4D" w14:textId="77777777">
        <w:tc>
          <w:tcPr>
            <w:tcW w:w="2450" w:type="dxa"/>
            <w:tcMar>
              <w:top w:w="40" w:type="dxa"/>
              <w:left w:w="80" w:type="dxa"/>
              <w:bottom w:w="40" w:type="dxa"/>
              <w:right w:w="80" w:type="dxa"/>
            </w:tcMar>
            <w:vAlign w:val="center"/>
          </w:tcPr>
          <w:p w14:paraId="151FB555"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Periods</w:t>
            </w:r>
          </w:p>
        </w:tc>
        <w:tc>
          <w:tcPr>
            <w:tcW w:w="4550" w:type="dxa"/>
            <w:tcMar>
              <w:top w:w="40" w:type="dxa"/>
              <w:left w:w="80" w:type="dxa"/>
              <w:bottom w:w="40" w:type="dxa"/>
              <w:right w:w="80" w:type="dxa"/>
            </w:tcMar>
            <w:vAlign w:val="center"/>
          </w:tcPr>
          <w:p w14:paraId="7C7C449C"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Where used, lists the simulated periods and any weights applied to them, so that exceedance probabilities are computed over the correct number of years.</w:t>
            </w:r>
          </w:p>
        </w:tc>
        <w:tc>
          <w:tcPr>
            <w:tcW w:w="2360" w:type="dxa"/>
            <w:tcMar>
              <w:top w:w="40" w:type="dxa"/>
              <w:left w:w="80" w:type="dxa"/>
              <w:bottom w:w="40" w:type="dxa"/>
              <w:right w:w="80" w:type="dxa"/>
            </w:tcMar>
            <w:vAlign w:val="center"/>
          </w:tcPr>
          <w:p w14:paraId="4661007E"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Defined by the model developer.</w:t>
            </w:r>
          </w:p>
        </w:tc>
      </w:tr>
      <w:tr w:rsidR="000C37C8" w14:paraId="7ACA8932" w14:textId="77777777">
        <w:tc>
          <w:tcPr>
            <w:tcW w:w="2450" w:type="dxa"/>
            <w:tcMar>
              <w:top w:w="40" w:type="dxa"/>
              <w:left w:w="80" w:type="dxa"/>
              <w:bottom w:w="40" w:type="dxa"/>
              <w:right w:w="80" w:type="dxa"/>
            </w:tcMar>
            <w:vAlign w:val="center"/>
          </w:tcPr>
          <w:p w14:paraId="0CC9AE5D"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Return periods</w:t>
            </w:r>
          </w:p>
        </w:tc>
        <w:tc>
          <w:tcPr>
            <w:tcW w:w="4550" w:type="dxa"/>
            <w:tcMar>
              <w:top w:w="40" w:type="dxa"/>
              <w:left w:w="80" w:type="dxa"/>
              <w:bottom w:w="40" w:type="dxa"/>
              <w:right w:w="80" w:type="dxa"/>
            </w:tcMar>
            <w:vAlign w:val="center"/>
          </w:tcPr>
          <w:p w14:paraId="3032D6B7"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Where used, lists the return periods at which loss exceedance curves are reported.</w:t>
            </w:r>
          </w:p>
        </w:tc>
        <w:tc>
          <w:tcPr>
            <w:tcW w:w="2360" w:type="dxa"/>
            <w:tcMar>
              <w:top w:w="40" w:type="dxa"/>
              <w:left w:w="80" w:type="dxa"/>
              <w:bottom w:w="40" w:type="dxa"/>
              <w:right w:w="80" w:type="dxa"/>
            </w:tcMar>
            <w:vAlign w:val="center"/>
          </w:tcPr>
          <w:p w14:paraId="2963F569"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Defined by the model developer.</w:t>
            </w:r>
          </w:p>
        </w:tc>
      </w:tr>
    </w:tbl>
    <w:p w14:paraId="46FE2B04" w14:textId="77777777" w:rsidR="000C37C8" w:rsidRDefault="000C37C8">
      <w:pPr>
        <w:spacing w:after="120"/>
        <w:rPr>
          <w:rFonts w:ascii="Source Sans Pro" w:hAnsi="Source Sans Pro" w:cstheme="minorHAnsi"/>
          <w:sz w:val="22"/>
          <w:szCs w:val="20"/>
          <w:lang w:val="en-ZM"/>
        </w:rPr>
      </w:pPr>
    </w:p>
    <w:p w14:paraId="1FC50901"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 xml:space="preserve">Two points deserve emphasis. First, the footprint is the file that carries the hazard, and it is the one built directly from OpenQuake. Converting ground motion fields into a footprint means taking the shaking at each site for each event, assigning it to the appropriate area peril and intensity bin, and, where secondary uncertainty is retained, expressing it as a distribution across neighbouring intensity bins rather than a single value. Second, the occurrence file is what allows year by year metrics such as </w:t>
      </w:r>
      <w:r>
        <w:rPr>
          <w:rFonts w:ascii="Source Sans Pro" w:hAnsi="Source Sans Pro" w:cstheme="minorHAnsi"/>
          <w:sz w:val="22"/>
          <w:szCs w:val="20"/>
          <w:lang w:val="en-ZM"/>
        </w:rPr>
        <w:lastRenderedPageBreak/>
        <w:t>Average Annual Loss and the exceedance probability curves to be produced, because it tells the engine how the events are distributed across the simulated years.</w:t>
      </w:r>
    </w:p>
    <w:p w14:paraId="64F728F4" w14:textId="77777777" w:rsidR="000C37C8" w:rsidRDefault="00000000">
      <w:pPr>
        <w:pStyle w:val="Heading3"/>
        <w:rPr>
          <w:rFonts w:ascii="Source Sans Pro" w:hAnsi="Source Sans Pro"/>
          <w:lang w:val="en-ZM"/>
        </w:rPr>
      </w:pPr>
      <w:bookmarkStart w:id="30" w:name="_Toc90110"/>
      <w:bookmarkStart w:id="31" w:name="_Toc236079028"/>
      <w:r>
        <w:rPr>
          <w:rFonts w:ascii="Source Sans Pro" w:hAnsi="Source Sans Pro"/>
          <w:lang w:val="en-ZM"/>
        </w:rPr>
        <w:t>The keys lookup that connects exposure to the model</w:t>
      </w:r>
      <w:bookmarkEnd w:id="30"/>
      <w:bookmarkEnd w:id="31"/>
    </w:p>
    <w:p w14:paraId="78EAFE51" w14:textId="77777777" w:rsidR="000C37C8" w:rsidRDefault="000C37C8">
      <w:pPr>
        <w:rPr>
          <w:rFonts w:ascii="Source Sans Pro" w:hAnsi="Source Sans Pro"/>
        </w:rPr>
      </w:pPr>
    </w:p>
    <w:p w14:paraId="6A2B55EB"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The model files describe hazard and vulnerability in the abstract language of area peril identifiers and vulnerability identifiers. The user's exposure, by contrast, describes real buildings at real coordinates with real characteristics. Something has to translate between the two, and that something is the keys lookup. Given an exposure location and its attributes, the lookup returns the area peril identifier for the cell it falls in and the vulnerability identifier for the kind of building it is. The result is the keys file, which records, for every exposure item, the identifiers that connect it into the model. In the Klapton Re model the vulnerability side of this lookup depends on the building classes and construction attributes that were assigned to each risk, a process described in the implementation section that follows.</w:t>
      </w:r>
    </w:p>
    <w:p w14:paraId="1B8C192D" w14:textId="77777777" w:rsidR="000C37C8" w:rsidRDefault="00000000">
      <w:pPr>
        <w:pStyle w:val="Heading3"/>
        <w:rPr>
          <w:rFonts w:ascii="Source Sans Pro" w:hAnsi="Source Sans Pro"/>
          <w:lang w:val="en-ZM"/>
        </w:rPr>
      </w:pPr>
      <w:bookmarkStart w:id="32" w:name="_Toc90111"/>
      <w:bookmarkStart w:id="33" w:name="_Toc236079029"/>
      <w:r>
        <w:rPr>
          <w:rFonts w:ascii="Source Sans Pro" w:hAnsi="Source Sans Pro"/>
          <w:lang w:val="en-ZM"/>
        </w:rPr>
        <w:t>The files generated from the user's exposure</w:t>
      </w:r>
      <w:bookmarkEnd w:id="32"/>
      <w:bookmarkEnd w:id="33"/>
    </w:p>
    <w:p w14:paraId="68AE900A" w14:textId="77777777" w:rsidR="000C37C8" w:rsidRDefault="000C37C8">
      <w:pPr>
        <w:rPr>
          <w:rFonts w:ascii="Source Sans Pro" w:hAnsi="Source Sans Pro"/>
        </w:rPr>
      </w:pPr>
    </w:p>
    <w:p w14:paraId="0BD8AE6C"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The user supplies exposure and policy information in the OED format. The location file lists each insured item with its coordinates, characteristics and values, the account file carries the policy terms, and where reinsurance is modelled the reinsurance information and scope files describe the treaties. From these, together with the keys file, Oasis generates the working input files that the calculation kernel actually consumes. The most important of these are described below.</w:t>
      </w:r>
    </w:p>
    <w:p w14:paraId="12A81019" w14:textId="77777777" w:rsidR="000C37C8" w:rsidRDefault="00000000">
      <w:pPr>
        <w:numPr>
          <w:ilvl w:val="0"/>
          <w:numId w:val="27"/>
        </w:numPr>
        <w:spacing w:after="160" w:line="360" w:lineRule="auto"/>
        <w:jc w:val="both"/>
        <w:rPr>
          <w:rFonts w:ascii="Source Sans Pro" w:hAnsi="Source Sans Pro" w:cstheme="minorHAnsi"/>
          <w:sz w:val="22"/>
          <w:szCs w:val="20"/>
          <w:lang w:val="en-ZM"/>
        </w:rPr>
      </w:pPr>
      <w:r>
        <w:rPr>
          <w:rFonts w:ascii="Source Sans Pro" w:hAnsi="Source Sans Pro" w:cstheme="minorHAnsi"/>
          <w:b/>
          <w:bCs/>
          <w:sz w:val="22"/>
          <w:szCs w:val="20"/>
          <w:lang w:val="en-ZM"/>
        </w:rPr>
        <w:t xml:space="preserve">Items. </w:t>
      </w:r>
      <w:r>
        <w:rPr>
          <w:rFonts w:ascii="Source Sans Pro" w:hAnsi="Source Sans Pro" w:cstheme="minorHAnsi"/>
          <w:sz w:val="22"/>
          <w:szCs w:val="20"/>
          <w:lang w:val="en-ZM"/>
        </w:rPr>
        <w:t>Each item is one combination of a coverage, an area peril and a vulnerability function that will be sampled. Items carry a group identifier that controls which items share correlated random numbers during sampling, which is how spatial and structural correlation is preserved.</w:t>
      </w:r>
    </w:p>
    <w:p w14:paraId="547E3EA9" w14:textId="77777777" w:rsidR="000C37C8" w:rsidRDefault="00000000">
      <w:pPr>
        <w:numPr>
          <w:ilvl w:val="0"/>
          <w:numId w:val="27"/>
        </w:numPr>
        <w:spacing w:after="160" w:line="360" w:lineRule="auto"/>
        <w:jc w:val="both"/>
        <w:rPr>
          <w:rFonts w:ascii="Source Sans Pro" w:hAnsi="Source Sans Pro" w:cstheme="minorHAnsi"/>
          <w:sz w:val="22"/>
          <w:szCs w:val="20"/>
          <w:lang w:val="en-ZM"/>
        </w:rPr>
      </w:pPr>
      <w:r>
        <w:rPr>
          <w:rFonts w:ascii="Source Sans Pro" w:hAnsi="Source Sans Pro" w:cstheme="minorHAnsi"/>
          <w:b/>
          <w:bCs/>
          <w:sz w:val="22"/>
          <w:szCs w:val="20"/>
          <w:lang w:val="en-ZM"/>
        </w:rPr>
        <w:t xml:space="preserve">Coverages. </w:t>
      </w:r>
      <w:r>
        <w:rPr>
          <w:rFonts w:ascii="Source Sans Pro" w:hAnsi="Source Sans Pro" w:cstheme="minorHAnsi"/>
          <w:sz w:val="22"/>
          <w:szCs w:val="20"/>
          <w:lang w:val="en-ZM"/>
        </w:rPr>
        <w:t>Each coverage carries the value at risk, that is the exposed value against which a damage ratio is applied to produce a ground up loss.</w:t>
      </w:r>
    </w:p>
    <w:p w14:paraId="0A36C05A" w14:textId="77777777" w:rsidR="000C37C8" w:rsidRDefault="00000000">
      <w:pPr>
        <w:numPr>
          <w:ilvl w:val="0"/>
          <w:numId w:val="27"/>
        </w:numPr>
        <w:spacing w:after="160" w:line="360" w:lineRule="auto"/>
        <w:jc w:val="both"/>
        <w:rPr>
          <w:rFonts w:ascii="Source Sans Pro" w:hAnsi="Source Sans Pro" w:cstheme="minorHAnsi"/>
          <w:sz w:val="22"/>
          <w:szCs w:val="20"/>
          <w:lang w:val="en-ZM"/>
        </w:rPr>
      </w:pPr>
      <w:r>
        <w:rPr>
          <w:rFonts w:ascii="Source Sans Pro" w:hAnsi="Source Sans Pro" w:cstheme="minorHAnsi"/>
          <w:b/>
          <w:bCs/>
          <w:sz w:val="22"/>
          <w:szCs w:val="20"/>
          <w:lang w:val="en-ZM"/>
        </w:rPr>
        <w:t xml:space="preserve">Ground up summary cross reference. </w:t>
      </w:r>
      <w:r>
        <w:rPr>
          <w:rFonts w:ascii="Source Sans Pro" w:hAnsi="Source Sans Pro" w:cstheme="minorHAnsi"/>
          <w:sz w:val="22"/>
          <w:szCs w:val="20"/>
          <w:lang w:val="en-ZM"/>
        </w:rPr>
        <w:t>This maps items and coverages to the summary levels at which ground up losses are to be reported, for example the whole portfolio or individual locations.</w:t>
      </w:r>
    </w:p>
    <w:p w14:paraId="717DDFD6" w14:textId="77777777" w:rsidR="000C37C8" w:rsidRDefault="00000000">
      <w:pPr>
        <w:numPr>
          <w:ilvl w:val="0"/>
          <w:numId w:val="27"/>
        </w:numPr>
        <w:spacing w:after="160" w:line="360" w:lineRule="auto"/>
        <w:jc w:val="both"/>
        <w:rPr>
          <w:rFonts w:ascii="Source Sans Pro" w:hAnsi="Source Sans Pro" w:cstheme="minorHAnsi"/>
          <w:sz w:val="22"/>
          <w:szCs w:val="20"/>
          <w:lang w:val="en-ZM"/>
        </w:rPr>
      </w:pPr>
      <w:r>
        <w:rPr>
          <w:rFonts w:ascii="Source Sans Pro" w:hAnsi="Source Sans Pro" w:cstheme="minorHAnsi"/>
          <w:b/>
          <w:bCs/>
          <w:sz w:val="22"/>
          <w:szCs w:val="20"/>
          <w:lang w:val="en-ZM"/>
        </w:rPr>
        <w:t xml:space="preserve">Financial module files. </w:t>
      </w:r>
      <w:r>
        <w:rPr>
          <w:rFonts w:ascii="Source Sans Pro" w:hAnsi="Source Sans Pro" w:cstheme="minorHAnsi"/>
          <w:sz w:val="22"/>
          <w:szCs w:val="20"/>
          <w:lang w:val="en-ZM"/>
        </w:rPr>
        <w:t xml:space="preserve">A set of files describes the financial calculation. One describes the programme, that is how items aggregate up through levels such as coverage, policy and account. Another holds the policy terms themselves, including deductibles, limits and shares. </w:t>
      </w:r>
      <w:r>
        <w:rPr>
          <w:rFonts w:ascii="Source Sans Pro" w:hAnsi="Source Sans Pro" w:cstheme="minorHAnsi"/>
          <w:sz w:val="22"/>
          <w:szCs w:val="20"/>
          <w:lang w:val="en-ZM"/>
        </w:rPr>
        <w:lastRenderedPageBreak/>
        <w:t>A third maps which terms apply at which level, and a fourth defines how the results are summarised. Together these files encode the entire insurance and reinsurance structure.</w:t>
      </w:r>
    </w:p>
    <w:p w14:paraId="0500F5DA"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It is worth being clear about which files come from where, because it is a common source of confusion. The footprint, vulnerability, intensity and damage bin dictionaries, area peril dictionary, events and occurrence are model files, produced once by the developer, and in the earthquake case the footprint, events and occurrence trace back to OpenQuake. The items, coverages, summary cross references and financial module files are generated for each analysis from the user's own exposure and policy data. The engine and its kernel are common to all models and are never edited. Keeping this separation in mind makes the whole workflow much easier to follow.</w:t>
      </w:r>
    </w:p>
    <w:p w14:paraId="10E46F42" w14:textId="77777777" w:rsidR="000C37C8" w:rsidRDefault="00000000">
      <w:pPr>
        <w:pStyle w:val="Heading3"/>
        <w:rPr>
          <w:rFonts w:ascii="Source Sans Pro" w:hAnsi="Source Sans Pro"/>
          <w:lang w:val="en-ZM"/>
        </w:rPr>
      </w:pPr>
      <w:bookmarkStart w:id="34" w:name="_Toc90112"/>
      <w:bookmarkStart w:id="35" w:name="_Toc236079030"/>
      <w:r>
        <w:rPr>
          <w:rFonts w:ascii="Source Sans Pro" w:hAnsi="Source Sans Pro"/>
          <w:lang w:val="en-ZM"/>
        </w:rPr>
        <w:t>How the engine calculates ground up and insured losses</w:t>
      </w:r>
      <w:bookmarkEnd w:id="34"/>
      <w:bookmarkEnd w:id="35"/>
    </w:p>
    <w:p w14:paraId="268D0042" w14:textId="77777777" w:rsidR="000C37C8" w:rsidRDefault="000C37C8">
      <w:pPr>
        <w:rPr>
          <w:rFonts w:ascii="Source Sans Pro" w:hAnsi="Source Sans Pro"/>
        </w:rPr>
      </w:pPr>
    </w:p>
    <w:p w14:paraId="0A4FB02F"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When an analysis runs, the kernel streams the events through a sequence of steps. For each event and each item, it first combines the hazard and the vulnerability. It takes the distribution of intensity for that event and area peril from the footprint, and for each intensity it looks up the distribution of damage from the vulnerability function. Combining the two gives an effective damage distribution for that item and event, one that already carries both the uncertainty in the hazard and the uncertainty in the damage response. This is the secondary uncertainty discussed earlier, now expressed in a form the engine can sample.</w:t>
      </w:r>
    </w:p>
    <w:p w14:paraId="2E26A423"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The engine then draws random samples from this effective damage distribution. Each sample selects a damage ratio, which is multiplied by the value at risk on the coverage to give a ground up loss for that sample. Because items that share a group identifier draw correlated random numbers, exposures that should move together, such as neighbouring buildings shaken by the same earthquake, do move together. Repeating this across many samples, many items and many events builds up a full distribution of ground up loss. Ground up loss, then, is the loss before any insurance terms are applied, the raw financial consequence of the modelled damage.</w:t>
      </w:r>
    </w:p>
    <w:p w14:paraId="1B739AE0"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 xml:space="preserve">The financial module then takes over. Following the hierarchy set out in the financial module files, it applies deductibles, limits, shares and layers to the ground up losses, moving up through the levels of the programme, so that a loss at a building becomes a loss to a policy, then to an account, and then, where reinsurance is modelled, a recovery under a treaty. The result is the insured loss, and where reinsurance is applied, the net loss retained after recoveries. The financial module does not touch the </w:t>
      </w:r>
      <w:r>
        <w:rPr>
          <w:rFonts w:ascii="Source Sans Pro" w:hAnsi="Source Sans Pro" w:cstheme="minorHAnsi"/>
          <w:sz w:val="22"/>
          <w:szCs w:val="20"/>
          <w:lang w:val="en-ZM"/>
        </w:rPr>
        <w:lastRenderedPageBreak/>
        <w:t>hazard or the vulnerability. It only redistributes the losses those modules produced, according to the contractual terms.</w:t>
      </w:r>
    </w:p>
    <w:p w14:paraId="3D0933C7" w14:textId="77777777" w:rsidR="000C37C8" w:rsidRDefault="00000000">
      <w:pPr>
        <w:pStyle w:val="Heading3"/>
        <w:rPr>
          <w:rFonts w:ascii="Source Sans Pro" w:hAnsi="Source Sans Pro"/>
          <w:lang w:val="en-ZM"/>
        </w:rPr>
      </w:pPr>
      <w:bookmarkStart w:id="36" w:name="_Toc90113"/>
      <w:bookmarkStart w:id="37" w:name="_Toc236079031"/>
      <w:r>
        <w:rPr>
          <w:rFonts w:ascii="Source Sans Pro" w:hAnsi="Source Sans Pro"/>
          <w:lang w:val="en-ZM"/>
        </w:rPr>
        <w:t>From samples to Event Loss Tables and portfolio metrics</w:t>
      </w:r>
      <w:bookmarkEnd w:id="36"/>
      <w:bookmarkEnd w:id="37"/>
    </w:p>
    <w:p w14:paraId="2514402C" w14:textId="77777777" w:rsidR="000C37C8" w:rsidRDefault="000C37C8">
      <w:pPr>
        <w:rPr>
          <w:rFonts w:ascii="Source Sans Pro" w:hAnsi="Source Sans Pro"/>
        </w:rPr>
      </w:pPr>
    </w:p>
    <w:p w14:paraId="14EE9A86"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The samples described above are the atoms of the calculation, but they are not the form in which results are usually consumed. Oasis aggregates them into a small number of standard output tables, each answering a different question. The Event Loss Table, or ELT, reports for each event and each summary level the mean loss and its standard deviation across the samples, together with the exposed value. In other words, it answers the question, if this particular event happens, what loss should we expect. The ELT the Klapton Re workflow relies on is exactly this kind of table, produced at the ground up level for the whole portfolio summary. It distinguishes an analytical type, in which the mean is computed directly from the effective damage distribution, from a sample type, in which the mean is estimated from the drawn samples. The Klapton Re post-processing uses the analytical type, which gives a stable expected loss for each event.</w:t>
      </w:r>
    </w:p>
    <w:p w14:paraId="20AAC58C"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Other output tables serve other purposes. A Period Loss Table reports losses by simulated year rather than by event, which is the natural input for annual metrics. The loss exceedance curve calculator can produce aggregate and occurrence exceedance curves directly, and the average annual loss calculator produces the Average Annual Loss. Oasis is therefore capable of producing exceedance curves and average losses on its own. In the Klapton Re case, however, the retrocession structure that had to be applied was specific enough that these final metrics were calculated outside Oasis, in Python, working from the Event Loss Table and the occurrence file. That post-processing is the subject of a later section. The essential point is that the ELT plus the occurrence file together contain everything needed to derive the annual metrics, because the ELT gives the expected loss per event and the occurrence file places those events in time.</w:t>
      </w:r>
    </w:p>
    <w:p w14:paraId="52694E8B" w14:textId="77777777" w:rsidR="000C37C8" w:rsidRDefault="00000000">
      <w:pPr>
        <w:pStyle w:val="Heading2"/>
        <w:numPr>
          <w:ilvl w:val="0"/>
          <w:numId w:val="4"/>
        </w:numPr>
        <w:spacing w:line="360" w:lineRule="auto"/>
        <w:ind w:left="360"/>
        <w:contextualSpacing/>
        <w:jc w:val="both"/>
        <w:rPr>
          <w:rFonts w:ascii="Source Sans Pro" w:hAnsi="Source Sans Pro" w:cstheme="minorHAnsi"/>
          <w:i w:val="0"/>
          <w:iCs/>
          <w:color w:val="234A9E"/>
          <w:sz w:val="36"/>
          <w:szCs w:val="22"/>
        </w:rPr>
      </w:pPr>
      <w:bookmarkStart w:id="38" w:name="_Toc90114"/>
      <w:bookmarkStart w:id="39" w:name="_Toc236079032"/>
      <w:r>
        <w:rPr>
          <w:rFonts w:ascii="Source Sans Pro" w:hAnsi="Source Sans Pro" w:cstheme="minorHAnsi"/>
          <w:i w:val="0"/>
          <w:iCs/>
          <w:color w:val="234A9E"/>
          <w:sz w:val="36"/>
          <w:szCs w:val="22"/>
        </w:rPr>
        <w:t>The Klapton Re Earthquake Model in Practice</w:t>
      </w:r>
      <w:bookmarkEnd w:id="38"/>
      <w:bookmarkEnd w:id="39"/>
    </w:p>
    <w:p w14:paraId="2CF71DAA"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 xml:space="preserve">The preceding sections describe how OpenQuake and Oasis work in general. This section documents the specific choices, limitations and assumptions that shaped the Klapton Re earthquake model. It is deliberately candid about the gaps in the available data, because a model is only as trustworthy as the understanding of its assumptions. The portfolios modelled during development were in Indonesia, Nepal and Turkey, and the Turkey portfolio is used as the worked example in the post-processing </w:t>
      </w:r>
      <w:r>
        <w:rPr>
          <w:rFonts w:ascii="Source Sans Pro" w:hAnsi="Source Sans Pro" w:cstheme="minorHAnsi"/>
          <w:sz w:val="22"/>
          <w:szCs w:val="20"/>
          <w:lang w:val="en-ZM"/>
        </w:rPr>
        <w:lastRenderedPageBreak/>
        <w:t>section. Where an assumption was made to bridge a data gap, the reasoning behind it is set out so that it can be revisited as the underlying data improves.</w:t>
      </w:r>
    </w:p>
    <w:p w14:paraId="1F39BD34" w14:textId="77777777" w:rsidR="000C37C8" w:rsidRDefault="00000000">
      <w:pPr>
        <w:pStyle w:val="Heading3"/>
        <w:rPr>
          <w:rFonts w:ascii="Source Sans Pro" w:hAnsi="Source Sans Pro"/>
          <w:lang w:val="en-ZM"/>
        </w:rPr>
      </w:pPr>
      <w:bookmarkStart w:id="40" w:name="_Toc90115"/>
      <w:bookmarkStart w:id="41" w:name="_Toc236079033"/>
      <w:r>
        <w:rPr>
          <w:rFonts w:ascii="Source Sans Pro" w:hAnsi="Source Sans Pro"/>
          <w:lang w:val="en-ZM"/>
        </w:rPr>
        <w:t>The exposure data and its limitations</w:t>
      </w:r>
      <w:bookmarkEnd w:id="40"/>
      <w:bookmarkEnd w:id="41"/>
    </w:p>
    <w:p w14:paraId="051C4172" w14:textId="77777777" w:rsidR="000C37C8" w:rsidRDefault="000C37C8">
      <w:pPr>
        <w:rPr>
          <w:rFonts w:ascii="Source Sans Pro" w:hAnsi="Source Sans Pro"/>
        </w:rPr>
      </w:pPr>
    </w:p>
    <w:p w14:paraId="280765D1"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Catastrophe modelling is demanding in the exposure detail it expects. Ideally each risk would be described by its occupancy, the age of the building, its construction type and materials, the roof type and materials, the building height or number of storeys, and a precise geocoded location. Klapton Re does not collect exposure data at this level of detail. The core insurance system was not designed to capture these attributes, even though much of the information does exist on the original reinsurance slips. In practice the exposure available for modelling consisted mainly of portfolio values and sums insured, the name of the insured, and the country. Almost everything else that a catastrophe model needs had to be derived or assumed, and the sections that follow explain how each gap was filled.</w:t>
      </w:r>
    </w:p>
    <w:p w14:paraId="3ED9CDA1" w14:textId="77777777" w:rsidR="000C37C8" w:rsidRDefault="00000000">
      <w:pPr>
        <w:pStyle w:val="Heading3"/>
        <w:rPr>
          <w:rFonts w:ascii="Source Sans Pro" w:hAnsi="Source Sans Pro"/>
          <w:lang w:val="en-ZM"/>
        </w:rPr>
      </w:pPr>
      <w:bookmarkStart w:id="42" w:name="_Toc90116"/>
      <w:bookmarkStart w:id="43" w:name="_Toc236079034"/>
      <w:r>
        <w:rPr>
          <w:rFonts w:ascii="Source Sans Pro" w:hAnsi="Source Sans Pro"/>
          <w:lang w:val="en-ZM"/>
        </w:rPr>
        <w:t>Geocoding through the Google Places API</w:t>
      </w:r>
      <w:bookmarkEnd w:id="42"/>
      <w:bookmarkEnd w:id="43"/>
    </w:p>
    <w:p w14:paraId="44B27700" w14:textId="77777777" w:rsidR="000C37C8" w:rsidRDefault="000C37C8">
      <w:pPr>
        <w:rPr>
          <w:rFonts w:ascii="Source Sans Pro" w:hAnsi="Source Sans Pro"/>
        </w:rPr>
      </w:pPr>
    </w:p>
    <w:p w14:paraId="0D8C08DB"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A catastrophe model cannot place a risk on the hazard map without coordinates, and coordinates were not part of the exposure data. To derive them, the insured name was searched within its country using the Google Places API. Where Google identified a matching location, it returned an address and a confidence score for the match, and that confidence score was retained and carried through into the outputs so that the reliability of each location could be judged later. This produced a set of coordinates across the portfolio with varying levels of confidence, some precise and some approximate. These geocoded points then became the active site locations used for event mapping, and they were the locations uploaded into OpenQuake as the sites at which ground motion would be computed. The confidence score is an honest acknowledgement that geocoding by name is imperfect, and it allows low confidence locations to be treated with appropriate caution.</w:t>
      </w:r>
    </w:p>
    <w:p w14:paraId="503C6278" w14:textId="77777777" w:rsidR="000C37C8" w:rsidRDefault="00000000">
      <w:pPr>
        <w:pStyle w:val="Heading3"/>
        <w:rPr>
          <w:rFonts w:ascii="Source Sans Pro" w:hAnsi="Source Sans Pro"/>
          <w:lang w:val="en-ZM"/>
        </w:rPr>
      </w:pPr>
      <w:bookmarkStart w:id="44" w:name="_Toc90117"/>
      <w:bookmarkStart w:id="45" w:name="_Toc236079035"/>
      <w:r>
        <w:rPr>
          <w:rFonts w:ascii="Source Sans Pro" w:hAnsi="Source Sans Pro"/>
          <w:lang w:val="en-ZM"/>
        </w:rPr>
        <w:t>Selecting hazard models from GEM</w:t>
      </w:r>
      <w:bookmarkEnd w:id="44"/>
      <w:bookmarkEnd w:id="45"/>
    </w:p>
    <w:p w14:paraId="379A762D" w14:textId="77777777" w:rsidR="000C37C8" w:rsidRDefault="000C37C8">
      <w:pPr>
        <w:rPr>
          <w:rFonts w:ascii="Source Sans Pro" w:hAnsi="Source Sans Pro"/>
        </w:rPr>
      </w:pPr>
    </w:p>
    <w:p w14:paraId="3BB47B5B"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 xml:space="preserve">OpenQuake requires a pre-built hazard model, and building one requires specialist knowledge that Klapton Re does not hold in house. As noted earlier in this framework, the company does not employ engineers, seismologists or ground motion specialists, and cannot independently develop ground motion prediction equations. The approach instead was to rely on hazard models developed by researchers, governments and universities, much of which is publicly available, and to apply them </w:t>
      </w:r>
      <w:r>
        <w:rPr>
          <w:rFonts w:ascii="Source Sans Pro" w:hAnsi="Source Sans Pro" w:cstheme="minorHAnsi"/>
          <w:sz w:val="22"/>
          <w:szCs w:val="20"/>
          <w:lang w:val="en-ZM"/>
        </w:rPr>
        <w:lastRenderedPageBreak/>
        <w:t>within OpenQuake. Suitable models therefore had to be found for each country from the GEM repository.</w:t>
      </w:r>
    </w:p>
    <w:p w14:paraId="15ED3830"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The maturity of the available models varied. The Indonesian model was relatively recent, dating from 2023. The models covering Nepal and Turkey were considerably older, from 2013, and neither country had a dedicated national model of the kind Indonesia enjoyed. Instead they were represented within broader regional studies, centred on India and its neighbours, that were built around the shared fault systems crossing those national borders. The age of these models created practical difficulties. They used OpenQuake functions that have since been deprecated, and a degree of debugging was needed to make them run under current versions of the engine. Despite these obstacles, the models proved sufficient for earthquake modelling, and the regional approach is defensible given that seismicity does not respect borders where fault systems are continuous.</w:t>
      </w:r>
    </w:p>
    <w:p w14:paraId="48915304" w14:textId="77777777" w:rsidR="000C37C8" w:rsidRDefault="00000000">
      <w:pPr>
        <w:pStyle w:val="Heading3"/>
        <w:rPr>
          <w:rFonts w:ascii="Source Sans Pro" w:hAnsi="Source Sans Pro"/>
          <w:lang w:val="en-ZM"/>
        </w:rPr>
      </w:pPr>
      <w:bookmarkStart w:id="46" w:name="_Toc90118"/>
      <w:bookmarkStart w:id="47" w:name="_Toc236079036"/>
      <w:r>
        <w:rPr>
          <w:rFonts w:ascii="Source Sans Pro" w:hAnsi="Source Sans Pro"/>
          <w:lang w:val="en-ZM"/>
        </w:rPr>
        <w:t>Coverage, deductible and value assumptions</w:t>
      </w:r>
      <w:bookmarkEnd w:id="46"/>
      <w:bookmarkEnd w:id="47"/>
    </w:p>
    <w:p w14:paraId="0A2AA888" w14:textId="77777777" w:rsidR="000C37C8" w:rsidRDefault="000C37C8">
      <w:pPr>
        <w:rPr>
          <w:rFonts w:ascii="Source Sans Pro" w:hAnsi="Source Sans Pro"/>
        </w:rPr>
      </w:pPr>
    </w:p>
    <w:p w14:paraId="21902859"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Several assumptions were needed to move from raw exposure to modelled loss, each one made necessary by a limitation in the source data. The first concerns which policies actually carry earthquake cover. The core insurance system does not record this at policy level, so it was not possible to identify the earthquake exposed subset of the portfolio. The conservative response was to assume that the entire portfolio provides earthquake cover. This will tend to overstate rather than understate the modelled loss, which is the prudent direction for a reinsurer to err in when the truth is unknown.</w:t>
      </w:r>
    </w:p>
    <w:p w14:paraId="3268A7FD"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The second assumption concerns deductibles. Portfolio wide deductible information was not available, so a standard deductible of one per cent of the total sum insured was applied across the portfolio in order to convert ground up losses into insured losses. The third assumption concerns the values themselves. The portfolio contained a mixture of total insurable values and total sums insured, and the two could not be reliably distinguished. Every exposure was therefore treated as though it represented a total insurable value, and a factor of ninety per cent was applied to derive the corresponding total sum insured. Each of these assumptions is a placeholder for information that could, in principle, be recovered from the original slips, and each should be replaced with actual terms as the data capture improves.</w:t>
      </w:r>
    </w:p>
    <w:p w14:paraId="74015D96" w14:textId="77777777" w:rsidR="000C37C8" w:rsidRDefault="00000000">
      <w:pPr>
        <w:pStyle w:val="Heading3"/>
        <w:rPr>
          <w:rFonts w:ascii="Source Sans Pro" w:hAnsi="Source Sans Pro"/>
          <w:lang w:val="en-ZM"/>
        </w:rPr>
      </w:pPr>
      <w:bookmarkStart w:id="48" w:name="_Toc90119"/>
      <w:bookmarkStart w:id="49" w:name="_Toc236079037"/>
      <w:r>
        <w:rPr>
          <w:rFonts w:ascii="Source Sans Pro" w:hAnsi="Source Sans Pro"/>
          <w:lang w:val="en-ZM"/>
        </w:rPr>
        <w:t>Assigning building classes and vulnerability</w:t>
      </w:r>
      <w:bookmarkEnd w:id="48"/>
      <w:bookmarkEnd w:id="49"/>
    </w:p>
    <w:p w14:paraId="73704B09" w14:textId="77777777" w:rsidR="000C37C8" w:rsidRDefault="000C37C8">
      <w:pPr>
        <w:rPr>
          <w:rFonts w:ascii="Source Sans Pro" w:hAnsi="Source Sans Pro"/>
        </w:rPr>
      </w:pPr>
    </w:p>
    <w:p w14:paraId="35FB88BD"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lastRenderedPageBreak/>
        <w:t>With locations and values settled, the building characteristics that drive vulnerability still had to be supplied, and these too were absent from the exposure data. The solution was to borrow the structure of the building stock from the Global Exposure Model published by GEM, which is available through their public repository. This model gives, for each country, the relative distribution of building classes, for example the split between commercial, residential and industrial occupancy. Rather than guess the class of each individual risk, the national distribution was used to assign classes probabilistically across the portfolio, so that the modelled mix of buildings matched the national mix.</w:t>
      </w:r>
    </w:p>
    <w:p w14:paraId="0DB986DE"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One adjustment was made to reflect the nature of the book. Because Klapton Re is a reinsurer and this portfolio consisted of facultative risks, it is very unlikely that residential property formed any real part of it. Residential exposure was therefore excluded, and the remaining classes were renormalised before assignment. If a national distribution were forty per cent commercial, fifty per cent residential and ten per cent industrial, the residential share would be dropped and the commercial and industrial shares rescaled to a four to one ratio before being assigned at random across the portfolio. This gives a reasonable approximation of the building classes likely to be present in a facultative reinsurance book.</w:t>
      </w:r>
    </w:p>
    <w:p w14:paraId="21779BB6"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Once occupancy classes had been assigned, the finer construction attributes were assigned in the same probabilistic spirit. Construction types, construction materials and building heights were allocated using the building distributions held in the GEM exposure repository for Indonesia, which allowed a vulnerability function to be attached to every risk. A vulnerability function estimates damage as a function of hazard intensity, and for earthquake the relevant intensity measures are spectral acceleration and peak ground acceleration. Spectral acceleration at the appropriate period is generally the more suitable measure for estimating structural damage and for applying vulnerability curves, because it better reflects how a building of a given height responds to shaking, and it was therefore preferred where the vulnerability functions allowed. With a vulnerability function assigned to each risk, the exposure was ready to be run through Oasis.</w:t>
      </w:r>
    </w:p>
    <w:p w14:paraId="049D5D47" w14:textId="77777777" w:rsidR="000C37C8" w:rsidRDefault="00000000">
      <w:pPr>
        <w:pStyle w:val="Heading2"/>
        <w:numPr>
          <w:ilvl w:val="0"/>
          <w:numId w:val="4"/>
        </w:numPr>
        <w:spacing w:line="360" w:lineRule="auto"/>
        <w:ind w:left="360"/>
        <w:contextualSpacing/>
        <w:jc w:val="both"/>
        <w:rPr>
          <w:rFonts w:ascii="Source Sans Pro" w:hAnsi="Source Sans Pro" w:cstheme="minorHAnsi"/>
          <w:i w:val="0"/>
          <w:iCs/>
          <w:color w:val="234A9E"/>
          <w:sz w:val="36"/>
          <w:szCs w:val="22"/>
        </w:rPr>
      </w:pPr>
      <w:bookmarkStart w:id="50" w:name="_Toc90120"/>
      <w:bookmarkStart w:id="51" w:name="_Toc236079038"/>
      <w:r>
        <w:rPr>
          <w:rFonts w:ascii="Source Sans Pro" w:hAnsi="Source Sans Pro" w:cstheme="minorHAnsi"/>
          <w:i w:val="0"/>
          <w:iCs/>
          <w:color w:val="234A9E"/>
          <w:sz w:val="36"/>
          <w:szCs w:val="22"/>
        </w:rPr>
        <w:t>Post-Processing the Event Loss Table in Python</w:t>
      </w:r>
      <w:bookmarkEnd w:id="50"/>
      <w:bookmarkEnd w:id="51"/>
    </w:p>
    <w:p w14:paraId="24101D33"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 xml:space="preserve">Oasis produces an Event Loss Table, but the particular insured and net metrics that Klapton Re needed, driven by a specific retrocession structure, were not all produced directly by the engine. A Python notebook was therefore written to post-process the Oasis Event Loss Table into the catastrophe metrics that matter for decision making, namely the Average Annual Loss, the Aggregate Exceedance Probability curve and the Occurrence Exceedance Probability curve, along with the tail value at risk at </w:t>
      </w:r>
      <w:r>
        <w:rPr>
          <w:rFonts w:ascii="Source Sans Pro" w:hAnsi="Source Sans Pro" w:cstheme="minorHAnsi"/>
          <w:sz w:val="22"/>
          <w:szCs w:val="20"/>
          <w:lang w:val="en-ZM"/>
        </w:rPr>
        <w:lastRenderedPageBreak/>
        <w:t>each return period. This section documents that process. The worked figures come from the Turkey earthquake run used during development, which simulated fifteen thousand three hundred and sixty years and produced just over forty four thousand event occurrences across that period.</w:t>
      </w:r>
    </w:p>
    <w:p w14:paraId="193CEE0B" w14:textId="77777777" w:rsidR="000C37C8" w:rsidRDefault="00000000">
      <w:pPr>
        <w:pStyle w:val="Heading3"/>
        <w:rPr>
          <w:rFonts w:ascii="Source Sans Pro" w:hAnsi="Source Sans Pro"/>
          <w:lang w:val="en-ZM"/>
        </w:rPr>
      </w:pPr>
      <w:bookmarkStart w:id="52" w:name="_Toc90121"/>
      <w:bookmarkStart w:id="53" w:name="_Toc236079039"/>
      <w:r>
        <w:rPr>
          <w:rFonts w:ascii="Source Sans Pro" w:hAnsi="Source Sans Pro"/>
          <w:lang w:val="en-ZM"/>
        </w:rPr>
        <w:t>The inputs and how they are combined</w:t>
      </w:r>
      <w:bookmarkEnd w:id="52"/>
      <w:bookmarkEnd w:id="53"/>
    </w:p>
    <w:p w14:paraId="5184DE88" w14:textId="77777777" w:rsidR="000C37C8" w:rsidRDefault="000C37C8">
      <w:pPr>
        <w:rPr>
          <w:rFonts w:ascii="Source Sans Pro" w:hAnsi="Source Sans Pro"/>
        </w:rPr>
      </w:pPr>
    </w:p>
    <w:p w14:paraId="7159ECA2"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The post-processing begins from two files. The first is the ground up Event Loss Table exported from the Oasis run, which lists, for each event, the expected loss and its standard deviation together with the exposed value, filtered to the analytical type so that each event carries a single stable expected loss. The second is the occurrence file, which maps each event to the simulated period, or year, in which it occurs and to its timing within that year. Merging the two on the event identifier attaches a loss to every occurrence, and because a single event can occur in more than one simulated year, this merge expands the table into the full set of loss producing occurrences across the whole simulation. Sorting these occurrences by year and by their timing within the year puts them in the chronological order that the later steps depend on. The total number of simulated years is read from the occurrence file, and it is this figure, covering every year including those with no loss, that anchors the probability calculations.</w:t>
      </w:r>
    </w:p>
    <w:p w14:paraId="21D7EBE7" w14:textId="77777777" w:rsidR="000C37C8" w:rsidRDefault="00000000">
      <w:pPr>
        <w:pStyle w:val="Heading3"/>
        <w:rPr>
          <w:rFonts w:ascii="Source Sans Pro" w:hAnsi="Source Sans Pro"/>
          <w:lang w:val="en-ZM"/>
        </w:rPr>
      </w:pPr>
      <w:bookmarkStart w:id="54" w:name="_Toc90122"/>
      <w:bookmarkStart w:id="55" w:name="_Toc236079040"/>
      <w:r>
        <w:rPr>
          <w:rFonts w:ascii="Source Sans Pro" w:hAnsi="Source Sans Pro"/>
          <w:lang w:val="en-ZM"/>
        </w:rPr>
        <w:t>Average Annual Loss</w:t>
      </w:r>
      <w:bookmarkEnd w:id="54"/>
      <w:bookmarkEnd w:id="55"/>
    </w:p>
    <w:p w14:paraId="7381C9DE" w14:textId="77777777" w:rsidR="000C37C8" w:rsidRDefault="000C37C8">
      <w:pPr>
        <w:rPr>
          <w:rFonts w:ascii="Source Sans Pro" w:hAnsi="Source Sans Pro"/>
        </w:rPr>
      </w:pPr>
    </w:p>
    <w:p w14:paraId="552A3864"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The Average Annual Loss, or AAL, is the simplest and most fundamental metric. Conceptually it is the total loss expected in a typical year, obtained by summing the losses in each simulated year and then averaging across the full set of simulated years. Because the simulation spans many thousands of years, this average is stable and reflects both the common small events and the rare large ones. The notebook computes a gross Average Annual Loss from the modelled losses and a net Average Annual Loss from the losses remaining after the retrocession recoveries described below, so that the benefit of the retrocession programme can be read directly as the difference between the two.</w:t>
      </w:r>
    </w:p>
    <w:p w14:paraId="4FC24026" w14:textId="77777777" w:rsidR="000C37C8" w:rsidRDefault="00000000">
      <w:pPr>
        <w:pStyle w:val="Heading3"/>
        <w:rPr>
          <w:rFonts w:ascii="Source Sans Pro" w:hAnsi="Source Sans Pro"/>
          <w:lang w:val="en-ZM"/>
        </w:rPr>
      </w:pPr>
      <w:bookmarkStart w:id="56" w:name="_Toc90123"/>
      <w:bookmarkStart w:id="57" w:name="_Toc236079041"/>
      <w:r>
        <w:rPr>
          <w:rFonts w:ascii="Source Sans Pro" w:hAnsi="Source Sans Pro"/>
          <w:lang w:val="en-ZM"/>
        </w:rPr>
        <w:t>Aggregate and Occurrence Exceedance Probability</w:t>
      </w:r>
      <w:bookmarkEnd w:id="56"/>
      <w:bookmarkEnd w:id="57"/>
    </w:p>
    <w:p w14:paraId="6A23DA41" w14:textId="77777777" w:rsidR="000C37C8" w:rsidRDefault="000C37C8">
      <w:pPr>
        <w:rPr>
          <w:rFonts w:ascii="Source Sans Pro" w:hAnsi="Source Sans Pro"/>
        </w:rPr>
      </w:pPr>
    </w:p>
    <w:p w14:paraId="7C78D164"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 xml:space="preserve">Where the Average Annual Loss describes the centre of the distribution, the exceedance probability curves describe its tail, which is where a reinsurer's real exposure lies. Two curves are produced, and the distinction between them is important. The Aggregate Exceedance Probability curve, or AEP, is built from the total loss in each simulated year. All losses within a year are summed, the annual totals are ranked from largest to smallest, and each is assigned an exceedance probability according to its rank </w:t>
      </w:r>
      <w:r>
        <w:rPr>
          <w:rFonts w:ascii="Source Sans Pro" w:hAnsi="Source Sans Pro" w:cstheme="minorHAnsi"/>
          <w:sz w:val="22"/>
          <w:szCs w:val="20"/>
          <w:lang w:val="en-ZM"/>
        </w:rPr>
        <w:lastRenderedPageBreak/>
        <w:t>among the full set of simulated years. Years with no loss are included in that count, so the probabilities are measured against the complete simulation rather than only the years that happened to produce a loss. The return period is simply the reciprocal of the exceedance probability, so the largest annual totals correspond to the longest return periods. The AEP answers the question of how bad a whole year of accumulated losses could be.</w:t>
      </w:r>
    </w:p>
    <w:p w14:paraId="4205EB1B"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The Occurrence Exceedance Probability curve, or OEP, is built in the same way but from a different quantity. Instead of summing all losses in a year, it takes the single largest event loss in each year. These annual maxima are then ranked and assigned exceedance probabilities and return periods by exactly the same procedure as the AEP. The OEP therefore answers the question of how bad a single event could be in a year, which is the relevant view for a per occurrence reinsurance or retrocession cover. Reusing the same ranking machinery for both curves keeps the two internally consistent and differing only in whether the annual figure is a sum or a maximum.</w:t>
      </w:r>
    </w:p>
    <w:p w14:paraId="7819355C"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Alongside each curve the notebook computes the tail value at risk, which is the average loss across all years at least as severe as a given return period, rather than the loss at that return period alone. The tail value at risk is a more conservative measure than the exceedance loss on its own, because it accounts for how heavy the tail is beyond the chosen point rather than stopping at it. Each curve also records how many events contributed to the figure and which events they were, so that any point on the curve can be traced back to the specific simulated events that produced it, which is valuable for validation and for explaining results.</w:t>
      </w:r>
    </w:p>
    <w:p w14:paraId="7A21005B" w14:textId="77777777" w:rsidR="000C37C8" w:rsidRDefault="00000000">
      <w:pPr>
        <w:pStyle w:val="Heading3"/>
        <w:rPr>
          <w:rFonts w:ascii="Source Sans Pro" w:hAnsi="Source Sans Pro"/>
          <w:lang w:val="en-ZM"/>
        </w:rPr>
      </w:pPr>
      <w:bookmarkStart w:id="58" w:name="_Toc90124"/>
      <w:bookmarkStart w:id="59" w:name="_Toc236079042"/>
      <w:r>
        <w:rPr>
          <w:rFonts w:ascii="Source Sans Pro" w:hAnsi="Source Sans Pro"/>
          <w:lang w:val="en-ZM"/>
        </w:rPr>
        <w:t>Applying the retrocession programme</w:t>
      </w:r>
      <w:bookmarkEnd w:id="58"/>
      <w:bookmarkEnd w:id="59"/>
    </w:p>
    <w:p w14:paraId="5F179FAA" w14:textId="77777777" w:rsidR="000C37C8" w:rsidRDefault="000C37C8">
      <w:pPr>
        <w:rPr>
          <w:rFonts w:ascii="Source Sans Pro" w:hAnsi="Source Sans Pro"/>
        </w:rPr>
      </w:pPr>
    </w:p>
    <w:p w14:paraId="2855194C"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The reason the metrics were computed outside Oasis was the retrocession structure that had to be applied to move from gross to net. The programme modelled during the Turkey run consisted of three excess of loss layers, each attaching above a retained amount and each providing a limited number of reinstatements. The structure is set out below.</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0"/>
        <w:gridCol w:w="2600"/>
        <w:gridCol w:w="2630"/>
        <w:gridCol w:w="2630"/>
      </w:tblGrid>
      <w:tr w:rsidR="000C37C8" w14:paraId="1419A549" w14:textId="77777777">
        <w:trPr>
          <w:tblHeader/>
        </w:trPr>
        <w:tc>
          <w:tcPr>
            <w:tcW w:w="1500" w:type="dxa"/>
            <w:shd w:val="clear" w:color="auto" w:fill="234A94"/>
            <w:tcMar>
              <w:top w:w="40" w:type="dxa"/>
              <w:left w:w="80" w:type="dxa"/>
              <w:bottom w:w="40" w:type="dxa"/>
              <w:right w:w="80" w:type="dxa"/>
            </w:tcMar>
            <w:vAlign w:val="center"/>
          </w:tcPr>
          <w:p w14:paraId="63B83899" w14:textId="77777777" w:rsidR="000C37C8" w:rsidRDefault="00000000">
            <w:pPr>
              <w:spacing w:after="40"/>
              <w:rPr>
                <w:rFonts w:ascii="Source Sans Pro" w:hAnsi="Source Sans Pro" w:cstheme="minorHAnsi"/>
                <w:b/>
                <w:bCs/>
                <w:color w:val="FFFFFF"/>
                <w:sz w:val="20"/>
                <w:szCs w:val="20"/>
                <w:lang w:val="en-ZM"/>
              </w:rPr>
            </w:pPr>
            <w:r>
              <w:rPr>
                <w:rFonts w:ascii="Source Sans Pro" w:hAnsi="Source Sans Pro" w:cstheme="minorHAnsi"/>
                <w:b/>
                <w:bCs/>
                <w:color w:val="FFFFFF"/>
                <w:sz w:val="20"/>
                <w:szCs w:val="20"/>
                <w:lang w:val="en-ZM"/>
              </w:rPr>
              <w:t>Layer</w:t>
            </w:r>
          </w:p>
        </w:tc>
        <w:tc>
          <w:tcPr>
            <w:tcW w:w="2600" w:type="dxa"/>
            <w:shd w:val="clear" w:color="auto" w:fill="234A94"/>
            <w:tcMar>
              <w:top w:w="40" w:type="dxa"/>
              <w:left w:w="80" w:type="dxa"/>
              <w:bottom w:w="40" w:type="dxa"/>
              <w:right w:w="80" w:type="dxa"/>
            </w:tcMar>
            <w:vAlign w:val="center"/>
          </w:tcPr>
          <w:p w14:paraId="2D602411" w14:textId="77777777" w:rsidR="000C37C8" w:rsidRDefault="00000000">
            <w:pPr>
              <w:spacing w:after="40"/>
              <w:rPr>
                <w:rFonts w:ascii="Source Sans Pro" w:hAnsi="Source Sans Pro" w:cstheme="minorHAnsi"/>
                <w:b/>
                <w:bCs/>
                <w:color w:val="FFFFFF"/>
                <w:sz w:val="20"/>
                <w:szCs w:val="20"/>
                <w:lang w:val="en-ZM"/>
              </w:rPr>
            </w:pPr>
            <w:r>
              <w:rPr>
                <w:rFonts w:ascii="Source Sans Pro" w:hAnsi="Source Sans Pro" w:cstheme="minorHAnsi"/>
                <w:b/>
                <w:bCs/>
                <w:color w:val="FFFFFF"/>
                <w:sz w:val="20"/>
                <w:szCs w:val="20"/>
                <w:lang w:val="en-ZM"/>
              </w:rPr>
              <w:t>Cover</w:t>
            </w:r>
          </w:p>
        </w:tc>
        <w:tc>
          <w:tcPr>
            <w:tcW w:w="2630" w:type="dxa"/>
            <w:shd w:val="clear" w:color="auto" w:fill="234A94"/>
            <w:tcMar>
              <w:top w:w="40" w:type="dxa"/>
              <w:left w:w="80" w:type="dxa"/>
              <w:bottom w:w="40" w:type="dxa"/>
              <w:right w:w="80" w:type="dxa"/>
            </w:tcMar>
            <w:vAlign w:val="center"/>
          </w:tcPr>
          <w:p w14:paraId="5C547BE3" w14:textId="77777777" w:rsidR="000C37C8" w:rsidRDefault="00000000">
            <w:pPr>
              <w:spacing w:after="40"/>
              <w:rPr>
                <w:rFonts w:ascii="Source Sans Pro" w:hAnsi="Source Sans Pro" w:cstheme="minorHAnsi"/>
                <w:b/>
                <w:bCs/>
                <w:color w:val="FFFFFF"/>
                <w:sz w:val="20"/>
                <w:szCs w:val="20"/>
                <w:lang w:val="en-ZM"/>
              </w:rPr>
            </w:pPr>
            <w:r>
              <w:rPr>
                <w:rFonts w:ascii="Source Sans Pro" w:hAnsi="Source Sans Pro" w:cstheme="minorHAnsi"/>
                <w:b/>
                <w:bCs/>
                <w:color w:val="FFFFFF"/>
                <w:sz w:val="20"/>
                <w:szCs w:val="20"/>
                <w:lang w:val="en-ZM"/>
              </w:rPr>
              <w:t>Attaches above</w:t>
            </w:r>
          </w:p>
        </w:tc>
        <w:tc>
          <w:tcPr>
            <w:tcW w:w="2630" w:type="dxa"/>
            <w:shd w:val="clear" w:color="auto" w:fill="234A94"/>
            <w:tcMar>
              <w:top w:w="40" w:type="dxa"/>
              <w:left w:w="80" w:type="dxa"/>
              <w:bottom w:w="40" w:type="dxa"/>
              <w:right w:w="80" w:type="dxa"/>
            </w:tcMar>
            <w:vAlign w:val="center"/>
          </w:tcPr>
          <w:p w14:paraId="302199E5" w14:textId="77777777" w:rsidR="000C37C8" w:rsidRDefault="00000000">
            <w:pPr>
              <w:spacing w:after="40"/>
              <w:rPr>
                <w:rFonts w:ascii="Source Sans Pro" w:hAnsi="Source Sans Pro" w:cstheme="minorHAnsi"/>
                <w:b/>
                <w:bCs/>
                <w:color w:val="FFFFFF"/>
                <w:sz w:val="20"/>
                <w:szCs w:val="20"/>
                <w:lang w:val="en-ZM"/>
              </w:rPr>
            </w:pPr>
            <w:r>
              <w:rPr>
                <w:rFonts w:ascii="Source Sans Pro" w:hAnsi="Source Sans Pro" w:cstheme="minorHAnsi"/>
                <w:b/>
                <w:bCs/>
                <w:color w:val="FFFFFF"/>
                <w:sz w:val="20"/>
                <w:szCs w:val="20"/>
                <w:lang w:val="en-ZM"/>
              </w:rPr>
              <w:t>Reinstatements</w:t>
            </w:r>
          </w:p>
        </w:tc>
      </w:tr>
      <w:tr w:rsidR="000C37C8" w14:paraId="790D4ECF" w14:textId="77777777">
        <w:tc>
          <w:tcPr>
            <w:tcW w:w="1500" w:type="dxa"/>
            <w:tcMar>
              <w:top w:w="40" w:type="dxa"/>
              <w:left w:w="80" w:type="dxa"/>
              <w:bottom w:w="40" w:type="dxa"/>
              <w:right w:w="80" w:type="dxa"/>
            </w:tcMar>
            <w:vAlign w:val="center"/>
          </w:tcPr>
          <w:p w14:paraId="36E692C0"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Layer 1</w:t>
            </w:r>
          </w:p>
        </w:tc>
        <w:tc>
          <w:tcPr>
            <w:tcW w:w="2600" w:type="dxa"/>
            <w:tcMar>
              <w:top w:w="40" w:type="dxa"/>
              <w:left w:w="80" w:type="dxa"/>
              <w:bottom w:w="40" w:type="dxa"/>
              <w:right w:w="80" w:type="dxa"/>
            </w:tcMar>
            <w:vAlign w:val="center"/>
          </w:tcPr>
          <w:p w14:paraId="46989030"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5 million</w:t>
            </w:r>
          </w:p>
        </w:tc>
        <w:tc>
          <w:tcPr>
            <w:tcW w:w="2630" w:type="dxa"/>
            <w:tcMar>
              <w:top w:w="40" w:type="dxa"/>
              <w:left w:w="80" w:type="dxa"/>
              <w:bottom w:w="40" w:type="dxa"/>
              <w:right w:w="80" w:type="dxa"/>
            </w:tcMar>
            <w:vAlign w:val="center"/>
          </w:tcPr>
          <w:p w14:paraId="65E0635E"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5 million</w:t>
            </w:r>
          </w:p>
        </w:tc>
        <w:tc>
          <w:tcPr>
            <w:tcW w:w="2630" w:type="dxa"/>
            <w:tcMar>
              <w:top w:w="40" w:type="dxa"/>
              <w:left w:w="80" w:type="dxa"/>
              <w:bottom w:w="40" w:type="dxa"/>
              <w:right w:w="80" w:type="dxa"/>
            </w:tcMar>
            <w:vAlign w:val="center"/>
          </w:tcPr>
          <w:p w14:paraId="6C50F67F"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2</w:t>
            </w:r>
          </w:p>
        </w:tc>
      </w:tr>
      <w:tr w:rsidR="000C37C8" w14:paraId="288CAE93" w14:textId="77777777">
        <w:tc>
          <w:tcPr>
            <w:tcW w:w="1500" w:type="dxa"/>
            <w:tcMar>
              <w:top w:w="40" w:type="dxa"/>
              <w:left w:w="80" w:type="dxa"/>
              <w:bottom w:w="40" w:type="dxa"/>
              <w:right w:w="80" w:type="dxa"/>
            </w:tcMar>
            <w:vAlign w:val="center"/>
          </w:tcPr>
          <w:p w14:paraId="0E9551F7"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Layer 2</w:t>
            </w:r>
          </w:p>
        </w:tc>
        <w:tc>
          <w:tcPr>
            <w:tcW w:w="2600" w:type="dxa"/>
            <w:tcMar>
              <w:top w:w="40" w:type="dxa"/>
              <w:left w:w="80" w:type="dxa"/>
              <w:bottom w:w="40" w:type="dxa"/>
              <w:right w:w="80" w:type="dxa"/>
            </w:tcMar>
            <w:vAlign w:val="center"/>
          </w:tcPr>
          <w:p w14:paraId="11762077"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5 million</w:t>
            </w:r>
          </w:p>
        </w:tc>
        <w:tc>
          <w:tcPr>
            <w:tcW w:w="2630" w:type="dxa"/>
            <w:tcMar>
              <w:top w:w="40" w:type="dxa"/>
              <w:left w:w="80" w:type="dxa"/>
              <w:bottom w:w="40" w:type="dxa"/>
              <w:right w:w="80" w:type="dxa"/>
            </w:tcMar>
            <w:vAlign w:val="center"/>
          </w:tcPr>
          <w:p w14:paraId="7BC81D64"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10 million</w:t>
            </w:r>
          </w:p>
        </w:tc>
        <w:tc>
          <w:tcPr>
            <w:tcW w:w="2630" w:type="dxa"/>
            <w:tcMar>
              <w:top w:w="40" w:type="dxa"/>
              <w:left w:w="80" w:type="dxa"/>
              <w:bottom w:w="40" w:type="dxa"/>
              <w:right w:w="80" w:type="dxa"/>
            </w:tcMar>
            <w:vAlign w:val="center"/>
          </w:tcPr>
          <w:p w14:paraId="471C6CF4"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1</w:t>
            </w:r>
          </w:p>
        </w:tc>
      </w:tr>
      <w:tr w:rsidR="000C37C8" w14:paraId="1F92A2C6" w14:textId="77777777">
        <w:tc>
          <w:tcPr>
            <w:tcW w:w="1500" w:type="dxa"/>
            <w:tcMar>
              <w:top w:w="40" w:type="dxa"/>
              <w:left w:w="80" w:type="dxa"/>
              <w:bottom w:w="40" w:type="dxa"/>
              <w:right w:w="80" w:type="dxa"/>
            </w:tcMar>
            <w:vAlign w:val="center"/>
          </w:tcPr>
          <w:p w14:paraId="38120064" w14:textId="77777777" w:rsidR="000C37C8" w:rsidRDefault="00000000">
            <w:pPr>
              <w:spacing w:after="40"/>
              <w:rPr>
                <w:rFonts w:ascii="Source Sans Pro" w:hAnsi="Source Sans Pro" w:cstheme="minorHAnsi"/>
                <w:b/>
                <w:bCs/>
                <w:sz w:val="20"/>
                <w:szCs w:val="20"/>
                <w:lang w:val="en-ZM"/>
              </w:rPr>
            </w:pPr>
            <w:r>
              <w:rPr>
                <w:rFonts w:ascii="Source Sans Pro" w:hAnsi="Source Sans Pro" w:cstheme="minorHAnsi"/>
                <w:b/>
                <w:bCs/>
                <w:sz w:val="20"/>
                <w:szCs w:val="20"/>
                <w:lang w:val="en-ZM"/>
              </w:rPr>
              <w:t>Layer 3</w:t>
            </w:r>
          </w:p>
        </w:tc>
        <w:tc>
          <w:tcPr>
            <w:tcW w:w="2600" w:type="dxa"/>
            <w:tcMar>
              <w:top w:w="40" w:type="dxa"/>
              <w:left w:w="80" w:type="dxa"/>
              <w:bottom w:w="40" w:type="dxa"/>
              <w:right w:w="80" w:type="dxa"/>
            </w:tcMar>
            <w:vAlign w:val="center"/>
          </w:tcPr>
          <w:p w14:paraId="25A5BEA4"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5 million</w:t>
            </w:r>
          </w:p>
        </w:tc>
        <w:tc>
          <w:tcPr>
            <w:tcW w:w="2630" w:type="dxa"/>
            <w:tcMar>
              <w:top w:w="40" w:type="dxa"/>
              <w:left w:w="80" w:type="dxa"/>
              <w:bottom w:w="40" w:type="dxa"/>
              <w:right w:w="80" w:type="dxa"/>
            </w:tcMar>
            <w:vAlign w:val="center"/>
          </w:tcPr>
          <w:p w14:paraId="628F69E6"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15 million</w:t>
            </w:r>
          </w:p>
        </w:tc>
        <w:tc>
          <w:tcPr>
            <w:tcW w:w="2630" w:type="dxa"/>
            <w:tcMar>
              <w:top w:w="40" w:type="dxa"/>
              <w:left w:w="80" w:type="dxa"/>
              <w:bottom w:w="40" w:type="dxa"/>
              <w:right w:w="80" w:type="dxa"/>
            </w:tcMar>
            <w:vAlign w:val="center"/>
          </w:tcPr>
          <w:p w14:paraId="32DE91F8" w14:textId="77777777" w:rsidR="000C37C8" w:rsidRDefault="00000000">
            <w:pPr>
              <w:spacing w:after="40"/>
              <w:rPr>
                <w:rFonts w:ascii="Source Sans Pro" w:hAnsi="Source Sans Pro" w:cstheme="minorHAnsi"/>
                <w:sz w:val="20"/>
                <w:szCs w:val="20"/>
                <w:lang w:val="en-ZM"/>
              </w:rPr>
            </w:pPr>
            <w:r>
              <w:rPr>
                <w:rFonts w:ascii="Source Sans Pro" w:hAnsi="Source Sans Pro" w:cstheme="minorHAnsi"/>
                <w:sz w:val="20"/>
                <w:szCs w:val="20"/>
                <w:lang w:val="en-ZM"/>
              </w:rPr>
              <w:t>1</w:t>
            </w:r>
          </w:p>
        </w:tc>
      </w:tr>
    </w:tbl>
    <w:p w14:paraId="577B4AF0" w14:textId="77777777" w:rsidR="000C37C8" w:rsidRDefault="000C37C8">
      <w:pPr>
        <w:spacing w:after="120"/>
        <w:rPr>
          <w:rFonts w:ascii="Source Sans Pro" w:hAnsi="Source Sans Pro" w:cstheme="minorHAnsi"/>
          <w:sz w:val="22"/>
          <w:szCs w:val="20"/>
          <w:lang w:val="en-ZM"/>
        </w:rPr>
      </w:pPr>
    </w:p>
    <w:p w14:paraId="2FF6BE31"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lastRenderedPageBreak/>
        <w:t>The retrocession is applied year by year, and within each year event by event in chronological order. For every event, the recovery available from each layer is the part of the event loss that falls within that layer's band, capped at the layer's limit and at whatever annual aggregate capacity remains after earlier events in the same year. As recoveries are made, the remaining aggregate capacity of each layer is reduced, so that once a layer's reinstatements are exhausted it can pay no more for the rest of that year. This event by event depletion within a year is what makes the reinstatement logic meaningful, because it captures the fact that a second or third large event in the same year may find the cover partly or wholly used up. The net retained loss for each event is its gross loss less the total recovered across the three layers, and the gross and net figures then feed the Average Annual Loss and the two exceedance curves so that the effect of the programme is visible at every return period.</w:t>
      </w:r>
    </w:p>
    <w:p w14:paraId="27EB31F2" w14:textId="77777777" w:rsidR="000C37C8" w:rsidRDefault="00000000">
      <w:pPr>
        <w:pStyle w:val="Heading3"/>
        <w:rPr>
          <w:rFonts w:ascii="Source Sans Pro" w:hAnsi="Source Sans Pro"/>
          <w:lang w:val="en-ZM"/>
        </w:rPr>
      </w:pPr>
      <w:bookmarkStart w:id="60" w:name="_Toc90125"/>
      <w:bookmarkStart w:id="61" w:name="_Toc236079043"/>
      <w:r>
        <w:rPr>
          <w:rFonts w:ascii="Source Sans Pro" w:hAnsi="Source Sans Pro"/>
          <w:lang w:val="en-ZM"/>
        </w:rPr>
        <w:t>The output workbook</w:t>
      </w:r>
      <w:bookmarkEnd w:id="60"/>
      <w:bookmarkEnd w:id="61"/>
    </w:p>
    <w:p w14:paraId="04E7EA15" w14:textId="77777777" w:rsidR="000C37C8" w:rsidRDefault="000C37C8">
      <w:pPr>
        <w:rPr>
          <w:rFonts w:ascii="Source Sans Pro" w:hAnsi="Source Sans Pro"/>
        </w:rPr>
      </w:pPr>
    </w:p>
    <w:p w14:paraId="500BE0F3"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The final step writes the results to a single Excel workbook with a sheet for each view. There are detailed sheets giving the gross and net results at the level of individual occurrences, a summary of the gross and net Average Annual Loss, and separate sheets for the gross and net Aggregate and Occurrence Exceedance Probability curves, each showing the return period, the exceedance probability, the loss, the tail value at risk, and the contributing events. Presenting the results this way keeps the headline metrics and the detail that supports them together in one place, so that any figure can be understood and checked. This workbook is the practical end point of the Klapton Re earthquake workflow, the point at which modelled hazard, assumed exposure, borrowed vulnerability and contractual terms come together as numbers that inform pricing, capital and retrocession decisions.</w:t>
      </w:r>
    </w:p>
    <w:p w14:paraId="72C1A264" w14:textId="77777777" w:rsidR="000C37C8" w:rsidRDefault="00000000">
      <w:pPr>
        <w:pStyle w:val="Heading2"/>
        <w:numPr>
          <w:ilvl w:val="0"/>
          <w:numId w:val="4"/>
        </w:numPr>
        <w:spacing w:line="360" w:lineRule="auto"/>
        <w:ind w:left="360"/>
        <w:contextualSpacing/>
        <w:jc w:val="both"/>
        <w:rPr>
          <w:rFonts w:ascii="Source Sans Pro" w:hAnsi="Source Sans Pro" w:cstheme="minorHAnsi"/>
          <w:i w:val="0"/>
          <w:iCs/>
          <w:color w:val="234A9E"/>
          <w:sz w:val="36"/>
          <w:szCs w:val="22"/>
        </w:rPr>
      </w:pPr>
      <w:bookmarkStart w:id="62" w:name="_Toc90126"/>
      <w:bookmarkStart w:id="63" w:name="_Toc236079044"/>
      <w:r>
        <w:rPr>
          <w:rFonts w:ascii="Source Sans Pro" w:hAnsi="Source Sans Pro" w:cstheme="minorHAnsi"/>
          <w:i w:val="0"/>
          <w:iCs/>
          <w:color w:val="234A9E"/>
          <w:sz w:val="36"/>
          <w:szCs w:val="22"/>
        </w:rPr>
        <w:t>Extending the Framework to Other Perils</w:t>
      </w:r>
      <w:bookmarkEnd w:id="62"/>
      <w:bookmarkEnd w:id="63"/>
    </w:p>
    <w:p w14:paraId="097FC78C"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 xml:space="preserve">This framework has been written from the perspective of earthquake, because that is the peril for which Klapton Re has developed practical modelling experience. The Oasis workflow itself, however, is largely independent of peril. Provided the input files conform to the Oasis data standards, the way exposure is prepared, the way items and coverages are built, the way the engine samples ground up losses, the way the financial module applies terms, and the way results are aggregated into Event Loss Tables and exceedance curves all apply equally to other hazards. What changes from one peril to another is the science that fills the hazard and vulnerability files. Earthquake uses ground motion prediction equations to turn ruptures into shaking. A windstorm model would use different intensity measures and </w:t>
      </w:r>
      <w:r>
        <w:rPr>
          <w:rFonts w:ascii="Source Sans Pro" w:hAnsi="Source Sans Pro" w:cstheme="minorHAnsi"/>
          <w:sz w:val="22"/>
          <w:szCs w:val="20"/>
          <w:lang w:val="en-ZM"/>
        </w:rPr>
        <w:lastRenderedPageBreak/>
        <w:t>different wind field models. A flood model would need an entirely different approach to generating the hazard, based on hydrology and inundation rather than seismology. The sections below are placeholders for those perils, to be completed as the necessary experience is built.</w:t>
      </w:r>
    </w:p>
    <w:p w14:paraId="06170B06"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The intention is that each future peril section will mirror the earthquake material, describing the hazard generation appropriate to that peril, the vulnerability functions that suit it, any peril specific exposure attributes, and the way its footprint is constructed, while relying on the generic Oasis workflow already documented here for everything downstream of the footprint.</w:t>
      </w:r>
    </w:p>
    <w:p w14:paraId="3D0E8B65" w14:textId="77777777" w:rsidR="000C37C8" w:rsidRDefault="00000000">
      <w:pPr>
        <w:pStyle w:val="Heading3"/>
        <w:rPr>
          <w:rFonts w:ascii="Source Sans Pro" w:hAnsi="Source Sans Pro"/>
          <w:lang w:val="en-ZM"/>
        </w:rPr>
      </w:pPr>
      <w:bookmarkStart w:id="64" w:name="_Toc90127"/>
      <w:bookmarkStart w:id="65" w:name="_Toc236079045"/>
      <w:r>
        <w:rPr>
          <w:rFonts w:ascii="Source Sans Pro" w:hAnsi="Source Sans Pro"/>
          <w:lang w:val="en-ZM"/>
        </w:rPr>
        <w:t>Flood</w:t>
      </w:r>
      <w:bookmarkEnd w:id="64"/>
      <w:bookmarkEnd w:id="65"/>
    </w:p>
    <w:p w14:paraId="72066D97" w14:textId="77777777" w:rsidR="000C37C8" w:rsidRDefault="000C37C8">
      <w:pPr>
        <w:rPr>
          <w:rFonts w:ascii="Source Sans Pro" w:hAnsi="Source Sans Pro"/>
        </w:rPr>
      </w:pPr>
    </w:p>
    <w:p w14:paraId="7BA73A21"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To be determined.</w:t>
      </w:r>
    </w:p>
    <w:p w14:paraId="596E02FE" w14:textId="77777777" w:rsidR="000C37C8" w:rsidRDefault="00000000">
      <w:pPr>
        <w:pStyle w:val="Heading3"/>
        <w:rPr>
          <w:rFonts w:ascii="Source Sans Pro" w:hAnsi="Source Sans Pro"/>
          <w:lang w:val="en-ZM"/>
        </w:rPr>
      </w:pPr>
      <w:bookmarkStart w:id="66" w:name="_Toc90128"/>
      <w:bookmarkStart w:id="67" w:name="_Toc236079046"/>
      <w:r>
        <w:rPr>
          <w:rFonts w:ascii="Source Sans Pro" w:hAnsi="Source Sans Pro"/>
          <w:lang w:val="en-ZM"/>
        </w:rPr>
        <w:t>Tropical Cyclone</w:t>
      </w:r>
      <w:bookmarkEnd w:id="66"/>
      <w:bookmarkEnd w:id="67"/>
    </w:p>
    <w:p w14:paraId="6C759F9D" w14:textId="77777777" w:rsidR="000C37C8" w:rsidRDefault="000C37C8">
      <w:pPr>
        <w:rPr>
          <w:rFonts w:ascii="Source Sans Pro" w:hAnsi="Source Sans Pro"/>
        </w:rPr>
      </w:pPr>
    </w:p>
    <w:p w14:paraId="777945F7"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To be determined.</w:t>
      </w:r>
    </w:p>
    <w:p w14:paraId="027DFF5C" w14:textId="77777777" w:rsidR="000C37C8" w:rsidRDefault="00000000">
      <w:pPr>
        <w:pStyle w:val="Heading3"/>
        <w:rPr>
          <w:rFonts w:ascii="Source Sans Pro" w:hAnsi="Source Sans Pro"/>
          <w:lang w:val="en-ZM"/>
        </w:rPr>
      </w:pPr>
      <w:bookmarkStart w:id="68" w:name="_Toc90129"/>
      <w:bookmarkStart w:id="69" w:name="_Toc236079047"/>
      <w:r>
        <w:rPr>
          <w:rFonts w:ascii="Source Sans Pro" w:hAnsi="Source Sans Pro"/>
          <w:lang w:val="en-ZM"/>
        </w:rPr>
        <w:t>Wildfire</w:t>
      </w:r>
      <w:bookmarkEnd w:id="68"/>
      <w:bookmarkEnd w:id="69"/>
    </w:p>
    <w:p w14:paraId="36BA0BD1" w14:textId="77777777" w:rsidR="000C37C8" w:rsidRDefault="000C37C8">
      <w:pPr>
        <w:rPr>
          <w:rFonts w:ascii="Source Sans Pro" w:hAnsi="Source Sans Pro"/>
        </w:rPr>
      </w:pPr>
    </w:p>
    <w:p w14:paraId="1A642EE4" w14:textId="77777777" w:rsidR="000C37C8" w:rsidRDefault="00000000">
      <w:pPr>
        <w:spacing w:after="240" w:line="360" w:lineRule="auto"/>
        <w:contextualSpacing/>
        <w:jc w:val="both"/>
        <w:rPr>
          <w:rFonts w:ascii="Source Sans Pro" w:hAnsi="Source Sans Pro" w:cstheme="minorHAnsi"/>
          <w:sz w:val="22"/>
          <w:szCs w:val="20"/>
          <w:lang w:val="en-ZM"/>
        </w:rPr>
      </w:pPr>
      <w:r>
        <w:rPr>
          <w:rFonts w:ascii="Source Sans Pro" w:hAnsi="Source Sans Pro" w:cstheme="minorHAnsi"/>
          <w:sz w:val="22"/>
          <w:szCs w:val="20"/>
          <w:lang w:val="en-ZM"/>
        </w:rPr>
        <w:t>To be determined.</w:t>
      </w:r>
    </w:p>
    <w:sectPr w:rsidR="000C37C8" w:rsidSect="00C57E7E">
      <w:pgSz w:w="12240" w:h="15840" w:code="1"/>
      <w:pgMar w:top="1440" w:right="1440" w:bottom="1440" w:left="1440" w:header="709" w:footer="432"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E88E7" w14:textId="77777777" w:rsidR="00360879" w:rsidRPr="008D364E" w:rsidRDefault="00360879" w:rsidP="00CC1C5B">
      <w:r w:rsidRPr="008D364E">
        <w:separator/>
      </w:r>
    </w:p>
  </w:endnote>
  <w:endnote w:type="continuationSeparator" w:id="0">
    <w:p w14:paraId="2B790A83" w14:textId="77777777" w:rsidR="00360879" w:rsidRPr="008D364E" w:rsidRDefault="00360879" w:rsidP="00CC1C5B">
      <w:r w:rsidRPr="008D364E">
        <w:continuationSeparator/>
      </w:r>
    </w:p>
  </w:endnote>
  <w:endnote w:type="continuationNotice" w:id="1">
    <w:p w14:paraId="3A46B146" w14:textId="77777777" w:rsidR="00360879" w:rsidRPr="008D364E" w:rsidRDefault="003608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altName w:val="Arial"/>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3298" w14:textId="77777777" w:rsidR="00CC1C5B" w:rsidRPr="008D364E" w:rsidRDefault="00CC1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71062" w14:textId="77777777" w:rsidR="00CC1C5B" w:rsidRPr="008D364E" w:rsidRDefault="00CC1C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E7015" w14:textId="77777777" w:rsidR="00CC1C5B" w:rsidRPr="008D364E" w:rsidRDefault="00CC1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61072" w14:textId="77777777" w:rsidR="00360879" w:rsidRPr="008D364E" w:rsidRDefault="00360879" w:rsidP="00CC1C5B">
      <w:r w:rsidRPr="008D364E">
        <w:separator/>
      </w:r>
    </w:p>
  </w:footnote>
  <w:footnote w:type="continuationSeparator" w:id="0">
    <w:p w14:paraId="764B91E5" w14:textId="77777777" w:rsidR="00360879" w:rsidRPr="008D364E" w:rsidRDefault="00360879" w:rsidP="00CC1C5B">
      <w:r w:rsidRPr="008D364E">
        <w:continuationSeparator/>
      </w:r>
    </w:p>
  </w:footnote>
  <w:footnote w:type="continuationNotice" w:id="1">
    <w:p w14:paraId="59C8B07A" w14:textId="77777777" w:rsidR="00360879" w:rsidRPr="008D364E" w:rsidRDefault="003608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AC35B" w14:textId="77777777" w:rsidR="00CC1C5B" w:rsidRPr="008D364E" w:rsidRDefault="00CC1C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7FA2" w14:textId="77777777" w:rsidR="006F4013" w:rsidRPr="008D364E" w:rsidRDefault="00CC1C5B">
    <w:pPr>
      <w:pStyle w:val="Header"/>
    </w:pPr>
    <w:r w:rsidRPr="008D364E">
      <w:rPr>
        <w:noProof/>
      </w:rPr>
      <w:drawing>
        <wp:anchor distT="0" distB="0" distL="114300" distR="114300" simplePos="0" relativeHeight="251658240" behindDoc="0" locked="0" layoutInCell="1" allowOverlap="1" wp14:anchorId="4A002583" wp14:editId="02ABF7AC">
          <wp:simplePos x="0" y="0"/>
          <wp:positionH relativeFrom="margin">
            <wp:align>right</wp:align>
          </wp:positionH>
          <wp:positionV relativeFrom="paragraph">
            <wp:posOffset>-245745</wp:posOffset>
          </wp:positionV>
          <wp:extent cx="1527810" cy="488315"/>
          <wp:effectExtent l="0" t="0" r="0" b="6985"/>
          <wp:wrapTopAndBottom/>
          <wp:docPr id="70777326" name="Picture 70777326" descr="A black background with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background with a let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27810" cy="48831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4A7C" w14:textId="77777777" w:rsidR="00CC1C5B" w:rsidRPr="008D364E" w:rsidRDefault="00CC1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6450"/>
    <w:multiLevelType w:val="multilevel"/>
    <w:tmpl w:val="2AE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F20FB"/>
    <w:multiLevelType w:val="hybridMultilevel"/>
    <w:tmpl w:val="D90A0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D3E47"/>
    <w:multiLevelType w:val="multilevel"/>
    <w:tmpl w:val="F15AD13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ind w:left="1800" w:hanging="360"/>
      </w:pPr>
      <w:rPr>
        <w:rFonts w:ascii="Symbol" w:hAnsi="Symbol" w:hint="default"/>
      </w:rPr>
    </w:lvl>
    <w:lvl w:ilvl="3">
      <w:start w:val="1"/>
      <w:numFmt w:val="lowerRoman"/>
      <w:lvlText w:val="(%4)"/>
      <w:lvlJc w:val="left"/>
      <w:pPr>
        <w:ind w:left="2880" w:hanging="720"/>
      </w:pPr>
      <w:rPr>
        <w:rFont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AB02A69"/>
    <w:multiLevelType w:val="hybridMultilevel"/>
    <w:tmpl w:val="8026D4F8"/>
    <w:lvl w:ilvl="0" w:tplc="C0421EE8">
      <w:start w:val="1"/>
      <w:numFmt w:val="decimal"/>
      <w:lvlText w:val="%1."/>
      <w:lvlJc w:val="left"/>
      <w:pPr>
        <w:ind w:left="360" w:hanging="360"/>
      </w:pPr>
      <w:rPr>
        <w:rFonts w:hint="default"/>
        <w:b w:val="0"/>
        <w:bCs/>
        <w:color w:val="1F3864" w:themeColor="accent1" w:themeShade="8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15:restartNumberingAfterBreak="0">
    <w:nsid w:val="158C5506"/>
    <w:multiLevelType w:val="multilevel"/>
    <w:tmpl w:val="1D9A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C7888"/>
    <w:multiLevelType w:val="hybridMultilevel"/>
    <w:tmpl w:val="718A35D4"/>
    <w:lvl w:ilvl="0" w:tplc="AD7CE1E0">
      <w:start w:val="1"/>
      <w:numFmt w:val="decimal"/>
      <w:lvlText w:val="%1."/>
      <w:lvlJc w:val="left"/>
      <w:pPr>
        <w:ind w:left="720" w:hanging="360"/>
      </w:pPr>
      <w:rPr>
        <w:rFonts w:hint="default"/>
        <w:b w:val="0"/>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0924A67"/>
    <w:multiLevelType w:val="multilevel"/>
    <w:tmpl w:val="2C02A2D2"/>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B95396E"/>
    <w:multiLevelType w:val="multilevel"/>
    <w:tmpl w:val="EFB8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86DBB"/>
    <w:multiLevelType w:val="hybridMultilevel"/>
    <w:tmpl w:val="602E1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3333D4"/>
    <w:multiLevelType w:val="multilevel"/>
    <w:tmpl w:val="2A5E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80241"/>
    <w:multiLevelType w:val="hybridMultilevel"/>
    <w:tmpl w:val="2716C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654034"/>
    <w:multiLevelType w:val="multilevel"/>
    <w:tmpl w:val="4BCC6544"/>
    <w:lvl w:ilvl="0">
      <w:start w:val="1"/>
      <w:numFmt w:val="decimal"/>
      <w:lvlText w:val="%1."/>
      <w:lvlJc w:val="left"/>
      <w:pPr>
        <w:ind w:left="720" w:hanging="360"/>
      </w:pPr>
      <w:rPr>
        <w:rFonts w:hint="default"/>
        <w:b w:val="0"/>
        <w:bCs w:val="0"/>
        <w:sz w:val="36"/>
        <w:szCs w:val="36"/>
      </w:rPr>
    </w:lvl>
    <w:lvl w:ilvl="1">
      <w:start w:val="1"/>
      <w:numFmt w:val="decimal"/>
      <w:isLgl/>
      <w:lvlText w:val="%1.%2."/>
      <w:lvlJc w:val="left"/>
      <w:pPr>
        <w:ind w:left="1080" w:hanging="720"/>
      </w:pPr>
      <w:rPr>
        <w:rFonts w:hint="default"/>
        <w:b w:val="0"/>
        <w:bCs w:val="0"/>
      </w:rPr>
    </w:lvl>
    <w:lvl w:ilvl="2">
      <w:start w:val="1"/>
      <w:numFmt w:val="decimal"/>
      <w:isLgl/>
      <w:lvlText w:val="%1.%2.%3."/>
      <w:lvlJc w:val="left"/>
      <w:pPr>
        <w:ind w:left="1080" w:hanging="72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F483366"/>
    <w:multiLevelType w:val="hybridMultilevel"/>
    <w:tmpl w:val="127A1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750C5B"/>
    <w:multiLevelType w:val="hybridMultilevel"/>
    <w:tmpl w:val="6DE2D6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255554F"/>
    <w:multiLevelType w:val="hybridMultilevel"/>
    <w:tmpl w:val="4E3CD34C"/>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3245296"/>
    <w:multiLevelType w:val="hybridMultilevel"/>
    <w:tmpl w:val="0F8E14DE"/>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61C2508"/>
    <w:multiLevelType w:val="hybridMultilevel"/>
    <w:tmpl w:val="BB82F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696182"/>
    <w:multiLevelType w:val="hybridMultilevel"/>
    <w:tmpl w:val="CCA8DEA2"/>
    <w:lvl w:ilvl="0" w:tplc="AD7CE1E0">
      <w:start w:val="1"/>
      <w:numFmt w:val="decimal"/>
      <w:lvlText w:val="%1."/>
      <w:lvlJc w:val="left"/>
      <w:pPr>
        <w:ind w:left="720" w:hanging="360"/>
      </w:pPr>
      <w:rPr>
        <w:rFonts w:hint="default"/>
        <w:b w:val="0"/>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BC567BB"/>
    <w:multiLevelType w:val="multilevel"/>
    <w:tmpl w:val="5CA6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25415"/>
    <w:multiLevelType w:val="multilevel"/>
    <w:tmpl w:val="E06AC1E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C21322D"/>
    <w:multiLevelType w:val="multilevel"/>
    <w:tmpl w:val="66A646C8"/>
    <w:lvl w:ilvl="0">
      <w:start w:val="2"/>
      <w:numFmt w:val="decimal"/>
      <w:lvlText w:val="%1."/>
      <w:lvlJc w:val="left"/>
      <w:pPr>
        <w:ind w:left="504" w:hanging="504"/>
      </w:pPr>
      <w:rPr>
        <w:rFonts w:hint="default"/>
      </w:rPr>
    </w:lvl>
    <w:lvl w:ilvl="1">
      <w:start w:val="3"/>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ED85056"/>
    <w:multiLevelType w:val="multilevel"/>
    <w:tmpl w:val="71D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840E8"/>
    <w:multiLevelType w:val="multilevel"/>
    <w:tmpl w:val="6D8C2A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4E33776"/>
    <w:multiLevelType w:val="hybridMultilevel"/>
    <w:tmpl w:val="E72E8D2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8135D36"/>
    <w:multiLevelType w:val="hybridMultilevel"/>
    <w:tmpl w:val="707249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8F25471"/>
    <w:multiLevelType w:val="hybridMultilevel"/>
    <w:tmpl w:val="8F809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0070A3"/>
    <w:multiLevelType w:val="hybridMultilevel"/>
    <w:tmpl w:val="A36E5A10"/>
    <w:lvl w:ilvl="0" w:tplc="FF74B4A4">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7A235EA4"/>
    <w:multiLevelType w:val="multilevel"/>
    <w:tmpl w:val="275E96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7ABC5576"/>
    <w:multiLevelType w:val="hybridMultilevel"/>
    <w:tmpl w:val="6C546CFE"/>
    <w:lvl w:ilvl="0" w:tplc="885E015C">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7B801F6F"/>
    <w:multiLevelType w:val="multilevel"/>
    <w:tmpl w:val="D23011C0"/>
    <w:lvl w:ilvl="0">
      <w:start w:val="2"/>
      <w:numFmt w:val="decimal"/>
      <w:lvlText w:val="%1."/>
      <w:lvlJc w:val="left"/>
      <w:pPr>
        <w:ind w:left="540" w:hanging="540"/>
      </w:pPr>
      <w:rPr>
        <w:rFonts w:hint="default"/>
        <w:b/>
      </w:rPr>
    </w:lvl>
    <w:lvl w:ilvl="1">
      <w:start w:val="2"/>
      <w:numFmt w:val="decimal"/>
      <w:lvlText w:val="%1.%2."/>
      <w:lvlJc w:val="left"/>
      <w:pPr>
        <w:ind w:left="540" w:hanging="540"/>
      </w:pPr>
      <w:rPr>
        <w:rFonts w:hint="default"/>
        <w:b/>
      </w:rPr>
    </w:lvl>
    <w:lvl w:ilvl="2">
      <w:start w:val="2"/>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1030029945">
    <w:abstractNumId w:val="23"/>
  </w:num>
  <w:num w:numId="2" w16cid:durableId="778137012">
    <w:abstractNumId w:val="2"/>
  </w:num>
  <w:num w:numId="3" w16cid:durableId="1940327661">
    <w:abstractNumId w:val="19"/>
  </w:num>
  <w:num w:numId="4" w16cid:durableId="1800418038">
    <w:abstractNumId w:val="11"/>
  </w:num>
  <w:num w:numId="5" w16cid:durableId="226112439">
    <w:abstractNumId w:val="6"/>
  </w:num>
  <w:num w:numId="6" w16cid:durableId="1972251901">
    <w:abstractNumId w:val="29"/>
  </w:num>
  <w:num w:numId="7" w16cid:durableId="625813134">
    <w:abstractNumId w:val="20"/>
  </w:num>
  <w:num w:numId="8" w16cid:durableId="50731667">
    <w:abstractNumId w:val="8"/>
  </w:num>
  <w:num w:numId="9" w16cid:durableId="871265716">
    <w:abstractNumId w:val="4"/>
  </w:num>
  <w:num w:numId="10" w16cid:durableId="391269619">
    <w:abstractNumId w:val="16"/>
  </w:num>
  <w:num w:numId="11" w16cid:durableId="1539396764">
    <w:abstractNumId w:val="9"/>
  </w:num>
  <w:num w:numId="12" w16cid:durableId="1074232481">
    <w:abstractNumId w:val="1"/>
  </w:num>
  <w:num w:numId="13" w16cid:durableId="1845438287">
    <w:abstractNumId w:val="10"/>
  </w:num>
  <w:num w:numId="14" w16cid:durableId="1444039537">
    <w:abstractNumId w:val="25"/>
  </w:num>
  <w:num w:numId="15" w16cid:durableId="1059287723">
    <w:abstractNumId w:val="12"/>
  </w:num>
  <w:num w:numId="16" w16cid:durableId="1407920265">
    <w:abstractNumId w:val="0"/>
  </w:num>
  <w:num w:numId="17" w16cid:durableId="1019085798">
    <w:abstractNumId w:val="13"/>
  </w:num>
  <w:num w:numId="18" w16cid:durableId="823279735">
    <w:abstractNumId w:val="27"/>
  </w:num>
  <w:num w:numId="19" w16cid:durableId="15935258">
    <w:abstractNumId w:val="22"/>
  </w:num>
  <w:num w:numId="20" w16cid:durableId="770466777">
    <w:abstractNumId w:val="17"/>
  </w:num>
  <w:num w:numId="21" w16cid:durableId="1744402103">
    <w:abstractNumId w:val="5"/>
  </w:num>
  <w:num w:numId="22" w16cid:durableId="1008101394">
    <w:abstractNumId w:val="28"/>
  </w:num>
  <w:num w:numId="23" w16cid:durableId="684986567">
    <w:abstractNumId w:val="24"/>
  </w:num>
  <w:num w:numId="24" w16cid:durableId="1686327704">
    <w:abstractNumId w:val="26"/>
  </w:num>
  <w:num w:numId="25" w16cid:durableId="888612793">
    <w:abstractNumId w:val="14"/>
  </w:num>
  <w:num w:numId="26" w16cid:durableId="1257783720">
    <w:abstractNumId w:val="15"/>
  </w:num>
  <w:num w:numId="27" w16cid:durableId="164983210">
    <w:abstractNumId w:val="21"/>
  </w:num>
  <w:num w:numId="28" w16cid:durableId="661853265">
    <w:abstractNumId w:val="18"/>
  </w:num>
  <w:num w:numId="29" w16cid:durableId="1231889419">
    <w:abstractNumId w:val="7"/>
  </w:num>
  <w:num w:numId="30" w16cid:durableId="1725248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368"/>
    <w:rsid w:val="000056FC"/>
    <w:rsid w:val="00007D29"/>
    <w:rsid w:val="0001207C"/>
    <w:rsid w:val="0001460F"/>
    <w:rsid w:val="00027CBC"/>
    <w:rsid w:val="0003482E"/>
    <w:rsid w:val="0005455C"/>
    <w:rsid w:val="00056812"/>
    <w:rsid w:val="0006155C"/>
    <w:rsid w:val="00061726"/>
    <w:rsid w:val="00061FCC"/>
    <w:rsid w:val="0007063D"/>
    <w:rsid w:val="000763FE"/>
    <w:rsid w:val="0008039E"/>
    <w:rsid w:val="00091E70"/>
    <w:rsid w:val="00092F93"/>
    <w:rsid w:val="00093773"/>
    <w:rsid w:val="000A47E0"/>
    <w:rsid w:val="000A7CFE"/>
    <w:rsid w:val="000B2793"/>
    <w:rsid w:val="000B2C16"/>
    <w:rsid w:val="000B2C5E"/>
    <w:rsid w:val="000B3C6E"/>
    <w:rsid w:val="000C37C8"/>
    <w:rsid w:val="000C3BA6"/>
    <w:rsid w:val="000D15F3"/>
    <w:rsid w:val="000E0AFF"/>
    <w:rsid w:val="00103B9A"/>
    <w:rsid w:val="00115FDD"/>
    <w:rsid w:val="00131D32"/>
    <w:rsid w:val="00142126"/>
    <w:rsid w:val="0014369A"/>
    <w:rsid w:val="00145A98"/>
    <w:rsid w:val="00147D6F"/>
    <w:rsid w:val="00150888"/>
    <w:rsid w:val="00151AEE"/>
    <w:rsid w:val="001601FA"/>
    <w:rsid w:val="00164135"/>
    <w:rsid w:val="001661B6"/>
    <w:rsid w:val="00167C77"/>
    <w:rsid w:val="001705CF"/>
    <w:rsid w:val="00175329"/>
    <w:rsid w:val="00175A27"/>
    <w:rsid w:val="00176AA8"/>
    <w:rsid w:val="00181909"/>
    <w:rsid w:val="00192CD9"/>
    <w:rsid w:val="001A018C"/>
    <w:rsid w:val="001A29F4"/>
    <w:rsid w:val="001C7560"/>
    <w:rsid w:val="001E1168"/>
    <w:rsid w:val="001E1723"/>
    <w:rsid w:val="001E36DF"/>
    <w:rsid w:val="001E4177"/>
    <w:rsid w:val="001E4316"/>
    <w:rsid w:val="001F20E4"/>
    <w:rsid w:val="002001C4"/>
    <w:rsid w:val="00203701"/>
    <w:rsid w:val="002102D9"/>
    <w:rsid w:val="0021578F"/>
    <w:rsid w:val="00225D71"/>
    <w:rsid w:val="00247CC0"/>
    <w:rsid w:val="00281541"/>
    <w:rsid w:val="002832D1"/>
    <w:rsid w:val="002A1679"/>
    <w:rsid w:val="002A4744"/>
    <w:rsid w:val="002A643F"/>
    <w:rsid w:val="002B0AD8"/>
    <w:rsid w:val="002C1445"/>
    <w:rsid w:val="002C1B76"/>
    <w:rsid w:val="002C6413"/>
    <w:rsid w:val="002D19D6"/>
    <w:rsid w:val="002F65CA"/>
    <w:rsid w:val="002F7456"/>
    <w:rsid w:val="00301A5C"/>
    <w:rsid w:val="00303F54"/>
    <w:rsid w:val="003137A0"/>
    <w:rsid w:val="00316DF1"/>
    <w:rsid w:val="00317A1C"/>
    <w:rsid w:val="00320115"/>
    <w:rsid w:val="00322BE4"/>
    <w:rsid w:val="00326132"/>
    <w:rsid w:val="00327ABB"/>
    <w:rsid w:val="00330CC2"/>
    <w:rsid w:val="00340BF7"/>
    <w:rsid w:val="00345859"/>
    <w:rsid w:val="00352067"/>
    <w:rsid w:val="00360879"/>
    <w:rsid w:val="00371301"/>
    <w:rsid w:val="00376BA6"/>
    <w:rsid w:val="003836B1"/>
    <w:rsid w:val="0038382F"/>
    <w:rsid w:val="003870C5"/>
    <w:rsid w:val="00392D67"/>
    <w:rsid w:val="00396E97"/>
    <w:rsid w:val="003A1F7F"/>
    <w:rsid w:val="003B0696"/>
    <w:rsid w:val="003B1108"/>
    <w:rsid w:val="003B25BD"/>
    <w:rsid w:val="003B762F"/>
    <w:rsid w:val="003C2C57"/>
    <w:rsid w:val="003C4DCC"/>
    <w:rsid w:val="003D0125"/>
    <w:rsid w:val="003D3441"/>
    <w:rsid w:val="003D5344"/>
    <w:rsid w:val="003F2C23"/>
    <w:rsid w:val="003F57E6"/>
    <w:rsid w:val="003F5906"/>
    <w:rsid w:val="003F5C58"/>
    <w:rsid w:val="00401438"/>
    <w:rsid w:val="004015BE"/>
    <w:rsid w:val="00404409"/>
    <w:rsid w:val="00410200"/>
    <w:rsid w:val="00414075"/>
    <w:rsid w:val="0041420A"/>
    <w:rsid w:val="004154F1"/>
    <w:rsid w:val="00417F3B"/>
    <w:rsid w:val="0042624B"/>
    <w:rsid w:val="00432936"/>
    <w:rsid w:val="00433726"/>
    <w:rsid w:val="004346BC"/>
    <w:rsid w:val="00442872"/>
    <w:rsid w:val="0044669F"/>
    <w:rsid w:val="0045737F"/>
    <w:rsid w:val="004616C3"/>
    <w:rsid w:val="00465589"/>
    <w:rsid w:val="00465784"/>
    <w:rsid w:val="00465AA4"/>
    <w:rsid w:val="00466200"/>
    <w:rsid w:val="0047295F"/>
    <w:rsid w:val="0047450F"/>
    <w:rsid w:val="0048255D"/>
    <w:rsid w:val="00490960"/>
    <w:rsid w:val="0049135B"/>
    <w:rsid w:val="004A0483"/>
    <w:rsid w:val="004A3368"/>
    <w:rsid w:val="004A5B80"/>
    <w:rsid w:val="004A60B6"/>
    <w:rsid w:val="004B0859"/>
    <w:rsid w:val="004B68E8"/>
    <w:rsid w:val="004C1B0E"/>
    <w:rsid w:val="004C2005"/>
    <w:rsid w:val="004C39ED"/>
    <w:rsid w:val="004C7189"/>
    <w:rsid w:val="004D0679"/>
    <w:rsid w:val="004E0FE7"/>
    <w:rsid w:val="00500809"/>
    <w:rsid w:val="00507F34"/>
    <w:rsid w:val="00510234"/>
    <w:rsid w:val="0051126F"/>
    <w:rsid w:val="00514282"/>
    <w:rsid w:val="0052557B"/>
    <w:rsid w:val="00530B90"/>
    <w:rsid w:val="005475A4"/>
    <w:rsid w:val="0057044E"/>
    <w:rsid w:val="00570704"/>
    <w:rsid w:val="00572ABD"/>
    <w:rsid w:val="0058041C"/>
    <w:rsid w:val="00580AEC"/>
    <w:rsid w:val="00583875"/>
    <w:rsid w:val="005862F3"/>
    <w:rsid w:val="00590B4B"/>
    <w:rsid w:val="00593066"/>
    <w:rsid w:val="005933DF"/>
    <w:rsid w:val="005A0AC2"/>
    <w:rsid w:val="005A165D"/>
    <w:rsid w:val="005C5946"/>
    <w:rsid w:val="005E2947"/>
    <w:rsid w:val="005E2D88"/>
    <w:rsid w:val="00601985"/>
    <w:rsid w:val="00620D9D"/>
    <w:rsid w:val="0063054E"/>
    <w:rsid w:val="00637777"/>
    <w:rsid w:val="00645A9A"/>
    <w:rsid w:val="00655A62"/>
    <w:rsid w:val="006606E1"/>
    <w:rsid w:val="00663FE2"/>
    <w:rsid w:val="00685E0F"/>
    <w:rsid w:val="0069568C"/>
    <w:rsid w:val="0069670C"/>
    <w:rsid w:val="006A2165"/>
    <w:rsid w:val="006A323F"/>
    <w:rsid w:val="006A4F47"/>
    <w:rsid w:val="006A5341"/>
    <w:rsid w:val="006A5702"/>
    <w:rsid w:val="006A5C04"/>
    <w:rsid w:val="006A6EE5"/>
    <w:rsid w:val="006A785E"/>
    <w:rsid w:val="006C0560"/>
    <w:rsid w:val="006C3AA5"/>
    <w:rsid w:val="006C422D"/>
    <w:rsid w:val="006C5A35"/>
    <w:rsid w:val="006D2F8D"/>
    <w:rsid w:val="006F1792"/>
    <w:rsid w:val="006F2C12"/>
    <w:rsid w:val="006F4013"/>
    <w:rsid w:val="006F7A74"/>
    <w:rsid w:val="00710748"/>
    <w:rsid w:val="0071141C"/>
    <w:rsid w:val="007134C3"/>
    <w:rsid w:val="0071386D"/>
    <w:rsid w:val="00713C4F"/>
    <w:rsid w:val="0071438A"/>
    <w:rsid w:val="007152B2"/>
    <w:rsid w:val="00730C94"/>
    <w:rsid w:val="00733DD2"/>
    <w:rsid w:val="007457FF"/>
    <w:rsid w:val="007523C7"/>
    <w:rsid w:val="00757154"/>
    <w:rsid w:val="00776406"/>
    <w:rsid w:val="0078687F"/>
    <w:rsid w:val="0079583B"/>
    <w:rsid w:val="007958C7"/>
    <w:rsid w:val="007B143F"/>
    <w:rsid w:val="007B4F65"/>
    <w:rsid w:val="007D5B57"/>
    <w:rsid w:val="007D68EF"/>
    <w:rsid w:val="007D7C1D"/>
    <w:rsid w:val="007F3D58"/>
    <w:rsid w:val="00807CF1"/>
    <w:rsid w:val="00807DFC"/>
    <w:rsid w:val="00816FE4"/>
    <w:rsid w:val="00834D9E"/>
    <w:rsid w:val="00836188"/>
    <w:rsid w:val="00862AB1"/>
    <w:rsid w:val="00866620"/>
    <w:rsid w:val="008716D9"/>
    <w:rsid w:val="0087520A"/>
    <w:rsid w:val="00875D50"/>
    <w:rsid w:val="008774D9"/>
    <w:rsid w:val="0088687B"/>
    <w:rsid w:val="00894B92"/>
    <w:rsid w:val="008A06CA"/>
    <w:rsid w:val="008A1A51"/>
    <w:rsid w:val="008A36A0"/>
    <w:rsid w:val="008A46A6"/>
    <w:rsid w:val="008A4DD2"/>
    <w:rsid w:val="008B1554"/>
    <w:rsid w:val="008C6D66"/>
    <w:rsid w:val="008D364E"/>
    <w:rsid w:val="008E4C74"/>
    <w:rsid w:val="008E5CEA"/>
    <w:rsid w:val="008F28BD"/>
    <w:rsid w:val="0090094D"/>
    <w:rsid w:val="00901CD0"/>
    <w:rsid w:val="009220B8"/>
    <w:rsid w:val="009252DF"/>
    <w:rsid w:val="009273CB"/>
    <w:rsid w:val="009317FB"/>
    <w:rsid w:val="00954457"/>
    <w:rsid w:val="00961699"/>
    <w:rsid w:val="009625B5"/>
    <w:rsid w:val="00975AF3"/>
    <w:rsid w:val="009817AF"/>
    <w:rsid w:val="00985620"/>
    <w:rsid w:val="009A3F3B"/>
    <w:rsid w:val="009A663F"/>
    <w:rsid w:val="009B6964"/>
    <w:rsid w:val="009D3CB8"/>
    <w:rsid w:val="009D44AB"/>
    <w:rsid w:val="009E3C28"/>
    <w:rsid w:val="009F12EC"/>
    <w:rsid w:val="009F1801"/>
    <w:rsid w:val="009F7491"/>
    <w:rsid w:val="00A058D0"/>
    <w:rsid w:val="00A069E1"/>
    <w:rsid w:val="00A1423D"/>
    <w:rsid w:val="00A1578D"/>
    <w:rsid w:val="00A23C00"/>
    <w:rsid w:val="00A23DF1"/>
    <w:rsid w:val="00A26188"/>
    <w:rsid w:val="00A305F9"/>
    <w:rsid w:val="00A30E66"/>
    <w:rsid w:val="00A338C6"/>
    <w:rsid w:val="00A36B9A"/>
    <w:rsid w:val="00A43035"/>
    <w:rsid w:val="00A43D36"/>
    <w:rsid w:val="00A556B6"/>
    <w:rsid w:val="00A604C4"/>
    <w:rsid w:val="00A64830"/>
    <w:rsid w:val="00A914CB"/>
    <w:rsid w:val="00A969AB"/>
    <w:rsid w:val="00A97C11"/>
    <w:rsid w:val="00AA2926"/>
    <w:rsid w:val="00AA2ED9"/>
    <w:rsid w:val="00AA78D8"/>
    <w:rsid w:val="00AB00F5"/>
    <w:rsid w:val="00AB0620"/>
    <w:rsid w:val="00AB4167"/>
    <w:rsid w:val="00AC66B2"/>
    <w:rsid w:val="00AC6D5E"/>
    <w:rsid w:val="00AC76C6"/>
    <w:rsid w:val="00AC78FF"/>
    <w:rsid w:val="00AD43FF"/>
    <w:rsid w:val="00AD69ED"/>
    <w:rsid w:val="00AD6A2B"/>
    <w:rsid w:val="00AD72E2"/>
    <w:rsid w:val="00AE2B21"/>
    <w:rsid w:val="00AE52B0"/>
    <w:rsid w:val="00AE7A1D"/>
    <w:rsid w:val="00AF131B"/>
    <w:rsid w:val="00B05CAE"/>
    <w:rsid w:val="00B22A9D"/>
    <w:rsid w:val="00B24538"/>
    <w:rsid w:val="00B335EF"/>
    <w:rsid w:val="00B34EC9"/>
    <w:rsid w:val="00B359A2"/>
    <w:rsid w:val="00B42D62"/>
    <w:rsid w:val="00B44E86"/>
    <w:rsid w:val="00B56BCF"/>
    <w:rsid w:val="00B70721"/>
    <w:rsid w:val="00B75182"/>
    <w:rsid w:val="00B83FE0"/>
    <w:rsid w:val="00B93D5D"/>
    <w:rsid w:val="00BA45C3"/>
    <w:rsid w:val="00BB4C92"/>
    <w:rsid w:val="00BB652F"/>
    <w:rsid w:val="00BB7061"/>
    <w:rsid w:val="00BC05C3"/>
    <w:rsid w:val="00BC1E2B"/>
    <w:rsid w:val="00BF3939"/>
    <w:rsid w:val="00C042B3"/>
    <w:rsid w:val="00C06B14"/>
    <w:rsid w:val="00C0704C"/>
    <w:rsid w:val="00C111E5"/>
    <w:rsid w:val="00C23A8C"/>
    <w:rsid w:val="00C2570C"/>
    <w:rsid w:val="00C40D9E"/>
    <w:rsid w:val="00C43EFB"/>
    <w:rsid w:val="00C55958"/>
    <w:rsid w:val="00C57E7E"/>
    <w:rsid w:val="00C63E35"/>
    <w:rsid w:val="00C63F22"/>
    <w:rsid w:val="00C723F0"/>
    <w:rsid w:val="00C81C78"/>
    <w:rsid w:val="00C97210"/>
    <w:rsid w:val="00CA3265"/>
    <w:rsid w:val="00CB180F"/>
    <w:rsid w:val="00CC1C5B"/>
    <w:rsid w:val="00CC71E2"/>
    <w:rsid w:val="00CD6A77"/>
    <w:rsid w:val="00CE1287"/>
    <w:rsid w:val="00CF4913"/>
    <w:rsid w:val="00CF4D6C"/>
    <w:rsid w:val="00CF7EC6"/>
    <w:rsid w:val="00D04D28"/>
    <w:rsid w:val="00D07351"/>
    <w:rsid w:val="00D21B96"/>
    <w:rsid w:val="00D364F7"/>
    <w:rsid w:val="00D41DA6"/>
    <w:rsid w:val="00D42BDB"/>
    <w:rsid w:val="00D52A1C"/>
    <w:rsid w:val="00D6245C"/>
    <w:rsid w:val="00D64384"/>
    <w:rsid w:val="00D65609"/>
    <w:rsid w:val="00D6566A"/>
    <w:rsid w:val="00D70651"/>
    <w:rsid w:val="00D72849"/>
    <w:rsid w:val="00D73B76"/>
    <w:rsid w:val="00D90852"/>
    <w:rsid w:val="00D92B12"/>
    <w:rsid w:val="00D957D4"/>
    <w:rsid w:val="00D96D36"/>
    <w:rsid w:val="00D975B5"/>
    <w:rsid w:val="00D97C30"/>
    <w:rsid w:val="00DA3101"/>
    <w:rsid w:val="00DC3DD1"/>
    <w:rsid w:val="00DE1B7D"/>
    <w:rsid w:val="00DE3EDF"/>
    <w:rsid w:val="00DE4448"/>
    <w:rsid w:val="00DF33A5"/>
    <w:rsid w:val="00DF50C8"/>
    <w:rsid w:val="00DF70F9"/>
    <w:rsid w:val="00E0488B"/>
    <w:rsid w:val="00E14601"/>
    <w:rsid w:val="00E229F2"/>
    <w:rsid w:val="00E337DC"/>
    <w:rsid w:val="00E345CD"/>
    <w:rsid w:val="00E42925"/>
    <w:rsid w:val="00E54F2A"/>
    <w:rsid w:val="00E56D06"/>
    <w:rsid w:val="00E60DB0"/>
    <w:rsid w:val="00E617B5"/>
    <w:rsid w:val="00E70CFE"/>
    <w:rsid w:val="00E84D4E"/>
    <w:rsid w:val="00E90C07"/>
    <w:rsid w:val="00E91902"/>
    <w:rsid w:val="00E94CAF"/>
    <w:rsid w:val="00E957FC"/>
    <w:rsid w:val="00EB6B02"/>
    <w:rsid w:val="00EC00BD"/>
    <w:rsid w:val="00EC1B9C"/>
    <w:rsid w:val="00EC1E82"/>
    <w:rsid w:val="00ED2A53"/>
    <w:rsid w:val="00EE2B24"/>
    <w:rsid w:val="00EE3EF0"/>
    <w:rsid w:val="00EE5901"/>
    <w:rsid w:val="00F116EF"/>
    <w:rsid w:val="00F21D27"/>
    <w:rsid w:val="00F26DFE"/>
    <w:rsid w:val="00F301CF"/>
    <w:rsid w:val="00F4533A"/>
    <w:rsid w:val="00F538DE"/>
    <w:rsid w:val="00F558D0"/>
    <w:rsid w:val="00F72475"/>
    <w:rsid w:val="00F81D67"/>
    <w:rsid w:val="00F83FC6"/>
    <w:rsid w:val="00F85F5C"/>
    <w:rsid w:val="00F909E8"/>
    <w:rsid w:val="00F965DD"/>
    <w:rsid w:val="00FA1C6A"/>
    <w:rsid w:val="00FA242B"/>
    <w:rsid w:val="00FB5F29"/>
    <w:rsid w:val="00FC190A"/>
    <w:rsid w:val="00FC2344"/>
    <w:rsid w:val="00FC53C9"/>
    <w:rsid w:val="00FD3A8C"/>
    <w:rsid w:val="00FD4961"/>
    <w:rsid w:val="00FD7409"/>
    <w:rsid w:val="00FE5CC4"/>
    <w:rsid w:val="00FE6996"/>
    <w:rsid w:val="00FF3338"/>
    <w:rsid w:val="00FF5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1CA21"/>
  <w15:chartTrackingRefBased/>
  <w15:docId w15:val="{DB1F96E7-5EAA-4668-B2CB-8B81CA93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6" w:qFormat="1"/>
    <w:lsdException w:name="heading 1" w:uiPriority="0"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4A3368"/>
    <w:pPr>
      <w:spacing w:after="0" w:line="240" w:lineRule="auto"/>
    </w:pPr>
    <w:rPr>
      <w:sz w:val="28"/>
      <w:szCs w:val="24"/>
      <w:lang w:val="en-GB"/>
    </w:rPr>
  </w:style>
  <w:style w:type="paragraph" w:styleId="Heading1">
    <w:name w:val="heading 1"/>
    <w:basedOn w:val="Normal"/>
    <w:next w:val="Normal"/>
    <w:link w:val="Heading1Char"/>
    <w:qFormat/>
    <w:rsid w:val="004A3368"/>
    <w:pPr>
      <w:keepNext/>
      <w:keepLines/>
      <w:spacing w:before="240"/>
      <w:outlineLvl w:val="0"/>
    </w:pPr>
    <w:rPr>
      <w:rFonts w:asciiTheme="majorHAnsi" w:eastAsiaTheme="majorEastAsia" w:hAnsiTheme="majorHAnsi" w:cstheme="majorBidi"/>
      <w:b/>
      <w:color w:val="4472C4" w:themeColor="accent1"/>
      <w:sz w:val="80"/>
      <w:szCs w:val="32"/>
    </w:rPr>
  </w:style>
  <w:style w:type="paragraph" w:styleId="Heading2">
    <w:name w:val="heading 2"/>
    <w:basedOn w:val="Normal"/>
    <w:next w:val="Normal"/>
    <w:link w:val="Heading2Char"/>
    <w:uiPriority w:val="1"/>
    <w:qFormat/>
    <w:rsid w:val="004A3368"/>
    <w:pPr>
      <w:keepNext/>
      <w:keepLines/>
      <w:outlineLvl w:val="1"/>
    </w:pPr>
    <w:rPr>
      <w:rFonts w:eastAsiaTheme="majorEastAsia" w:cstheme="majorBidi"/>
      <w:i/>
      <w:color w:val="833C0B" w:themeColor="accent2" w:themeShade="80"/>
      <w:sz w:val="42"/>
      <w:szCs w:val="26"/>
    </w:rPr>
  </w:style>
  <w:style w:type="paragraph" w:styleId="Heading3">
    <w:name w:val="heading 3"/>
    <w:basedOn w:val="Normal"/>
    <w:next w:val="Normal"/>
    <w:link w:val="Heading3Char"/>
    <w:uiPriority w:val="9"/>
    <w:unhideWhenUsed/>
    <w:qFormat/>
    <w:rsid w:val="00AB0620"/>
    <w:pPr>
      <w:keepNext/>
      <w:keepLines/>
      <w:spacing w:before="4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AB00F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A3368"/>
    <w:rPr>
      <w:rFonts w:asciiTheme="majorHAnsi" w:eastAsiaTheme="majorEastAsia" w:hAnsiTheme="majorHAnsi" w:cstheme="majorBidi"/>
      <w:b/>
      <w:color w:val="4472C4" w:themeColor="accent1"/>
      <w:sz w:val="80"/>
      <w:szCs w:val="32"/>
      <w:lang w:val="en-US"/>
    </w:rPr>
  </w:style>
  <w:style w:type="character" w:customStyle="1" w:styleId="Heading2Char">
    <w:name w:val="Heading 2 Char"/>
    <w:basedOn w:val="DefaultParagraphFont"/>
    <w:link w:val="Heading2"/>
    <w:uiPriority w:val="1"/>
    <w:rsid w:val="004A3368"/>
    <w:rPr>
      <w:rFonts w:eastAsiaTheme="majorEastAsia" w:cstheme="majorBidi"/>
      <w:i/>
      <w:color w:val="833C0B" w:themeColor="accent2" w:themeShade="80"/>
      <w:sz w:val="42"/>
      <w:szCs w:val="26"/>
      <w:lang w:val="en-US"/>
    </w:rPr>
  </w:style>
  <w:style w:type="paragraph" w:customStyle="1" w:styleId="GraphicAnchor">
    <w:name w:val="Graphic Anchor"/>
    <w:basedOn w:val="Normal"/>
    <w:uiPriority w:val="7"/>
    <w:qFormat/>
    <w:rsid w:val="004A3368"/>
    <w:rPr>
      <w:sz w:val="10"/>
    </w:rPr>
  </w:style>
  <w:style w:type="paragraph" w:styleId="Header">
    <w:name w:val="header"/>
    <w:basedOn w:val="Normal"/>
    <w:link w:val="HeaderChar"/>
    <w:uiPriority w:val="99"/>
    <w:rsid w:val="004A3368"/>
    <w:pPr>
      <w:tabs>
        <w:tab w:val="center" w:pos="4680"/>
        <w:tab w:val="right" w:pos="9360"/>
      </w:tabs>
    </w:pPr>
  </w:style>
  <w:style w:type="character" w:customStyle="1" w:styleId="HeaderChar">
    <w:name w:val="Header Char"/>
    <w:basedOn w:val="DefaultParagraphFont"/>
    <w:link w:val="Header"/>
    <w:uiPriority w:val="99"/>
    <w:rsid w:val="004A3368"/>
    <w:rPr>
      <w:sz w:val="28"/>
      <w:szCs w:val="24"/>
      <w:lang w:val="en-US"/>
    </w:rPr>
  </w:style>
  <w:style w:type="paragraph" w:styleId="TOCHeading">
    <w:name w:val="TOC Heading"/>
    <w:basedOn w:val="Heading1"/>
    <w:next w:val="Normal"/>
    <w:uiPriority w:val="39"/>
    <w:unhideWhenUsed/>
    <w:qFormat/>
    <w:rsid w:val="0071141C"/>
    <w:pPr>
      <w:spacing w:line="259" w:lineRule="auto"/>
      <w:outlineLvl w:val="9"/>
    </w:pPr>
    <w:rPr>
      <w:b w:val="0"/>
      <w:color w:val="2F5496" w:themeColor="accent1" w:themeShade="BF"/>
      <w:sz w:val="32"/>
    </w:rPr>
  </w:style>
  <w:style w:type="paragraph" w:styleId="TOC1">
    <w:name w:val="toc 1"/>
    <w:basedOn w:val="Normal"/>
    <w:next w:val="Normal"/>
    <w:autoRedefine/>
    <w:uiPriority w:val="39"/>
    <w:unhideWhenUsed/>
    <w:rsid w:val="0071141C"/>
    <w:pPr>
      <w:spacing w:after="100"/>
    </w:pPr>
  </w:style>
  <w:style w:type="paragraph" w:styleId="TOC2">
    <w:name w:val="toc 2"/>
    <w:basedOn w:val="Normal"/>
    <w:next w:val="Normal"/>
    <w:autoRedefine/>
    <w:uiPriority w:val="39"/>
    <w:unhideWhenUsed/>
    <w:rsid w:val="0071141C"/>
    <w:pPr>
      <w:spacing w:after="100"/>
      <w:ind w:left="280"/>
    </w:pPr>
  </w:style>
  <w:style w:type="character" w:styleId="Hyperlink">
    <w:name w:val="Hyperlink"/>
    <w:basedOn w:val="DefaultParagraphFont"/>
    <w:uiPriority w:val="99"/>
    <w:unhideWhenUsed/>
    <w:rsid w:val="0071141C"/>
    <w:rPr>
      <w:color w:val="0563C1" w:themeColor="hyperlink"/>
      <w:u w:val="single"/>
    </w:rPr>
  </w:style>
  <w:style w:type="paragraph" w:styleId="TOC3">
    <w:name w:val="toc 3"/>
    <w:basedOn w:val="Normal"/>
    <w:next w:val="Normal"/>
    <w:autoRedefine/>
    <w:uiPriority w:val="39"/>
    <w:unhideWhenUsed/>
    <w:rsid w:val="00D90852"/>
    <w:pPr>
      <w:spacing w:after="100" w:line="259" w:lineRule="auto"/>
      <w:ind w:left="440"/>
    </w:pPr>
    <w:rPr>
      <w:rFonts w:eastAsiaTheme="minorEastAsia" w:cs="Times New Roman"/>
      <w:sz w:val="22"/>
      <w:szCs w:val="22"/>
    </w:rPr>
  </w:style>
  <w:style w:type="paragraph" w:styleId="ListParagraph">
    <w:name w:val="List Paragraph"/>
    <w:basedOn w:val="Normal"/>
    <w:uiPriority w:val="34"/>
    <w:qFormat/>
    <w:rsid w:val="00BB652F"/>
    <w:pPr>
      <w:ind w:left="720"/>
      <w:contextualSpacing/>
    </w:pPr>
  </w:style>
  <w:style w:type="character" w:customStyle="1" w:styleId="Heading3Char">
    <w:name w:val="Heading 3 Char"/>
    <w:basedOn w:val="DefaultParagraphFont"/>
    <w:link w:val="Heading3"/>
    <w:uiPriority w:val="9"/>
    <w:rsid w:val="00AB0620"/>
    <w:rPr>
      <w:rFonts w:asciiTheme="majorHAnsi" w:eastAsiaTheme="majorEastAsia" w:hAnsiTheme="majorHAnsi" w:cstheme="majorBidi"/>
      <w:color w:val="1F3763" w:themeColor="accent1" w:themeShade="7F"/>
      <w:sz w:val="24"/>
      <w:szCs w:val="24"/>
      <w:lang w:val="en-US"/>
    </w:rPr>
  </w:style>
  <w:style w:type="character" w:styleId="Strong">
    <w:name w:val="Strong"/>
    <w:basedOn w:val="DefaultParagraphFont"/>
    <w:uiPriority w:val="22"/>
    <w:qFormat/>
    <w:rsid w:val="00AB0620"/>
    <w:rPr>
      <w:b/>
      <w:bCs/>
    </w:rPr>
  </w:style>
  <w:style w:type="paragraph" w:styleId="NormalWeb">
    <w:name w:val="Normal (Web)"/>
    <w:basedOn w:val="Normal"/>
    <w:uiPriority w:val="99"/>
    <w:unhideWhenUsed/>
    <w:rsid w:val="00AB0620"/>
    <w:pPr>
      <w:spacing w:before="100" w:beforeAutospacing="1" w:after="100" w:afterAutospacing="1"/>
    </w:pPr>
    <w:rPr>
      <w:rFonts w:ascii="Times New Roman" w:eastAsia="Times New Roman" w:hAnsi="Times New Roman" w:cs="Times New Roman"/>
      <w:sz w:val="24"/>
    </w:rPr>
  </w:style>
  <w:style w:type="paragraph" w:styleId="Footer">
    <w:name w:val="footer"/>
    <w:basedOn w:val="Normal"/>
    <w:link w:val="FooterChar"/>
    <w:uiPriority w:val="99"/>
    <w:unhideWhenUsed/>
    <w:rsid w:val="00CC1C5B"/>
    <w:pPr>
      <w:tabs>
        <w:tab w:val="center" w:pos="4513"/>
        <w:tab w:val="right" w:pos="9026"/>
      </w:tabs>
    </w:pPr>
  </w:style>
  <w:style w:type="character" w:customStyle="1" w:styleId="FooterChar">
    <w:name w:val="Footer Char"/>
    <w:basedOn w:val="DefaultParagraphFont"/>
    <w:link w:val="Footer"/>
    <w:uiPriority w:val="99"/>
    <w:rsid w:val="00CC1C5B"/>
    <w:rPr>
      <w:sz w:val="28"/>
      <w:szCs w:val="24"/>
      <w:lang w:val="en-US"/>
    </w:rPr>
  </w:style>
  <w:style w:type="character" w:customStyle="1" w:styleId="Heading4Char">
    <w:name w:val="Heading 4 Char"/>
    <w:basedOn w:val="DefaultParagraphFont"/>
    <w:link w:val="Heading4"/>
    <w:uiPriority w:val="9"/>
    <w:semiHidden/>
    <w:rsid w:val="00AB00F5"/>
    <w:rPr>
      <w:rFonts w:asciiTheme="majorHAnsi" w:eastAsiaTheme="majorEastAsia" w:hAnsiTheme="majorHAnsi" w:cstheme="majorBidi"/>
      <w:i/>
      <w:iCs/>
      <w:color w:val="2F5496" w:themeColor="accent1" w:themeShade="BF"/>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48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7f5cfc-bf7e-4c30-8ae9-b25085a5a59d">
      <Terms xmlns="http://schemas.microsoft.com/office/infopath/2007/PartnerControls"/>
    </lcf76f155ced4ddcb4097134ff3c332f>
    <TaxCatchAll xmlns="3e8f9e17-7415-492c-9d5c-c0d0e3286ce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32D6B66CC923747833907318F19E58E" ma:contentTypeVersion="12" ma:contentTypeDescription="Create a new document." ma:contentTypeScope="" ma:versionID="023e97df842cfa6b43832156f160771a">
  <xsd:schema xmlns:xsd="http://www.w3.org/2001/XMLSchema" xmlns:xs="http://www.w3.org/2001/XMLSchema" xmlns:p="http://schemas.microsoft.com/office/2006/metadata/properties" xmlns:ns2="307f5cfc-bf7e-4c30-8ae9-b25085a5a59d" xmlns:ns3="3e8f9e17-7415-492c-9d5c-c0d0e3286cee" targetNamespace="http://schemas.microsoft.com/office/2006/metadata/properties" ma:root="true" ma:fieldsID="b61c1050ee27590fbf93abf78ba0cd5d" ns2:_="" ns3:_="">
    <xsd:import namespace="307f5cfc-bf7e-4c30-8ae9-b25085a5a59d"/>
    <xsd:import namespace="3e8f9e17-7415-492c-9d5c-c0d0e3286c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7f5cfc-bf7e-4c30-8ae9-b25085a5a5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42fef9d-d53b-464b-865a-dcfa0ffb8f9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8f9e17-7415-492c-9d5c-c0d0e3286ce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0ce8d7d-4489-4c0d-a2e1-c7f3e99e5fa6}" ma:internalName="TaxCatchAll" ma:showField="CatchAllData" ma:web="3e8f9e17-7415-492c-9d5c-c0d0e3286c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6CB941-AEA8-4839-AEC7-A51133862406}">
  <ds:schemaRefs>
    <ds:schemaRef ds:uri="http://schemas.openxmlformats.org/officeDocument/2006/bibliography"/>
  </ds:schemaRefs>
</ds:datastoreItem>
</file>

<file path=customXml/itemProps2.xml><?xml version="1.0" encoding="utf-8"?>
<ds:datastoreItem xmlns:ds="http://schemas.openxmlformats.org/officeDocument/2006/customXml" ds:itemID="{C26EF8EF-0FDF-44CC-BB41-816FF15931D0}">
  <ds:schemaRefs>
    <ds:schemaRef ds:uri="http://schemas.microsoft.com/office/2006/metadata/properties"/>
    <ds:schemaRef ds:uri="http://schemas.microsoft.com/office/infopath/2007/PartnerControls"/>
    <ds:schemaRef ds:uri="307f5cfc-bf7e-4c30-8ae9-b25085a5a59d"/>
    <ds:schemaRef ds:uri="3e8f9e17-7415-492c-9d5c-c0d0e3286cee"/>
  </ds:schemaRefs>
</ds:datastoreItem>
</file>

<file path=customXml/itemProps3.xml><?xml version="1.0" encoding="utf-8"?>
<ds:datastoreItem xmlns:ds="http://schemas.openxmlformats.org/officeDocument/2006/customXml" ds:itemID="{FF6D8662-844E-492E-9E32-90085FA147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7f5cfc-bf7e-4c30-8ae9-b25085a5a59d"/>
    <ds:schemaRef ds:uri="3e8f9e17-7415-492c-9d5c-c0d0e3286c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6CF17D-011C-4303-812A-3AC386E224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7007</TotalTime>
  <Pages>28</Pages>
  <Words>10070</Words>
  <Characters>54985</Characters>
  <Application>Microsoft Office Word</Application>
  <DocSecurity>0</DocSecurity>
  <Lines>901</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64752</CharactersWithSpaces>
  <SharedDoc>false</SharedDoc>
  <HLinks>
    <vt:vector size="24" baseType="variant">
      <vt:variant>
        <vt:i4>1900593</vt:i4>
      </vt:variant>
      <vt:variant>
        <vt:i4>20</vt:i4>
      </vt:variant>
      <vt:variant>
        <vt:i4>0</vt:i4>
      </vt:variant>
      <vt:variant>
        <vt:i4>5</vt:i4>
      </vt:variant>
      <vt:variant>
        <vt:lpwstr/>
      </vt:variant>
      <vt:variant>
        <vt:lpwstr>_Toc181692862</vt:lpwstr>
      </vt:variant>
      <vt:variant>
        <vt:i4>1900593</vt:i4>
      </vt:variant>
      <vt:variant>
        <vt:i4>14</vt:i4>
      </vt:variant>
      <vt:variant>
        <vt:i4>0</vt:i4>
      </vt:variant>
      <vt:variant>
        <vt:i4>5</vt:i4>
      </vt:variant>
      <vt:variant>
        <vt:lpwstr/>
      </vt:variant>
      <vt:variant>
        <vt:lpwstr>_Toc181692861</vt:lpwstr>
      </vt:variant>
      <vt:variant>
        <vt:i4>1900593</vt:i4>
      </vt:variant>
      <vt:variant>
        <vt:i4>8</vt:i4>
      </vt:variant>
      <vt:variant>
        <vt:i4>0</vt:i4>
      </vt:variant>
      <vt:variant>
        <vt:i4>5</vt:i4>
      </vt:variant>
      <vt:variant>
        <vt:lpwstr/>
      </vt:variant>
      <vt:variant>
        <vt:lpwstr>_Toc181692860</vt:lpwstr>
      </vt:variant>
      <vt:variant>
        <vt:i4>1966129</vt:i4>
      </vt:variant>
      <vt:variant>
        <vt:i4>2</vt:i4>
      </vt:variant>
      <vt:variant>
        <vt:i4>0</vt:i4>
      </vt:variant>
      <vt:variant>
        <vt:i4>5</vt:i4>
      </vt:variant>
      <vt:variant>
        <vt:lpwstr/>
      </vt:variant>
      <vt:variant>
        <vt:lpwstr>_Toc181692859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Mhango</dc:creator>
  <cp:keywords/>
  <dc:description/>
  <cp:lastModifiedBy>Daniel Mhango</cp:lastModifiedBy>
  <cp:revision>386</cp:revision>
  <dcterms:created xsi:type="dcterms:W3CDTF">2024-10-25T22:19:00Z</dcterms:created>
  <dcterms:modified xsi:type="dcterms:W3CDTF">2026-07-27T19:15:00Z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0x010100832D6B66CC923747833907318F19E58E</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ies>
</file>