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5852160" cy="2697879"/>
            <wp:docPr id="1" name="Picture 1"/>
            <wp:cNvGraphicFramePr>
              <a:graphicFrameLocks noChangeAspect="1"/>
            </wp:cNvGraphicFramePr>
            <a:graphic>
              <a:graphicData uri="http://schemas.openxmlformats.org/drawingml/2006/picture">
                <pic:pic>
                  <pic:nvPicPr>
                    <pic:cNvPr id="0" name="KRL PLC Logo-06 (1).png"/>
                    <pic:cNvPicPr/>
                  </pic:nvPicPr>
                  <pic:blipFill>
                    <a:blip r:embed="rId9"/>
                    <a:stretch>
                      <a:fillRect/>
                    </a:stretch>
                  </pic:blipFill>
                  <pic:spPr>
                    <a:xfrm>
                      <a:off x="0" y="0"/>
                      <a:ext cx="5852160" cy="2697879"/>
                    </a:xfrm>
                    <a:prstGeom prst="rect"/>
                  </pic:spPr>
                </pic:pic>
              </a:graphicData>
            </a:graphic>
          </wp:inline>
        </w:drawing>
      </w:r>
    </w:p>
    <w:p>
      <w:pPr>
        <w:pStyle w:val="Title"/>
        <w:spacing w:before="160" w:after="160"/>
        <w:jc w:val="left"/>
      </w:pPr>
      <w:r>
        <w:rPr>
          <w:rFonts w:ascii="Arial" w:hAnsi="Arial"/>
          <w:b/>
          <w:color w:val="000000"/>
          <w:sz w:val="56"/>
        </w:rPr>
        <w:t>Klapton Re Earthquake Catastrophe Modelling Platform Build Plan</w:t>
      </w:r>
    </w:p>
    <w:p>
      <w:pPr>
        <w:pStyle w:val="Subtitle"/>
        <w:spacing w:after="400"/>
      </w:pPr>
      <w:r>
        <w:rPr>
          <w:rFonts w:ascii="Arial" w:hAnsi="Arial"/>
          <w:color w:val="000000"/>
          <w:sz w:val="30"/>
        </w:rPr>
        <w:t>End to End Delivery Roadmap</w:t>
      </w:r>
    </w:p>
    <w:tbl>
      <w:tblPr>
        <w:tblW w:type="auto" w:w="0"/>
        <w:jc w:val="left"/>
        <w:tblLayout w:type="fixed"/>
        <w:tblLook w:firstColumn="1" w:firstRow="1" w:lastColumn="0" w:lastRow="0" w:noHBand="0" w:noVBand="1" w:val="04A0"/>
      </w:tblPr>
      <w:tblGrid>
        <w:gridCol w:w="4997"/>
        <w:gridCol w:w="4997"/>
      </w:tblGrid>
      <w:tr>
        <w:tc>
          <w:tcPr>
            <w:tcW w:type="dxa" w:w="2232"/>
            <w:tcMar>
              <w:top w:w="65" w:type="dxa"/>
              <w:start w:w="0" w:type="dxa"/>
              <w:bottom w:w="65" w:type="dxa"/>
              <w:end w:w="80" w:type="dxa"/>
            </w:tcMar>
          </w:tcPr>
          <w:p>
            <w:pPr>
              <w:spacing w:after="0"/>
            </w:pPr>
            <w:r>
              <w:rPr>
                <w:rFonts w:ascii="Arial" w:hAnsi="Arial"/>
                <w:b/>
                <w:color w:val="234A9E"/>
                <w:sz w:val="18"/>
              </w:rPr>
              <w:t>Prepared for</w:t>
            </w:r>
          </w:p>
        </w:tc>
        <w:tc>
          <w:tcPr>
            <w:tcW w:type="dxa" w:w="7056"/>
            <w:tcMar>
              <w:top w:w="65" w:type="dxa"/>
              <w:start w:w="0" w:type="dxa"/>
              <w:bottom w:w="65" w:type="dxa"/>
              <w:end w:w="80" w:type="dxa"/>
            </w:tcMar>
          </w:tcPr>
          <w:p>
            <w:pPr>
              <w:spacing w:after="0"/>
            </w:pPr>
            <w:r>
              <w:rPr>
                <w:rFonts w:ascii="Arial" w:hAnsi="Arial"/>
                <w:color w:val="555555"/>
                <w:sz w:val="19"/>
              </w:rPr>
              <w:t>Klapton Reinsurance PLC</w:t>
            </w:r>
          </w:p>
        </w:tc>
      </w:tr>
      <w:tr>
        <w:tc>
          <w:tcPr>
            <w:tcW w:type="dxa" w:w="2232"/>
            <w:tcMar>
              <w:top w:w="65" w:type="dxa"/>
              <w:start w:w="0" w:type="dxa"/>
              <w:bottom w:w="65" w:type="dxa"/>
              <w:end w:w="80" w:type="dxa"/>
            </w:tcMar>
          </w:tcPr>
          <w:p>
            <w:pPr>
              <w:spacing w:after="0"/>
            </w:pPr>
            <w:r>
              <w:rPr>
                <w:rFonts w:ascii="Arial" w:hAnsi="Arial"/>
                <w:b/>
                <w:color w:val="234A9E"/>
                <w:sz w:val="18"/>
              </w:rPr>
              <w:t>Planning date</w:t>
            </w:r>
          </w:p>
        </w:tc>
        <w:tc>
          <w:tcPr>
            <w:tcW w:type="dxa" w:w="7056"/>
            <w:tcMar>
              <w:top w:w="65" w:type="dxa"/>
              <w:start w:w="0" w:type="dxa"/>
              <w:bottom w:w="65" w:type="dxa"/>
              <w:end w:w="80" w:type="dxa"/>
            </w:tcMar>
          </w:tcPr>
          <w:p>
            <w:pPr>
              <w:spacing w:after="0"/>
            </w:pPr>
            <w:r>
              <w:rPr>
                <w:rFonts w:ascii="Arial" w:hAnsi="Arial"/>
                <w:color w:val="555555"/>
                <w:sz w:val="19"/>
              </w:rPr>
              <w:t>10 September 2026</w:t>
            </w:r>
          </w:p>
        </w:tc>
      </w:tr>
      <w:tr>
        <w:tc>
          <w:tcPr>
            <w:tcW w:type="dxa" w:w="2232"/>
            <w:tcMar>
              <w:top w:w="65" w:type="dxa"/>
              <w:start w:w="0" w:type="dxa"/>
              <w:bottom w:w="65" w:type="dxa"/>
              <w:end w:w="80" w:type="dxa"/>
            </w:tcMar>
          </w:tcPr>
          <w:p>
            <w:pPr>
              <w:spacing w:after="0"/>
            </w:pPr>
            <w:r>
              <w:rPr>
                <w:rFonts w:ascii="Arial" w:hAnsi="Arial"/>
                <w:b/>
                <w:color w:val="234A9E"/>
                <w:sz w:val="18"/>
              </w:rPr>
              <w:t>Document version</w:t>
            </w:r>
          </w:p>
        </w:tc>
        <w:tc>
          <w:tcPr>
            <w:tcW w:type="dxa" w:w="7056"/>
            <w:tcMar>
              <w:top w:w="65" w:type="dxa"/>
              <w:start w:w="0" w:type="dxa"/>
              <w:bottom w:w="65" w:type="dxa"/>
              <w:end w:w="80" w:type="dxa"/>
            </w:tcMar>
          </w:tcPr>
          <w:p>
            <w:pPr>
              <w:spacing w:after="0"/>
            </w:pPr>
            <w:r>
              <w:rPr>
                <w:rFonts w:ascii="Arial" w:hAnsi="Arial"/>
                <w:color w:val="555555"/>
                <w:sz w:val="19"/>
              </w:rPr>
              <w:t>1.0 Decision Baseline</w:t>
            </w:r>
          </w:p>
        </w:tc>
      </w:tr>
      <w:tr>
        <w:tc>
          <w:tcPr>
            <w:tcW w:type="dxa" w:w="2232"/>
            <w:tcMar>
              <w:top w:w="65" w:type="dxa"/>
              <w:start w:w="0" w:type="dxa"/>
              <w:bottom w:w="65" w:type="dxa"/>
              <w:end w:w="80" w:type="dxa"/>
            </w:tcMar>
          </w:tcPr>
          <w:p>
            <w:pPr>
              <w:spacing w:after="0"/>
            </w:pPr>
            <w:r>
              <w:rPr>
                <w:rFonts w:ascii="Arial" w:hAnsi="Arial"/>
                <w:b/>
                <w:color w:val="234A9E"/>
                <w:sz w:val="18"/>
              </w:rPr>
              <w:t>Initial peril</w:t>
            </w:r>
          </w:p>
        </w:tc>
        <w:tc>
          <w:tcPr>
            <w:tcW w:type="dxa" w:w="7056"/>
            <w:tcMar>
              <w:top w:w="65" w:type="dxa"/>
              <w:start w:w="0" w:type="dxa"/>
              <w:bottom w:w="65" w:type="dxa"/>
              <w:end w:w="80" w:type="dxa"/>
            </w:tcMar>
          </w:tcPr>
          <w:p>
            <w:pPr>
              <w:spacing w:after="0"/>
            </w:pPr>
            <w:r>
              <w:rPr>
                <w:rFonts w:ascii="Arial" w:hAnsi="Arial"/>
                <w:color w:val="555555"/>
                <w:sz w:val="19"/>
              </w:rPr>
              <w:t>Earthquake</w:t>
            </w:r>
          </w:p>
        </w:tc>
      </w:tr>
    </w:tbl>
    <w:p>
      <w:pPr>
        <w:spacing w:before="480"/>
      </w:pPr>
      <w:r>
        <w:rPr>
          <w:rFonts w:ascii="Arial" w:hAnsi="Arial"/>
          <w:b/>
          <w:color w:val="234A9E"/>
          <w:sz w:val="18"/>
        </w:rPr>
        <w:t>Purpose</w:t>
      </w:r>
    </w:p>
    <w:p>
      <w:pPr>
        <w:spacing w:after="0"/>
      </w:pPr>
      <w:r>
        <w:rPr>
          <w:rFonts w:ascii="Arial" w:hAnsi="Arial"/>
        </w:rPr>
        <w:t>This plan defines the product, scientific, data, engineering, validation and operating work required to build KRE's integrated catastrophe modelling platform. It establishes the target architecture and a staged route from the proven Docker test environment to a governed earthquake modelling service.</w:t>
      </w:r>
    </w:p>
    <w:p>
      <w:r>
        <w:br w:type="page"/>
      </w:r>
    </w:p>
    <w:p>
      <w:pPr>
        <w:pStyle w:val="Heading1"/>
        <w:keepNext/>
      </w:pPr>
      <w:r>
        <w:rPr>
          <w:rFonts w:ascii="Arial" w:hAnsi="Arial"/>
          <w:b/>
          <w:color w:val="000000"/>
          <w:sz w:val="36"/>
        </w:rPr>
        <w:t>1  Executive Direction</w:t>
      </w:r>
    </w:p>
    <w:p>
      <w:r>
        <w:rPr>
          <w:rFonts w:ascii="Arial" w:hAnsi="Arial"/>
        </w:rPr>
        <w:t>KRE should build one browser-based catastrophe modelling product while preserving OpenQuake and Oasis as independently owned calculation engines. React will provide the analyst experience. Django will provide authentication, workflow orchestration, metadata, lineage and a stable KRE API. OpenQuake will generate earthquake hazard. A KRE-owned converter will transform supported OpenQuake outputs into versioned Oasis hazard packages. Oasis will apply vulnerability and financial structures and produce insured loss outputs.</w:t>
      </w:r>
    </w:p>
    <w:p>
      <w:r>
        <w:rPr>
          <w:rFonts w:ascii="Arial" w:hAnsi="Arial"/>
        </w:rPr>
        <w:t>The platform will use Docker as the common execution boundary from development onward. Large scientific arrays will remain in HDF5, Parquet or Oasis binary artifacts stored outside the Django relational database. PostgreSQL will hold application records, references, checksums and audit history. This design avoids Windows path problems, prevents the user interface database from becoming a scientific array store, and allows each engine to be upgraded behind a tested adapter.</w:t>
      </w:r>
    </w:p>
    <w:p>
      <w:pPr>
        <w:keepNext/>
        <w:spacing w:before="120" w:after="60"/>
      </w:pPr>
      <w:r>
        <w:rPr>
          <w:rFonts w:ascii="Arial" w:hAnsi="Arial"/>
          <w:b/>
          <w:color w:val="234A9E"/>
          <w:sz w:val="17"/>
        </w:rPr>
        <w:t>BUILD OUTCOME</w:t>
      </w:r>
    </w:p>
    <w:p>
      <w:pPr>
        <w:pStyle w:val="ListBullet"/>
      </w:pPr>
      <w:r>
        <w:rPr>
          <w:rFonts w:ascii="Arial" w:hAnsi="Arial"/>
        </w:rPr>
        <w:t>An internal KRE application through which an analyst can select a model, upload and validate exposure, run earthquake hazard and loss analyses, monitor progress, inspect quality checks, compare results and export governed outputs.</w:t>
      </w:r>
    </w:p>
    <w:p>
      <w:pPr>
        <w:pStyle w:val="ListBullet"/>
      </w:pPr>
      <w:r>
        <w:rPr>
          <w:rFonts w:ascii="Arial" w:hAnsi="Arial"/>
        </w:rPr>
        <w:t>A reproducible earthquake model build process using stable geographic area-peril definitions, explicit event semantics, versioned vulnerability functions and documented financial assumptions.</w:t>
      </w:r>
    </w:p>
    <w:p>
      <w:pPr>
        <w:pStyle w:val="ListBullet"/>
      </w:pPr>
      <w:r>
        <w:rPr>
          <w:rFonts w:ascii="Arial" w:hAnsi="Arial"/>
        </w:rPr>
        <w:t>A portable container deployment that works on the current Windows workstation through Docker Desktop and can move to a managed Linux container environment without changing the product architecture.</w:t>
      </w:r>
    </w:p>
    <w:p>
      <w:pPr>
        <w:pStyle w:val="ListBullet"/>
      </w:pPr>
      <w:r>
        <w:rPr>
          <w:rFonts w:ascii="Arial" w:hAnsi="Arial"/>
        </w:rPr>
        <w:t>An extensible foundation on which additional countries and perils can be added through engine and model adapters rather than rewrites of the user interface.</w:t>
      </w:r>
    </w:p>
    <w:p>
      <w:pPr>
        <w:keepNext/>
        <w:spacing w:before="120" w:after="60"/>
      </w:pPr>
      <w:r>
        <w:rPr>
          <w:rFonts w:ascii="Arial" w:hAnsi="Arial"/>
          <w:b/>
          <w:color w:val="234A9E"/>
          <w:sz w:val="17"/>
        </w:rPr>
        <w:t>CURRENT EVIDENCE</w:t>
      </w:r>
    </w:p>
    <w:p>
      <w:r>
        <w:rPr>
          <w:rFonts w:ascii="Arial" w:hAnsi="Arial"/>
        </w:rPr>
        <w:t>The official PiWind model has already completed end to end in the Oasis 2.5.7 model worker container against a Windows bind-mounted workspace. The test produced ground-up, insured and reinsurance outputs and passed the model validation check. This proves the selected local container boundary. It does not yet prove earthquake model correctness, production capacity or platform security; those are explicit workstreams in this plan.</w:t>
      </w:r>
    </w:p>
    <w:p>
      <w:pPr>
        <w:keepNext/>
        <w:spacing w:before="120" w:after="60"/>
      </w:pPr>
      <w:r>
        <w:rPr>
          <w:rFonts w:ascii="Arial" w:hAnsi="Arial"/>
          <w:b/>
          <w:color w:val="234A9E"/>
          <w:sz w:val="17"/>
        </w:rPr>
        <w:t>RECOMMENDED RELEASE BOUNDARY</w:t>
      </w:r>
    </w:p>
    <w:p>
      <w:r>
        <w:rPr>
          <w:rFonts w:ascii="Arial" w:hAnsi="Arial"/>
        </w:rPr>
        <w:t>Release one should be an internal KRE earthquake portfolio analysis platform. External client tenancy, self-service onboarding, billing, real-time event response and non-earthquake perils should be deferred until the internal workflow and model governance are proven.</w:t>
      </w:r>
    </w:p>
    <w:p>
      <w:pPr>
        <w:pStyle w:val="Heading1"/>
        <w:keepNext/>
      </w:pPr>
      <w:r>
        <w:rPr>
          <w:rFonts w:ascii="Arial" w:hAnsi="Arial"/>
          <w:b/>
          <w:color w:val="000000"/>
          <w:sz w:val="36"/>
        </w:rPr>
        <w:t>2  Product Scope</w:t>
      </w:r>
    </w:p>
    <w:p>
      <w:pPr>
        <w:pStyle w:val="Heading2"/>
        <w:keepNext/>
      </w:pPr>
      <w:r>
        <w:rPr>
          <w:rFonts w:ascii="Arial" w:hAnsi="Arial"/>
          <w:b/>
          <w:color w:val="000000"/>
          <w:sz w:val="26"/>
        </w:rPr>
        <w:t>Primary users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00"/>
            <w:shd w:fill="234A9E"/>
            <w:tcMar>
              <w:top w:w="110" w:type="dxa"/>
              <w:start w:w="110" w:type="dxa"/>
              <w:bottom w:w="110" w:type="dxa"/>
              <w:end w:w="110" w:type="dxa"/>
            </w:tcMar>
            <w:vAlign w:val="center"/>
          </w:tcPr>
          <w:p>
            <w:pPr>
              <w:spacing w:after="0"/>
              <w:jc w:val="center"/>
            </w:pPr>
            <w:r>
              <w:rPr>
                <w:rFonts w:ascii="Arial" w:hAnsi="Arial"/>
                <w:b/>
                <w:color w:val="FFFFFF"/>
                <w:sz w:val="17"/>
              </w:rPr>
              <w:t>User</w:t>
            </w:r>
          </w:p>
        </w:tc>
        <w:tc>
          <w:tcPr>
            <w:tcW w:type="dxa" w:w="2880"/>
            <w:shd w:fill="234A9E"/>
            <w:tcMar>
              <w:top w:w="110" w:type="dxa"/>
              <w:start w:w="110" w:type="dxa"/>
              <w:bottom w:w="110" w:type="dxa"/>
              <w:end w:w="110" w:type="dxa"/>
            </w:tcMar>
            <w:vAlign w:val="center"/>
          </w:tcPr>
          <w:p>
            <w:pPr>
              <w:spacing w:after="0"/>
              <w:jc w:val="center"/>
            </w:pPr>
            <w:r>
              <w:rPr>
                <w:rFonts w:ascii="Arial" w:hAnsi="Arial"/>
                <w:b/>
                <w:color w:val="FFFFFF"/>
                <w:sz w:val="17"/>
              </w:rPr>
              <w:t>Primary need</w:t>
            </w:r>
          </w:p>
        </w:tc>
        <w:tc>
          <w:tcPr>
            <w:tcW w:type="dxa" w:w="5256"/>
            <w:shd w:fill="234A9E"/>
            <w:tcMar>
              <w:top w:w="110" w:type="dxa"/>
              <w:start w:w="110" w:type="dxa"/>
              <w:bottom w:w="110" w:type="dxa"/>
              <w:end w:w="110" w:type="dxa"/>
            </w:tcMar>
            <w:vAlign w:val="center"/>
          </w:tcPr>
          <w:p>
            <w:pPr>
              <w:spacing w:after="0"/>
              <w:jc w:val="center"/>
            </w:pPr>
            <w:r>
              <w:rPr>
                <w:rFonts w:ascii="Arial" w:hAnsi="Arial"/>
                <w:b/>
                <w:color w:val="FFFFFF"/>
                <w:sz w:val="17"/>
              </w:rPr>
              <w:t>Release one capability</w:t>
            </w:r>
          </w:p>
        </w:tc>
      </w:tr>
      <w:tr>
        <w:trPr>
          <w:cantSplit/>
        </w:trPr>
        <w:tc>
          <w:tcPr>
            <w:tcW w:type="dxa" w:w="1800"/>
            <w:shd w:fill="FFFFFF"/>
            <w:tcMar>
              <w:top w:w="90" w:type="dxa"/>
              <w:start w:w="110" w:type="dxa"/>
              <w:bottom w:w="90" w:type="dxa"/>
              <w:end w:w="110" w:type="dxa"/>
            </w:tcMar>
            <w:vAlign w:val="center"/>
          </w:tcPr>
          <w:p>
            <w:pPr>
              <w:spacing w:after="0"/>
            </w:pPr>
            <w:r>
              <w:rPr>
                <w:rFonts w:ascii="Arial" w:hAnsi="Arial"/>
                <w:b/>
                <w:sz w:val="17"/>
              </w:rPr>
              <w:t>Catastrophe modeller</w:t>
            </w:r>
          </w:p>
        </w:tc>
        <w:tc>
          <w:tcPr>
            <w:tcW w:type="dxa" w:w="2880"/>
            <w:shd w:fill="FFFFFF"/>
            <w:tcMar>
              <w:top w:w="90" w:type="dxa"/>
              <w:start w:w="110" w:type="dxa"/>
              <w:bottom w:w="90" w:type="dxa"/>
              <w:end w:w="110" w:type="dxa"/>
            </w:tcMar>
            <w:vAlign w:val="center"/>
          </w:tcPr>
          <w:p>
            <w:pPr>
              <w:spacing w:after="0"/>
            </w:pPr>
            <w:r>
              <w:rPr>
                <w:rFonts w:ascii="Arial" w:hAnsi="Arial"/>
                <w:b w:val="0"/>
                <w:sz w:val="17"/>
              </w:rPr>
              <w:t>Build and validate model versions</w:t>
            </w:r>
          </w:p>
        </w:tc>
        <w:tc>
          <w:tcPr>
            <w:tcW w:type="dxa" w:w="5256"/>
            <w:shd w:fill="FFFFFF"/>
            <w:tcMar>
              <w:top w:w="90" w:type="dxa"/>
              <w:start w:w="110" w:type="dxa"/>
              <w:bottom w:w="90" w:type="dxa"/>
              <w:end w:w="110" w:type="dxa"/>
            </w:tcMar>
            <w:vAlign w:val="center"/>
          </w:tcPr>
          <w:p>
            <w:pPr>
              <w:spacing w:after="0"/>
            </w:pPr>
            <w:r>
              <w:rPr>
                <w:rFonts w:ascii="Arial" w:hAnsi="Arial"/>
                <w:b w:val="0"/>
                <w:sz w:val="17"/>
              </w:rPr>
              <w:t>Configure hazard, run conversion, register vulnerability, review scientific QA and publish model versions</w:t>
            </w:r>
          </w:p>
        </w:tc>
      </w:tr>
      <w:tr>
        <w:trPr>
          <w:cantSplit/>
        </w:trPr>
        <w:tc>
          <w:tcPr>
            <w:tcW w:type="dxa" w:w="1800"/>
            <w:shd w:fill="F3F4F6"/>
            <w:tcMar>
              <w:top w:w="90" w:type="dxa"/>
              <w:start w:w="110" w:type="dxa"/>
              <w:bottom w:w="90" w:type="dxa"/>
              <w:end w:w="110" w:type="dxa"/>
            </w:tcMar>
            <w:vAlign w:val="center"/>
          </w:tcPr>
          <w:p>
            <w:pPr>
              <w:spacing w:after="0"/>
            </w:pPr>
            <w:r>
              <w:rPr>
                <w:rFonts w:ascii="Arial" w:hAnsi="Arial"/>
                <w:b/>
                <w:sz w:val="17"/>
              </w:rPr>
              <w:t>Portfolio analyst</w:t>
            </w:r>
          </w:p>
        </w:tc>
        <w:tc>
          <w:tcPr>
            <w:tcW w:type="dxa" w:w="2880"/>
            <w:shd w:fill="F3F4F6"/>
            <w:tcMar>
              <w:top w:w="90" w:type="dxa"/>
              <w:start w:w="110" w:type="dxa"/>
              <w:bottom w:w="90" w:type="dxa"/>
              <w:end w:w="110" w:type="dxa"/>
            </w:tcMar>
            <w:vAlign w:val="center"/>
          </w:tcPr>
          <w:p>
            <w:pPr>
              <w:spacing w:after="0"/>
            </w:pPr>
            <w:r>
              <w:rPr>
                <w:rFonts w:ascii="Arial" w:hAnsi="Arial"/>
                <w:b w:val="0"/>
                <w:sz w:val="17"/>
              </w:rPr>
              <w:t>Run governed portfolio analyses</w:t>
            </w:r>
          </w:p>
        </w:tc>
        <w:tc>
          <w:tcPr>
            <w:tcW w:type="dxa" w:w="5256"/>
            <w:shd w:fill="F3F4F6"/>
            <w:tcMar>
              <w:top w:w="90" w:type="dxa"/>
              <w:start w:w="110" w:type="dxa"/>
              <w:bottom w:w="90" w:type="dxa"/>
              <w:end w:w="110" w:type="dxa"/>
            </w:tcMar>
            <w:vAlign w:val="center"/>
          </w:tcPr>
          <w:p>
            <w:pPr>
              <w:spacing w:after="0"/>
            </w:pPr>
            <w:r>
              <w:rPr>
                <w:rFonts w:ascii="Arial" w:hAnsi="Arial"/>
                <w:b w:val="0"/>
                <w:sz w:val="17"/>
              </w:rPr>
              <w:t>Upload OED exposure, resolve validation issues, set analysis options, monitor jobs and review loss metrics</w:t>
            </w:r>
          </w:p>
        </w:tc>
      </w:tr>
      <w:tr>
        <w:trPr>
          <w:cantSplit/>
        </w:trPr>
        <w:tc>
          <w:tcPr>
            <w:tcW w:type="dxa" w:w="1800"/>
            <w:shd w:fill="FFFFFF"/>
            <w:tcMar>
              <w:top w:w="90" w:type="dxa"/>
              <w:start w:w="110" w:type="dxa"/>
              <w:bottom w:w="90" w:type="dxa"/>
              <w:end w:w="110" w:type="dxa"/>
            </w:tcMar>
            <w:vAlign w:val="center"/>
          </w:tcPr>
          <w:p>
            <w:pPr>
              <w:spacing w:after="0"/>
            </w:pPr>
            <w:r>
              <w:rPr>
                <w:rFonts w:ascii="Arial" w:hAnsi="Arial"/>
                <w:b/>
                <w:sz w:val="17"/>
              </w:rPr>
              <w:t>Underwriter or pricing user</w:t>
            </w:r>
          </w:p>
        </w:tc>
        <w:tc>
          <w:tcPr>
            <w:tcW w:type="dxa" w:w="2880"/>
            <w:shd w:fill="FFFFFF"/>
            <w:tcMar>
              <w:top w:w="90" w:type="dxa"/>
              <w:start w:w="110" w:type="dxa"/>
              <w:bottom w:w="90" w:type="dxa"/>
              <w:end w:w="110" w:type="dxa"/>
            </w:tcMar>
            <w:vAlign w:val="center"/>
          </w:tcPr>
          <w:p>
            <w:pPr>
              <w:spacing w:after="0"/>
            </w:pPr>
            <w:r>
              <w:rPr>
                <w:rFonts w:ascii="Arial" w:hAnsi="Arial"/>
                <w:b w:val="0"/>
                <w:sz w:val="17"/>
              </w:rPr>
              <w:t>Interpret decision metrics</w:t>
            </w:r>
          </w:p>
        </w:tc>
        <w:tc>
          <w:tcPr>
            <w:tcW w:type="dxa" w:w="5256"/>
            <w:shd w:fill="FFFFFF"/>
            <w:tcMar>
              <w:top w:w="90" w:type="dxa"/>
              <w:start w:w="110" w:type="dxa"/>
              <w:bottom w:w="90" w:type="dxa"/>
              <w:end w:w="110" w:type="dxa"/>
            </w:tcMar>
            <w:vAlign w:val="center"/>
          </w:tcPr>
          <w:p>
            <w:pPr>
              <w:spacing w:after="0"/>
            </w:pPr>
            <w:r>
              <w:rPr>
                <w:rFonts w:ascii="Arial" w:hAnsi="Arial"/>
                <w:b w:val="0"/>
                <w:sz w:val="17"/>
              </w:rPr>
              <w:t>Review approved AAL, EP curves, event losses, geographic concentrations and comparison views</w:t>
            </w:r>
          </w:p>
        </w:tc>
      </w:tr>
      <w:tr>
        <w:trPr>
          <w:cantSplit/>
        </w:trPr>
        <w:tc>
          <w:tcPr>
            <w:tcW w:type="dxa" w:w="1800"/>
            <w:shd w:fill="F3F4F6"/>
            <w:tcMar>
              <w:top w:w="90" w:type="dxa"/>
              <w:start w:w="110" w:type="dxa"/>
              <w:bottom w:w="90" w:type="dxa"/>
              <w:end w:w="110" w:type="dxa"/>
            </w:tcMar>
            <w:vAlign w:val="center"/>
          </w:tcPr>
          <w:p>
            <w:pPr>
              <w:spacing w:after="0"/>
            </w:pPr>
            <w:r>
              <w:rPr>
                <w:rFonts w:ascii="Arial" w:hAnsi="Arial"/>
                <w:b/>
                <w:sz w:val="17"/>
              </w:rPr>
              <w:t>Platform administrator</w:t>
            </w:r>
          </w:p>
        </w:tc>
        <w:tc>
          <w:tcPr>
            <w:tcW w:type="dxa" w:w="2880"/>
            <w:shd w:fill="F3F4F6"/>
            <w:tcMar>
              <w:top w:w="90" w:type="dxa"/>
              <w:start w:w="110" w:type="dxa"/>
              <w:bottom w:w="90" w:type="dxa"/>
              <w:end w:w="110" w:type="dxa"/>
            </w:tcMar>
            <w:vAlign w:val="center"/>
          </w:tcPr>
          <w:p>
            <w:pPr>
              <w:spacing w:after="0"/>
            </w:pPr>
            <w:r>
              <w:rPr>
                <w:rFonts w:ascii="Arial" w:hAnsi="Arial"/>
                <w:b w:val="0"/>
                <w:sz w:val="17"/>
              </w:rPr>
              <w:t>Operate a reliable controlled service</w:t>
            </w:r>
          </w:p>
        </w:tc>
        <w:tc>
          <w:tcPr>
            <w:tcW w:type="dxa" w:w="5256"/>
            <w:shd w:fill="F3F4F6"/>
            <w:tcMar>
              <w:top w:w="90" w:type="dxa"/>
              <w:start w:w="110" w:type="dxa"/>
              <w:bottom w:w="90" w:type="dxa"/>
              <w:end w:w="110" w:type="dxa"/>
            </w:tcMar>
            <w:vAlign w:val="center"/>
          </w:tcPr>
          <w:p>
            <w:pPr>
              <w:spacing w:after="0"/>
            </w:pPr>
            <w:r>
              <w:rPr>
                <w:rFonts w:ascii="Arial" w:hAnsi="Arial"/>
                <w:b w:val="0"/>
                <w:sz w:val="17"/>
              </w:rPr>
              <w:t>Manage users, roles, storage, engines, queues, retention and audit records</w:t>
            </w:r>
          </w:p>
        </w:tc>
      </w:tr>
      <w:tr>
        <w:trPr>
          <w:cantSplit/>
        </w:trPr>
        <w:tc>
          <w:tcPr>
            <w:tcW w:type="dxa" w:w="1800"/>
            <w:shd w:fill="FFFFFF"/>
            <w:tcMar>
              <w:top w:w="90" w:type="dxa"/>
              <w:start w:w="110" w:type="dxa"/>
              <w:bottom w:w="90" w:type="dxa"/>
              <w:end w:w="110" w:type="dxa"/>
            </w:tcMar>
            <w:vAlign w:val="center"/>
          </w:tcPr>
          <w:p>
            <w:pPr>
              <w:spacing w:after="0"/>
            </w:pPr>
            <w:r>
              <w:rPr>
                <w:rFonts w:ascii="Arial" w:hAnsi="Arial"/>
                <w:b/>
                <w:sz w:val="17"/>
              </w:rPr>
              <w:t>Reviewer or approver</w:t>
            </w:r>
          </w:p>
        </w:tc>
        <w:tc>
          <w:tcPr>
            <w:tcW w:type="dxa" w:w="2880"/>
            <w:shd w:fill="FFFFFF"/>
            <w:tcMar>
              <w:top w:w="90" w:type="dxa"/>
              <w:start w:w="110" w:type="dxa"/>
              <w:bottom w:w="90" w:type="dxa"/>
              <w:end w:w="110" w:type="dxa"/>
            </w:tcMar>
            <w:vAlign w:val="center"/>
          </w:tcPr>
          <w:p>
            <w:pPr>
              <w:spacing w:after="0"/>
            </w:pPr>
            <w:r>
              <w:rPr>
                <w:rFonts w:ascii="Arial" w:hAnsi="Arial"/>
                <w:b w:val="0"/>
                <w:sz w:val="17"/>
              </w:rPr>
              <w:t>Provide independent challenge</w:t>
            </w:r>
          </w:p>
        </w:tc>
        <w:tc>
          <w:tcPr>
            <w:tcW w:type="dxa" w:w="5256"/>
            <w:shd w:fill="FFFFFF"/>
            <w:tcMar>
              <w:top w:w="90" w:type="dxa"/>
              <w:start w:w="110" w:type="dxa"/>
              <w:bottom w:w="90" w:type="dxa"/>
              <w:end w:w="110" w:type="dxa"/>
            </w:tcMar>
            <w:vAlign w:val="center"/>
          </w:tcPr>
          <w:p>
            <w:pPr>
              <w:spacing w:after="0"/>
            </w:pPr>
            <w:r>
              <w:rPr>
                <w:rFonts w:ascii="Arial" w:hAnsi="Arial"/>
                <w:b w:val="0"/>
                <w:sz w:val="17"/>
              </w:rPr>
              <w:t>Review assumptions, validation evidence, exceptions and model publication gates</w:t>
            </w:r>
          </w:p>
        </w:tc>
      </w:tr>
    </w:tbl>
    <w:p>
      <w:pPr>
        <w:spacing w:after="40"/>
      </w:pPr>
    </w:p>
    <w:p>
      <w:pPr>
        <w:pStyle w:val="Heading2"/>
        <w:keepNext/>
      </w:pPr>
      <w:r>
        <w:rPr>
          <w:rFonts w:ascii="Arial" w:hAnsi="Arial"/>
          <w:b/>
          <w:color w:val="000000"/>
          <w:sz w:val="26"/>
        </w:rPr>
        <w:t>Release one functional scope</w:t>
      </w:r>
    </w:p>
    <w:p>
      <w:pPr>
        <w:pStyle w:val="ListBullet"/>
      </w:pPr>
      <w:r>
        <w:rPr>
          <w:rFonts w:ascii="Arial" w:hAnsi="Arial"/>
        </w:rPr>
        <w:t>Authentication, role-based access and project workspaces.</w:t>
      </w:r>
    </w:p>
    <w:p>
      <w:pPr>
        <w:pStyle w:val="ListBullet"/>
      </w:pPr>
      <w:r>
        <w:rPr>
          <w:rFonts w:ascii="Arial" w:hAnsi="Arial"/>
        </w:rPr>
        <w:t>Model registry covering country, peril, engine version, hazard source, grid, vulnerability set, financial capability and publication state.</w:t>
      </w:r>
    </w:p>
    <w:p>
      <w:pPr>
        <w:pStyle w:val="ListBullet"/>
      </w:pPr>
      <w:r>
        <w:rPr>
          <w:rFonts w:ascii="Arial" w:hAnsi="Arial"/>
        </w:rPr>
        <w:t>OED location, account and reinsurance input upload with validation, error reports and controlled normalization.</w:t>
      </w:r>
    </w:p>
    <w:p>
      <w:pPr>
        <w:pStyle w:val="ListBullet"/>
      </w:pPr>
      <w:r>
        <w:rPr>
          <w:rFonts w:ascii="Arial" w:hAnsi="Arial"/>
        </w:rPr>
        <w:t>OpenQuake job creation, configuration validation, execution, progress, logs and artifact capture.</w:t>
      </w:r>
    </w:p>
    <w:p>
      <w:pPr>
        <w:pStyle w:val="ListBullet"/>
      </w:pPr>
      <w:r>
        <w:rPr>
          <w:rFonts w:ascii="Arial" w:hAnsi="Arial"/>
        </w:rPr>
        <w:t>OpenQuake to Oasis conversion with chunked HDF5 processing, deterministic identifiers, scientific QA and reproducible packaging.</w:t>
      </w:r>
    </w:p>
    <w:p>
      <w:pPr>
        <w:pStyle w:val="ListBullet"/>
      </w:pPr>
      <w:r>
        <w:rPr>
          <w:rFonts w:ascii="Arial" w:hAnsi="Arial"/>
        </w:rPr>
        <w:t>Oasis keys lookup, file generation and ground-up, insured and reinsurance loss calculation through the Oasis API.</w:t>
      </w:r>
    </w:p>
    <w:p>
      <w:pPr>
        <w:pStyle w:val="ListBullet"/>
      </w:pPr>
      <w:r>
        <w:rPr>
          <w:rFonts w:ascii="Arial" w:hAnsi="Arial"/>
        </w:rPr>
        <w:t>Results catalogue with average annual loss, exceedance probability curves, event loss tables, geographic summaries, run comparisons and downloadable OED or ORD-aligned outputs.</w:t>
      </w:r>
    </w:p>
    <w:p>
      <w:pPr>
        <w:pStyle w:val="ListBullet"/>
      </w:pPr>
      <w:r>
        <w:rPr>
          <w:rFonts w:ascii="Arial" w:hAnsi="Arial"/>
        </w:rPr>
        <w:t>Audit history, approvals, retention controls and operational dashboards.</w:t>
      </w:r>
    </w:p>
    <w:p>
      <w:pPr>
        <w:pStyle w:val="Heading2"/>
        <w:keepNext/>
      </w:pPr>
      <w:r>
        <w:rPr>
          <w:rFonts w:ascii="Arial" w:hAnsi="Arial"/>
          <w:b/>
          <w:color w:val="000000"/>
          <w:sz w:val="26"/>
        </w:rPr>
        <w:t>Deferred scope</w:t>
      </w:r>
    </w:p>
    <w:p>
      <w:pPr>
        <w:pStyle w:val="ListBullet"/>
      </w:pPr>
      <w:r>
        <w:rPr>
          <w:rFonts w:ascii="Arial" w:hAnsi="Arial"/>
        </w:rPr>
        <w:t>External multi-tenant client access and client-specific branding.</w:t>
      </w:r>
    </w:p>
    <w:p>
      <w:pPr>
        <w:pStyle w:val="ListBullet"/>
      </w:pPr>
      <w:r>
        <w:rPr>
          <w:rFonts w:ascii="Arial" w:hAnsi="Arial"/>
        </w:rPr>
        <w:t>Cyclone, flood and other perils, except for the extension points required to add them later.</w:t>
      </w:r>
    </w:p>
    <w:p>
      <w:pPr>
        <w:pStyle w:val="ListBullet"/>
      </w:pPr>
      <w:r>
        <w:rPr>
          <w:rFonts w:ascii="Arial" w:hAnsi="Arial"/>
        </w:rPr>
        <w:t>Full replacement of the native OpenQuake and Oasis administrative interfaces.</w:t>
      </w:r>
    </w:p>
    <w:p>
      <w:pPr>
        <w:pStyle w:val="ListBullet"/>
      </w:pPr>
      <w:r>
        <w:rPr>
          <w:rFonts w:ascii="Arial" w:hAnsi="Arial"/>
        </w:rPr>
        <w:t>Real-time post-event loss estimation and live sensor or agency feeds.</w:t>
      </w:r>
    </w:p>
    <w:p>
      <w:pPr>
        <w:pStyle w:val="ListBullet"/>
      </w:pPr>
      <w:r>
        <w:rPr>
          <w:rFonts w:ascii="Arial" w:hAnsi="Arial"/>
        </w:rPr>
        <w:t>Pricing workflow integration, policy administration integration and automated capital model submissions.</w:t>
      </w:r>
    </w:p>
    <w:p>
      <w:pPr>
        <w:pStyle w:val="ListBullet"/>
      </w:pPr>
      <w:r>
        <w:rPr>
          <w:rFonts w:ascii="Arial" w:hAnsi="Arial"/>
        </w:rPr>
        <w:t>Highly available multi-region deployment before workload and recovery requirements justify it.</w:t>
      </w:r>
    </w:p>
    <w:p>
      <w:pPr>
        <w:pStyle w:val="Heading1"/>
        <w:keepNext/>
      </w:pPr>
      <w:r>
        <w:rPr>
          <w:rFonts w:ascii="Arial" w:hAnsi="Arial"/>
          <w:b/>
          <w:color w:val="000000"/>
          <w:sz w:val="36"/>
        </w:rPr>
        <w:t>3  Product Experience</w:t>
      </w:r>
    </w:p>
    <w:p>
      <w:pPr>
        <w:pStyle w:val="Heading2"/>
        <w:keepNext/>
      </w:pPr>
      <w:r>
        <w:rPr>
          <w:rFonts w:ascii="Arial" w:hAnsi="Arial"/>
          <w:b/>
          <w:color w:val="000000"/>
          <w:sz w:val="26"/>
        </w:rPr>
        <w:t>Principal user journey</w:t>
      </w:r>
    </w:p>
    <w:p>
      <w:pPr>
        <w:pStyle w:val="ListNumber"/>
      </w:pPr>
      <w:r>
        <w:rPr>
          <w:rFonts w:ascii="Arial" w:hAnsi="Arial"/>
        </w:rPr>
        <w:t>Create or open a project and select an approved earthquake model version.</w:t>
      </w:r>
    </w:p>
    <w:p>
      <w:pPr>
        <w:pStyle w:val="ListNumber"/>
      </w:pPr>
      <w:r>
        <w:rPr>
          <w:rFonts w:ascii="Arial" w:hAnsi="Arial"/>
        </w:rPr>
        <w:t>Upload exposure and financial files directly to artifact storage through a secure upload session.</w:t>
      </w:r>
    </w:p>
    <w:p>
      <w:pPr>
        <w:pStyle w:val="ListNumber"/>
      </w:pPr>
      <w:r>
        <w:rPr>
          <w:rFonts w:ascii="Arial" w:hAnsi="Arial"/>
        </w:rPr>
        <w:t>Review OED validation, geocoding and model-coverage findings; correct or explicitly approve permitted exceptions.</w:t>
      </w:r>
    </w:p>
    <w:p>
      <w:pPr>
        <w:pStyle w:val="ListNumber"/>
      </w:pPr>
      <w:r>
        <w:rPr>
          <w:rFonts w:ascii="Arial" w:hAnsi="Arial"/>
        </w:rPr>
        <w:t>Choose analysis options from model-defined settings rather than editing engine configuration files.</w:t>
      </w:r>
    </w:p>
    <w:p>
      <w:pPr>
        <w:pStyle w:val="ListNumber"/>
      </w:pPr>
      <w:r>
        <w:rPr>
          <w:rFonts w:ascii="Arial" w:hAnsi="Arial"/>
        </w:rPr>
        <w:t>Submit the analysis and follow a single KRE status view while Django coordinates the OpenQuake, conversion and Oasis tasks.</w:t>
      </w:r>
    </w:p>
    <w:p>
      <w:pPr>
        <w:pStyle w:val="ListNumber"/>
      </w:pPr>
      <w:r>
        <w:rPr>
          <w:rFonts w:ascii="Arial" w:hAnsi="Arial"/>
        </w:rPr>
        <w:t>Review scientific and operational checks before results are released to decision users.</w:t>
      </w:r>
    </w:p>
    <w:p>
      <w:pPr>
        <w:pStyle w:val="ListNumber"/>
      </w:pPr>
      <w:r>
        <w:rPr>
          <w:rFonts w:ascii="Arial" w:hAnsi="Arial"/>
        </w:rPr>
        <w:t>Explore loss results, maps, curves and comparisons, then export an auditable result package.</w:t>
      </w:r>
    </w:p>
    <w:p>
      <w:pPr>
        <w:pStyle w:val="Heading2"/>
        <w:keepNext/>
      </w:pPr>
      <w:r>
        <w:rPr>
          <w:rFonts w:ascii="Arial" w:hAnsi="Arial"/>
          <w:b/>
          <w:color w:val="000000"/>
          <w:sz w:val="26"/>
        </w:rPr>
        <w:t>Core screens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72"/>
            <w:shd w:fill="234A9E"/>
            <w:tcMar>
              <w:top w:w="110" w:type="dxa"/>
              <w:start w:w="110" w:type="dxa"/>
              <w:bottom w:w="110" w:type="dxa"/>
              <w:end w:w="110" w:type="dxa"/>
            </w:tcMar>
            <w:vAlign w:val="center"/>
          </w:tcPr>
          <w:p>
            <w:pPr>
              <w:spacing w:after="0"/>
              <w:jc w:val="center"/>
            </w:pPr>
            <w:r>
              <w:rPr>
                <w:rFonts w:ascii="Arial" w:hAnsi="Arial"/>
                <w:b/>
                <w:color w:val="FFFFFF"/>
                <w:sz w:val="17"/>
              </w:rPr>
              <w:t>Screen</w:t>
            </w:r>
          </w:p>
        </w:tc>
        <w:tc>
          <w:tcPr>
            <w:tcW w:type="dxa" w:w="2736"/>
            <w:shd w:fill="234A9E"/>
            <w:tcMar>
              <w:top w:w="110" w:type="dxa"/>
              <w:start w:w="110" w:type="dxa"/>
              <w:bottom w:w="110" w:type="dxa"/>
              <w:end w:w="110" w:type="dxa"/>
            </w:tcMar>
            <w:vAlign w:val="center"/>
          </w:tcPr>
          <w:p>
            <w:pPr>
              <w:spacing w:after="0"/>
              <w:jc w:val="center"/>
            </w:pPr>
            <w:r>
              <w:rPr>
                <w:rFonts w:ascii="Arial" w:hAnsi="Arial"/>
                <w:b/>
                <w:color w:val="FFFFFF"/>
                <w:sz w:val="17"/>
              </w:rPr>
              <w:t>Purpose</w:t>
            </w:r>
          </w:p>
        </w:tc>
        <w:tc>
          <w:tcPr>
            <w:tcW w:type="dxa" w:w="5328"/>
            <w:shd w:fill="234A9E"/>
            <w:tcMar>
              <w:top w:w="110" w:type="dxa"/>
              <w:start w:w="110" w:type="dxa"/>
              <w:bottom w:w="110" w:type="dxa"/>
              <w:end w:w="110" w:type="dxa"/>
            </w:tcMar>
            <w:vAlign w:val="center"/>
          </w:tcPr>
          <w:p>
            <w:pPr>
              <w:spacing w:after="0"/>
              <w:jc w:val="center"/>
            </w:pPr>
            <w:r>
              <w:rPr>
                <w:rFonts w:ascii="Arial" w:hAnsi="Arial"/>
                <w:b/>
                <w:color w:val="FFFFFF"/>
                <w:sz w:val="17"/>
              </w:rPr>
              <w:t>Key content</w:t>
            </w:r>
          </w:p>
        </w:tc>
      </w:tr>
      <w:tr>
        <w:trPr>
          <w:cantSplit/>
        </w:trPr>
        <w:tc>
          <w:tcPr>
            <w:tcW w:type="dxa" w:w="1872"/>
            <w:shd w:fill="FFFFFF"/>
            <w:tcMar>
              <w:top w:w="90" w:type="dxa"/>
              <w:start w:w="110" w:type="dxa"/>
              <w:bottom w:w="90" w:type="dxa"/>
              <w:end w:w="110" w:type="dxa"/>
            </w:tcMar>
            <w:vAlign w:val="center"/>
          </w:tcPr>
          <w:p>
            <w:pPr>
              <w:spacing w:after="0"/>
            </w:pPr>
            <w:r>
              <w:rPr>
                <w:rFonts w:ascii="Arial" w:hAnsi="Arial"/>
                <w:b/>
                <w:sz w:val="17"/>
              </w:rPr>
              <w:t>Portfolio dashboard</w:t>
            </w:r>
          </w:p>
        </w:tc>
        <w:tc>
          <w:tcPr>
            <w:tcW w:type="dxa" w:w="2736"/>
            <w:shd w:fill="FFFFFF"/>
            <w:tcMar>
              <w:top w:w="90" w:type="dxa"/>
              <w:start w:w="110" w:type="dxa"/>
              <w:bottom w:w="90" w:type="dxa"/>
              <w:end w:w="110" w:type="dxa"/>
            </w:tcMar>
            <w:vAlign w:val="center"/>
          </w:tcPr>
          <w:p>
            <w:pPr>
              <w:spacing w:after="0"/>
            </w:pPr>
            <w:r>
              <w:rPr>
                <w:rFonts w:ascii="Arial" w:hAnsi="Arial"/>
                <w:b w:val="0"/>
                <w:sz w:val="17"/>
              </w:rPr>
              <w:t>Show current work and exceptions</w:t>
            </w:r>
          </w:p>
        </w:tc>
        <w:tc>
          <w:tcPr>
            <w:tcW w:type="dxa" w:w="5328"/>
            <w:shd w:fill="FFFFFF"/>
            <w:tcMar>
              <w:top w:w="90" w:type="dxa"/>
              <w:start w:w="110" w:type="dxa"/>
              <w:bottom w:w="90" w:type="dxa"/>
              <w:end w:w="110" w:type="dxa"/>
            </w:tcMar>
            <w:vAlign w:val="center"/>
          </w:tcPr>
          <w:p>
            <w:pPr>
              <w:spacing w:after="0"/>
            </w:pPr>
            <w:r>
              <w:rPr>
                <w:rFonts w:ascii="Arial" w:hAnsi="Arial"/>
                <w:b w:val="0"/>
                <w:sz w:val="17"/>
              </w:rPr>
              <w:t>Recent projects, run status, failed checks, storage and model notices</w:t>
            </w:r>
          </w:p>
        </w:tc>
      </w:tr>
      <w:tr>
        <w:trPr>
          <w:cantSplit/>
        </w:trPr>
        <w:tc>
          <w:tcPr>
            <w:tcW w:type="dxa" w:w="1872"/>
            <w:shd w:fill="F3F4F6"/>
            <w:tcMar>
              <w:top w:w="90" w:type="dxa"/>
              <w:start w:w="110" w:type="dxa"/>
              <w:bottom w:w="90" w:type="dxa"/>
              <w:end w:w="110" w:type="dxa"/>
            </w:tcMar>
            <w:vAlign w:val="center"/>
          </w:tcPr>
          <w:p>
            <w:pPr>
              <w:spacing w:after="0"/>
            </w:pPr>
            <w:r>
              <w:rPr>
                <w:rFonts w:ascii="Arial" w:hAnsi="Arial"/>
                <w:b/>
                <w:sz w:val="17"/>
              </w:rPr>
              <w:t>Model catalogue</w:t>
            </w:r>
          </w:p>
        </w:tc>
        <w:tc>
          <w:tcPr>
            <w:tcW w:type="dxa" w:w="2736"/>
            <w:shd w:fill="F3F4F6"/>
            <w:tcMar>
              <w:top w:w="90" w:type="dxa"/>
              <w:start w:w="110" w:type="dxa"/>
              <w:bottom w:w="90" w:type="dxa"/>
              <w:end w:w="110" w:type="dxa"/>
            </w:tcMar>
            <w:vAlign w:val="center"/>
          </w:tcPr>
          <w:p>
            <w:pPr>
              <w:spacing w:after="0"/>
            </w:pPr>
            <w:r>
              <w:rPr>
                <w:rFonts w:ascii="Arial" w:hAnsi="Arial"/>
                <w:b w:val="0"/>
                <w:sz w:val="17"/>
              </w:rPr>
              <w:t>Select an approved model</w:t>
            </w:r>
          </w:p>
        </w:tc>
        <w:tc>
          <w:tcPr>
            <w:tcW w:type="dxa" w:w="5328"/>
            <w:shd w:fill="F3F4F6"/>
            <w:tcMar>
              <w:top w:w="90" w:type="dxa"/>
              <w:start w:w="110" w:type="dxa"/>
              <w:bottom w:w="90" w:type="dxa"/>
              <w:end w:w="110" w:type="dxa"/>
            </w:tcMar>
            <w:vAlign w:val="center"/>
          </w:tcPr>
          <w:p>
            <w:pPr>
              <w:spacing w:after="0"/>
            </w:pPr>
            <w:r>
              <w:rPr>
                <w:rFonts w:ascii="Arial" w:hAnsi="Arial"/>
                <w:b w:val="0"/>
                <w:sz w:val="17"/>
              </w:rPr>
              <w:t>Country, peril, version, publication state, assumptions and validation date</w:t>
            </w:r>
          </w:p>
        </w:tc>
      </w:tr>
      <w:tr>
        <w:trPr>
          <w:cantSplit/>
        </w:trPr>
        <w:tc>
          <w:tcPr>
            <w:tcW w:type="dxa" w:w="1872"/>
            <w:shd w:fill="FFFFFF"/>
            <w:tcMar>
              <w:top w:w="90" w:type="dxa"/>
              <w:start w:w="110" w:type="dxa"/>
              <w:bottom w:w="90" w:type="dxa"/>
              <w:end w:w="110" w:type="dxa"/>
            </w:tcMar>
            <w:vAlign w:val="center"/>
          </w:tcPr>
          <w:p>
            <w:pPr>
              <w:spacing w:after="0"/>
            </w:pPr>
            <w:r>
              <w:rPr>
                <w:rFonts w:ascii="Arial" w:hAnsi="Arial"/>
                <w:b/>
                <w:sz w:val="17"/>
              </w:rPr>
              <w:t>Exposure workspace</w:t>
            </w:r>
          </w:p>
        </w:tc>
        <w:tc>
          <w:tcPr>
            <w:tcW w:type="dxa" w:w="2736"/>
            <w:shd w:fill="FFFFFF"/>
            <w:tcMar>
              <w:top w:w="90" w:type="dxa"/>
              <w:start w:w="110" w:type="dxa"/>
              <w:bottom w:w="90" w:type="dxa"/>
              <w:end w:w="110" w:type="dxa"/>
            </w:tcMar>
            <w:vAlign w:val="center"/>
          </w:tcPr>
          <w:p>
            <w:pPr>
              <w:spacing w:after="0"/>
            </w:pPr>
            <w:r>
              <w:rPr>
                <w:rFonts w:ascii="Arial" w:hAnsi="Arial"/>
                <w:b w:val="0"/>
                <w:sz w:val="17"/>
              </w:rPr>
              <w:t>Prepare analysis inputs</w:t>
            </w:r>
          </w:p>
        </w:tc>
        <w:tc>
          <w:tcPr>
            <w:tcW w:type="dxa" w:w="5328"/>
            <w:shd w:fill="FFFFFF"/>
            <w:tcMar>
              <w:top w:w="90" w:type="dxa"/>
              <w:start w:w="110" w:type="dxa"/>
              <w:bottom w:w="90" w:type="dxa"/>
              <w:end w:w="110" w:type="dxa"/>
            </w:tcMar>
            <w:vAlign w:val="center"/>
          </w:tcPr>
          <w:p>
            <w:pPr>
              <w:spacing w:after="0"/>
            </w:pPr>
            <w:r>
              <w:rPr>
                <w:rFonts w:ascii="Arial" w:hAnsi="Arial"/>
                <w:b w:val="0"/>
                <w:sz w:val="17"/>
              </w:rPr>
              <w:t>Upload status, OED errors, geocoding, taxonomy mapping, TIV summaries and unmapped records</w:t>
            </w:r>
          </w:p>
        </w:tc>
      </w:tr>
      <w:tr>
        <w:trPr>
          <w:cantSplit/>
        </w:trPr>
        <w:tc>
          <w:tcPr>
            <w:tcW w:type="dxa" w:w="1872"/>
            <w:shd w:fill="F3F4F6"/>
            <w:tcMar>
              <w:top w:w="90" w:type="dxa"/>
              <w:start w:w="110" w:type="dxa"/>
              <w:bottom w:w="90" w:type="dxa"/>
              <w:end w:w="110" w:type="dxa"/>
            </w:tcMar>
            <w:vAlign w:val="center"/>
          </w:tcPr>
          <w:p>
            <w:pPr>
              <w:spacing w:after="0"/>
            </w:pPr>
            <w:r>
              <w:rPr>
                <w:rFonts w:ascii="Arial" w:hAnsi="Arial"/>
                <w:b/>
                <w:sz w:val="17"/>
              </w:rPr>
              <w:t>Analysis builder</w:t>
            </w:r>
          </w:p>
        </w:tc>
        <w:tc>
          <w:tcPr>
            <w:tcW w:type="dxa" w:w="2736"/>
            <w:shd w:fill="F3F4F6"/>
            <w:tcMar>
              <w:top w:w="90" w:type="dxa"/>
              <w:start w:w="110" w:type="dxa"/>
              <w:bottom w:w="90" w:type="dxa"/>
              <w:end w:w="110" w:type="dxa"/>
            </w:tcMar>
            <w:vAlign w:val="center"/>
          </w:tcPr>
          <w:p>
            <w:pPr>
              <w:spacing w:after="0"/>
            </w:pPr>
            <w:r>
              <w:rPr>
                <w:rFonts w:ascii="Arial" w:hAnsi="Arial"/>
                <w:b w:val="0"/>
                <w:sz w:val="17"/>
              </w:rPr>
              <w:t>Configure a governed run</w:t>
            </w:r>
          </w:p>
        </w:tc>
        <w:tc>
          <w:tcPr>
            <w:tcW w:type="dxa" w:w="5328"/>
            <w:shd w:fill="F3F4F6"/>
            <w:tcMar>
              <w:top w:w="90" w:type="dxa"/>
              <w:start w:w="110" w:type="dxa"/>
              <w:bottom w:w="90" w:type="dxa"/>
              <w:end w:w="110" w:type="dxa"/>
            </w:tcMar>
            <w:vAlign w:val="center"/>
          </w:tcPr>
          <w:p>
            <w:pPr>
              <w:spacing w:after="0"/>
            </w:pPr>
            <w:r>
              <w:rPr>
                <w:rFonts w:ascii="Arial" w:hAnsi="Arial"/>
                <w:b w:val="0"/>
                <w:sz w:val="17"/>
              </w:rPr>
              <w:t>Model settings, financial options, outputs, resource profile and validation summary</w:t>
            </w:r>
          </w:p>
        </w:tc>
      </w:tr>
      <w:tr>
        <w:trPr>
          <w:cantSplit/>
        </w:trPr>
        <w:tc>
          <w:tcPr>
            <w:tcW w:type="dxa" w:w="1872"/>
            <w:shd w:fill="FFFFFF"/>
            <w:tcMar>
              <w:top w:w="90" w:type="dxa"/>
              <w:start w:w="110" w:type="dxa"/>
              <w:bottom w:w="90" w:type="dxa"/>
              <w:end w:w="110" w:type="dxa"/>
            </w:tcMar>
            <w:vAlign w:val="center"/>
          </w:tcPr>
          <w:p>
            <w:pPr>
              <w:spacing w:after="0"/>
            </w:pPr>
            <w:r>
              <w:rPr>
                <w:rFonts w:ascii="Arial" w:hAnsi="Arial"/>
                <w:b/>
                <w:sz w:val="17"/>
              </w:rPr>
              <w:t>Run monitor</w:t>
            </w:r>
          </w:p>
        </w:tc>
        <w:tc>
          <w:tcPr>
            <w:tcW w:type="dxa" w:w="2736"/>
            <w:shd w:fill="FFFFFF"/>
            <w:tcMar>
              <w:top w:w="90" w:type="dxa"/>
              <w:start w:w="110" w:type="dxa"/>
              <w:bottom w:w="90" w:type="dxa"/>
              <w:end w:w="110" w:type="dxa"/>
            </w:tcMar>
            <w:vAlign w:val="center"/>
          </w:tcPr>
          <w:p>
            <w:pPr>
              <w:spacing w:after="0"/>
            </w:pPr>
            <w:r>
              <w:rPr>
                <w:rFonts w:ascii="Arial" w:hAnsi="Arial"/>
                <w:b w:val="0"/>
                <w:sz w:val="17"/>
              </w:rPr>
              <w:t>Explain progress and failure</w:t>
            </w:r>
          </w:p>
        </w:tc>
        <w:tc>
          <w:tcPr>
            <w:tcW w:type="dxa" w:w="5328"/>
            <w:shd w:fill="FFFFFF"/>
            <w:tcMar>
              <w:top w:w="90" w:type="dxa"/>
              <w:start w:w="110" w:type="dxa"/>
              <w:bottom w:w="90" w:type="dxa"/>
              <w:end w:w="110" w:type="dxa"/>
            </w:tcMar>
            <w:vAlign w:val="center"/>
          </w:tcPr>
          <w:p>
            <w:pPr>
              <w:spacing w:after="0"/>
            </w:pPr>
            <w:r>
              <w:rPr>
                <w:rFonts w:ascii="Arial" w:hAnsi="Arial"/>
                <w:b w:val="0"/>
                <w:sz w:val="17"/>
              </w:rPr>
              <w:t>Pipeline stage, elapsed time, logs, warnings, artifacts and retry controls</w:t>
            </w:r>
          </w:p>
        </w:tc>
      </w:tr>
      <w:tr>
        <w:trPr>
          <w:cantSplit/>
        </w:trPr>
        <w:tc>
          <w:tcPr>
            <w:tcW w:type="dxa" w:w="1872"/>
            <w:shd w:fill="F3F4F6"/>
            <w:tcMar>
              <w:top w:w="90" w:type="dxa"/>
              <w:start w:w="110" w:type="dxa"/>
              <w:bottom w:w="90" w:type="dxa"/>
              <w:end w:w="110" w:type="dxa"/>
            </w:tcMar>
            <w:vAlign w:val="center"/>
          </w:tcPr>
          <w:p>
            <w:pPr>
              <w:spacing w:after="0"/>
            </w:pPr>
            <w:r>
              <w:rPr>
                <w:rFonts w:ascii="Arial" w:hAnsi="Arial"/>
                <w:b/>
                <w:sz w:val="17"/>
              </w:rPr>
              <w:t>Results workspace</w:t>
            </w:r>
          </w:p>
        </w:tc>
        <w:tc>
          <w:tcPr>
            <w:tcW w:type="dxa" w:w="2736"/>
            <w:shd w:fill="F3F4F6"/>
            <w:tcMar>
              <w:top w:w="90" w:type="dxa"/>
              <w:start w:w="110" w:type="dxa"/>
              <w:bottom w:w="90" w:type="dxa"/>
              <w:end w:w="110" w:type="dxa"/>
            </w:tcMar>
            <w:vAlign w:val="center"/>
          </w:tcPr>
          <w:p>
            <w:pPr>
              <w:spacing w:after="0"/>
            </w:pPr>
            <w:r>
              <w:rPr>
                <w:rFonts w:ascii="Arial" w:hAnsi="Arial"/>
                <w:b w:val="0"/>
                <w:sz w:val="17"/>
              </w:rPr>
              <w:t>Support risk interpretation</w:t>
            </w:r>
          </w:p>
        </w:tc>
        <w:tc>
          <w:tcPr>
            <w:tcW w:type="dxa" w:w="5328"/>
            <w:shd w:fill="F3F4F6"/>
            <w:tcMar>
              <w:top w:w="90" w:type="dxa"/>
              <w:start w:w="110" w:type="dxa"/>
              <w:bottom w:w="90" w:type="dxa"/>
              <w:end w:w="110" w:type="dxa"/>
            </w:tcMar>
            <w:vAlign w:val="center"/>
          </w:tcPr>
          <w:p>
            <w:pPr>
              <w:spacing w:after="0"/>
            </w:pPr>
            <w:r>
              <w:rPr>
                <w:rFonts w:ascii="Arial" w:hAnsi="Arial"/>
                <w:b w:val="0"/>
                <w:sz w:val="17"/>
              </w:rPr>
              <w:t>AAL, EP curves, event tables, maps, uncertainty, comparisons and downloads</w:t>
            </w:r>
          </w:p>
        </w:tc>
      </w:tr>
      <w:tr>
        <w:trPr>
          <w:cantSplit/>
        </w:trPr>
        <w:tc>
          <w:tcPr>
            <w:tcW w:type="dxa" w:w="1872"/>
            <w:shd w:fill="FFFFFF"/>
            <w:tcMar>
              <w:top w:w="90" w:type="dxa"/>
              <w:start w:w="110" w:type="dxa"/>
              <w:bottom w:w="90" w:type="dxa"/>
              <w:end w:w="110" w:type="dxa"/>
            </w:tcMar>
            <w:vAlign w:val="center"/>
          </w:tcPr>
          <w:p>
            <w:pPr>
              <w:spacing w:after="0"/>
            </w:pPr>
            <w:r>
              <w:rPr>
                <w:rFonts w:ascii="Arial" w:hAnsi="Arial"/>
                <w:b/>
                <w:sz w:val="17"/>
              </w:rPr>
              <w:t>Model build workspace</w:t>
            </w:r>
          </w:p>
        </w:tc>
        <w:tc>
          <w:tcPr>
            <w:tcW w:type="dxa" w:w="2736"/>
            <w:shd w:fill="FFFFFF"/>
            <w:tcMar>
              <w:top w:w="90" w:type="dxa"/>
              <w:start w:w="110" w:type="dxa"/>
              <w:bottom w:w="90" w:type="dxa"/>
              <w:end w:w="110" w:type="dxa"/>
            </w:tcMar>
            <w:vAlign w:val="center"/>
          </w:tcPr>
          <w:p>
            <w:pPr>
              <w:spacing w:after="0"/>
            </w:pPr>
            <w:r>
              <w:rPr>
                <w:rFonts w:ascii="Arial" w:hAnsi="Arial"/>
                <w:b w:val="0"/>
                <w:sz w:val="17"/>
              </w:rPr>
              <w:t>Manage scientific assets</w:t>
            </w:r>
          </w:p>
        </w:tc>
        <w:tc>
          <w:tcPr>
            <w:tcW w:type="dxa" w:w="5328"/>
            <w:shd w:fill="FFFFFF"/>
            <w:tcMar>
              <w:top w:w="90" w:type="dxa"/>
              <w:start w:w="110" w:type="dxa"/>
              <w:bottom w:w="90" w:type="dxa"/>
              <w:end w:w="110" w:type="dxa"/>
            </w:tcMar>
            <w:vAlign w:val="center"/>
          </w:tcPr>
          <w:p>
            <w:pPr>
              <w:spacing w:after="0"/>
            </w:pPr>
            <w:r>
              <w:rPr>
                <w:rFonts w:ascii="Arial" w:hAnsi="Arial"/>
                <w:b w:val="0"/>
                <w:sz w:val="17"/>
              </w:rPr>
              <w:t>Hazard runs, converter QA, vulnerability sets, model packages and approval gates</w:t>
            </w:r>
          </w:p>
        </w:tc>
      </w:tr>
      <w:tr>
        <w:trPr>
          <w:cantSplit/>
        </w:trPr>
        <w:tc>
          <w:tcPr>
            <w:tcW w:type="dxa" w:w="1872"/>
            <w:shd w:fill="F3F4F6"/>
            <w:tcMar>
              <w:top w:w="90" w:type="dxa"/>
              <w:start w:w="110" w:type="dxa"/>
              <w:bottom w:w="90" w:type="dxa"/>
              <w:end w:w="110" w:type="dxa"/>
            </w:tcMar>
            <w:vAlign w:val="center"/>
          </w:tcPr>
          <w:p>
            <w:pPr>
              <w:spacing w:after="0"/>
            </w:pPr>
            <w:r>
              <w:rPr>
                <w:rFonts w:ascii="Arial" w:hAnsi="Arial"/>
                <w:b/>
                <w:sz w:val="17"/>
              </w:rPr>
              <w:t>Administration</w:t>
            </w:r>
          </w:p>
        </w:tc>
        <w:tc>
          <w:tcPr>
            <w:tcW w:type="dxa" w:w="2736"/>
            <w:shd w:fill="F3F4F6"/>
            <w:tcMar>
              <w:top w:w="90" w:type="dxa"/>
              <w:start w:w="110" w:type="dxa"/>
              <w:bottom w:w="90" w:type="dxa"/>
              <w:end w:w="110" w:type="dxa"/>
            </w:tcMar>
            <w:vAlign w:val="center"/>
          </w:tcPr>
          <w:p>
            <w:pPr>
              <w:spacing w:after="0"/>
              <w:jc w:val="center"/>
            </w:pPr>
            <w:r>
              <w:rPr>
                <w:rFonts w:ascii="Arial" w:hAnsi="Arial"/>
                <w:b w:val="0"/>
                <w:sz w:val="17"/>
              </w:rPr>
              <w:t>Operate the service</w:t>
            </w:r>
          </w:p>
        </w:tc>
        <w:tc>
          <w:tcPr>
            <w:tcW w:type="dxa" w:w="5328"/>
            <w:shd w:fill="F3F4F6"/>
            <w:tcMar>
              <w:top w:w="90" w:type="dxa"/>
              <w:start w:w="110" w:type="dxa"/>
              <w:bottom w:w="90" w:type="dxa"/>
              <w:end w:w="110" w:type="dxa"/>
            </w:tcMar>
            <w:vAlign w:val="center"/>
          </w:tcPr>
          <w:p>
            <w:pPr>
              <w:spacing w:after="0"/>
            </w:pPr>
            <w:r>
              <w:rPr>
                <w:rFonts w:ascii="Arial" w:hAnsi="Arial"/>
                <w:b w:val="0"/>
                <w:sz w:val="17"/>
              </w:rPr>
              <w:t>Users, roles, engine health, queues, storage, retention and audit search</w:t>
            </w:r>
          </w:p>
        </w:tc>
      </w:tr>
    </w:tbl>
    <w:p>
      <w:pPr>
        <w:spacing w:after="40"/>
      </w:pPr>
    </w:p>
    <w:p>
      <w:pPr>
        <w:pStyle w:val="Heading2"/>
        <w:keepNext/>
      </w:pPr>
      <w:r>
        <w:rPr>
          <w:rFonts w:ascii="Arial" w:hAnsi="Arial"/>
          <w:b/>
          <w:color w:val="000000"/>
          <w:sz w:val="26"/>
        </w:rPr>
        <w:t>Visual design system</w:t>
      </w:r>
    </w:p>
    <w:p>
      <w:r>
        <w:rPr>
          <w:rFonts w:ascii="Arial" w:hAnsi="Arial"/>
        </w:rPr>
        <w:t>The interface should use KRE blue #234A9E as the primary action, navigation and selection colour; white as the principal workspace surface; and a restrained neutral grey scale for borders, secondary text, inactive states and dense analytical views. Black remains the default reading colour. Charts should reserve KRE blue for the principal series and use accessible, colour-blind-safe secondary colours only where comparison requires them.</w:t>
      </w:r>
    </w:p>
    <w:p>
      <w:pPr>
        <w:pStyle w:val="ListBullet"/>
      </w:pPr>
      <w:r>
        <w:rPr>
          <w:rFonts w:ascii="Arial" w:hAnsi="Arial"/>
        </w:rPr>
        <w:t>Use a left navigation rail for stable product areas and a wide content canvas for maps, curves and tables.</w:t>
      </w:r>
    </w:p>
    <w:p>
      <w:pPr>
        <w:pStyle w:val="ListBullet"/>
      </w:pPr>
      <w:r>
        <w:rPr>
          <w:rFonts w:ascii="Arial" w:hAnsi="Arial"/>
        </w:rPr>
        <w:t>Make model version, portfolio, financial perspective and run state continuously visible.</w:t>
      </w:r>
    </w:p>
    <w:p>
      <w:pPr>
        <w:pStyle w:val="ListBullet"/>
      </w:pPr>
      <w:r>
        <w:rPr>
          <w:rFonts w:ascii="Arial" w:hAnsi="Arial"/>
        </w:rPr>
        <w:t>Translate engine terminology into analyst language while retaining expandable technical details for modellers.</w:t>
      </w:r>
    </w:p>
    <w:p>
      <w:pPr>
        <w:pStyle w:val="ListBullet"/>
      </w:pPr>
      <w:r>
        <w:rPr>
          <w:rFonts w:ascii="Arial" w:hAnsi="Arial"/>
        </w:rPr>
        <w:t>Use progressive disclosure for advanced OpenQuake and Oasis settings.</w:t>
      </w:r>
    </w:p>
    <w:p>
      <w:pPr>
        <w:pStyle w:val="ListBullet"/>
      </w:pPr>
      <w:r>
        <w:rPr>
          <w:rFonts w:ascii="Arial" w:hAnsi="Arial"/>
        </w:rPr>
        <w:t>Meet WCAG 2.1 AA contrast and keyboard-navigation expectations, including non-colour status cues.</w:t>
      </w:r>
    </w:p>
    <w:p>
      <w:pPr>
        <w:pStyle w:val="ListBullet"/>
      </w:pPr>
      <w:r>
        <w:rPr>
          <w:rFonts w:ascii="Arial" w:hAnsi="Arial"/>
        </w:rPr>
        <w:t>Treat long-running work as background jobs; never require the browser to remain open.</w:t>
      </w:r>
    </w:p>
    <w:p>
      <w:pPr>
        <w:pStyle w:val="Heading1"/>
        <w:keepNext/>
      </w:pPr>
      <w:r>
        <w:rPr>
          <w:rFonts w:ascii="Arial" w:hAnsi="Arial"/>
          <w:b/>
          <w:color w:val="000000"/>
          <w:sz w:val="36"/>
        </w:rPr>
        <w:t>4  Target Architecture</w:t>
      </w:r>
    </w:p>
    <w:p>
      <w:r>
        <w:rPr>
          <w:rFonts w:ascii="Arial" w:hAnsi="Arial"/>
        </w:rPr>
        <w:t>The architecture separates the control plane from the scientific data plane. Django coordinates work and records what happened. Engine services perform calculations. Artifact storage carries large immutable inputs and outputs. Every boundary is accessed through a versioned adapter or supported API.</w:t>
      </w:r>
    </w:p>
    <w:p>
      <w:pPr>
        <w:pStyle w:val="Heading2"/>
        <w:keepNext/>
      </w:pPr>
      <w:r>
        <w:rPr>
          <w:rFonts w:ascii="Arial" w:hAnsi="Arial"/>
          <w:b/>
          <w:color w:val="000000"/>
          <w:sz w:val="26"/>
        </w:rPr>
        <w:t>End to end service 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trPr>
        <w:tc>
          <w:tcPr>
            <w:tcW w:type="dxa" w:w="1900"/>
            <w:shd w:fill="234A9E"/>
            <w:tcMar>
              <w:top w:w="110" w:type="dxa"/>
              <w:start w:w="110" w:type="dxa"/>
              <w:bottom w:w="110" w:type="dxa"/>
              <w:end w:w="110" w:type="dxa"/>
            </w:tcMar>
            <w:vAlign w:val="center"/>
          </w:tcPr>
          <w:p>
            <w:pPr>
              <w:spacing w:after="0"/>
              <w:jc w:val="center"/>
            </w:pPr>
            <w:r>
              <w:rPr>
                <w:rFonts w:ascii="Arial" w:hAnsi="Arial"/>
                <w:b/>
                <w:color w:val="FFFFFF"/>
                <w:sz w:val="16"/>
              </w:rPr>
              <w:t>KRE React</w:t>
            </w:r>
          </w:p>
        </w:tc>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KRE Django</w:t>
            </w:r>
          </w:p>
        </w:tc>
        <w:tc>
          <w:tcPr>
            <w:tcW w:type="dxa" w:w="1872"/>
            <w:shd w:fill="234A9E"/>
            <w:tcMar>
              <w:top w:w="110" w:type="dxa"/>
              <w:start w:w="110" w:type="dxa"/>
              <w:bottom w:w="110" w:type="dxa"/>
              <w:end w:w="110" w:type="dxa"/>
            </w:tcMar>
            <w:vAlign w:val="center"/>
          </w:tcPr>
          <w:p>
            <w:pPr>
              <w:spacing w:after="0"/>
              <w:jc w:val="center"/>
            </w:pPr>
            <w:r>
              <w:rPr>
                <w:rFonts w:ascii="Arial" w:hAnsi="Arial"/>
                <w:b/>
                <w:color w:val="FFFFFF"/>
                <w:sz w:val="16"/>
              </w:rPr>
              <w:t>OpenQuake</w:t>
            </w:r>
          </w:p>
        </w:tc>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KRE Converter</w:t>
            </w:r>
          </w:p>
        </w:tc>
        <w:tc>
          <w:tcPr>
            <w:tcW w:type="dxa" w:w="1987"/>
            <w:shd w:fill="234A9E"/>
            <w:tcMar>
              <w:top w:w="110" w:type="dxa"/>
              <w:start w:w="110" w:type="dxa"/>
              <w:bottom w:w="110" w:type="dxa"/>
              <w:end w:w="110" w:type="dxa"/>
            </w:tcMar>
            <w:vAlign w:val="center"/>
          </w:tcPr>
          <w:p>
            <w:pPr>
              <w:spacing w:after="0"/>
              <w:jc w:val="center"/>
            </w:pPr>
            <w:r>
              <w:rPr>
                <w:rFonts w:ascii="Arial" w:hAnsi="Arial"/>
                <w:b/>
                <w:color w:val="FFFFFF"/>
                <w:sz w:val="16"/>
              </w:rPr>
              <w:t>Oasis</w:t>
            </w:r>
          </w:p>
        </w:tc>
      </w:tr>
      <w:tr>
        <w:trPr>
          <w:cantSplit/>
        </w:trPr>
        <w:tc>
          <w:tcPr>
            <w:tcW w:type="dxa" w:w="1900"/>
            <w:shd w:fill="FFFFFF"/>
            <w:tcMar>
              <w:top w:w="90" w:type="dxa"/>
              <w:start w:w="110" w:type="dxa"/>
              <w:bottom w:w="90" w:type="dxa"/>
              <w:end w:w="110" w:type="dxa"/>
            </w:tcMar>
            <w:vAlign w:val="center"/>
          </w:tcPr>
          <w:p>
            <w:pPr>
              <w:spacing w:after="0"/>
            </w:pPr>
            <w:r>
              <w:rPr>
                <w:rFonts w:ascii="Arial" w:hAnsi="Arial"/>
                <w:b w:val="0"/>
                <w:sz w:val="16"/>
              </w:rPr>
              <w:t>Analyst workflow and results</w:t>
            </w:r>
          </w:p>
        </w:tc>
        <w:tc>
          <w:tcPr>
            <w:tcW w:type="dxa" w:w="2088"/>
            <w:shd w:fill="FFFFFF"/>
            <w:tcMar>
              <w:top w:w="90" w:type="dxa"/>
              <w:start w:w="110" w:type="dxa"/>
              <w:bottom w:w="90" w:type="dxa"/>
              <w:end w:w="110" w:type="dxa"/>
            </w:tcMar>
            <w:vAlign w:val="center"/>
          </w:tcPr>
          <w:p>
            <w:pPr>
              <w:spacing w:after="0"/>
            </w:pPr>
            <w:r>
              <w:rPr>
                <w:rFonts w:ascii="Arial" w:hAnsi="Arial"/>
                <w:b w:val="0"/>
                <w:sz w:val="16"/>
              </w:rPr>
              <w:t>Identity, orchestration, metadata and audit</w:t>
            </w:r>
          </w:p>
        </w:tc>
        <w:tc>
          <w:tcPr>
            <w:tcW w:type="dxa" w:w="1872"/>
            <w:shd w:fill="FFFFFF"/>
            <w:tcMar>
              <w:top w:w="90" w:type="dxa"/>
              <w:start w:w="110" w:type="dxa"/>
              <w:bottom w:w="90" w:type="dxa"/>
              <w:end w:w="110" w:type="dxa"/>
            </w:tcMar>
            <w:vAlign w:val="center"/>
          </w:tcPr>
          <w:p>
            <w:pPr>
              <w:spacing w:after="0"/>
            </w:pPr>
            <w:r>
              <w:rPr>
                <w:rFonts w:ascii="Arial" w:hAnsi="Arial"/>
                <w:b w:val="0"/>
                <w:sz w:val="16"/>
              </w:rPr>
              <w:t>Earthquake hazard and supported exports</w:t>
            </w:r>
          </w:p>
        </w:tc>
        <w:tc>
          <w:tcPr>
            <w:tcW w:type="dxa" w:w="2088"/>
            <w:shd w:fill="FFFFFF"/>
            <w:tcMar>
              <w:top w:w="90" w:type="dxa"/>
              <w:start w:w="110" w:type="dxa"/>
              <w:bottom w:w="90" w:type="dxa"/>
              <w:end w:w="110" w:type="dxa"/>
            </w:tcMar>
            <w:vAlign w:val="center"/>
          </w:tcPr>
          <w:p>
            <w:pPr>
              <w:spacing w:after="0"/>
            </w:pPr>
            <w:r>
              <w:rPr>
                <w:rFonts w:ascii="Arial" w:hAnsi="Arial"/>
                <w:b w:val="0"/>
                <w:sz w:val="16"/>
              </w:rPr>
              <w:t>HDF5 to events, occurrence and footprint</w:t>
            </w:r>
          </w:p>
        </w:tc>
        <w:tc>
          <w:tcPr>
            <w:tcW w:type="dxa" w:w="1987"/>
            <w:shd w:fill="FFFFFF"/>
            <w:tcMar>
              <w:top w:w="90" w:type="dxa"/>
              <w:start w:w="110" w:type="dxa"/>
              <w:bottom w:w="90" w:type="dxa"/>
              <w:end w:w="110" w:type="dxa"/>
            </w:tcMar>
            <w:vAlign w:val="center"/>
          </w:tcPr>
          <w:p>
            <w:pPr>
              <w:spacing w:after="0"/>
            </w:pPr>
            <w:r>
              <w:rPr>
                <w:rFonts w:ascii="Arial" w:hAnsi="Arial"/>
                <w:b w:val="0"/>
                <w:sz w:val="16"/>
              </w:rPr>
              <w:t>Vulnerability, financial terms and loss outputs</w:t>
            </w:r>
          </w:p>
        </w:tc>
      </w:tr>
    </w:tbl>
    <w:p>
      <w:pPr>
        <w:spacing w:after="40"/>
      </w:pPr>
    </w:p>
    <w:p>
      <w:r>
        <w:rPr>
          <w:rFonts w:ascii="Arial" w:hAnsi="Arial"/>
        </w:rPr>
        <w:t>Shared infrastructure: PostgreSQL for KRE application records; an object store for uploads, HDF5, model packages and results; a background task queue; centralized logs and metrics; and a secrets service. The OpenQuake and Oasis internal stores remain engine-owned.</w:t>
      </w:r>
    </w:p>
    <w:p>
      <w:pPr>
        <w:pStyle w:val="Heading2"/>
        <w:keepNext/>
      </w:pPr>
      <w:r>
        <w:rPr>
          <w:rFonts w:ascii="Arial" w:hAnsi="Arial"/>
          <w:b/>
          <w:color w:val="000000"/>
          <w:sz w:val="26"/>
        </w:rPr>
        <w:t>Component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Component</w:t>
            </w:r>
          </w:p>
        </w:tc>
        <w:tc>
          <w:tcPr>
            <w:tcW w:type="dxa" w:w="4536"/>
            <w:shd w:fill="234A9E"/>
            <w:tcMar>
              <w:top w:w="110" w:type="dxa"/>
              <w:start w:w="110" w:type="dxa"/>
              <w:bottom w:w="110" w:type="dxa"/>
              <w:end w:w="110" w:type="dxa"/>
            </w:tcMar>
            <w:vAlign w:val="center"/>
          </w:tcPr>
          <w:p>
            <w:pPr>
              <w:spacing w:after="0"/>
              <w:jc w:val="center"/>
            </w:pPr>
            <w:r>
              <w:rPr>
                <w:rFonts w:ascii="Arial" w:hAnsi="Arial"/>
                <w:b/>
                <w:color w:val="FFFFFF"/>
                <w:sz w:val="16"/>
              </w:rPr>
              <w:t>Responsibility</w:t>
            </w:r>
          </w:p>
        </w:tc>
        <w:tc>
          <w:tcPr>
            <w:tcW w:type="dxa" w:w="3311"/>
            <w:shd w:fill="234A9E"/>
            <w:tcMar>
              <w:top w:w="110" w:type="dxa"/>
              <w:start w:w="110" w:type="dxa"/>
              <w:bottom w:w="110" w:type="dxa"/>
              <w:end w:w="110" w:type="dxa"/>
            </w:tcMar>
            <w:vAlign w:val="center"/>
          </w:tcPr>
          <w:p>
            <w:pPr>
              <w:spacing w:after="0"/>
              <w:jc w:val="center"/>
            </w:pPr>
            <w:r>
              <w:rPr>
                <w:rFonts w:ascii="Arial" w:hAnsi="Arial"/>
                <w:b/>
                <w:color w:val="FFFFFF"/>
                <w:sz w:val="16"/>
              </w:rPr>
              <w:t>Boundary rule</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React TypeScript application</w:t>
            </w:r>
          </w:p>
        </w:tc>
        <w:tc>
          <w:tcPr>
            <w:tcW w:type="dxa" w:w="4536"/>
            <w:shd w:fill="FFFFFF"/>
            <w:tcMar>
              <w:top w:w="90" w:type="dxa"/>
              <w:start w:w="110" w:type="dxa"/>
              <w:bottom w:w="90" w:type="dxa"/>
              <w:end w:w="110" w:type="dxa"/>
            </w:tcMar>
            <w:vAlign w:val="center"/>
          </w:tcPr>
          <w:p>
            <w:pPr>
              <w:spacing w:after="0"/>
            </w:pPr>
            <w:r>
              <w:rPr>
                <w:rFonts w:ascii="Arial" w:hAnsi="Arial"/>
                <w:b w:val="0"/>
                <w:sz w:val="16"/>
              </w:rPr>
              <w:t>Analyst workflow, validation presentation, mapping, charting and result comparison</w:t>
            </w:r>
          </w:p>
        </w:tc>
        <w:tc>
          <w:tcPr>
            <w:tcW w:type="dxa" w:w="3311"/>
            <w:shd w:fill="FFFFFF"/>
            <w:tcMar>
              <w:top w:w="90" w:type="dxa"/>
              <w:start w:w="110" w:type="dxa"/>
              <w:bottom w:w="90" w:type="dxa"/>
              <w:end w:w="110" w:type="dxa"/>
            </w:tcMar>
            <w:vAlign w:val="center"/>
          </w:tcPr>
          <w:p>
            <w:pPr>
              <w:spacing w:after="0"/>
            </w:pPr>
            <w:r>
              <w:rPr>
                <w:rFonts w:ascii="Arial" w:hAnsi="Arial"/>
                <w:b w:val="0"/>
                <w:sz w:val="16"/>
              </w:rPr>
              <w:t>Calls only the KRE API; does not call engine APIs directly</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Django REST API</w:t>
            </w:r>
          </w:p>
        </w:tc>
        <w:tc>
          <w:tcPr>
            <w:tcW w:type="dxa" w:w="4536"/>
            <w:shd w:fill="F3F4F6"/>
            <w:tcMar>
              <w:top w:w="90" w:type="dxa"/>
              <w:start w:w="110" w:type="dxa"/>
              <w:bottom w:w="90" w:type="dxa"/>
              <w:end w:w="110" w:type="dxa"/>
            </w:tcMar>
            <w:vAlign w:val="center"/>
          </w:tcPr>
          <w:p>
            <w:pPr>
              <w:spacing w:after="0"/>
            </w:pPr>
            <w:r>
              <w:rPr>
                <w:rFonts w:ascii="Arial" w:hAnsi="Arial"/>
                <w:b w:val="0"/>
                <w:sz w:val="16"/>
              </w:rPr>
              <w:t>Users, roles, projects, runs, model registry, metadata, approvals and audit</w:t>
            </w:r>
          </w:p>
        </w:tc>
        <w:tc>
          <w:tcPr>
            <w:tcW w:type="dxa" w:w="3311"/>
            <w:shd w:fill="F3F4F6"/>
            <w:tcMar>
              <w:top w:w="90" w:type="dxa"/>
              <w:start w:w="110" w:type="dxa"/>
              <w:bottom w:w="90" w:type="dxa"/>
              <w:end w:w="110" w:type="dxa"/>
            </w:tcMar>
            <w:vAlign w:val="center"/>
          </w:tcPr>
          <w:p>
            <w:pPr>
              <w:spacing w:after="0"/>
            </w:pPr>
            <w:r>
              <w:rPr>
                <w:rFonts w:ascii="Arial" w:hAnsi="Arial"/>
                <w:b w:val="0"/>
                <w:sz w:val="16"/>
              </w:rPr>
              <w:t>Stores references to large artifacts, not scientific arrays</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Workflow workers</w:t>
            </w:r>
          </w:p>
        </w:tc>
        <w:tc>
          <w:tcPr>
            <w:tcW w:type="dxa" w:w="4536"/>
            <w:shd w:fill="FFFFFF"/>
            <w:tcMar>
              <w:top w:w="90" w:type="dxa"/>
              <w:start w:w="110" w:type="dxa"/>
              <w:bottom w:w="90" w:type="dxa"/>
              <w:end w:w="110" w:type="dxa"/>
            </w:tcMar>
            <w:vAlign w:val="center"/>
          </w:tcPr>
          <w:p>
            <w:pPr>
              <w:spacing w:after="0"/>
            </w:pPr>
            <w:r>
              <w:rPr>
                <w:rFonts w:ascii="Arial" w:hAnsi="Arial"/>
                <w:b w:val="0"/>
                <w:sz w:val="16"/>
              </w:rPr>
              <w:t>Execute durable jobs, retries, cancellation and stage transitions</w:t>
            </w:r>
          </w:p>
        </w:tc>
        <w:tc>
          <w:tcPr>
            <w:tcW w:type="dxa" w:w="3311"/>
            <w:shd w:fill="FFFFFF"/>
            <w:tcMar>
              <w:top w:w="90" w:type="dxa"/>
              <w:start w:w="110" w:type="dxa"/>
              <w:bottom w:w="90" w:type="dxa"/>
              <w:end w:w="110" w:type="dxa"/>
            </w:tcMar>
            <w:vAlign w:val="center"/>
          </w:tcPr>
          <w:p>
            <w:pPr>
              <w:spacing w:after="0"/>
            </w:pPr>
            <w:r>
              <w:rPr>
                <w:rFonts w:ascii="Arial" w:hAnsi="Arial"/>
                <w:b w:val="0"/>
                <w:sz w:val="16"/>
              </w:rPr>
              <w:t>Every task is idempotent and records input and output checksums</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OpenQuake adapter</w:t>
            </w:r>
          </w:p>
        </w:tc>
        <w:tc>
          <w:tcPr>
            <w:tcW w:type="dxa" w:w="4536"/>
            <w:shd w:fill="F3F4F6"/>
            <w:tcMar>
              <w:top w:w="90" w:type="dxa"/>
              <w:start w:w="110" w:type="dxa"/>
              <w:bottom w:w="90" w:type="dxa"/>
              <w:end w:w="110" w:type="dxa"/>
            </w:tcMar>
            <w:vAlign w:val="center"/>
          </w:tcPr>
          <w:p>
            <w:pPr>
              <w:spacing w:after="0"/>
            </w:pPr>
            <w:r>
              <w:rPr>
                <w:rFonts w:ascii="Arial" w:hAnsi="Arial"/>
                <w:b w:val="0"/>
                <w:sz w:val="16"/>
              </w:rPr>
              <w:t>Submit, monitor and export calculations through supported interfaces</w:t>
            </w:r>
          </w:p>
        </w:tc>
        <w:tc>
          <w:tcPr>
            <w:tcW w:type="dxa" w:w="3311"/>
            <w:shd w:fill="F3F4F6"/>
            <w:tcMar>
              <w:top w:w="90" w:type="dxa"/>
              <w:start w:w="110" w:type="dxa"/>
              <w:bottom w:w="90" w:type="dxa"/>
              <w:end w:w="110" w:type="dxa"/>
            </w:tcMar>
            <w:vAlign w:val="center"/>
          </w:tcPr>
          <w:p>
            <w:pPr>
              <w:spacing w:after="0"/>
            </w:pPr>
            <w:r>
              <w:rPr>
                <w:rFonts w:ascii="Arial" w:hAnsi="Arial"/>
                <w:b w:val="0"/>
                <w:sz w:val="16"/>
              </w:rPr>
              <w:t>No KRE writes to OpenQuake internal tables</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Converter service</w:t>
            </w:r>
          </w:p>
        </w:tc>
        <w:tc>
          <w:tcPr>
            <w:tcW w:type="dxa" w:w="4536"/>
            <w:shd w:fill="FFFFFF"/>
            <w:tcMar>
              <w:top w:w="90" w:type="dxa"/>
              <w:start w:w="110" w:type="dxa"/>
              <w:bottom w:w="90" w:type="dxa"/>
              <w:end w:w="110" w:type="dxa"/>
            </w:tcMar>
            <w:vAlign w:val="center"/>
          </w:tcPr>
          <w:p>
            <w:pPr>
              <w:spacing w:after="0"/>
            </w:pPr>
            <w:r>
              <w:rPr>
                <w:rFonts w:ascii="Arial" w:hAnsi="Arial"/>
                <w:b w:val="0"/>
                <w:sz w:val="16"/>
              </w:rPr>
              <w:t>Translate versioned OpenQuake output into validated Oasis model data</w:t>
            </w:r>
          </w:p>
        </w:tc>
        <w:tc>
          <w:tcPr>
            <w:tcW w:type="dxa" w:w="3311"/>
            <w:shd w:fill="FFFFFF"/>
            <w:tcMar>
              <w:top w:w="90" w:type="dxa"/>
              <w:start w:w="110" w:type="dxa"/>
              <w:bottom w:w="90" w:type="dxa"/>
              <w:end w:w="110" w:type="dxa"/>
            </w:tcMar>
            <w:vAlign w:val="center"/>
          </w:tcPr>
          <w:p>
            <w:pPr>
              <w:spacing w:after="0"/>
            </w:pPr>
            <w:r>
              <w:rPr>
                <w:rFonts w:ascii="Arial" w:hAnsi="Arial"/>
                <w:b w:val="0"/>
                <w:sz w:val="16"/>
              </w:rPr>
              <w:t>Pinned compatibility matrix and deterministic output</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Oasis adapter</w:t>
            </w:r>
          </w:p>
        </w:tc>
        <w:tc>
          <w:tcPr>
            <w:tcW w:type="dxa" w:w="4536"/>
            <w:shd w:fill="F3F4F6"/>
            <w:tcMar>
              <w:top w:w="90" w:type="dxa"/>
              <w:start w:w="110" w:type="dxa"/>
              <w:bottom w:w="90" w:type="dxa"/>
              <w:end w:w="110" w:type="dxa"/>
            </w:tcMar>
            <w:vAlign w:val="center"/>
          </w:tcPr>
          <w:p>
            <w:pPr>
              <w:spacing w:after="0"/>
            </w:pPr>
            <w:r>
              <w:rPr>
                <w:rFonts w:ascii="Arial" w:hAnsi="Arial"/>
                <w:b w:val="0"/>
                <w:sz w:val="16"/>
              </w:rPr>
              <w:t>Register models, upload exposure, run analyses and collect outputs</w:t>
            </w:r>
          </w:p>
        </w:tc>
        <w:tc>
          <w:tcPr>
            <w:tcW w:type="dxa" w:w="3311"/>
            <w:shd w:fill="F3F4F6"/>
            <w:tcMar>
              <w:top w:w="90" w:type="dxa"/>
              <w:start w:w="110" w:type="dxa"/>
              <w:bottom w:w="90" w:type="dxa"/>
              <w:end w:w="110" w:type="dxa"/>
            </w:tcMar>
            <w:vAlign w:val="center"/>
          </w:tcPr>
          <w:p>
            <w:pPr>
              <w:spacing w:after="0"/>
            </w:pPr>
            <w:r>
              <w:rPr>
                <w:rFonts w:ascii="Arial" w:hAnsi="Arial"/>
                <w:b w:val="0"/>
                <w:sz w:val="16"/>
              </w:rPr>
              <w:t>Use the Platform API rather than modifying the Oasis UI</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Artifact store</w:t>
            </w:r>
          </w:p>
        </w:tc>
        <w:tc>
          <w:tcPr>
            <w:tcW w:type="dxa" w:w="4536"/>
            <w:shd w:fill="FFFFFF"/>
            <w:tcMar>
              <w:top w:w="90" w:type="dxa"/>
              <w:start w:w="110" w:type="dxa"/>
              <w:bottom w:w="90" w:type="dxa"/>
              <w:end w:w="110" w:type="dxa"/>
            </w:tcMar>
            <w:vAlign w:val="center"/>
          </w:tcPr>
          <w:p>
            <w:pPr>
              <w:spacing w:after="0"/>
            </w:pPr>
            <w:r>
              <w:rPr>
                <w:rFonts w:ascii="Arial" w:hAnsi="Arial"/>
                <w:b w:val="0"/>
                <w:sz w:val="16"/>
              </w:rPr>
              <w:t>Hold large immutable and versioned files</w:t>
            </w:r>
          </w:p>
        </w:tc>
        <w:tc>
          <w:tcPr>
            <w:tcW w:type="dxa" w:w="3311"/>
            <w:shd w:fill="FFFFFF"/>
            <w:tcMar>
              <w:top w:w="90" w:type="dxa"/>
              <w:start w:w="110" w:type="dxa"/>
              <w:bottom w:w="90" w:type="dxa"/>
              <w:end w:w="110" w:type="dxa"/>
            </w:tcMar>
            <w:vAlign w:val="center"/>
          </w:tcPr>
          <w:p>
            <w:pPr>
              <w:spacing w:after="0"/>
            </w:pPr>
            <w:r>
              <w:rPr>
                <w:rFonts w:ascii="Arial" w:hAnsi="Arial"/>
                <w:b w:val="0"/>
                <w:sz w:val="16"/>
              </w:rPr>
              <w:t>Content checksum, retention class and access policy on every object</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PostgreSQL</w:t>
            </w:r>
          </w:p>
        </w:tc>
        <w:tc>
          <w:tcPr>
            <w:tcW w:type="dxa" w:w="4536"/>
            <w:shd w:fill="F3F4F6"/>
            <w:tcMar>
              <w:top w:w="90" w:type="dxa"/>
              <w:start w:w="110" w:type="dxa"/>
              <w:bottom w:w="90" w:type="dxa"/>
              <w:end w:w="110" w:type="dxa"/>
            </w:tcMar>
            <w:vAlign w:val="center"/>
          </w:tcPr>
          <w:p>
            <w:pPr>
              <w:spacing w:after="0"/>
            </w:pPr>
            <w:r>
              <w:rPr>
                <w:rFonts w:ascii="Arial" w:hAnsi="Arial"/>
                <w:b w:val="0"/>
                <w:sz w:val="16"/>
              </w:rPr>
              <w:t>Hold KRE control-plane records</w:t>
            </w:r>
          </w:p>
        </w:tc>
        <w:tc>
          <w:tcPr>
            <w:tcW w:type="dxa" w:w="3311"/>
            <w:shd w:fill="F3F4F6"/>
            <w:tcMar>
              <w:top w:w="90" w:type="dxa"/>
              <w:start w:w="110" w:type="dxa"/>
              <w:bottom w:w="90" w:type="dxa"/>
              <w:end w:w="110" w:type="dxa"/>
            </w:tcMar>
            <w:vAlign w:val="center"/>
          </w:tcPr>
          <w:p>
            <w:pPr>
              <w:spacing w:after="0"/>
            </w:pPr>
            <w:r>
              <w:rPr>
                <w:rFonts w:ascii="Arial" w:hAnsi="Arial"/>
                <w:b w:val="0"/>
                <w:sz w:val="16"/>
              </w:rPr>
              <w:t>No event-site-IMT observation table</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Observability stack</w:t>
            </w:r>
          </w:p>
        </w:tc>
        <w:tc>
          <w:tcPr>
            <w:tcW w:type="dxa" w:w="4536"/>
            <w:shd w:fill="FFFFFF"/>
            <w:tcMar>
              <w:top w:w="90" w:type="dxa"/>
              <w:start w:w="110" w:type="dxa"/>
              <w:bottom w:w="90" w:type="dxa"/>
              <w:end w:w="110" w:type="dxa"/>
            </w:tcMar>
            <w:vAlign w:val="center"/>
          </w:tcPr>
          <w:p>
            <w:pPr>
              <w:spacing w:after="0"/>
            </w:pPr>
            <w:r>
              <w:rPr>
                <w:rFonts w:ascii="Arial" w:hAnsi="Arial"/>
                <w:b w:val="0"/>
                <w:sz w:val="16"/>
              </w:rPr>
              <w:t>Aggregate structured logs, metrics, traces and alerts</w:t>
            </w:r>
          </w:p>
        </w:tc>
        <w:tc>
          <w:tcPr>
            <w:tcW w:type="dxa" w:w="3311"/>
            <w:shd w:fill="FFFFFF"/>
            <w:tcMar>
              <w:top w:w="90" w:type="dxa"/>
              <w:start w:w="110" w:type="dxa"/>
              <w:bottom w:w="90" w:type="dxa"/>
              <w:end w:w="110" w:type="dxa"/>
            </w:tcMar>
            <w:vAlign w:val="center"/>
          </w:tcPr>
          <w:p>
            <w:pPr>
              <w:spacing w:after="0"/>
            </w:pPr>
            <w:r>
              <w:rPr>
                <w:rFonts w:ascii="Arial" w:hAnsi="Arial"/>
                <w:b w:val="0"/>
                <w:sz w:val="16"/>
              </w:rPr>
              <w:t>Correlation ID follows every run across all services</w:t>
            </w:r>
          </w:p>
        </w:tc>
      </w:tr>
    </w:tbl>
    <w:p>
      <w:pPr>
        <w:spacing w:after="40"/>
      </w:pPr>
    </w:p>
    <w:p>
      <w:pPr>
        <w:pStyle w:val="Heading2"/>
        <w:keepNext/>
      </w:pPr>
      <w:r>
        <w:rPr>
          <w:rFonts w:ascii="Arial" w:hAnsi="Arial"/>
          <w:b/>
          <w:color w:val="000000"/>
          <w:sz w:val="26"/>
        </w:rPr>
        <w:t>Recommended technology baseline</w:t>
      </w:r>
    </w:p>
    <w:p>
      <w:pPr>
        <w:pStyle w:val="ListBullet"/>
      </w:pPr>
      <w:r>
        <w:rPr>
          <w:rFonts w:ascii="Arial" w:hAnsi="Arial"/>
        </w:rPr>
        <w:t>React with TypeScript and a documented KRE component library; MapLibre GL JS for maps; a mature charting library for EP and loss distributions.</w:t>
      </w:r>
    </w:p>
    <w:p>
      <w:pPr>
        <w:pStyle w:val="ListBullet"/>
      </w:pPr>
      <w:r>
        <w:rPr>
          <w:rFonts w:ascii="Arial" w:hAnsi="Arial"/>
        </w:rPr>
        <w:t>Django, Django REST Framework and generated OpenAPI contracts; PostgreSQL for the KRE database.</w:t>
      </w:r>
    </w:p>
    <w:p>
      <w:pPr>
        <w:pStyle w:val="ListBullet"/>
      </w:pPr>
      <w:r>
        <w:rPr>
          <w:rFonts w:ascii="Arial" w:hAnsi="Arial"/>
        </w:rPr>
        <w:t>Celery-compatible durable background execution. Redis is acceptable for development; RabbitMQ or another production-grade broker should be selected through the deployment decision.</w:t>
      </w:r>
    </w:p>
    <w:p>
      <w:pPr>
        <w:pStyle w:val="ListBullet"/>
      </w:pPr>
      <w:r>
        <w:rPr>
          <w:rFonts w:ascii="Arial" w:hAnsi="Arial"/>
        </w:rPr>
        <w:t>S3-compatible object storage. A local filesystem-backed service is acceptable for the first workstation deployment if the same object interface is preserved.</w:t>
      </w:r>
    </w:p>
    <w:p>
      <w:pPr>
        <w:pStyle w:val="ListBullet"/>
      </w:pPr>
      <w:r>
        <w:rPr>
          <w:rFonts w:ascii="Arial" w:hAnsi="Arial"/>
        </w:rPr>
        <w:t>Docker Compose for local development and the first controlled deployment; managed containers or Kubernetes only when availability and workload justify the operating overhead.</w:t>
      </w:r>
    </w:p>
    <w:p>
      <w:pPr>
        <w:pStyle w:val="ListBullet"/>
      </w:pPr>
      <w:r>
        <w:rPr>
          <w:rFonts w:ascii="Arial" w:hAnsi="Arial"/>
        </w:rPr>
        <w:t>Pinned container image digests, software bills of materials, vulnerability scanning and a tested engine compatibility matrix.</w:t>
      </w:r>
    </w:p>
    <w:p>
      <w:pPr>
        <w:pStyle w:val="Heading1"/>
        <w:keepNext/>
      </w:pPr>
      <w:r>
        <w:rPr>
          <w:rFonts w:ascii="Arial" w:hAnsi="Arial"/>
          <w:b/>
          <w:color w:val="000000"/>
          <w:sz w:val="36"/>
        </w:rPr>
        <w:t>5  Application and Data Model</w:t>
      </w:r>
    </w:p>
    <w:p>
      <w:pPr>
        <w:pStyle w:val="Heading2"/>
        <w:keepNext/>
      </w:pPr>
      <w:r>
        <w:rPr>
          <w:rFonts w:ascii="Arial" w:hAnsi="Arial"/>
          <w:b/>
          <w:color w:val="000000"/>
          <w:sz w:val="26"/>
        </w:rPr>
        <w:t>KRE control-plane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234A9E"/>
            <w:tcMar>
              <w:top w:w="110" w:type="dxa"/>
              <w:start w:w="110" w:type="dxa"/>
              <w:bottom w:w="110" w:type="dxa"/>
              <w:end w:w="110" w:type="dxa"/>
            </w:tcMar>
            <w:vAlign w:val="center"/>
          </w:tcPr>
          <w:p>
            <w:pPr>
              <w:spacing w:after="0"/>
              <w:jc w:val="center"/>
            </w:pPr>
            <w:r>
              <w:rPr>
                <w:rFonts w:ascii="Arial" w:hAnsi="Arial"/>
                <w:b/>
                <w:color w:val="FFFFFF"/>
                <w:sz w:val="17"/>
              </w:rPr>
              <w:t>Record</w:t>
            </w:r>
          </w:p>
        </w:tc>
        <w:tc>
          <w:tcPr>
            <w:tcW w:type="dxa" w:w="3024"/>
            <w:shd w:fill="234A9E"/>
            <w:tcMar>
              <w:top w:w="110" w:type="dxa"/>
              <w:start w:w="110" w:type="dxa"/>
              <w:bottom w:w="110" w:type="dxa"/>
              <w:end w:w="110" w:type="dxa"/>
            </w:tcMar>
            <w:vAlign w:val="center"/>
          </w:tcPr>
          <w:p>
            <w:pPr>
              <w:spacing w:after="0"/>
              <w:jc w:val="center"/>
            </w:pPr>
            <w:r>
              <w:rPr>
                <w:rFonts w:ascii="Arial" w:hAnsi="Arial"/>
                <w:b/>
                <w:color w:val="FFFFFF"/>
                <w:sz w:val="17"/>
              </w:rPr>
              <w:t>Purpose</w:t>
            </w:r>
          </w:p>
        </w:tc>
        <w:tc>
          <w:tcPr>
            <w:tcW w:type="dxa" w:w="4968"/>
            <w:shd w:fill="234A9E"/>
            <w:tcMar>
              <w:top w:w="110" w:type="dxa"/>
              <w:start w:w="110" w:type="dxa"/>
              <w:bottom w:w="110" w:type="dxa"/>
              <w:end w:w="110" w:type="dxa"/>
            </w:tcMar>
            <w:vAlign w:val="center"/>
          </w:tcPr>
          <w:p>
            <w:pPr>
              <w:spacing w:after="0"/>
              <w:jc w:val="center"/>
            </w:pPr>
            <w:r>
              <w:rPr>
                <w:rFonts w:ascii="Arial" w:hAnsi="Arial"/>
                <w:b/>
                <w:color w:val="FFFFFF"/>
                <w:sz w:val="17"/>
              </w:rPr>
              <w:t>Examples of retained fields</w:t>
            </w:r>
          </w:p>
        </w:tc>
      </w:tr>
      <w:tr>
        <w:trPr>
          <w:cantSplit/>
        </w:trPr>
        <w:tc>
          <w:tcPr>
            <w:tcW w:type="dxa" w:w="1944"/>
            <w:shd w:fill="FFFFFF"/>
            <w:tcMar>
              <w:top w:w="90" w:type="dxa"/>
              <w:start w:w="110" w:type="dxa"/>
              <w:bottom w:w="90" w:type="dxa"/>
              <w:end w:w="110" w:type="dxa"/>
            </w:tcMar>
            <w:vAlign w:val="center"/>
          </w:tcPr>
          <w:p>
            <w:pPr>
              <w:spacing w:after="0"/>
            </w:pPr>
            <w:r>
              <w:rPr>
                <w:rFonts w:ascii="Arial" w:hAnsi="Arial"/>
                <w:b/>
                <w:sz w:val="17"/>
              </w:rPr>
              <w:t>Project</w:t>
            </w:r>
          </w:p>
        </w:tc>
        <w:tc>
          <w:tcPr>
            <w:tcW w:type="dxa" w:w="3024"/>
            <w:shd w:fill="FFFFFF"/>
            <w:tcMar>
              <w:top w:w="90" w:type="dxa"/>
              <w:start w:w="110" w:type="dxa"/>
              <w:bottom w:w="90" w:type="dxa"/>
              <w:end w:w="110" w:type="dxa"/>
            </w:tcMar>
            <w:vAlign w:val="center"/>
          </w:tcPr>
          <w:p>
            <w:pPr>
              <w:spacing w:after="0"/>
              <w:jc w:val="center"/>
            </w:pPr>
            <w:r>
              <w:rPr>
                <w:rFonts w:ascii="Arial" w:hAnsi="Arial"/>
                <w:b w:val="0"/>
                <w:sz w:val="17"/>
              </w:rPr>
              <w:t>Business workspace</w:t>
            </w:r>
          </w:p>
        </w:tc>
        <w:tc>
          <w:tcPr>
            <w:tcW w:type="dxa" w:w="4968"/>
            <w:shd w:fill="FFFFFF"/>
            <w:tcMar>
              <w:top w:w="90" w:type="dxa"/>
              <w:start w:w="110" w:type="dxa"/>
              <w:bottom w:w="90" w:type="dxa"/>
              <w:end w:w="110" w:type="dxa"/>
            </w:tcMar>
            <w:vAlign w:val="center"/>
          </w:tcPr>
          <w:p>
            <w:pPr>
              <w:spacing w:after="0"/>
            </w:pPr>
            <w:r>
              <w:rPr>
                <w:rFonts w:ascii="Arial" w:hAnsi="Arial"/>
                <w:b w:val="0"/>
                <w:sz w:val="17"/>
              </w:rPr>
              <w:t>Owner, team, purpose, access, status</w:t>
            </w:r>
          </w:p>
        </w:tc>
      </w:tr>
      <w:tr>
        <w:trPr>
          <w:cantSplit/>
        </w:trPr>
        <w:tc>
          <w:tcPr>
            <w:tcW w:type="dxa" w:w="1944"/>
            <w:shd w:fill="F3F4F6"/>
            <w:tcMar>
              <w:top w:w="90" w:type="dxa"/>
              <w:start w:w="110" w:type="dxa"/>
              <w:bottom w:w="90" w:type="dxa"/>
              <w:end w:w="110" w:type="dxa"/>
            </w:tcMar>
            <w:vAlign w:val="center"/>
          </w:tcPr>
          <w:p>
            <w:pPr>
              <w:spacing w:after="0"/>
            </w:pPr>
            <w:r>
              <w:rPr>
                <w:rFonts w:ascii="Arial" w:hAnsi="Arial"/>
                <w:b/>
                <w:sz w:val="17"/>
              </w:rPr>
              <w:t>Exposure version</w:t>
            </w:r>
          </w:p>
        </w:tc>
        <w:tc>
          <w:tcPr>
            <w:tcW w:type="dxa" w:w="3024"/>
            <w:shd w:fill="F3F4F6"/>
            <w:tcMar>
              <w:top w:w="90" w:type="dxa"/>
              <w:start w:w="110" w:type="dxa"/>
              <w:bottom w:w="90" w:type="dxa"/>
              <w:end w:w="110" w:type="dxa"/>
            </w:tcMar>
            <w:vAlign w:val="center"/>
          </w:tcPr>
          <w:p>
            <w:pPr>
              <w:spacing w:after="0"/>
            </w:pPr>
            <w:r>
              <w:rPr>
                <w:rFonts w:ascii="Arial" w:hAnsi="Arial"/>
                <w:b w:val="0"/>
                <w:sz w:val="17"/>
              </w:rPr>
              <w:t>Immutable input version</w:t>
            </w:r>
          </w:p>
        </w:tc>
        <w:tc>
          <w:tcPr>
            <w:tcW w:type="dxa" w:w="4968"/>
            <w:shd w:fill="F3F4F6"/>
            <w:tcMar>
              <w:top w:w="90" w:type="dxa"/>
              <w:start w:w="110" w:type="dxa"/>
              <w:bottom w:w="90" w:type="dxa"/>
              <w:end w:w="110" w:type="dxa"/>
            </w:tcMar>
            <w:vAlign w:val="center"/>
          </w:tcPr>
          <w:p>
            <w:pPr>
              <w:spacing w:after="0"/>
            </w:pPr>
            <w:r>
              <w:rPr>
                <w:rFonts w:ascii="Arial" w:hAnsi="Arial"/>
                <w:b w:val="0"/>
                <w:sz w:val="17"/>
              </w:rPr>
              <w:t>OED version, file references, schema result, TIV summaries, checksum</w:t>
            </w:r>
          </w:p>
        </w:tc>
      </w:tr>
      <w:tr>
        <w:trPr>
          <w:cantSplit/>
        </w:trPr>
        <w:tc>
          <w:tcPr>
            <w:tcW w:type="dxa" w:w="1944"/>
            <w:shd w:fill="FFFFFF"/>
            <w:tcMar>
              <w:top w:w="90" w:type="dxa"/>
              <w:start w:w="110" w:type="dxa"/>
              <w:bottom w:w="90" w:type="dxa"/>
              <w:end w:w="110" w:type="dxa"/>
            </w:tcMar>
            <w:vAlign w:val="center"/>
          </w:tcPr>
          <w:p>
            <w:pPr>
              <w:spacing w:after="0"/>
            </w:pPr>
            <w:r>
              <w:rPr>
                <w:rFonts w:ascii="Arial" w:hAnsi="Arial"/>
                <w:b/>
                <w:sz w:val="17"/>
              </w:rPr>
              <w:t>Model version</w:t>
            </w:r>
          </w:p>
        </w:tc>
        <w:tc>
          <w:tcPr>
            <w:tcW w:type="dxa" w:w="3024"/>
            <w:shd w:fill="FFFFFF"/>
            <w:tcMar>
              <w:top w:w="90" w:type="dxa"/>
              <w:start w:w="110" w:type="dxa"/>
              <w:bottom w:w="90" w:type="dxa"/>
              <w:end w:w="110" w:type="dxa"/>
            </w:tcMar>
            <w:vAlign w:val="center"/>
          </w:tcPr>
          <w:p>
            <w:pPr>
              <w:spacing w:after="0"/>
            </w:pPr>
            <w:r>
              <w:rPr>
                <w:rFonts w:ascii="Arial" w:hAnsi="Arial"/>
                <w:b w:val="0"/>
                <w:sz w:val="17"/>
              </w:rPr>
              <w:t>Published calculation capability</w:t>
            </w:r>
          </w:p>
        </w:tc>
        <w:tc>
          <w:tcPr>
            <w:tcW w:type="dxa" w:w="4968"/>
            <w:shd w:fill="FFFFFF"/>
            <w:tcMar>
              <w:top w:w="90" w:type="dxa"/>
              <w:start w:w="110" w:type="dxa"/>
              <w:bottom w:w="90" w:type="dxa"/>
              <w:end w:w="110" w:type="dxa"/>
            </w:tcMar>
            <w:vAlign w:val="center"/>
          </w:tcPr>
          <w:p>
            <w:pPr>
              <w:spacing w:after="0"/>
            </w:pPr>
            <w:r>
              <w:rPr>
                <w:rFonts w:ascii="Arial" w:hAnsi="Arial"/>
                <w:b w:val="0"/>
                <w:sz w:val="17"/>
              </w:rPr>
              <w:t>Country, peril, engine versions, grid, hazard, vulnerability and approval state</w:t>
            </w:r>
          </w:p>
        </w:tc>
      </w:tr>
      <w:tr>
        <w:trPr>
          <w:cantSplit/>
        </w:trPr>
        <w:tc>
          <w:tcPr>
            <w:tcW w:type="dxa" w:w="1944"/>
            <w:shd w:fill="F3F4F6"/>
            <w:tcMar>
              <w:top w:w="90" w:type="dxa"/>
              <w:start w:w="110" w:type="dxa"/>
              <w:bottom w:w="90" w:type="dxa"/>
              <w:end w:w="110" w:type="dxa"/>
            </w:tcMar>
            <w:vAlign w:val="center"/>
          </w:tcPr>
          <w:p>
            <w:pPr>
              <w:spacing w:after="0"/>
            </w:pPr>
            <w:r>
              <w:rPr>
                <w:rFonts w:ascii="Arial" w:hAnsi="Arial"/>
                <w:b/>
                <w:sz w:val="17"/>
              </w:rPr>
              <w:t>Hazard run</w:t>
            </w:r>
          </w:p>
        </w:tc>
        <w:tc>
          <w:tcPr>
            <w:tcW w:type="dxa" w:w="3024"/>
            <w:shd w:fill="F3F4F6"/>
            <w:tcMar>
              <w:top w:w="90" w:type="dxa"/>
              <w:start w:w="110" w:type="dxa"/>
              <w:bottom w:w="90" w:type="dxa"/>
              <w:end w:w="110" w:type="dxa"/>
            </w:tcMar>
            <w:vAlign w:val="center"/>
          </w:tcPr>
          <w:p>
            <w:pPr>
              <w:spacing w:after="0"/>
            </w:pPr>
            <w:r>
              <w:rPr>
                <w:rFonts w:ascii="Arial" w:hAnsi="Arial"/>
                <w:b w:val="0"/>
                <w:sz w:val="17"/>
              </w:rPr>
              <w:t>OpenQuake execution record</w:t>
            </w:r>
          </w:p>
        </w:tc>
        <w:tc>
          <w:tcPr>
            <w:tcW w:type="dxa" w:w="4968"/>
            <w:shd w:fill="F3F4F6"/>
            <w:tcMar>
              <w:top w:w="90" w:type="dxa"/>
              <w:start w:w="110" w:type="dxa"/>
              <w:bottom w:w="90" w:type="dxa"/>
              <w:end w:w="110" w:type="dxa"/>
            </w:tcMar>
            <w:vAlign w:val="center"/>
          </w:tcPr>
          <w:p>
            <w:pPr>
              <w:spacing w:after="0"/>
            </w:pPr>
            <w:r>
              <w:rPr>
                <w:rFonts w:ascii="Arial" w:hAnsi="Arial"/>
                <w:b w:val="0"/>
                <w:sz w:val="17"/>
              </w:rPr>
              <w:t>Calculation ID, settings hash, image digest, state, timings and artifact references</w:t>
            </w:r>
          </w:p>
        </w:tc>
      </w:tr>
      <w:tr>
        <w:trPr>
          <w:cantSplit/>
        </w:trPr>
        <w:tc>
          <w:tcPr>
            <w:tcW w:type="dxa" w:w="1944"/>
            <w:shd w:fill="FFFFFF"/>
            <w:tcMar>
              <w:top w:w="90" w:type="dxa"/>
              <w:start w:w="110" w:type="dxa"/>
              <w:bottom w:w="90" w:type="dxa"/>
              <w:end w:w="110" w:type="dxa"/>
            </w:tcMar>
            <w:vAlign w:val="center"/>
          </w:tcPr>
          <w:p>
            <w:pPr>
              <w:spacing w:after="0"/>
            </w:pPr>
            <w:r>
              <w:rPr>
                <w:rFonts w:ascii="Arial" w:hAnsi="Arial"/>
                <w:b/>
                <w:sz w:val="17"/>
              </w:rPr>
              <w:t>Conversion run</w:t>
            </w:r>
          </w:p>
        </w:tc>
        <w:tc>
          <w:tcPr>
            <w:tcW w:type="dxa" w:w="3024"/>
            <w:shd w:fill="FFFFFF"/>
            <w:tcMar>
              <w:top w:w="90" w:type="dxa"/>
              <w:start w:w="110" w:type="dxa"/>
              <w:bottom w:w="90" w:type="dxa"/>
              <w:end w:w="110" w:type="dxa"/>
            </w:tcMar>
            <w:vAlign w:val="center"/>
          </w:tcPr>
          <w:p>
            <w:pPr>
              <w:spacing w:after="0"/>
            </w:pPr>
            <w:r>
              <w:rPr>
                <w:rFonts w:ascii="Arial" w:hAnsi="Arial"/>
                <w:b w:val="0"/>
                <w:sz w:val="17"/>
              </w:rPr>
              <w:t>OpenQuake to Oasis lineage</w:t>
            </w:r>
          </w:p>
        </w:tc>
        <w:tc>
          <w:tcPr>
            <w:tcW w:type="dxa" w:w="4968"/>
            <w:shd w:fill="FFFFFF"/>
            <w:tcMar>
              <w:top w:w="90" w:type="dxa"/>
              <w:start w:w="110" w:type="dxa"/>
              <w:bottom w:w="90" w:type="dxa"/>
              <w:end w:w="110" w:type="dxa"/>
            </w:tcMar>
            <w:vAlign w:val="center"/>
          </w:tcPr>
          <w:p>
            <w:pPr>
              <w:spacing w:after="0"/>
            </w:pPr>
            <w:r>
              <w:rPr>
                <w:rFonts w:ascii="Arial" w:hAnsi="Arial"/>
                <w:b w:val="0"/>
                <w:sz w:val="17"/>
              </w:rPr>
              <w:t>Converter version, event policy, binning, source and target checksums, QA state</w:t>
            </w:r>
          </w:p>
        </w:tc>
      </w:tr>
      <w:tr>
        <w:trPr>
          <w:cantSplit/>
        </w:trPr>
        <w:tc>
          <w:tcPr>
            <w:tcW w:type="dxa" w:w="1944"/>
            <w:shd w:fill="F3F4F6"/>
            <w:tcMar>
              <w:top w:w="90" w:type="dxa"/>
              <w:start w:w="110" w:type="dxa"/>
              <w:bottom w:w="90" w:type="dxa"/>
              <w:end w:w="110" w:type="dxa"/>
            </w:tcMar>
            <w:vAlign w:val="center"/>
          </w:tcPr>
          <w:p>
            <w:pPr>
              <w:spacing w:after="0"/>
            </w:pPr>
            <w:r>
              <w:rPr>
                <w:rFonts w:ascii="Arial" w:hAnsi="Arial"/>
                <w:b/>
                <w:sz w:val="17"/>
              </w:rPr>
              <w:t>Analysis run</w:t>
            </w:r>
          </w:p>
        </w:tc>
        <w:tc>
          <w:tcPr>
            <w:tcW w:type="dxa" w:w="3024"/>
            <w:shd w:fill="F3F4F6"/>
            <w:tcMar>
              <w:top w:w="90" w:type="dxa"/>
              <w:start w:w="110" w:type="dxa"/>
              <w:bottom w:w="90" w:type="dxa"/>
              <w:end w:w="110" w:type="dxa"/>
            </w:tcMar>
            <w:vAlign w:val="center"/>
          </w:tcPr>
          <w:p>
            <w:pPr>
              <w:spacing w:after="0"/>
            </w:pPr>
            <w:r>
              <w:rPr>
                <w:rFonts w:ascii="Arial" w:hAnsi="Arial"/>
                <w:b w:val="0"/>
                <w:sz w:val="17"/>
              </w:rPr>
              <w:t>Portfolio loss execution</w:t>
            </w:r>
          </w:p>
        </w:tc>
        <w:tc>
          <w:tcPr>
            <w:tcW w:type="dxa" w:w="4968"/>
            <w:shd w:fill="F3F4F6"/>
            <w:tcMar>
              <w:top w:w="90" w:type="dxa"/>
              <w:start w:w="110" w:type="dxa"/>
              <w:bottom w:w="90" w:type="dxa"/>
              <w:end w:w="110" w:type="dxa"/>
            </w:tcMar>
            <w:vAlign w:val="center"/>
          </w:tcPr>
          <w:p>
            <w:pPr>
              <w:spacing w:after="0"/>
            </w:pPr>
            <w:r>
              <w:rPr>
                <w:rFonts w:ascii="Arial" w:hAnsi="Arial"/>
                <w:b w:val="0"/>
                <w:sz w:val="17"/>
              </w:rPr>
              <w:t>Exposure, model, settings, financial perspective, queue state and Oasis identifiers</w:t>
            </w:r>
          </w:p>
        </w:tc>
      </w:tr>
      <w:tr>
        <w:trPr>
          <w:cantSplit/>
        </w:trPr>
        <w:tc>
          <w:tcPr>
            <w:tcW w:type="dxa" w:w="1944"/>
            <w:shd w:fill="FFFFFF"/>
            <w:tcMar>
              <w:top w:w="90" w:type="dxa"/>
              <w:start w:w="110" w:type="dxa"/>
              <w:bottom w:w="90" w:type="dxa"/>
              <w:end w:w="110" w:type="dxa"/>
            </w:tcMar>
            <w:vAlign w:val="center"/>
          </w:tcPr>
          <w:p>
            <w:pPr>
              <w:spacing w:after="0"/>
            </w:pPr>
            <w:r>
              <w:rPr>
                <w:rFonts w:ascii="Arial" w:hAnsi="Arial"/>
                <w:b/>
                <w:sz w:val="17"/>
              </w:rPr>
              <w:t>Result set</w:t>
            </w:r>
          </w:p>
        </w:tc>
        <w:tc>
          <w:tcPr>
            <w:tcW w:type="dxa" w:w="3024"/>
            <w:shd w:fill="FFFFFF"/>
            <w:tcMar>
              <w:top w:w="90" w:type="dxa"/>
              <w:start w:w="110" w:type="dxa"/>
              <w:bottom w:w="90" w:type="dxa"/>
              <w:end w:w="110" w:type="dxa"/>
            </w:tcMar>
            <w:vAlign w:val="center"/>
          </w:tcPr>
          <w:p>
            <w:pPr>
              <w:spacing w:after="0"/>
            </w:pPr>
            <w:r>
              <w:rPr>
                <w:rFonts w:ascii="Arial" w:hAnsi="Arial"/>
                <w:b w:val="0"/>
                <w:sz w:val="17"/>
              </w:rPr>
              <w:t>Discoverable approved outputs</w:t>
            </w:r>
          </w:p>
        </w:tc>
        <w:tc>
          <w:tcPr>
            <w:tcW w:type="dxa" w:w="4968"/>
            <w:shd w:fill="FFFFFF"/>
            <w:tcMar>
              <w:top w:w="90" w:type="dxa"/>
              <w:start w:w="110" w:type="dxa"/>
              <w:bottom w:w="90" w:type="dxa"/>
              <w:end w:w="110" w:type="dxa"/>
            </w:tcMar>
            <w:vAlign w:val="center"/>
          </w:tcPr>
          <w:p>
            <w:pPr>
              <w:spacing w:after="0"/>
            </w:pPr>
            <w:r>
              <w:rPr>
                <w:rFonts w:ascii="Arial" w:hAnsi="Arial"/>
                <w:b w:val="0"/>
                <w:sz w:val="17"/>
              </w:rPr>
              <w:t>ORD artifacts, AAL, validation state, publication and retention</w:t>
            </w:r>
          </w:p>
        </w:tc>
      </w:tr>
      <w:tr>
        <w:trPr>
          <w:cantSplit/>
        </w:trPr>
        <w:tc>
          <w:tcPr>
            <w:tcW w:type="dxa" w:w="1944"/>
            <w:shd w:fill="F3F4F6"/>
            <w:tcMar>
              <w:top w:w="90" w:type="dxa"/>
              <w:start w:w="110" w:type="dxa"/>
              <w:bottom w:w="90" w:type="dxa"/>
              <w:end w:w="110" w:type="dxa"/>
            </w:tcMar>
            <w:vAlign w:val="center"/>
          </w:tcPr>
          <w:p>
            <w:pPr>
              <w:spacing w:after="0"/>
            </w:pPr>
            <w:r>
              <w:rPr>
                <w:rFonts w:ascii="Arial" w:hAnsi="Arial"/>
                <w:b/>
                <w:sz w:val="17"/>
              </w:rPr>
              <w:t>Audit event</w:t>
            </w:r>
          </w:p>
        </w:tc>
        <w:tc>
          <w:tcPr>
            <w:tcW w:type="dxa" w:w="3024"/>
            <w:shd w:fill="F3F4F6"/>
            <w:tcMar>
              <w:top w:w="90" w:type="dxa"/>
              <w:start w:w="110" w:type="dxa"/>
              <w:bottom w:w="90" w:type="dxa"/>
              <w:end w:w="110" w:type="dxa"/>
            </w:tcMar>
            <w:vAlign w:val="center"/>
          </w:tcPr>
          <w:p>
            <w:pPr>
              <w:spacing w:after="0"/>
              <w:jc w:val="center"/>
            </w:pPr>
            <w:r>
              <w:rPr>
                <w:rFonts w:ascii="Arial" w:hAnsi="Arial"/>
                <w:b w:val="0"/>
                <w:sz w:val="17"/>
              </w:rPr>
              <w:t>Governance evidence</w:t>
            </w:r>
          </w:p>
        </w:tc>
        <w:tc>
          <w:tcPr>
            <w:tcW w:type="dxa" w:w="4968"/>
            <w:shd w:fill="F3F4F6"/>
            <w:tcMar>
              <w:top w:w="90" w:type="dxa"/>
              <w:start w:w="110" w:type="dxa"/>
              <w:bottom w:w="90" w:type="dxa"/>
              <w:end w:w="110" w:type="dxa"/>
            </w:tcMar>
            <w:vAlign w:val="center"/>
          </w:tcPr>
          <w:p>
            <w:pPr>
              <w:spacing w:after="0"/>
            </w:pPr>
            <w:r>
              <w:rPr>
                <w:rFonts w:ascii="Arial" w:hAnsi="Arial"/>
                <w:b w:val="0"/>
                <w:sz w:val="17"/>
              </w:rPr>
              <w:t>Actor, action, timestamp, object, before and after references</w:t>
            </w:r>
          </w:p>
        </w:tc>
      </w:tr>
    </w:tbl>
    <w:p>
      <w:pPr>
        <w:spacing w:after="40"/>
      </w:pPr>
    </w:p>
    <w:p>
      <w:pPr>
        <w:pStyle w:val="Heading2"/>
        <w:keepNext/>
      </w:pPr>
      <w:r>
        <w:rPr>
          <w:rFonts w:ascii="Arial" w:hAnsi="Arial"/>
          <w:b/>
          <w:color w:val="000000"/>
          <w:sz w:val="26"/>
        </w:rPr>
        <w:t>Artifact lifecycle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232"/>
            <w:shd w:fill="234A9E"/>
            <w:tcMar>
              <w:top w:w="110" w:type="dxa"/>
              <w:start w:w="110" w:type="dxa"/>
              <w:bottom w:w="110" w:type="dxa"/>
              <w:end w:w="110" w:type="dxa"/>
            </w:tcMar>
            <w:vAlign w:val="center"/>
          </w:tcPr>
          <w:p>
            <w:pPr>
              <w:spacing w:after="0"/>
              <w:jc w:val="center"/>
            </w:pPr>
            <w:r>
              <w:rPr>
                <w:rFonts w:ascii="Arial" w:hAnsi="Arial"/>
                <w:b/>
                <w:color w:val="FFFFFF"/>
                <w:sz w:val="17"/>
              </w:rPr>
              <w:t>Artifact class</w:t>
            </w:r>
          </w:p>
        </w:tc>
        <w:tc>
          <w:tcPr>
            <w:tcW w:type="dxa" w:w="3240"/>
            <w:shd w:fill="234A9E"/>
            <w:tcMar>
              <w:top w:w="110" w:type="dxa"/>
              <w:start w:w="110" w:type="dxa"/>
              <w:bottom w:w="110" w:type="dxa"/>
              <w:end w:w="110" w:type="dxa"/>
            </w:tcMar>
            <w:vAlign w:val="center"/>
          </w:tcPr>
          <w:p>
            <w:pPr>
              <w:spacing w:after="0"/>
              <w:jc w:val="center"/>
            </w:pPr>
            <w:r>
              <w:rPr>
                <w:rFonts w:ascii="Arial" w:hAnsi="Arial"/>
                <w:b/>
                <w:color w:val="FFFFFF"/>
                <w:sz w:val="17"/>
              </w:rPr>
              <w:t>Default retention</w:t>
            </w:r>
          </w:p>
        </w:tc>
        <w:tc>
          <w:tcPr>
            <w:tcW w:type="dxa" w:w="4464"/>
            <w:shd w:fill="234A9E"/>
            <w:tcMar>
              <w:top w:w="110" w:type="dxa"/>
              <w:start w:w="110" w:type="dxa"/>
              <w:bottom w:w="110" w:type="dxa"/>
              <w:end w:w="110" w:type="dxa"/>
            </w:tcMar>
            <w:vAlign w:val="center"/>
          </w:tcPr>
          <w:p>
            <w:pPr>
              <w:spacing w:after="0"/>
              <w:jc w:val="center"/>
            </w:pPr>
            <w:r>
              <w:rPr>
                <w:rFonts w:ascii="Arial" w:hAnsi="Arial"/>
                <w:b/>
                <w:color w:val="FFFFFF"/>
                <w:sz w:val="17"/>
              </w:rPr>
              <w:t>Treatment</w:t>
            </w:r>
          </w:p>
        </w:tc>
      </w:tr>
      <w:tr>
        <w:trPr>
          <w:cantSplit/>
        </w:trPr>
        <w:tc>
          <w:tcPr>
            <w:tcW w:type="dxa" w:w="2232"/>
            <w:shd w:fill="FFFFFF"/>
            <w:tcMar>
              <w:top w:w="90" w:type="dxa"/>
              <w:start w:w="110" w:type="dxa"/>
              <w:bottom w:w="90" w:type="dxa"/>
              <w:end w:w="110" w:type="dxa"/>
            </w:tcMar>
            <w:vAlign w:val="center"/>
          </w:tcPr>
          <w:p>
            <w:pPr>
              <w:spacing w:after="0"/>
            </w:pPr>
            <w:r>
              <w:rPr>
                <w:rFonts w:ascii="Arial" w:hAnsi="Arial"/>
                <w:b/>
                <w:sz w:val="17"/>
              </w:rPr>
              <w:t>Source inputs and manifests</w:t>
            </w:r>
          </w:p>
        </w:tc>
        <w:tc>
          <w:tcPr>
            <w:tcW w:type="dxa" w:w="3240"/>
            <w:shd w:fill="FFFFFF"/>
            <w:tcMar>
              <w:top w:w="90" w:type="dxa"/>
              <w:start w:w="110" w:type="dxa"/>
              <w:bottom w:w="90" w:type="dxa"/>
              <w:end w:w="110" w:type="dxa"/>
            </w:tcMar>
            <w:vAlign w:val="center"/>
          </w:tcPr>
          <w:p>
            <w:pPr>
              <w:spacing w:after="0"/>
            </w:pPr>
            <w:r>
              <w:rPr>
                <w:rFonts w:ascii="Arial" w:hAnsi="Arial"/>
                <w:b w:val="0"/>
                <w:sz w:val="17"/>
              </w:rPr>
              <w:t>Permanent for published model versions</w:t>
            </w:r>
          </w:p>
        </w:tc>
        <w:tc>
          <w:tcPr>
            <w:tcW w:type="dxa" w:w="4464"/>
            <w:shd w:fill="FFFFFF"/>
            <w:tcMar>
              <w:top w:w="90" w:type="dxa"/>
              <w:start w:w="110" w:type="dxa"/>
              <w:bottom w:w="90" w:type="dxa"/>
              <w:end w:w="110" w:type="dxa"/>
            </w:tcMar>
            <w:vAlign w:val="center"/>
          </w:tcPr>
          <w:p>
            <w:pPr>
              <w:spacing w:after="0"/>
            </w:pPr>
            <w:r>
              <w:rPr>
                <w:rFonts w:ascii="Arial" w:hAnsi="Arial"/>
                <w:b w:val="0"/>
                <w:sz w:val="17"/>
              </w:rPr>
              <w:t>Immutable, checksummed and access controlled</w:t>
            </w:r>
          </w:p>
        </w:tc>
      </w:tr>
      <w:tr>
        <w:trPr>
          <w:cantSplit/>
        </w:trPr>
        <w:tc>
          <w:tcPr>
            <w:tcW w:type="dxa" w:w="2232"/>
            <w:shd w:fill="F3F4F6"/>
            <w:tcMar>
              <w:top w:w="90" w:type="dxa"/>
              <w:start w:w="110" w:type="dxa"/>
              <w:bottom w:w="90" w:type="dxa"/>
              <w:end w:w="110" w:type="dxa"/>
            </w:tcMar>
            <w:vAlign w:val="center"/>
          </w:tcPr>
          <w:p>
            <w:pPr>
              <w:spacing w:after="0"/>
            </w:pPr>
            <w:r>
              <w:rPr>
                <w:rFonts w:ascii="Arial" w:hAnsi="Arial"/>
                <w:b/>
                <w:sz w:val="17"/>
              </w:rPr>
              <w:t>OpenQuake HDF5 GMF</w:t>
            </w:r>
          </w:p>
        </w:tc>
        <w:tc>
          <w:tcPr>
            <w:tcW w:type="dxa" w:w="3240"/>
            <w:shd w:fill="F3F4F6"/>
            <w:tcMar>
              <w:top w:w="90" w:type="dxa"/>
              <w:start w:w="110" w:type="dxa"/>
              <w:bottom w:w="90" w:type="dxa"/>
              <w:end w:w="110" w:type="dxa"/>
            </w:tcMar>
            <w:vAlign w:val="center"/>
          </w:tcPr>
          <w:p>
            <w:pPr>
              <w:spacing w:after="0"/>
            </w:pPr>
            <w:r>
              <w:rPr>
                <w:rFonts w:ascii="Arial" w:hAnsi="Arial"/>
                <w:b w:val="0"/>
                <w:sz w:val="17"/>
              </w:rPr>
              <w:t>Until footprint acceptance, then policy-based archive or expiry</w:t>
            </w:r>
          </w:p>
        </w:tc>
        <w:tc>
          <w:tcPr>
            <w:tcW w:type="dxa" w:w="4464"/>
            <w:shd w:fill="F3F4F6"/>
            <w:tcMar>
              <w:top w:w="90" w:type="dxa"/>
              <w:start w:w="110" w:type="dxa"/>
              <w:bottom w:w="90" w:type="dxa"/>
              <w:end w:w="110" w:type="dxa"/>
            </w:tcMar>
            <w:vAlign w:val="center"/>
          </w:tcPr>
          <w:p>
            <w:pPr>
              <w:spacing w:after="0"/>
            </w:pPr>
            <w:r>
              <w:rPr>
                <w:rFonts w:ascii="Arial" w:hAnsi="Arial"/>
                <w:b w:val="0"/>
                <w:sz w:val="17"/>
              </w:rPr>
              <w:t>Chunked binary format; never expanded into Django rows</w:t>
            </w:r>
          </w:p>
        </w:tc>
      </w:tr>
      <w:tr>
        <w:trPr>
          <w:cantSplit/>
        </w:trPr>
        <w:tc>
          <w:tcPr>
            <w:tcW w:type="dxa" w:w="2232"/>
            <w:shd w:fill="FFFFFF"/>
            <w:tcMar>
              <w:top w:w="90" w:type="dxa"/>
              <w:start w:w="110" w:type="dxa"/>
              <w:bottom w:w="90" w:type="dxa"/>
              <w:end w:w="110" w:type="dxa"/>
            </w:tcMar>
            <w:vAlign w:val="center"/>
          </w:tcPr>
          <w:p>
            <w:pPr>
              <w:spacing w:after="0"/>
            </w:pPr>
            <w:r>
              <w:rPr>
                <w:rFonts w:ascii="Arial" w:hAnsi="Arial"/>
                <w:b/>
                <w:sz w:val="17"/>
              </w:rPr>
              <w:t>Diagnostic CSV</w:t>
            </w:r>
          </w:p>
        </w:tc>
        <w:tc>
          <w:tcPr>
            <w:tcW w:type="dxa" w:w="3240"/>
            <w:shd w:fill="FFFFFF"/>
            <w:tcMar>
              <w:top w:w="90" w:type="dxa"/>
              <w:start w:w="110" w:type="dxa"/>
              <w:bottom w:w="90" w:type="dxa"/>
              <w:end w:w="110" w:type="dxa"/>
            </w:tcMar>
            <w:vAlign w:val="center"/>
          </w:tcPr>
          <w:p>
            <w:pPr>
              <w:spacing w:after="0"/>
              <w:jc w:val="center"/>
            </w:pPr>
            <w:r>
              <w:rPr>
                <w:rFonts w:ascii="Arial" w:hAnsi="Arial"/>
                <w:b w:val="0"/>
                <w:sz w:val="17"/>
              </w:rPr>
              <w:t>Short-lived</w:t>
            </w:r>
          </w:p>
        </w:tc>
        <w:tc>
          <w:tcPr>
            <w:tcW w:type="dxa" w:w="4464"/>
            <w:shd w:fill="FFFFFF"/>
            <w:tcMar>
              <w:top w:w="90" w:type="dxa"/>
              <w:start w:w="110" w:type="dxa"/>
              <w:bottom w:w="90" w:type="dxa"/>
              <w:end w:w="110" w:type="dxa"/>
            </w:tcMar>
            <w:vAlign w:val="center"/>
          </w:tcPr>
          <w:p>
            <w:pPr>
              <w:spacing w:after="0"/>
            </w:pPr>
            <w:r>
              <w:rPr>
                <w:rFonts w:ascii="Arial" w:hAnsi="Arial"/>
                <w:b w:val="0"/>
                <w:sz w:val="17"/>
              </w:rPr>
              <w:t>Created only for inspection or interoperability exceptions</w:t>
            </w:r>
          </w:p>
        </w:tc>
      </w:tr>
      <w:tr>
        <w:trPr>
          <w:cantSplit/>
        </w:trPr>
        <w:tc>
          <w:tcPr>
            <w:tcW w:type="dxa" w:w="2232"/>
            <w:shd w:fill="F3F4F6"/>
            <w:tcMar>
              <w:top w:w="90" w:type="dxa"/>
              <w:start w:w="110" w:type="dxa"/>
              <w:bottom w:w="90" w:type="dxa"/>
              <w:end w:w="110" w:type="dxa"/>
            </w:tcMar>
            <w:vAlign w:val="center"/>
          </w:tcPr>
          <w:p>
            <w:pPr>
              <w:spacing w:after="0"/>
            </w:pPr>
            <w:r>
              <w:rPr>
                <w:rFonts w:ascii="Arial" w:hAnsi="Arial"/>
                <w:b/>
                <w:sz w:val="17"/>
              </w:rPr>
              <w:t>Accepted Oasis model package</w:t>
            </w:r>
          </w:p>
        </w:tc>
        <w:tc>
          <w:tcPr>
            <w:tcW w:type="dxa" w:w="3240"/>
            <w:shd w:fill="F3F4F6"/>
            <w:tcMar>
              <w:top w:w="90" w:type="dxa"/>
              <w:start w:w="110" w:type="dxa"/>
              <w:bottom w:w="90" w:type="dxa"/>
              <w:end w:w="110" w:type="dxa"/>
            </w:tcMar>
            <w:vAlign w:val="center"/>
          </w:tcPr>
          <w:p>
            <w:pPr>
              <w:spacing w:after="0"/>
              <w:jc w:val="center"/>
            </w:pPr>
            <w:r>
              <w:rPr>
                <w:rFonts w:ascii="Arial" w:hAnsi="Arial"/>
                <w:b w:val="0"/>
                <w:sz w:val="17"/>
              </w:rPr>
              <w:t>Versioned model asset</w:t>
            </w:r>
          </w:p>
        </w:tc>
        <w:tc>
          <w:tcPr>
            <w:tcW w:type="dxa" w:w="4464"/>
            <w:shd w:fill="F3F4F6"/>
            <w:tcMar>
              <w:top w:w="90" w:type="dxa"/>
              <w:start w:w="110" w:type="dxa"/>
              <w:bottom w:w="90" w:type="dxa"/>
              <w:end w:w="110" w:type="dxa"/>
            </w:tcMar>
            <w:vAlign w:val="center"/>
          </w:tcPr>
          <w:p>
            <w:pPr>
              <w:spacing w:after="0"/>
            </w:pPr>
            <w:r>
              <w:rPr>
                <w:rFonts w:ascii="Arial" w:hAnsi="Arial"/>
                <w:b w:val="0"/>
                <w:sz w:val="17"/>
              </w:rPr>
              <w:t>Immutable release with scientific approval and compatibility record</w:t>
            </w:r>
          </w:p>
        </w:tc>
      </w:tr>
      <w:tr>
        <w:trPr>
          <w:cantSplit/>
        </w:trPr>
        <w:tc>
          <w:tcPr>
            <w:tcW w:type="dxa" w:w="2232"/>
            <w:shd w:fill="FFFFFF"/>
            <w:tcMar>
              <w:top w:w="90" w:type="dxa"/>
              <w:start w:w="110" w:type="dxa"/>
              <w:bottom w:w="90" w:type="dxa"/>
              <w:end w:w="110" w:type="dxa"/>
            </w:tcMar>
            <w:vAlign w:val="center"/>
          </w:tcPr>
          <w:p>
            <w:pPr>
              <w:spacing w:after="0"/>
            </w:pPr>
            <w:r>
              <w:rPr>
                <w:rFonts w:ascii="Arial" w:hAnsi="Arial"/>
                <w:b/>
                <w:sz w:val="17"/>
              </w:rPr>
              <w:t>Portfolio input versions</w:t>
            </w:r>
          </w:p>
        </w:tc>
        <w:tc>
          <w:tcPr>
            <w:tcW w:type="dxa" w:w="3240"/>
            <w:shd w:fill="FFFFFF"/>
            <w:tcMar>
              <w:top w:w="90" w:type="dxa"/>
              <w:start w:w="110" w:type="dxa"/>
              <w:bottom w:w="90" w:type="dxa"/>
              <w:end w:w="110" w:type="dxa"/>
            </w:tcMar>
            <w:vAlign w:val="center"/>
          </w:tcPr>
          <w:p>
            <w:pPr>
              <w:spacing w:after="0"/>
            </w:pPr>
            <w:r>
              <w:rPr>
                <w:rFonts w:ascii="Arial" w:hAnsi="Arial"/>
                <w:b w:val="0"/>
                <w:sz w:val="17"/>
              </w:rPr>
              <w:t>Business retention policy</w:t>
            </w:r>
          </w:p>
        </w:tc>
        <w:tc>
          <w:tcPr>
            <w:tcW w:type="dxa" w:w="4464"/>
            <w:shd w:fill="FFFFFF"/>
            <w:tcMar>
              <w:top w:w="90" w:type="dxa"/>
              <w:start w:w="110" w:type="dxa"/>
              <w:bottom w:w="90" w:type="dxa"/>
              <w:end w:w="110" w:type="dxa"/>
            </w:tcMar>
            <w:vAlign w:val="center"/>
          </w:tcPr>
          <w:p>
            <w:pPr>
              <w:spacing w:after="0"/>
            </w:pPr>
            <w:r>
              <w:rPr>
                <w:rFonts w:ascii="Arial" w:hAnsi="Arial"/>
                <w:b w:val="0"/>
                <w:sz w:val="17"/>
              </w:rPr>
              <w:t>Encrypted, access controlled and deletable without damaging model assets</w:t>
            </w:r>
          </w:p>
        </w:tc>
      </w:tr>
      <w:tr>
        <w:trPr>
          <w:cantSplit/>
        </w:trPr>
        <w:tc>
          <w:tcPr>
            <w:tcW w:type="dxa" w:w="2232"/>
            <w:shd w:fill="F3F4F6"/>
            <w:tcMar>
              <w:top w:w="90" w:type="dxa"/>
              <w:start w:w="110" w:type="dxa"/>
              <w:bottom w:w="90" w:type="dxa"/>
              <w:end w:w="110" w:type="dxa"/>
            </w:tcMar>
            <w:vAlign w:val="center"/>
          </w:tcPr>
          <w:p>
            <w:pPr>
              <w:spacing w:after="0"/>
            </w:pPr>
            <w:r>
              <w:rPr>
                <w:rFonts w:ascii="Arial" w:hAnsi="Arial"/>
                <w:b/>
                <w:sz w:val="17"/>
              </w:rPr>
              <w:t>Loss result package</w:t>
            </w:r>
          </w:p>
        </w:tc>
        <w:tc>
          <w:tcPr>
            <w:tcW w:type="dxa" w:w="3240"/>
            <w:shd w:fill="F3F4F6"/>
            <w:tcMar>
              <w:top w:w="90" w:type="dxa"/>
              <w:start w:w="110" w:type="dxa"/>
              <w:bottom w:w="90" w:type="dxa"/>
              <w:end w:w="110" w:type="dxa"/>
            </w:tcMar>
            <w:vAlign w:val="center"/>
          </w:tcPr>
          <w:p>
            <w:pPr>
              <w:spacing w:after="0"/>
            </w:pPr>
            <w:r>
              <w:rPr>
                <w:rFonts w:ascii="Arial" w:hAnsi="Arial"/>
                <w:b w:val="0"/>
                <w:sz w:val="17"/>
              </w:rPr>
              <w:t>Business and regulatory policy</w:t>
            </w:r>
          </w:p>
        </w:tc>
        <w:tc>
          <w:tcPr>
            <w:tcW w:type="dxa" w:w="4464"/>
            <w:shd w:fill="F3F4F6"/>
            <w:tcMar>
              <w:top w:w="90" w:type="dxa"/>
              <w:start w:w="110" w:type="dxa"/>
              <w:bottom w:w="90" w:type="dxa"/>
              <w:end w:w="110" w:type="dxa"/>
            </w:tcMar>
            <w:vAlign w:val="center"/>
          </w:tcPr>
          <w:p>
            <w:pPr>
              <w:spacing w:after="0"/>
            </w:pPr>
            <w:r>
              <w:rPr>
                <w:rFonts w:ascii="Arial" w:hAnsi="Arial"/>
                <w:b w:val="0"/>
                <w:sz w:val="17"/>
              </w:rPr>
              <w:t>ORD-aligned outputs plus KRE summaries and lineage</w:t>
            </w:r>
          </w:p>
        </w:tc>
      </w:tr>
      <w:tr>
        <w:trPr>
          <w:cantSplit/>
        </w:trPr>
        <w:tc>
          <w:tcPr>
            <w:tcW w:type="dxa" w:w="2232"/>
            <w:shd w:fill="FFFFFF"/>
            <w:tcMar>
              <w:top w:w="90" w:type="dxa"/>
              <w:start w:w="110" w:type="dxa"/>
              <w:bottom w:w="90" w:type="dxa"/>
              <w:end w:w="110" w:type="dxa"/>
            </w:tcMar>
            <w:vAlign w:val="center"/>
          </w:tcPr>
          <w:p>
            <w:pPr>
              <w:spacing w:after="0"/>
            </w:pPr>
            <w:r>
              <w:rPr>
                <w:rFonts w:ascii="Arial" w:hAnsi="Arial"/>
                <w:b/>
                <w:sz w:val="17"/>
              </w:rPr>
              <w:t>Logs and operational metrics</w:t>
            </w:r>
          </w:p>
        </w:tc>
        <w:tc>
          <w:tcPr>
            <w:tcW w:type="dxa" w:w="3240"/>
            <w:shd w:fill="FFFFFF"/>
            <w:tcMar>
              <w:top w:w="90" w:type="dxa"/>
              <w:start w:w="110" w:type="dxa"/>
              <w:bottom w:w="90" w:type="dxa"/>
              <w:end w:w="110" w:type="dxa"/>
            </w:tcMar>
            <w:vAlign w:val="center"/>
          </w:tcPr>
          <w:p>
            <w:pPr>
              <w:spacing w:after="0"/>
              <w:jc w:val="center"/>
            </w:pPr>
            <w:r>
              <w:rPr>
                <w:rFonts w:ascii="Arial" w:hAnsi="Arial"/>
                <w:b w:val="0"/>
                <w:sz w:val="17"/>
              </w:rPr>
              <w:t>Tiered by usefulness</w:t>
            </w:r>
          </w:p>
        </w:tc>
        <w:tc>
          <w:tcPr>
            <w:tcW w:type="dxa" w:w="4464"/>
            <w:shd w:fill="FFFFFF"/>
            <w:tcMar>
              <w:top w:w="90" w:type="dxa"/>
              <w:start w:w="110" w:type="dxa"/>
              <w:bottom w:w="90" w:type="dxa"/>
              <w:end w:w="110" w:type="dxa"/>
            </w:tcMar>
            <w:vAlign w:val="center"/>
          </w:tcPr>
          <w:p>
            <w:pPr>
              <w:spacing w:after="0"/>
            </w:pPr>
            <w:r>
              <w:rPr>
                <w:rFonts w:ascii="Arial" w:hAnsi="Arial"/>
                <w:b w:val="0"/>
                <w:sz w:val="17"/>
              </w:rPr>
              <w:t>Short hot retention, longer error and audit retention</w:t>
            </w:r>
          </w:p>
        </w:tc>
      </w:tr>
    </w:tbl>
    <w:p>
      <w:pPr>
        <w:spacing w:after="40"/>
      </w:pPr>
    </w:p>
    <w:p>
      <w:pPr>
        <w:pStyle w:val="Heading2"/>
        <w:keepNext/>
      </w:pPr>
      <w:r>
        <w:rPr>
          <w:rFonts w:ascii="Arial" w:hAnsi="Arial"/>
          <w:b/>
          <w:color w:val="000000"/>
          <w:sz w:val="26"/>
        </w:rPr>
        <w:t>File transfer principles</w:t>
      </w:r>
    </w:p>
    <w:p>
      <w:pPr>
        <w:pStyle w:val="ListBullet"/>
      </w:pPr>
      <w:r>
        <w:rPr>
          <w:rFonts w:ascii="Arial" w:hAnsi="Arial"/>
        </w:rPr>
        <w:t>The browser uploads large files directly to object storage with a short-lived signed upload session.</w:t>
      </w:r>
    </w:p>
    <w:p>
      <w:pPr>
        <w:pStyle w:val="ListBullet"/>
      </w:pPr>
      <w:r>
        <w:rPr>
          <w:rFonts w:ascii="Arial" w:hAnsi="Arial"/>
        </w:rPr>
        <w:t>Django records the artifact only after checksum and malware or content validation completes.</w:t>
      </w:r>
    </w:p>
    <w:p>
      <w:pPr>
        <w:pStyle w:val="ListBullet"/>
      </w:pPr>
      <w:r>
        <w:rPr>
          <w:rFonts w:ascii="Arial" w:hAnsi="Arial"/>
        </w:rPr>
        <w:t>Workers read and write through the artifact interface; Windows host paths do not appear in calculation contracts.</w:t>
      </w:r>
    </w:p>
    <w:p>
      <w:pPr>
        <w:pStyle w:val="ListBullet"/>
      </w:pPr>
      <w:r>
        <w:rPr>
          <w:rFonts w:ascii="Arial" w:hAnsi="Arial"/>
        </w:rPr>
        <w:t>HDF5 and Parquet are used for large typed arrays; CSV remains a human-inspection and interchange fallback.</w:t>
      </w:r>
    </w:p>
    <w:p>
      <w:pPr>
        <w:pStyle w:val="ListBullet"/>
      </w:pPr>
      <w:r>
        <w:rPr>
          <w:rFonts w:ascii="Arial" w:hAnsi="Arial"/>
        </w:rPr>
        <w:t>A calculation can be reconstructed from retained inputs, versions, settings and checksums even when an intermediate GMF has expired.</w:t>
      </w:r>
    </w:p>
    <w:p>
      <w:pPr>
        <w:pStyle w:val="Heading1"/>
        <w:keepNext/>
      </w:pPr>
      <w:r>
        <w:rPr>
          <w:rFonts w:ascii="Arial" w:hAnsi="Arial"/>
          <w:b/>
          <w:color w:val="000000"/>
          <w:sz w:val="36"/>
        </w:rPr>
        <w:t>6  Earthquake Model Engineering</w:t>
      </w:r>
    </w:p>
    <w:p>
      <w:pPr>
        <w:pStyle w:val="Heading2"/>
        <w:keepNext/>
      </w:pPr>
      <w:r>
        <w:rPr>
          <w:rFonts w:ascii="Arial" w:hAnsi="Arial"/>
          <w:b/>
          <w:color w:val="000000"/>
          <w:sz w:val="26"/>
        </w:rPr>
        <w:t>Hazard model basis</w:t>
      </w:r>
    </w:p>
    <w:p>
      <w:r>
        <w:rPr>
          <w:rFonts w:ascii="Arial" w:hAnsi="Arial"/>
        </w:rPr>
        <w:t>The first production model should use a stable, versioned spatial mesh that is independent of any uploaded portfolio. The mesh may be a regular grid, variable-resolution grid or a defensible polygon scheme. Each cell receives a permanent integer area-peril identifier. Exposure is mapped to this mesh by the Oasis keys service. This allows one accepted hazard package to serve many portfolio analyses.</w:t>
      </w:r>
    </w:p>
    <w:p>
      <w:pPr>
        <w:keepNext/>
        <w:spacing w:before="120" w:after="60"/>
      </w:pPr>
      <w:r>
        <w:rPr>
          <w:rFonts w:ascii="Arial" w:hAnsi="Arial"/>
          <w:b/>
          <w:color w:val="234A9E"/>
          <w:sz w:val="17"/>
        </w:rPr>
        <w:t>COUNTRY MODEL DEFINITION</w:t>
      </w:r>
    </w:p>
    <w:p>
      <w:pPr>
        <w:pStyle w:val="ListBullet"/>
      </w:pPr>
      <w:r>
        <w:rPr>
          <w:rFonts w:ascii="Arial" w:hAnsi="Arial"/>
        </w:rPr>
        <w:t>Document the source model, licence, tectonic region logic, source-model branches and minimum magnitude.</w:t>
      </w:r>
    </w:p>
    <w:p>
      <w:pPr>
        <w:pStyle w:val="ListBullet"/>
      </w:pPr>
      <w:r>
        <w:rPr>
          <w:rFonts w:ascii="Arial" w:hAnsi="Arial"/>
        </w:rPr>
        <w:t>Select ground-motion models, logic-tree weights, site parameters, correlation assumptions and truncation settings with scientific justification.</w:t>
      </w:r>
    </w:p>
    <w:p>
      <w:pPr>
        <w:pStyle w:val="ListBullet"/>
      </w:pPr>
      <w:r>
        <w:rPr>
          <w:rFonts w:ascii="Arial" w:hAnsi="Arial"/>
        </w:rPr>
        <w:t>Define the stable site mesh and any interpolation or nearest-cell policy, including treatment near national borders and coastlines.</w:t>
      </w:r>
    </w:p>
    <w:p>
      <w:pPr>
        <w:pStyle w:val="ListBullet"/>
      </w:pPr>
      <w:r>
        <w:rPr>
          <w:rFonts w:ascii="Arial" w:hAnsi="Arial"/>
        </w:rPr>
        <w:t>Select intensity measures needed by the vulnerability functions. Avoid producing unused IMTs merely because OpenQuake can calculate them.</w:t>
      </w:r>
    </w:p>
    <w:p>
      <w:pPr>
        <w:pStyle w:val="ListBullet"/>
      </w:pPr>
      <w:r>
        <w:rPr>
          <w:rFonts w:ascii="Arial" w:hAnsi="Arial"/>
        </w:rPr>
        <w:t>Define investigation time, stochastic event-set count, random seed policy and occurrence representation.</w:t>
      </w:r>
    </w:p>
    <w:p>
      <w:pPr>
        <w:pStyle w:val="ListBullet"/>
      </w:pPr>
      <w:r>
        <w:rPr>
          <w:rFonts w:ascii="Arial" w:hAnsi="Arial"/>
        </w:rPr>
        <w:t>Establish hazard benchmarks against published maps, curves or independent OpenQuake calculations before converter development is accepted.</w:t>
      </w:r>
    </w:p>
    <w:p>
      <w:pPr>
        <w:pStyle w:val="Heading2"/>
        <w:keepNext/>
      </w:pPr>
      <w:r>
        <w:rPr>
          <w:rFonts w:ascii="Arial" w:hAnsi="Arial"/>
          <w:b/>
          <w:color w:val="000000"/>
          <w:sz w:val="26"/>
        </w:rPr>
        <w:t>Area-peril grid design spike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448"/>
            <w:shd w:fill="234A9E"/>
            <w:tcMar>
              <w:top w:w="110" w:type="dxa"/>
              <w:start w:w="110" w:type="dxa"/>
              <w:bottom w:w="110" w:type="dxa"/>
              <w:end w:w="110" w:type="dxa"/>
            </w:tcMar>
            <w:vAlign w:val="center"/>
          </w:tcPr>
          <w:p>
            <w:pPr>
              <w:spacing w:after="0"/>
              <w:jc w:val="center"/>
            </w:pPr>
            <w:r>
              <w:rPr>
                <w:rFonts w:ascii="Arial" w:hAnsi="Arial"/>
                <w:b/>
                <w:color w:val="FFFFFF"/>
                <w:sz w:val="17"/>
              </w:rPr>
              <w:t>Decision factor</w:t>
            </w:r>
          </w:p>
        </w:tc>
        <w:tc>
          <w:tcPr>
            <w:tcW w:type="dxa" w:w="7488"/>
            <w:shd w:fill="234A9E"/>
            <w:tcMar>
              <w:top w:w="110" w:type="dxa"/>
              <w:start w:w="110" w:type="dxa"/>
              <w:bottom w:w="110" w:type="dxa"/>
              <w:end w:w="110" w:type="dxa"/>
            </w:tcMar>
            <w:vAlign w:val="center"/>
          </w:tcPr>
          <w:p>
            <w:pPr>
              <w:spacing w:after="0"/>
              <w:jc w:val="center"/>
            </w:pPr>
            <w:r>
              <w:rPr>
                <w:rFonts w:ascii="Arial" w:hAnsi="Arial"/>
                <w:b/>
                <w:color w:val="FFFFFF"/>
                <w:sz w:val="17"/>
              </w:rPr>
              <w:t>Assessment</w:t>
            </w:r>
          </w:p>
        </w:tc>
      </w:tr>
      <w:tr>
        <w:trPr>
          <w:cantSplit/>
        </w:trPr>
        <w:tc>
          <w:tcPr>
            <w:tcW w:type="dxa" w:w="2448"/>
            <w:shd w:fill="FFFFFF"/>
            <w:tcMar>
              <w:top w:w="90" w:type="dxa"/>
              <w:start w:w="110" w:type="dxa"/>
              <w:bottom w:w="90" w:type="dxa"/>
              <w:end w:w="110" w:type="dxa"/>
            </w:tcMar>
            <w:vAlign w:val="center"/>
          </w:tcPr>
          <w:p>
            <w:pPr>
              <w:spacing w:after="0"/>
            </w:pPr>
            <w:r>
              <w:rPr>
                <w:rFonts w:ascii="Arial" w:hAnsi="Arial"/>
                <w:b/>
                <w:sz w:val="17"/>
              </w:rPr>
              <w:t>Resolution</w:t>
            </w:r>
          </w:p>
        </w:tc>
        <w:tc>
          <w:tcPr>
            <w:tcW w:type="dxa" w:w="7488"/>
            <w:shd w:fill="FFFFFF"/>
            <w:tcMar>
              <w:top w:w="90" w:type="dxa"/>
              <w:start w:w="110" w:type="dxa"/>
              <w:bottom w:w="90" w:type="dxa"/>
              <w:end w:w="110" w:type="dxa"/>
            </w:tcMar>
            <w:vAlign w:val="center"/>
          </w:tcPr>
          <w:p>
            <w:pPr>
              <w:spacing w:after="0"/>
            </w:pPr>
            <w:r>
              <w:rPr>
                <w:rFonts w:ascii="Arial" w:hAnsi="Arial"/>
                <w:b w:val="0"/>
                <w:sz w:val="17"/>
              </w:rPr>
              <w:t>Balance local hazard gradients and geocoding uncertainty against event-site storage and runtime</w:t>
            </w:r>
          </w:p>
        </w:tc>
      </w:tr>
      <w:tr>
        <w:trPr>
          <w:cantSplit/>
        </w:trPr>
        <w:tc>
          <w:tcPr>
            <w:tcW w:type="dxa" w:w="2448"/>
            <w:shd w:fill="F3F4F6"/>
            <w:tcMar>
              <w:top w:w="90" w:type="dxa"/>
              <w:start w:w="110" w:type="dxa"/>
              <w:bottom w:w="90" w:type="dxa"/>
              <w:end w:w="110" w:type="dxa"/>
            </w:tcMar>
            <w:vAlign w:val="center"/>
          </w:tcPr>
          <w:p>
            <w:pPr>
              <w:spacing w:after="0"/>
            </w:pPr>
            <w:r>
              <w:rPr>
                <w:rFonts w:ascii="Arial" w:hAnsi="Arial"/>
                <w:b/>
                <w:sz w:val="17"/>
              </w:rPr>
              <w:t>Site conditions</w:t>
            </w:r>
          </w:p>
        </w:tc>
        <w:tc>
          <w:tcPr>
            <w:tcW w:type="dxa" w:w="7488"/>
            <w:shd w:fill="F3F4F6"/>
            <w:tcMar>
              <w:top w:w="90" w:type="dxa"/>
              <w:start w:w="110" w:type="dxa"/>
              <w:bottom w:w="90" w:type="dxa"/>
              <w:end w:w="110" w:type="dxa"/>
            </w:tcMar>
            <w:vAlign w:val="center"/>
          </w:tcPr>
          <w:p>
            <w:pPr>
              <w:spacing w:after="0"/>
            </w:pPr>
            <w:r>
              <w:rPr>
                <w:rFonts w:ascii="Arial" w:hAnsi="Arial"/>
                <w:b w:val="0"/>
                <w:sz w:val="17"/>
              </w:rPr>
              <w:t>Determine whether Vs30 and other parameters are cell attributes, exposure attributes or scenario options</w:t>
            </w:r>
          </w:p>
        </w:tc>
      </w:tr>
      <w:tr>
        <w:trPr>
          <w:cantSplit/>
        </w:trPr>
        <w:tc>
          <w:tcPr>
            <w:tcW w:type="dxa" w:w="2448"/>
            <w:shd w:fill="FFFFFF"/>
            <w:tcMar>
              <w:top w:w="90" w:type="dxa"/>
              <w:start w:w="110" w:type="dxa"/>
              <w:bottom w:w="90" w:type="dxa"/>
              <w:end w:w="110" w:type="dxa"/>
            </w:tcMar>
            <w:vAlign w:val="center"/>
          </w:tcPr>
          <w:p>
            <w:pPr>
              <w:spacing w:after="0"/>
            </w:pPr>
            <w:r>
              <w:rPr>
                <w:rFonts w:ascii="Arial" w:hAnsi="Arial"/>
                <w:b/>
                <w:sz w:val="17"/>
              </w:rPr>
              <w:t>Variable resolution</w:t>
            </w:r>
          </w:p>
        </w:tc>
        <w:tc>
          <w:tcPr>
            <w:tcW w:type="dxa" w:w="7488"/>
            <w:shd w:fill="FFFFFF"/>
            <w:tcMar>
              <w:top w:w="90" w:type="dxa"/>
              <w:start w:w="110" w:type="dxa"/>
              <w:bottom w:w="90" w:type="dxa"/>
              <w:end w:w="110" w:type="dxa"/>
            </w:tcMar>
            <w:vAlign w:val="center"/>
          </w:tcPr>
          <w:p>
            <w:pPr>
              <w:spacing w:after="0"/>
            </w:pPr>
            <w:r>
              <w:rPr>
                <w:rFonts w:ascii="Arial" w:hAnsi="Arial"/>
                <w:b w:val="0"/>
                <w:sz w:val="17"/>
              </w:rPr>
              <w:t>Consider finer cells in high-exposure or high-gradient areas and coarser cells elsewhere</w:t>
            </w:r>
          </w:p>
        </w:tc>
      </w:tr>
      <w:tr>
        <w:trPr>
          <w:cantSplit/>
        </w:trPr>
        <w:tc>
          <w:tcPr>
            <w:tcW w:type="dxa" w:w="2448"/>
            <w:shd w:fill="F3F4F6"/>
            <w:tcMar>
              <w:top w:w="90" w:type="dxa"/>
              <w:start w:w="110" w:type="dxa"/>
              <w:bottom w:w="90" w:type="dxa"/>
              <w:end w:w="110" w:type="dxa"/>
            </w:tcMar>
            <w:vAlign w:val="center"/>
          </w:tcPr>
          <w:p>
            <w:pPr>
              <w:spacing w:after="0"/>
            </w:pPr>
            <w:r>
              <w:rPr>
                <w:rFonts w:ascii="Arial" w:hAnsi="Arial"/>
                <w:b/>
                <w:sz w:val="17"/>
              </w:rPr>
              <w:t>Version stability</w:t>
            </w:r>
          </w:p>
        </w:tc>
        <w:tc>
          <w:tcPr>
            <w:tcW w:type="dxa" w:w="7488"/>
            <w:shd w:fill="F3F4F6"/>
            <w:tcMar>
              <w:top w:w="90" w:type="dxa"/>
              <w:start w:w="110" w:type="dxa"/>
              <w:bottom w:w="90" w:type="dxa"/>
              <w:end w:w="110" w:type="dxa"/>
            </w:tcMar>
            <w:vAlign w:val="center"/>
          </w:tcPr>
          <w:p>
            <w:pPr>
              <w:spacing w:after="0"/>
            </w:pPr>
            <w:r>
              <w:rPr>
                <w:rFonts w:ascii="Arial" w:hAnsi="Arial"/>
                <w:b w:val="0"/>
                <w:sz w:val="17"/>
              </w:rPr>
              <w:t>Never silently change an existing area-peril ID; publish a new grid version</w:t>
            </w:r>
          </w:p>
        </w:tc>
      </w:tr>
      <w:tr>
        <w:trPr>
          <w:cantSplit/>
        </w:trPr>
        <w:tc>
          <w:tcPr>
            <w:tcW w:type="dxa" w:w="2448"/>
            <w:shd w:fill="FFFFFF"/>
            <w:tcMar>
              <w:top w:w="90" w:type="dxa"/>
              <w:start w:w="110" w:type="dxa"/>
              <w:bottom w:w="90" w:type="dxa"/>
              <w:end w:w="110" w:type="dxa"/>
            </w:tcMar>
            <w:vAlign w:val="center"/>
          </w:tcPr>
          <w:p>
            <w:pPr>
              <w:spacing w:after="0"/>
            </w:pPr>
            <w:r>
              <w:rPr>
                <w:rFonts w:ascii="Arial" w:hAnsi="Arial"/>
                <w:b/>
                <w:sz w:val="17"/>
              </w:rPr>
              <w:t>Mapping QA</w:t>
            </w:r>
          </w:p>
        </w:tc>
        <w:tc>
          <w:tcPr>
            <w:tcW w:type="dxa" w:w="7488"/>
            <w:shd w:fill="FFFFFF"/>
            <w:tcMar>
              <w:top w:w="90" w:type="dxa"/>
              <w:start w:w="110" w:type="dxa"/>
              <w:bottom w:w="90" w:type="dxa"/>
              <w:end w:w="110" w:type="dxa"/>
            </w:tcMar>
            <w:vAlign w:val="center"/>
          </w:tcPr>
          <w:p>
            <w:pPr>
              <w:spacing w:after="0"/>
            </w:pPr>
            <w:r>
              <w:rPr>
                <w:rFonts w:ascii="Arial" w:hAnsi="Arial"/>
                <w:b w:val="0"/>
                <w:sz w:val="17"/>
              </w:rPr>
              <w:t>Measure unmapped, boundary, offshore, low-confidence and duplicate-location cases</w:t>
            </w:r>
          </w:p>
        </w:tc>
      </w:tr>
      <w:tr>
        <w:trPr>
          <w:cantSplit/>
        </w:trPr>
        <w:tc>
          <w:tcPr>
            <w:tcW w:type="dxa" w:w="2448"/>
            <w:shd w:fill="F3F4F6"/>
            <w:tcMar>
              <w:top w:w="90" w:type="dxa"/>
              <w:start w:w="110" w:type="dxa"/>
              <w:bottom w:w="90" w:type="dxa"/>
              <w:end w:w="110" w:type="dxa"/>
            </w:tcMar>
            <w:vAlign w:val="center"/>
          </w:tcPr>
          <w:p>
            <w:pPr>
              <w:spacing w:after="0"/>
            </w:pPr>
            <w:r>
              <w:rPr>
                <w:rFonts w:ascii="Arial" w:hAnsi="Arial"/>
                <w:b/>
                <w:sz w:val="17"/>
              </w:rPr>
              <w:t>Reuse</w:t>
            </w:r>
          </w:p>
        </w:tc>
        <w:tc>
          <w:tcPr>
            <w:tcW w:type="dxa" w:w="7488"/>
            <w:shd w:fill="F3F4F6"/>
            <w:tcMar>
              <w:top w:w="90" w:type="dxa"/>
              <w:start w:w="110" w:type="dxa"/>
              <w:bottom w:w="90" w:type="dxa"/>
              <w:end w:w="110" w:type="dxa"/>
            </w:tcMar>
            <w:vAlign w:val="center"/>
          </w:tcPr>
          <w:p>
            <w:pPr>
              <w:spacing w:after="0"/>
            </w:pPr>
            <w:r>
              <w:rPr>
                <w:rFonts w:ascii="Arial" w:hAnsi="Arial"/>
                <w:b w:val="0"/>
                <w:sz w:val="17"/>
              </w:rPr>
              <w:t>The grid should support model-building and portfolio-running without regenerating hazard for each portfolio</w:t>
            </w:r>
          </w:p>
        </w:tc>
      </w:tr>
    </w:tbl>
    <w:p>
      <w:pPr>
        <w:spacing w:after="40"/>
      </w:pPr>
    </w:p>
    <w:p>
      <w:pPr>
        <w:pStyle w:val="Heading2"/>
        <w:keepNext/>
      </w:pPr>
      <w:r>
        <w:rPr>
          <w:rFonts w:ascii="Arial" w:hAnsi="Arial"/>
          <w:b/>
          <w:color w:val="000000"/>
          <w:sz w:val="26"/>
        </w:rPr>
        <w:t>Event semantics</w:t>
      </w:r>
    </w:p>
    <w:p>
      <w:r>
        <w:rPr>
          <w:rFonts w:ascii="Arial" w:hAnsi="Arial"/>
        </w:rPr>
        <w:t>Before code is written, KRE must decide how an OpenQuake rupture, stochastic occurrence, realization and ground-motion sample map to an Oasis event and its occurrence record. A defensible design may represent each simulated occurrence as a separate Oasis event, or aggregate repeated ground-motion samples into intensity-bin probabilities for a rupture-level event. The selected design must preserve annual frequency, uncertainty and correlation in a way that is consistent with the intended Oasis sampling workflow.</w:t>
      </w:r>
    </w:p>
    <w:p>
      <w:pPr>
        <w:pStyle w:val="ListBullet"/>
      </w:pPr>
      <w:r>
        <w:rPr>
          <w:rFonts w:ascii="Arial" w:hAnsi="Arial"/>
        </w:rPr>
        <w:t>Publish a formal event identity specification and worked examples.</w:t>
      </w:r>
    </w:p>
    <w:p>
      <w:pPr>
        <w:pStyle w:val="ListBullet"/>
      </w:pPr>
      <w:r>
        <w:rPr>
          <w:rFonts w:ascii="Arial" w:hAnsi="Arial"/>
        </w:rPr>
        <w:t>Prove that total occurrence rates and effective time are preserved after conversion.</w:t>
      </w:r>
    </w:p>
    <w:p>
      <w:pPr>
        <w:pStyle w:val="ListBullet"/>
      </w:pPr>
      <w:r>
        <w:rPr>
          <w:rFonts w:ascii="Arial" w:hAnsi="Arial"/>
        </w:rPr>
        <w:t>Prove that correlated ground motion is not accidentally converted into independent site sampling.</w:t>
      </w:r>
    </w:p>
    <w:p>
      <w:pPr>
        <w:pStyle w:val="ListBullet"/>
      </w:pPr>
      <w:r>
        <w:rPr>
          <w:rFonts w:ascii="Arial" w:hAnsi="Arial"/>
        </w:rPr>
        <w:t>Record event and realization lineage so any material loss event can be traced back to OpenQuake output.</w:t>
      </w:r>
    </w:p>
    <w:p>
      <w:pPr>
        <w:pStyle w:val="Heading1"/>
        <w:keepNext/>
      </w:pPr>
      <w:r>
        <w:rPr>
          <w:rFonts w:ascii="Arial" w:hAnsi="Arial"/>
          <w:b/>
          <w:color w:val="000000"/>
          <w:sz w:val="36"/>
        </w:rPr>
        <w:t>7  OpenQuake to Oasis Converter</w:t>
      </w:r>
    </w:p>
    <w:p>
      <w:r>
        <w:rPr>
          <w:rFonts w:ascii="Arial" w:hAnsi="Arial"/>
        </w:rPr>
        <w:t>The converter is a KRE product component, not an ad hoc export script. It should be packaged as a stateless container and called by a durable background job. Its public contract is a conversion manifest; its output is a complete candidate Oasis model package plus machine-readable validation evidence.</w:t>
      </w:r>
    </w:p>
    <w:p>
      <w:pPr>
        <w:pStyle w:val="Heading2"/>
        <w:keepNext/>
      </w:pPr>
      <w:r>
        <w:rPr>
          <w:rFonts w:ascii="Arial" w:hAnsi="Arial"/>
          <w:b/>
          <w:color w:val="000000"/>
          <w:sz w:val="26"/>
        </w:rPr>
        <w:t>Converter inputs and outputs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880"/>
            <w:shd w:fill="234A9E"/>
            <w:tcMar>
              <w:top w:w="110" w:type="dxa"/>
              <w:start w:w="110" w:type="dxa"/>
              <w:bottom w:w="110" w:type="dxa"/>
              <w:end w:w="110" w:type="dxa"/>
            </w:tcMar>
            <w:vAlign w:val="center"/>
          </w:tcPr>
          <w:p>
            <w:pPr>
              <w:spacing w:after="0"/>
              <w:jc w:val="center"/>
            </w:pPr>
            <w:r>
              <w:rPr>
                <w:rFonts w:ascii="Arial" w:hAnsi="Arial"/>
                <w:b/>
                <w:color w:val="FFFFFF"/>
                <w:sz w:val="17"/>
              </w:rPr>
              <w:t>Input</w:t>
            </w:r>
          </w:p>
        </w:tc>
        <w:tc>
          <w:tcPr>
            <w:tcW w:type="dxa" w:w="3960"/>
            <w:shd w:fill="234A9E"/>
            <w:tcMar>
              <w:top w:w="110" w:type="dxa"/>
              <w:start w:w="110" w:type="dxa"/>
              <w:bottom w:w="110" w:type="dxa"/>
              <w:end w:w="110" w:type="dxa"/>
            </w:tcMar>
            <w:vAlign w:val="center"/>
          </w:tcPr>
          <w:p>
            <w:pPr>
              <w:spacing w:after="0"/>
              <w:jc w:val="center"/>
            </w:pPr>
            <w:r>
              <w:rPr>
                <w:rFonts w:ascii="Arial" w:hAnsi="Arial"/>
                <w:b/>
                <w:color w:val="FFFFFF"/>
                <w:sz w:val="17"/>
              </w:rPr>
              <w:t>Transformation</w:t>
            </w:r>
          </w:p>
        </w:tc>
        <w:tc>
          <w:tcPr>
            <w:tcW w:type="dxa" w:w="3096"/>
            <w:shd w:fill="234A9E"/>
            <w:tcMar>
              <w:top w:w="110" w:type="dxa"/>
              <w:start w:w="110" w:type="dxa"/>
              <w:bottom w:w="110" w:type="dxa"/>
              <w:end w:w="110" w:type="dxa"/>
            </w:tcMar>
            <w:vAlign w:val="center"/>
          </w:tcPr>
          <w:p>
            <w:pPr>
              <w:spacing w:after="0"/>
              <w:jc w:val="center"/>
            </w:pPr>
            <w:r>
              <w:rPr>
                <w:rFonts w:ascii="Arial" w:hAnsi="Arial"/>
                <w:b/>
                <w:color w:val="FFFFFF"/>
                <w:sz w:val="17"/>
              </w:rPr>
              <w:t>Output</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val="0"/>
                <w:sz w:val="17"/>
              </w:rPr>
              <w:t>Supported OpenQuake HDF5 GMF export</w:t>
            </w:r>
          </w:p>
        </w:tc>
        <w:tc>
          <w:tcPr>
            <w:tcW w:type="dxa" w:w="3960"/>
            <w:shd w:fill="FFFFFF"/>
            <w:tcMar>
              <w:top w:w="90" w:type="dxa"/>
              <w:start w:w="110" w:type="dxa"/>
              <w:bottom w:w="90" w:type="dxa"/>
              <w:end w:w="110" w:type="dxa"/>
            </w:tcMar>
            <w:vAlign w:val="center"/>
          </w:tcPr>
          <w:p>
            <w:pPr>
              <w:spacing w:after="0"/>
            </w:pPr>
            <w:r>
              <w:rPr>
                <w:rFonts w:ascii="Arial" w:hAnsi="Arial"/>
                <w:b w:val="0"/>
                <w:sz w:val="17"/>
              </w:rPr>
              <w:t>Chunk by event and site without loading the complete dataset</w:t>
            </w:r>
          </w:p>
        </w:tc>
        <w:tc>
          <w:tcPr>
            <w:tcW w:type="dxa" w:w="3096"/>
            <w:shd w:fill="FFFFFF"/>
            <w:tcMar>
              <w:top w:w="90" w:type="dxa"/>
              <w:start w:w="110" w:type="dxa"/>
              <w:bottom w:w="90" w:type="dxa"/>
              <w:end w:w="110" w:type="dxa"/>
            </w:tcMar>
            <w:vAlign w:val="center"/>
          </w:tcPr>
          <w:p>
            <w:pPr>
              <w:spacing w:after="0"/>
            </w:pPr>
            <w:r>
              <w:rPr>
                <w:rFonts w:ascii="Arial" w:hAnsi="Arial"/>
                <w:b w:val="0"/>
                <w:sz w:val="17"/>
              </w:rPr>
              <w:t>Footprint records grouped by event and area peril</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val="0"/>
                <w:sz w:val="17"/>
              </w:rPr>
              <w:t>OpenQuake event and rupture metadata</w:t>
            </w:r>
          </w:p>
        </w:tc>
        <w:tc>
          <w:tcPr>
            <w:tcW w:type="dxa" w:w="3960"/>
            <w:shd w:fill="F3F4F6"/>
            <w:tcMar>
              <w:top w:w="90" w:type="dxa"/>
              <w:start w:w="110" w:type="dxa"/>
              <w:bottom w:w="90" w:type="dxa"/>
              <w:end w:w="110" w:type="dxa"/>
            </w:tcMar>
            <w:vAlign w:val="center"/>
          </w:tcPr>
          <w:p>
            <w:pPr>
              <w:spacing w:after="0"/>
            </w:pPr>
            <w:r>
              <w:rPr>
                <w:rFonts w:ascii="Arial" w:hAnsi="Arial"/>
                <w:b w:val="0"/>
                <w:sz w:val="17"/>
              </w:rPr>
              <w:t>Apply the approved event identity and occurrence policy</w:t>
            </w:r>
          </w:p>
        </w:tc>
        <w:tc>
          <w:tcPr>
            <w:tcW w:type="dxa" w:w="3096"/>
            <w:shd w:fill="F3F4F6"/>
            <w:tcMar>
              <w:top w:w="90" w:type="dxa"/>
              <w:start w:w="110" w:type="dxa"/>
              <w:bottom w:w="90" w:type="dxa"/>
              <w:end w:w="110" w:type="dxa"/>
            </w:tcMar>
            <w:vAlign w:val="center"/>
          </w:tcPr>
          <w:p>
            <w:pPr>
              <w:spacing w:after="0"/>
            </w:pPr>
            <w:r>
              <w:rPr>
                <w:rFonts w:ascii="Arial" w:hAnsi="Arial"/>
                <w:b w:val="0"/>
                <w:sz w:val="17"/>
              </w:rPr>
              <w:t>events and occurrence data with preserved frequency</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val="0"/>
                <w:sz w:val="17"/>
              </w:rPr>
              <w:t>Stable site mesh</w:t>
            </w:r>
          </w:p>
        </w:tc>
        <w:tc>
          <w:tcPr>
            <w:tcW w:type="dxa" w:w="3960"/>
            <w:shd w:fill="FFFFFF"/>
            <w:tcMar>
              <w:top w:w="90" w:type="dxa"/>
              <w:start w:w="110" w:type="dxa"/>
              <w:bottom w:w="90" w:type="dxa"/>
              <w:end w:w="110" w:type="dxa"/>
            </w:tcMar>
            <w:vAlign w:val="center"/>
          </w:tcPr>
          <w:p>
            <w:pPr>
              <w:spacing w:after="0"/>
            </w:pPr>
            <w:r>
              <w:rPr>
                <w:rFonts w:ascii="Arial" w:hAnsi="Arial"/>
                <w:b w:val="0"/>
                <w:sz w:val="17"/>
              </w:rPr>
              <w:t>Map site identifiers to permanent area-peril identifiers</w:t>
            </w:r>
          </w:p>
        </w:tc>
        <w:tc>
          <w:tcPr>
            <w:tcW w:type="dxa" w:w="3096"/>
            <w:shd w:fill="FFFFFF"/>
            <w:tcMar>
              <w:top w:w="90" w:type="dxa"/>
              <w:start w:w="110" w:type="dxa"/>
              <w:bottom w:w="90" w:type="dxa"/>
              <w:end w:w="110" w:type="dxa"/>
            </w:tcMar>
            <w:vAlign w:val="center"/>
          </w:tcPr>
          <w:p>
            <w:pPr>
              <w:spacing w:after="0"/>
            </w:pPr>
            <w:r>
              <w:rPr>
                <w:rFonts w:ascii="Arial" w:hAnsi="Arial"/>
                <w:b w:val="0"/>
                <w:sz w:val="17"/>
              </w:rPr>
              <w:t>Area-peril dictionary and lookup assets</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val="0"/>
                <w:sz w:val="17"/>
              </w:rPr>
              <w:t>Intensity specification</w:t>
            </w:r>
          </w:p>
        </w:tc>
        <w:tc>
          <w:tcPr>
            <w:tcW w:type="dxa" w:w="3960"/>
            <w:shd w:fill="F3F4F6"/>
            <w:tcMar>
              <w:top w:w="90" w:type="dxa"/>
              <w:start w:w="110" w:type="dxa"/>
              <w:bottom w:w="90" w:type="dxa"/>
              <w:end w:w="110" w:type="dxa"/>
            </w:tcMar>
            <w:vAlign w:val="center"/>
          </w:tcPr>
          <w:p>
            <w:pPr>
              <w:spacing w:after="0"/>
            </w:pPr>
            <w:r>
              <w:rPr>
                <w:rFonts w:ascii="Arial" w:hAnsi="Arial"/>
                <w:b w:val="0"/>
                <w:sz w:val="17"/>
              </w:rPr>
              <w:t>Convert IMT values into versioned intensity bins</w:t>
            </w:r>
          </w:p>
        </w:tc>
        <w:tc>
          <w:tcPr>
            <w:tcW w:type="dxa" w:w="3096"/>
            <w:shd w:fill="F3F4F6"/>
            <w:tcMar>
              <w:top w:w="90" w:type="dxa"/>
              <w:start w:w="110" w:type="dxa"/>
              <w:bottom w:w="90" w:type="dxa"/>
              <w:end w:w="110" w:type="dxa"/>
            </w:tcMar>
            <w:vAlign w:val="center"/>
          </w:tcPr>
          <w:p>
            <w:pPr>
              <w:spacing w:after="0"/>
            </w:pPr>
            <w:r>
              <w:rPr>
                <w:rFonts w:ascii="Arial" w:hAnsi="Arial"/>
                <w:b w:val="0"/>
                <w:sz w:val="17"/>
              </w:rPr>
              <w:t>Footprint intensity-bin probabilities</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val="0"/>
                <w:sz w:val="17"/>
              </w:rPr>
              <w:t>Conversion manifest</w:t>
            </w:r>
          </w:p>
        </w:tc>
        <w:tc>
          <w:tcPr>
            <w:tcW w:type="dxa" w:w="3960"/>
            <w:shd w:fill="FFFFFF"/>
            <w:tcMar>
              <w:top w:w="90" w:type="dxa"/>
              <w:start w:w="110" w:type="dxa"/>
              <w:bottom w:w="90" w:type="dxa"/>
              <w:end w:w="110" w:type="dxa"/>
            </w:tcMar>
            <w:vAlign w:val="center"/>
          </w:tcPr>
          <w:p>
            <w:pPr>
              <w:spacing w:after="0"/>
            </w:pPr>
            <w:r>
              <w:rPr>
                <w:rFonts w:ascii="Arial" w:hAnsi="Arial"/>
                <w:b w:val="0"/>
                <w:sz w:val="17"/>
              </w:rPr>
              <w:t>Validate versions, schemas, counts and checksums</w:t>
            </w:r>
          </w:p>
        </w:tc>
        <w:tc>
          <w:tcPr>
            <w:tcW w:type="dxa" w:w="3096"/>
            <w:shd w:fill="FFFFFF"/>
            <w:tcMar>
              <w:top w:w="90" w:type="dxa"/>
              <w:start w:w="110" w:type="dxa"/>
              <w:bottom w:w="90" w:type="dxa"/>
              <w:end w:w="110" w:type="dxa"/>
            </w:tcMar>
            <w:vAlign w:val="center"/>
          </w:tcPr>
          <w:p>
            <w:pPr>
              <w:spacing w:after="0"/>
            </w:pPr>
            <w:r>
              <w:rPr>
                <w:rFonts w:ascii="Arial" w:hAnsi="Arial"/>
                <w:b w:val="0"/>
                <w:sz w:val="17"/>
              </w:rPr>
              <w:t>Signed or approved model-build evidence</w:t>
            </w:r>
          </w:p>
        </w:tc>
      </w:tr>
    </w:tbl>
    <w:p>
      <w:pPr>
        <w:spacing w:after="40"/>
      </w:pPr>
    </w:p>
    <w:p>
      <w:pPr>
        <w:pStyle w:val="Heading2"/>
        <w:keepNext/>
      </w:pPr>
      <w:r>
        <w:rPr>
          <w:rFonts w:ascii="Arial" w:hAnsi="Arial"/>
          <w:b/>
          <w:color w:val="000000"/>
          <w:sz w:val="26"/>
        </w:rPr>
        <w:t>Engineering requirements</w:t>
      </w:r>
    </w:p>
    <w:p>
      <w:pPr>
        <w:pStyle w:val="ListBullet"/>
      </w:pPr>
      <w:r>
        <w:rPr>
          <w:rFonts w:ascii="Arial" w:hAnsi="Arial"/>
        </w:rPr>
        <w:t>Use the supported OpenQuake export boundary. Direct native-datastore access is permitted only through a version-specific adapter with compatibility tests.</w:t>
      </w:r>
    </w:p>
    <w:p>
      <w:pPr>
        <w:pStyle w:val="ListBullet"/>
      </w:pPr>
      <w:r>
        <w:rPr>
          <w:rFonts w:ascii="Arial" w:hAnsi="Arial"/>
        </w:rPr>
        <w:t>Process data in configurable chunks and expose memory, throughput and spill-to-disk metrics.</w:t>
      </w:r>
    </w:p>
    <w:p>
      <w:pPr>
        <w:pStyle w:val="ListBullet"/>
      </w:pPr>
      <w:r>
        <w:rPr>
          <w:rFonts w:ascii="Arial" w:hAnsi="Arial"/>
        </w:rPr>
        <w:t>Generate deterministic identifiers and byte-stable outputs when inputs, versions and settings are unchanged.</w:t>
      </w:r>
    </w:p>
    <w:p>
      <w:pPr>
        <w:pStyle w:val="ListBullet"/>
      </w:pPr>
      <w:r>
        <w:rPr>
          <w:rFonts w:ascii="Arial" w:hAnsi="Arial"/>
        </w:rPr>
        <w:t>Validate schema, event counts, area-peril counts, IMTs, intensity ranges, probabilities, occurrence rates, duplicate keys and orphan records.</w:t>
      </w:r>
    </w:p>
    <w:p>
      <w:pPr>
        <w:pStyle w:val="ListBullet"/>
      </w:pPr>
      <w:r>
        <w:rPr>
          <w:rFonts w:ascii="Arial" w:hAnsi="Arial"/>
        </w:rPr>
        <w:t>Write a conversion report containing checksums, warnings, excluded records, runtime and peak memory.</w:t>
      </w:r>
    </w:p>
    <w:p>
      <w:pPr>
        <w:pStyle w:val="ListBullet"/>
      </w:pPr>
      <w:r>
        <w:rPr>
          <w:rFonts w:ascii="Arial" w:hAnsi="Arial"/>
        </w:rPr>
        <w:t>Support restart from durable checkpoints for long conversions without producing partially published model packages.</w:t>
      </w:r>
    </w:p>
    <w:p>
      <w:pPr>
        <w:pStyle w:val="ListBullet"/>
      </w:pPr>
      <w:r>
        <w:rPr>
          <w:rFonts w:ascii="Arial" w:hAnsi="Arial"/>
        </w:rPr>
        <w:t>Keep mapping, binning and event policies configurable through versioned files rather than source-code edits.</w:t>
      </w:r>
    </w:p>
    <w:p>
      <w:pPr>
        <w:pStyle w:val="Heading2"/>
        <w:keepNext/>
      </w:pPr>
      <w:r>
        <w:rPr>
          <w:rFonts w:ascii="Arial" w:hAnsi="Arial"/>
          <w:b/>
          <w:color w:val="000000"/>
          <w:sz w:val="26"/>
        </w:rPr>
        <w:t>Scientific acceptance tests</w:t>
      </w:r>
    </w:p>
    <w:p>
      <w:pPr>
        <w:pStyle w:val="ListBullet"/>
      </w:pPr>
      <w:r>
        <w:rPr>
          <w:rFonts w:ascii="Arial" w:hAnsi="Arial"/>
        </w:rPr>
        <w:t>Reconstruct selected OpenQuake hazard distributions from the candidate footprint and compare them within approved tolerances.</w:t>
      </w:r>
    </w:p>
    <w:p>
      <w:pPr>
        <w:pStyle w:val="ListBullet"/>
      </w:pPr>
      <w:r>
        <w:rPr>
          <w:rFonts w:ascii="Arial" w:hAnsi="Arial"/>
        </w:rPr>
        <w:t>Compare hazard curves at a representative set of high, medium and low hazard cells.</w:t>
      </w:r>
    </w:p>
    <w:p>
      <w:pPr>
        <w:pStyle w:val="ListBullet"/>
      </w:pPr>
      <w:r>
        <w:rPr>
          <w:rFonts w:ascii="Arial" w:hAnsi="Arial"/>
        </w:rPr>
        <w:t>Check annual event frequency and period weighting before and after conversion.</w:t>
      </w:r>
    </w:p>
    <w:p>
      <w:pPr>
        <w:pStyle w:val="ListBullet"/>
      </w:pPr>
      <w:r>
        <w:rPr>
          <w:rFonts w:ascii="Arial" w:hAnsi="Arial"/>
        </w:rPr>
        <w:t>Test spatial coherence for selected events and quantify effects introduced by grid and intensity discretisation.</w:t>
      </w:r>
    </w:p>
    <w:p>
      <w:pPr>
        <w:pStyle w:val="ListBullet"/>
      </w:pPr>
      <w:r>
        <w:rPr>
          <w:rFonts w:ascii="Arial" w:hAnsi="Arial"/>
        </w:rPr>
        <w:t>Run controlled vulnerability functions to isolate hazard conversion from financial-model effects.</w:t>
      </w:r>
    </w:p>
    <w:p>
      <w:pPr>
        <w:pStyle w:val="ListBullet"/>
      </w:pPr>
      <w:r>
        <w:rPr>
          <w:rFonts w:ascii="Arial" w:hAnsi="Arial"/>
        </w:rPr>
        <w:t>Maintain small golden fixtures plus a country-scale regression dataset.</w:t>
      </w:r>
    </w:p>
    <w:p>
      <w:pPr>
        <w:pStyle w:val="Heading1"/>
        <w:keepNext/>
      </w:pPr>
      <w:r>
        <w:rPr>
          <w:rFonts w:ascii="Arial" w:hAnsi="Arial"/>
          <w:b/>
          <w:color w:val="000000"/>
          <w:sz w:val="36"/>
        </w:rPr>
        <w:t>8  Oasis Model and Loss Workflow</w:t>
      </w:r>
    </w:p>
    <w:p>
      <w:pPr>
        <w:pStyle w:val="Heading2"/>
        <w:keepNext/>
      </w:pPr>
      <w:r>
        <w:rPr>
          <w:rFonts w:ascii="Arial" w:hAnsi="Arial"/>
          <w:b/>
          <w:color w:val="000000"/>
          <w:sz w:val="26"/>
        </w:rPr>
        <w:t>Model package</w:t>
      </w:r>
    </w:p>
    <w:p>
      <w:r>
        <w:rPr>
          <w:rFonts w:ascii="Arial" w:hAnsi="Arial"/>
        </w:rPr>
        <w:t>The earthquake model release combines the converted hazard module, a versioned vulnerability module, occurrence definitions, lookup configuration, model settings and supporting dictionaries. Oasis relates events and area perils through the footprint and relates intensities to damage through vulnerability functions. KRE should publish these together as a single governed release even when individual components have separate scientific owners.</w:t>
      </w:r>
    </w:p>
    <w:p>
      <w:pPr>
        <w:pStyle w:val="Heading2"/>
        <w:keepNext/>
      </w:pPr>
      <w:r>
        <w:rPr>
          <w:rFonts w:ascii="Arial" w:hAnsi="Arial"/>
          <w:b/>
          <w:color w:val="000000"/>
          <w:sz w:val="26"/>
        </w:rPr>
        <w:t>Vulnerability workstream</w:t>
      </w:r>
    </w:p>
    <w:p>
      <w:pPr>
        <w:pStyle w:val="ListBullet"/>
      </w:pPr>
      <w:r>
        <w:rPr>
          <w:rFonts w:ascii="Arial" w:hAnsi="Arial"/>
        </w:rPr>
        <w:t>Define the KRE exposure taxonomy and an explicit mapping from OED occupancy, construction, height, age and other attributes.</w:t>
      </w:r>
    </w:p>
    <w:p>
      <w:pPr>
        <w:pStyle w:val="ListBullet"/>
      </w:pPr>
      <w:r>
        <w:rPr>
          <w:rFonts w:ascii="Arial" w:hAnsi="Arial"/>
        </w:rPr>
        <w:t>Acquire or develop vulnerability functions with documented provenance and permitted commercial use.</w:t>
      </w:r>
    </w:p>
    <w:p>
      <w:pPr>
        <w:pStyle w:val="ListBullet"/>
      </w:pPr>
      <w:r>
        <w:rPr>
          <w:rFonts w:ascii="Arial" w:hAnsi="Arial"/>
        </w:rPr>
        <w:t>Align every vulnerability set with the converter's intensity measure and bin definitions.</w:t>
      </w:r>
    </w:p>
    <w:p>
      <w:pPr>
        <w:pStyle w:val="ListBullet"/>
      </w:pPr>
      <w:r>
        <w:rPr>
          <w:rFonts w:ascii="Arial" w:hAnsi="Arial"/>
        </w:rPr>
        <w:t>Represent damage-ratio uncertainty deliberately and test sensitivity to vulnerability selection.</w:t>
      </w:r>
    </w:p>
    <w:p>
      <w:pPr>
        <w:pStyle w:val="ListBullet"/>
      </w:pPr>
      <w:r>
        <w:rPr>
          <w:rFonts w:ascii="Arial" w:hAnsi="Arial"/>
        </w:rPr>
        <w:t>Create fallback and unknown-taxonomy policies that are visible to analysts and included in result caveats.</w:t>
      </w:r>
    </w:p>
    <w:p>
      <w:pPr>
        <w:pStyle w:val="ListBullet"/>
      </w:pPr>
      <w:r>
        <w:rPr>
          <w:rFonts w:ascii="Arial" w:hAnsi="Arial"/>
        </w:rPr>
        <w:t>Approve vulnerability versions independently from hazard versions, then publish tested combinations in the model registry.</w:t>
      </w:r>
    </w:p>
    <w:p>
      <w:pPr>
        <w:pStyle w:val="Heading2"/>
        <w:keepNext/>
      </w:pPr>
      <w:r>
        <w:rPr>
          <w:rFonts w:ascii="Arial" w:hAnsi="Arial"/>
          <w:b/>
          <w:color w:val="000000"/>
          <w:sz w:val="26"/>
        </w:rPr>
        <w:t>Exposure and financial workflow</w:t>
      </w:r>
    </w:p>
    <w:p>
      <w:pPr>
        <w:pStyle w:val="ListBullet"/>
      </w:pPr>
      <w:r>
        <w:rPr>
          <w:rFonts w:ascii="Arial" w:hAnsi="Arial"/>
        </w:rPr>
        <w:t>Use current OED as the external input contract and validate files before Oasis file generation.</w:t>
      </w:r>
    </w:p>
    <w:p>
      <w:pPr>
        <w:pStyle w:val="ListBullet"/>
      </w:pPr>
      <w:r>
        <w:rPr>
          <w:rFonts w:ascii="Arial" w:hAnsi="Arial"/>
        </w:rPr>
        <w:t>Implement a model-specific keys service that returns area-peril and vulnerability identifiers plus precise failure reasons.</w:t>
      </w:r>
    </w:p>
    <w:p>
      <w:pPr>
        <w:pStyle w:val="ListBullet"/>
      </w:pPr>
      <w:r>
        <w:rPr>
          <w:rFonts w:ascii="Arial" w:hAnsi="Arial"/>
        </w:rPr>
        <w:t>Support ground-up loss first, followed by insured loss and then reinsurance once relevant financial structures have golden tests.</w:t>
      </w:r>
    </w:p>
    <w:p>
      <w:pPr>
        <w:pStyle w:val="ListBullet"/>
      </w:pPr>
      <w:r>
        <w:rPr>
          <w:rFonts w:ascii="Arial" w:hAnsi="Arial"/>
        </w:rPr>
        <w:t>Expose supported Oasis analysis settings through model-defined UI controls and safe defaults.</w:t>
      </w:r>
    </w:p>
    <w:p>
      <w:pPr>
        <w:pStyle w:val="ListBullet"/>
      </w:pPr>
      <w:r>
        <w:rPr>
          <w:rFonts w:ascii="Arial" w:hAnsi="Arial"/>
        </w:rPr>
        <w:t>Prefer current ORD-aligned result outputs for downstream analytics and exports.</w:t>
      </w:r>
    </w:p>
    <w:p>
      <w:pPr>
        <w:pStyle w:val="ListBullet"/>
      </w:pPr>
      <w:r>
        <w:rPr>
          <w:rFonts w:ascii="Arial" w:hAnsi="Arial"/>
        </w:rPr>
        <w:t>Preserve the native Oasis result package alongside KRE summaries so advanced users can independently inspect outputs.</w:t>
      </w:r>
    </w:p>
    <w:p>
      <w:pPr>
        <w:pStyle w:val="Heading2"/>
        <w:keepNext/>
      </w:pPr>
      <w:r>
        <w:rPr>
          <w:rFonts w:ascii="Arial" w:hAnsi="Arial"/>
          <w:b/>
          <w:color w:val="000000"/>
          <w:sz w:val="26"/>
        </w:rPr>
        <w:t>Analysis perspectives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15"/>
            <w:shd w:fill="234A9E"/>
            <w:tcMar>
              <w:top w:w="110" w:type="dxa"/>
              <w:start w:w="110" w:type="dxa"/>
              <w:bottom w:w="110" w:type="dxa"/>
              <w:end w:w="110" w:type="dxa"/>
            </w:tcMar>
            <w:vAlign w:val="center"/>
          </w:tcPr>
          <w:p>
            <w:pPr>
              <w:spacing w:after="0"/>
              <w:jc w:val="center"/>
            </w:pPr>
            <w:r>
              <w:rPr>
                <w:rFonts w:ascii="Arial" w:hAnsi="Arial"/>
                <w:b/>
                <w:color w:val="FFFFFF"/>
                <w:sz w:val="17"/>
              </w:rPr>
              <w:t>Perspective</w:t>
            </w:r>
          </w:p>
        </w:tc>
        <w:tc>
          <w:tcPr>
            <w:tcW w:type="dxa" w:w="4536"/>
            <w:shd w:fill="234A9E"/>
            <w:tcMar>
              <w:top w:w="110" w:type="dxa"/>
              <w:start w:w="110" w:type="dxa"/>
              <w:bottom w:w="110" w:type="dxa"/>
              <w:end w:w="110" w:type="dxa"/>
            </w:tcMar>
            <w:vAlign w:val="center"/>
          </w:tcPr>
          <w:p>
            <w:pPr>
              <w:spacing w:after="0"/>
              <w:jc w:val="center"/>
            </w:pPr>
            <w:r>
              <w:rPr>
                <w:rFonts w:ascii="Arial" w:hAnsi="Arial"/>
                <w:b/>
                <w:color w:val="FFFFFF"/>
                <w:sz w:val="17"/>
              </w:rPr>
              <w:t>Release condition</w:t>
            </w:r>
          </w:p>
        </w:tc>
        <w:tc>
          <w:tcPr>
            <w:tcW w:type="dxa" w:w="3384"/>
            <w:shd w:fill="234A9E"/>
            <w:tcMar>
              <w:top w:w="110" w:type="dxa"/>
              <w:start w:w="110" w:type="dxa"/>
              <w:bottom w:w="110" w:type="dxa"/>
              <w:end w:w="110" w:type="dxa"/>
            </w:tcMar>
            <w:vAlign w:val="center"/>
          </w:tcPr>
          <w:p>
            <w:pPr>
              <w:spacing w:after="0"/>
              <w:jc w:val="center"/>
            </w:pPr>
            <w:r>
              <w:rPr>
                <w:rFonts w:ascii="Arial" w:hAnsi="Arial"/>
                <w:b/>
                <w:color w:val="FFFFFF"/>
                <w:sz w:val="17"/>
              </w:rPr>
              <w:t>Primary outputs</w:t>
            </w:r>
          </w:p>
        </w:tc>
      </w:tr>
      <w:tr>
        <w:trPr>
          <w:cantSplit/>
        </w:trPr>
        <w:tc>
          <w:tcPr>
            <w:tcW w:type="dxa" w:w="2015"/>
            <w:shd w:fill="FFFFFF"/>
            <w:tcMar>
              <w:top w:w="90" w:type="dxa"/>
              <w:start w:w="110" w:type="dxa"/>
              <w:bottom w:w="90" w:type="dxa"/>
              <w:end w:w="110" w:type="dxa"/>
            </w:tcMar>
            <w:vAlign w:val="center"/>
          </w:tcPr>
          <w:p>
            <w:pPr>
              <w:spacing w:after="0"/>
            </w:pPr>
            <w:r>
              <w:rPr>
                <w:rFonts w:ascii="Arial" w:hAnsi="Arial"/>
                <w:b/>
                <w:sz w:val="17"/>
              </w:rPr>
              <w:t>Ground-up loss</w:t>
            </w:r>
          </w:p>
        </w:tc>
        <w:tc>
          <w:tcPr>
            <w:tcW w:type="dxa" w:w="4536"/>
            <w:shd w:fill="FFFFFF"/>
            <w:tcMar>
              <w:top w:w="90" w:type="dxa"/>
              <w:start w:w="110" w:type="dxa"/>
              <w:bottom w:w="90" w:type="dxa"/>
              <w:end w:w="110" w:type="dxa"/>
            </w:tcMar>
            <w:vAlign w:val="center"/>
          </w:tcPr>
          <w:p>
            <w:pPr>
              <w:spacing w:after="0"/>
            </w:pPr>
            <w:r>
              <w:rPr>
                <w:rFonts w:ascii="Arial" w:hAnsi="Arial"/>
                <w:b w:val="0"/>
                <w:sz w:val="17"/>
              </w:rPr>
              <w:t>Hazard, vulnerability and exposure mapping approved</w:t>
            </w:r>
          </w:p>
        </w:tc>
        <w:tc>
          <w:tcPr>
            <w:tcW w:type="dxa" w:w="3384"/>
            <w:shd w:fill="FFFFFF"/>
            <w:tcMar>
              <w:top w:w="90" w:type="dxa"/>
              <w:start w:w="110" w:type="dxa"/>
              <w:bottom w:w="90" w:type="dxa"/>
              <w:end w:w="110" w:type="dxa"/>
            </w:tcMar>
            <w:vAlign w:val="center"/>
          </w:tcPr>
          <w:p>
            <w:pPr>
              <w:spacing w:after="0"/>
            </w:pPr>
            <w:r>
              <w:rPr>
                <w:rFonts w:ascii="Arial" w:hAnsi="Arial"/>
                <w:b w:val="0"/>
                <w:sz w:val="17"/>
              </w:rPr>
              <w:t>AAL, EP curves, event loss and geographic summaries</w:t>
            </w:r>
          </w:p>
        </w:tc>
      </w:tr>
      <w:tr>
        <w:trPr>
          <w:cantSplit/>
        </w:trPr>
        <w:tc>
          <w:tcPr>
            <w:tcW w:type="dxa" w:w="2015"/>
            <w:shd w:fill="F3F4F6"/>
            <w:tcMar>
              <w:top w:w="90" w:type="dxa"/>
              <w:start w:w="110" w:type="dxa"/>
              <w:bottom w:w="90" w:type="dxa"/>
              <w:end w:w="110" w:type="dxa"/>
            </w:tcMar>
            <w:vAlign w:val="center"/>
          </w:tcPr>
          <w:p>
            <w:pPr>
              <w:spacing w:after="0"/>
            </w:pPr>
            <w:r>
              <w:rPr>
                <w:rFonts w:ascii="Arial" w:hAnsi="Arial"/>
                <w:b/>
                <w:sz w:val="17"/>
              </w:rPr>
              <w:t>Insured loss</w:t>
            </w:r>
          </w:p>
        </w:tc>
        <w:tc>
          <w:tcPr>
            <w:tcW w:type="dxa" w:w="4536"/>
            <w:shd w:fill="F3F4F6"/>
            <w:tcMar>
              <w:top w:w="90" w:type="dxa"/>
              <w:start w:w="110" w:type="dxa"/>
              <w:bottom w:w="90" w:type="dxa"/>
              <w:end w:w="110" w:type="dxa"/>
            </w:tcMar>
            <w:vAlign w:val="center"/>
          </w:tcPr>
          <w:p>
            <w:pPr>
              <w:spacing w:after="0"/>
            </w:pPr>
            <w:r>
              <w:rPr>
                <w:rFonts w:ascii="Arial" w:hAnsi="Arial"/>
                <w:b w:val="0"/>
                <w:sz w:val="17"/>
              </w:rPr>
              <w:t>Supported OED policy terms pass financial golden tests</w:t>
            </w:r>
          </w:p>
        </w:tc>
        <w:tc>
          <w:tcPr>
            <w:tcW w:type="dxa" w:w="3384"/>
            <w:shd w:fill="F3F4F6"/>
            <w:tcMar>
              <w:top w:w="90" w:type="dxa"/>
              <w:start w:w="110" w:type="dxa"/>
              <w:bottom w:w="90" w:type="dxa"/>
              <w:end w:w="110" w:type="dxa"/>
            </w:tcMar>
            <w:vAlign w:val="center"/>
          </w:tcPr>
          <w:p>
            <w:pPr>
              <w:spacing w:after="0"/>
            </w:pPr>
            <w:r>
              <w:rPr>
                <w:rFonts w:ascii="Arial" w:hAnsi="Arial"/>
                <w:b w:val="0"/>
                <w:sz w:val="17"/>
              </w:rPr>
              <w:t>Insured AAL, EP curves, policy and portfolio summaries</w:t>
            </w:r>
          </w:p>
        </w:tc>
      </w:tr>
      <w:tr>
        <w:trPr>
          <w:cantSplit/>
        </w:trPr>
        <w:tc>
          <w:tcPr>
            <w:tcW w:type="dxa" w:w="2015"/>
            <w:shd w:fill="FFFFFF"/>
            <w:tcMar>
              <w:top w:w="90" w:type="dxa"/>
              <w:start w:w="110" w:type="dxa"/>
              <w:bottom w:w="90" w:type="dxa"/>
              <w:end w:w="110" w:type="dxa"/>
            </w:tcMar>
            <w:vAlign w:val="center"/>
          </w:tcPr>
          <w:p>
            <w:pPr>
              <w:spacing w:after="0"/>
            </w:pPr>
            <w:r>
              <w:rPr>
                <w:rFonts w:ascii="Arial" w:hAnsi="Arial"/>
                <w:b/>
                <w:sz w:val="17"/>
              </w:rPr>
              <w:t>Reinsurance loss</w:t>
            </w:r>
          </w:p>
        </w:tc>
        <w:tc>
          <w:tcPr>
            <w:tcW w:type="dxa" w:w="4536"/>
            <w:shd w:fill="FFFFFF"/>
            <w:tcMar>
              <w:top w:w="90" w:type="dxa"/>
              <w:start w:w="110" w:type="dxa"/>
              <w:bottom w:w="90" w:type="dxa"/>
              <w:end w:w="110" w:type="dxa"/>
            </w:tcMar>
            <w:vAlign w:val="center"/>
          </w:tcPr>
          <w:p>
            <w:pPr>
              <w:spacing w:after="0"/>
            </w:pPr>
            <w:r>
              <w:rPr>
                <w:rFonts w:ascii="Arial" w:hAnsi="Arial"/>
                <w:b w:val="0"/>
                <w:sz w:val="17"/>
              </w:rPr>
              <w:t>Treaty scope and inuring logic pass representative contract tests</w:t>
            </w:r>
          </w:p>
        </w:tc>
        <w:tc>
          <w:tcPr>
            <w:tcW w:type="dxa" w:w="3384"/>
            <w:shd w:fill="FFFFFF"/>
            <w:tcMar>
              <w:top w:w="90" w:type="dxa"/>
              <w:start w:w="110" w:type="dxa"/>
              <w:bottom w:w="90" w:type="dxa"/>
              <w:end w:w="110" w:type="dxa"/>
            </w:tcMar>
            <w:vAlign w:val="center"/>
          </w:tcPr>
          <w:p>
            <w:pPr>
              <w:spacing w:after="0"/>
            </w:pPr>
            <w:r>
              <w:rPr>
                <w:rFonts w:ascii="Arial" w:hAnsi="Arial"/>
                <w:b w:val="0"/>
                <w:sz w:val="17"/>
              </w:rPr>
              <w:t>Ceded and net metrics, treaty summaries and recoveries</w:t>
            </w:r>
          </w:p>
        </w:tc>
      </w:tr>
    </w:tbl>
    <w:p>
      <w:pPr>
        <w:spacing w:after="40"/>
      </w:pPr>
    </w:p>
    <w:p>
      <w:pPr>
        <w:pStyle w:val="Heading1"/>
        <w:keepNext/>
      </w:pPr>
      <w:r>
        <w:rPr>
          <w:rFonts w:ascii="Arial" w:hAnsi="Arial"/>
          <w:b/>
          <w:color w:val="000000"/>
          <w:sz w:val="36"/>
        </w:rPr>
        <w:t>9  Security Governance and Licensing</w:t>
      </w:r>
    </w:p>
    <w:p>
      <w:pPr>
        <w:pStyle w:val="Heading2"/>
        <w:keepNext/>
      </w:pPr>
      <w:r>
        <w:rPr>
          <w:rFonts w:ascii="Arial" w:hAnsi="Arial"/>
          <w:b/>
          <w:color w:val="000000"/>
          <w:sz w:val="26"/>
        </w:rPr>
        <w:t>Security controls</w:t>
      </w:r>
    </w:p>
    <w:p>
      <w:pPr>
        <w:pStyle w:val="ListBullet"/>
      </w:pPr>
      <w:r>
        <w:rPr>
          <w:rFonts w:ascii="Arial" w:hAnsi="Arial"/>
        </w:rPr>
        <w:t>Use centralized identity, multi-factor authentication where available, least-privilege roles and short-lived service credentials.</w:t>
      </w:r>
    </w:p>
    <w:p>
      <w:pPr>
        <w:pStyle w:val="ListBullet"/>
      </w:pPr>
      <w:r>
        <w:rPr>
          <w:rFonts w:ascii="Arial" w:hAnsi="Arial"/>
        </w:rPr>
        <w:t>Encrypt network traffic and stored portfolio artifacts; isolate engine networks from direct user access.</w:t>
      </w:r>
    </w:p>
    <w:p>
      <w:pPr>
        <w:pStyle w:val="ListBullet"/>
      </w:pPr>
      <w:r>
        <w:rPr>
          <w:rFonts w:ascii="Arial" w:hAnsi="Arial"/>
        </w:rPr>
        <w:t>Scan uploads, container images and dependencies; produce a software bill of materials for releases.</w:t>
      </w:r>
    </w:p>
    <w:p>
      <w:pPr>
        <w:pStyle w:val="ListBullet"/>
      </w:pPr>
      <w:r>
        <w:rPr>
          <w:rFonts w:ascii="Arial" w:hAnsi="Arial"/>
        </w:rPr>
        <w:t>Keep secrets outside source control and container images; rotate them through the deployment platform.</w:t>
      </w:r>
    </w:p>
    <w:p>
      <w:pPr>
        <w:pStyle w:val="ListBullet"/>
      </w:pPr>
      <w:r>
        <w:rPr>
          <w:rFonts w:ascii="Arial" w:hAnsi="Arial"/>
        </w:rPr>
        <w:t>Record access, download, deletion, model publication, exception approval and configuration changes in an immutable audit trail.</w:t>
      </w:r>
    </w:p>
    <w:p>
      <w:pPr>
        <w:pStyle w:val="ListBullet"/>
      </w:pPr>
      <w:r>
        <w:rPr>
          <w:rFonts w:ascii="Arial" w:hAnsi="Arial"/>
        </w:rPr>
        <w:t>Apply per-project authorization to both metadata and artifact retrieval; a guessed object key must never grant access.</w:t>
      </w:r>
    </w:p>
    <w:p>
      <w:pPr>
        <w:pStyle w:val="ListBullet"/>
      </w:pPr>
      <w:r>
        <w:rPr>
          <w:rFonts w:ascii="Arial" w:hAnsi="Arial"/>
        </w:rPr>
        <w:t>Define incident response, backup, restore and controlled deletion procedures before production use.</w:t>
      </w:r>
    </w:p>
    <w:p>
      <w:pPr>
        <w:pStyle w:val="Heading2"/>
        <w:keepNext/>
      </w:pPr>
      <w:r>
        <w:rPr>
          <w:rFonts w:ascii="Arial" w:hAnsi="Arial"/>
          <w:b/>
          <w:color w:val="000000"/>
          <w:sz w:val="26"/>
        </w:rPr>
        <w:t>Model governance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Gate</w:t>
            </w:r>
          </w:p>
        </w:tc>
        <w:tc>
          <w:tcPr>
            <w:tcW w:type="dxa" w:w="5903"/>
            <w:shd w:fill="234A9E"/>
            <w:tcMar>
              <w:top w:w="110" w:type="dxa"/>
              <w:start w:w="110" w:type="dxa"/>
              <w:bottom w:w="110" w:type="dxa"/>
              <w:end w:w="110" w:type="dxa"/>
            </w:tcMar>
            <w:vAlign w:val="center"/>
          </w:tcPr>
          <w:p>
            <w:pPr>
              <w:spacing w:after="0"/>
              <w:jc w:val="center"/>
            </w:pPr>
            <w:r>
              <w:rPr>
                <w:rFonts w:ascii="Arial" w:hAnsi="Arial"/>
                <w:b/>
                <w:color w:val="FFFFFF"/>
                <w:sz w:val="16"/>
              </w:rPr>
              <w:t>Required evidence</w:t>
            </w:r>
          </w:p>
        </w:tc>
        <w:tc>
          <w:tcPr>
            <w:tcW w:type="dxa" w:w="1944"/>
            <w:shd w:fill="234A9E"/>
            <w:tcMar>
              <w:top w:w="110" w:type="dxa"/>
              <w:start w:w="110" w:type="dxa"/>
              <w:bottom w:w="110" w:type="dxa"/>
              <w:end w:w="110" w:type="dxa"/>
            </w:tcMar>
            <w:vAlign w:val="center"/>
          </w:tcPr>
          <w:p>
            <w:pPr>
              <w:spacing w:after="0"/>
              <w:jc w:val="center"/>
            </w:pPr>
            <w:r>
              <w:rPr>
                <w:rFonts w:ascii="Arial" w:hAnsi="Arial"/>
                <w:b/>
                <w:color w:val="FFFFFF"/>
                <w:sz w:val="16"/>
              </w:rPr>
              <w:t>Approver</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Hazard candidate</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Source, GMM, logic tree, site model, grid and benchmark report</w:t>
            </w:r>
          </w:p>
        </w:tc>
        <w:tc>
          <w:tcPr>
            <w:tcW w:type="dxa" w:w="1944"/>
            <w:shd w:fill="FFFFFF"/>
            <w:tcMar>
              <w:top w:w="90" w:type="dxa"/>
              <w:start w:w="110" w:type="dxa"/>
              <w:bottom w:w="90" w:type="dxa"/>
              <w:end w:w="110" w:type="dxa"/>
            </w:tcMar>
            <w:vAlign w:val="center"/>
          </w:tcPr>
          <w:p>
            <w:pPr>
              <w:spacing w:after="0"/>
            </w:pPr>
            <w:r>
              <w:rPr>
                <w:rFonts w:ascii="Arial" w:hAnsi="Arial"/>
                <w:b w:val="0"/>
                <w:sz w:val="16"/>
              </w:rPr>
              <w:t>Earthquake hazard reviewer</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Converter candidate</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Compatibility, lineage, frequency, discretisation and regression evidence</w:t>
            </w:r>
          </w:p>
        </w:tc>
        <w:tc>
          <w:tcPr>
            <w:tcW w:type="dxa" w:w="1944"/>
            <w:shd w:fill="F3F4F6"/>
            <w:tcMar>
              <w:top w:w="90" w:type="dxa"/>
              <w:start w:w="110" w:type="dxa"/>
              <w:bottom w:w="90" w:type="dxa"/>
              <w:end w:w="110" w:type="dxa"/>
            </w:tcMar>
            <w:vAlign w:val="center"/>
          </w:tcPr>
          <w:p>
            <w:pPr>
              <w:spacing w:after="0"/>
            </w:pPr>
            <w:r>
              <w:rPr>
                <w:rFonts w:ascii="Arial" w:hAnsi="Arial"/>
                <w:b w:val="0"/>
                <w:sz w:val="16"/>
              </w:rPr>
              <w:t>Model engineering reviewer</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Vulnerability candidate</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Provenance, taxonomy mapping, uncertainty and sensitivity evidence</w:t>
            </w:r>
          </w:p>
        </w:tc>
        <w:tc>
          <w:tcPr>
            <w:tcW w:type="dxa" w:w="1944"/>
            <w:shd w:fill="FFFFFF"/>
            <w:tcMar>
              <w:top w:w="90" w:type="dxa"/>
              <w:start w:w="110" w:type="dxa"/>
              <w:bottom w:w="90" w:type="dxa"/>
              <w:end w:w="110" w:type="dxa"/>
            </w:tcMar>
            <w:vAlign w:val="center"/>
          </w:tcPr>
          <w:p>
            <w:pPr>
              <w:spacing w:after="0"/>
            </w:pPr>
            <w:r>
              <w:rPr>
                <w:rFonts w:ascii="Arial" w:hAnsi="Arial"/>
                <w:b w:val="0"/>
                <w:sz w:val="16"/>
              </w:rPr>
              <w:t>Vulnerability reviewer</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Model release</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End-to-end loss validation, performance, known limitations and reproducible package</w:t>
            </w:r>
          </w:p>
        </w:tc>
        <w:tc>
          <w:tcPr>
            <w:tcW w:type="dxa" w:w="1944"/>
            <w:shd w:fill="F3F4F6"/>
            <w:tcMar>
              <w:top w:w="90" w:type="dxa"/>
              <w:start w:w="110" w:type="dxa"/>
              <w:bottom w:w="90" w:type="dxa"/>
              <w:end w:w="110" w:type="dxa"/>
            </w:tcMar>
            <w:vAlign w:val="center"/>
          </w:tcPr>
          <w:p>
            <w:pPr>
              <w:spacing w:after="0"/>
              <w:jc w:val="center"/>
            </w:pPr>
            <w:r>
              <w:rPr>
                <w:rFonts w:ascii="Arial" w:hAnsi="Arial"/>
                <w:b w:val="0"/>
                <w:sz w:val="16"/>
              </w:rPr>
              <w:t>KRE model owner</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Platform release</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Security, restore, monitoring, UAT and rollback evidence</w:t>
            </w:r>
          </w:p>
        </w:tc>
        <w:tc>
          <w:tcPr>
            <w:tcW w:type="dxa" w:w="1944"/>
            <w:shd w:fill="FFFFFF"/>
            <w:tcMar>
              <w:top w:w="90" w:type="dxa"/>
              <w:start w:w="110" w:type="dxa"/>
              <w:bottom w:w="90" w:type="dxa"/>
              <w:end w:w="110" w:type="dxa"/>
            </w:tcMar>
            <w:vAlign w:val="center"/>
          </w:tcPr>
          <w:p>
            <w:pPr>
              <w:spacing w:after="0"/>
            </w:pPr>
            <w:r>
              <w:rPr>
                <w:rFonts w:ascii="Arial" w:hAnsi="Arial"/>
                <w:b w:val="0"/>
                <w:sz w:val="16"/>
              </w:rPr>
              <w:t>Product and technology owners</w:t>
            </w:r>
          </w:p>
        </w:tc>
      </w:tr>
    </w:tbl>
    <w:p>
      <w:pPr>
        <w:spacing w:after="40"/>
      </w:pPr>
    </w:p>
    <w:p>
      <w:pPr>
        <w:pStyle w:val="Heading2"/>
        <w:keepNext/>
      </w:pPr>
      <w:r>
        <w:rPr>
          <w:rFonts w:ascii="Arial" w:hAnsi="Arial"/>
          <w:b/>
          <w:color w:val="000000"/>
          <w:sz w:val="26"/>
        </w:rPr>
        <w:t>Licensing</w:t>
      </w:r>
    </w:p>
    <w:p>
      <w:r>
        <w:rPr>
          <w:rFonts w:ascii="Arial" w:hAnsi="Arial"/>
        </w:rPr>
        <w:t>OpenQuake is distributed under the GNU Affero General Public License version 3, while the main OasisLMF repository uses a BSD licence. KRE should obtain legal review before offering the platform to external network users, distributing modified engine containers or embedding third-party hazard and vulnerability data. The design should prefer unmodified upstream engine containers and separate KRE adapters, but service separation must not be treated as a substitute for licence analysis.</w:t>
      </w:r>
    </w:p>
    <w:p>
      <w:pPr>
        <w:pStyle w:val="Heading1"/>
        <w:keepNext/>
      </w:pPr>
      <w:r>
        <w:rPr>
          <w:rFonts w:ascii="Arial" w:hAnsi="Arial"/>
          <w:b/>
          <w:color w:val="000000"/>
          <w:sz w:val="36"/>
        </w:rPr>
        <w:t>10  Delivery and Operations</w:t>
      </w:r>
    </w:p>
    <w:p>
      <w:pPr>
        <w:pStyle w:val="Heading2"/>
        <w:keepNext/>
      </w:pPr>
      <w:r>
        <w:rPr>
          <w:rFonts w:ascii="Arial" w:hAnsi="Arial"/>
          <w:b/>
          <w:color w:val="000000"/>
          <w:sz w:val="26"/>
        </w:rPr>
        <w:t>Environment progression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728"/>
            <w:shd w:fill="234A9E"/>
            <w:tcMar>
              <w:top w:w="110" w:type="dxa"/>
              <w:start w:w="110" w:type="dxa"/>
              <w:bottom w:w="110" w:type="dxa"/>
              <w:end w:w="110" w:type="dxa"/>
            </w:tcMar>
            <w:vAlign w:val="center"/>
          </w:tcPr>
          <w:p>
            <w:pPr>
              <w:spacing w:after="0"/>
              <w:jc w:val="center"/>
            </w:pPr>
            <w:r>
              <w:rPr>
                <w:rFonts w:ascii="Arial" w:hAnsi="Arial"/>
                <w:b/>
                <w:color w:val="FFFFFF"/>
                <w:sz w:val="17"/>
              </w:rPr>
              <w:t>Environment</w:t>
            </w:r>
          </w:p>
        </w:tc>
        <w:tc>
          <w:tcPr>
            <w:tcW w:type="dxa" w:w="3311"/>
            <w:shd w:fill="234A9E"/>
            <w:tcMar>
              <w:top w:w="110" w:type="dxa"/>
              <w:start w:w="110" w:type="dxa"/>
              <w:bottom w:w="110" w:type="dxa"/>
              <w:end w:w="110" w:type="dxa"/>
            </w:tcMar>
            <w:vAlign w:val="center"/>
          </w:tcPr>
          <w:p>
            <w:pPr>
              <w:spacing w:after="0"/>
              <w:jc w:val="center"/>
            </w:pPr>
            <w:r>
              <w:rPr>
                <w:rFonts w:ascii="Arial" w:hAnsi="Arial"/>
                <w:b/>
                <w:color w:val="FFFFFF"/>
                <w:sz w:val="17"/>
              </w:rPr>
              <w:t>Purpose</w:t>
            </w:r>
          </w:p>
        </w:tc>
        <w:tc>
          <w:tcPr>
            <w:tcW w:type="dxa" w:w="4896"/>
            <w:shd w:fill="234A9E"/>
            <w:tcMar>
              <w:top w:w="110" w:type="dxa"/>
              <w:start w:w="110" w:type="dxa"/>
              <w:bottom w:w="110" w:type="dxa"/>
              <w:end w:w="110" w:type="dxa"/>
            </w:tcMar>
            <w:vAlign w:val="center"/>
          </w:tcPr>
          <w:p>
            <w:pPr>
              <w:spacing w:after="0"/>
              <w:jc w:val="center"/>
            </w:pPr>
            <w:r>
              <w:rPr>
                <w:rFonts w:ascii="Arial" w:hAnsi="Arial"/>
                <w:b/>
                <w:color w:val="FFFFFF"/>
                <w:sz w:val="17"/>
              </w:rPr>
              <w:t>Minimum characteristics</w:t>
            </w:r>
          </w:p>
        </w:tc>
      </w:tr>
      <w:tr>
        <w:trPr>
          <w:cantSplit/>
        </w:trPr>
        <w:tc>
          <w:tcPr>
            <w:tcW w:type="dxa" w:w="1728"/>
            <w:shd w:fill="FFFFFF"/>
            <w:tcMar>
              <w:top w:w="90" w:type="dxa"/>
              <w:start w:w="110" w:type="dxa"/>
              <w:bottom w:w="90" w:type="dxa"/>
              <w:end w:w="110" w:type="dxa"/>
            </w:tcMar>
            <w:vAlign w:val="center"/>
          </w:tcPr>
          <w:p>
            <w:pPr>
              <w:spacing w:after="0"/>
            </w:pPr>
            <w:r>
              <w:rPr>
                <w:rFonts w:ascii="Arial" w:hAnsi="Arial"/>
                <w:b/>
                <w:sz w:val="17"/>
              </w:rPr>
              <w:t>Developer</w:t>
            </w:r>
          </w:p>
        </w:tc>
        <w:tc>
          <w:tcPr>
            <w:tcW w:type="dxa" w:w="3311"/>
            <w:shd w:fill="FFFFFF"/>
            <w:tcMar>
              <w:top w:w="90" w:type="dxa"/>
              <w:start w:w="110" w:type="dxa"/>
              <w:bottom w:w="90" w:type="dxa"/>
              <w:end w:w="110" w:type="dxa"/>
            </w:tcMar>
            <w:vAlign w:val="center"/>
          </w:tcPr>
          <w:p>
            <w:pPr>
              <w:spacing w:after="0"/>
            </w:pPr>
            <w:r>
              <w:rPr>
                <w:rFonts w:ascii="Arial" w:hAnsi="Arial"/>
                <w:b w:val="0"/>
                <w:sz w:val="17"/>
              </w:rPr>
              <w:t>Feature development and small fixtures</w:t>
            </w:r>
          </w:p>
        </w:tc>
        <w:tc>
          <w:tcPr>
            <w:tcW w:type="dxa" w:w="4896"/>
            <w:shd w:fill="FFFFFF"/>
            <w:tcMar>
              <w:top w:w="90" w:type="dxa"/>
              <w:start w:w="110" w:type="dxa"/>
              <w:bottom w:w="90" w:type="dxa"/>
              <w:end w:w="110" w:type="dxa"/>
            </w:tcMar>
            <w:vAlign w:val="center"/>
          </w:tcPr>
          <w:p>
            <w:pPr>
              <w:spacing w:after="0"/>
            </w:pPr>
            <w:r>
              <w:rPr>
                <w:rFonts w:ascii="Arial" w:hAnsi="Arial"/>
                <w:b w:val="0"/>
                <w:sz w:val="17"/>
              </w:rPr>
              <w:t>Docker Compose, seeded data, isolated buckets and local observability</w:t>
            </w:r>
          </w:p>
        </w:tc>
      </w:tr>
      <w:tr>
        <w:trPr>
          <w:cantSplit/>
        </w:trPr>
        <w:tc>
          <w:tcPr>
            <w:tcW w:type="dxa" w:w="1728"/>
            <w:shd w:fill="F3F4F6"/>
            <w:tcMar>
              <w:top w:w="90" w:type="dxa"/>
              <w:start w:w="110" w:type="dxa"/>
              <w:bottom w:w="90" w:type="dxa"/>
              <w:end w:w="110" w:type="dxa"/>
            </w:tcMar>
            <w:vAlign w:val="center"/>
          </w:tcPr>
          <w:p>
            <w:pPr>
              <w:spacing w:after="0"/>
            </w:pPr>
            <w:r>
              <w:rPr>
                <w:rFonts w:ascii="Arial" w:hAnsi="Arial"/>
                <w:b/>
                <w:sz w:val="17"/>
              </w:rPr>
              <w:t>Integration</w:t>
            </w:r>
          </w:p>
        </w:tc>
        <w:tc>
          <w:tcPr>
            <w:tcW w:type="dxa" w:w="3311"/>
            <w:shd w:fill="F3F4F6"/>
            <w:tcMar>
              <w:top w:w="90" w:type="dxa"/>
              <w:start w:w="110" w:type="dxa"/>
              <w:bottom w:w="90" w:type="dxa"/>
              <w:end w:w="110" w:type="dxa"/>
            </w:tcMar>
            <w:vAlign w:val="center"/>
          </w:tcPr>
          <w:p>
            <w:pPr>
              <w:spacing w:after="0"/>
            </w:pPr>
            <w:r>
              <w:rPr>
                <w:rFonts w:ascii="Arial" w:hAnsi="Arial"/>
                <w:b w:val="0"/>
                <w:sz w:val="17"/>
              </w:rPr>
              <w:t>Cross-service and engine compatibility</w:t>
            </w:r>
          </w:p>
        </w:tc>
        <w:tc>
          <w:tcPr>
            <w:tcW w:type="dxa" w:w="4896"/>
            <w:shd w:fill="F3F4F6"/>
            <w:tcMar>
              <w:top w:w="90" w:type="dxa"/>
              <w:start w:w="110" w:type="dxa"/>
              <w:bottom w:w="90" w:type="dxa"/>
              <w:end w:w="110" w:type="dxa"/>
            </w:tcMar>
            <w:vAlign w:val="center"/>
          </w:tcPr>
          <w:p>
            <w:pPr>
              <w:spacing w:after="0"/>
            </w:pPr>
            <w:r>
              <w:rPr>
                <w:rFonts w:ascii="Arial" w:hAnsi="Arial"/>
                <w:b w:val="0"/>
                <w:sz w:val="17"/>
              </w:rPr>
              <w:t>Production-like images, automated PiWind and earthquake fixtures, disposable data</w:t>
            </w:r>
          </w:p>
        </w:tc>
      </w:tr>
      <w:tr>
        <w:trPr>
          <w:cantSplit/>
        </w:trPr>
        <w:tc>
          <w:tcPr>
            <w:tcW w:type="dxa" w:w="1728"/>
            <w:shd w:fill="FFFFFF"/>
            <w:tcMar>
              <w:top w:w="90" w:type="dxa"/>
              <w:start w:w="110" w:type="dxa"/>
              <w:bottom w:w="90" w:type="dxa"/>
              <w:end w:w="110" w:type="dxa"/>
            </w:tcMar>
            <w:vAlign w:val="center"/>
          </w:tcPr>
          <w:p>
            <w:pPr>
              <w:spacing w:after="0"/>
            </w:pPr>
            <w:r>
              <w:rPr>
                <w:rFonts w:ascii="Arial" w:hAnsi="Arial"/>
                <w:b/>
                <w:sz w:val="17"/>
              </w:rPr>
              <w:t>Validation</w:t>
            </w:r>
          </w:p>
        </w:tc>
        <w:tc>
          <w:tcPr>
            <w:tcW w:type="dxa" w:w="3311"/>
            <w:shd w:fill="FFFFFF"/>
            <w:tcMar>
              <w:top w:w="90" w:type="dxa"/>
              <w:start w:w="110" w:type="dxa"/>
              <w:bottom w:w="90" w:type="dxa"/>
              <w:end w:w="110" w:type="dxa"/>
            </w:tcMar>
            <w:vAlign w:val="center"/>
          </w:tcPr>
          <w:p>
            <w:pPr>
              <w:spacing w:after="0"/>
            </w:pPr>
            <w:r>
              <w:rPr>
                <w:rFonts w:ascii="Arial" w:hAnsi="Arial"/>
                <w:b w:val="0"/>
                <w:sz w:val="17"/>
              </w:rPr>
              <w:t>Scientific model acceptance</w:t>
            </w:r>
          </w:p>
        </w:tc>
        <w:tc>
          <w:tcPr>
            <w:tcW w:type="dxa" w:w="4896"/>
            <w:shd w:fill="FFFFFF"/>
            <w:tcMar>
              <w:top w:w="90" w:type="dxa"/>
              <w:start w:w="110" w:type="dxa"/>
              <w:bottom w:w="90" w:type="dxa"/>
              <w:end w:w="110" w:type="dxa"/>
            </w:tcMar>
            <w:vAlign w:val="center"/>
          </w:tcPr>
          <w:p>
            <w:pPr>
              <w:spacing w:after="0"/>
            </w:pPr>
            <w:r>
              <w:rPr>
                <w:rFonts w:ascii="Arial" w:hAnsi="Arial"/>
                <w:b w:val="0"/>
                <w:sz w:val="17"/>
              </w:rPr>
              <w:t>Controlled model assets, representative compute, reviewer access and retained evidence</w:t>
            </w:r>
          </w:p>
        </w:tc>
      </w:tr>
      <w:tr>
        <w:trPr>
          <w:cantSplit/>
        </w:trPr>
        <w:tc>
          <w:tcPr>
            <w:tcW w:type="dxa" w:w="1728"/>
            <w:shd w:fill="F3F4F6"/>
            <w:tcMar>
              <w:top w:w="90" w:type="dxa"/>
              <w:start w:w="110" w:type="dxa"/>
              <w:bottom w:w="90" w:type="dxa"/>
              <w:end w:w="110" w:type="dxa"/>
            </w:tcMar>
            <w:vAlign w:val="center"/>
          </w:tcPr>
          <w:p>
            <w:pPr>
              <w:spacing w:after="0"/>
            </w:pPr>
            <w:r>
              <w:rPr>
                <w:rFonts w:ascii="Arial" w:hAnsi="Arial"/>
                <w:b/>
                <w:sz w:val="17"/>
              </w:rPr>
              <w:t>User acceptance</w:t>
            </w:r>
          </w:p>
        </w:tc>
        <w:tc>
          <w:tcPr>
            <w:tcW w:type="dxa" w:w="3311"/>
            <w:shd w:fill="F3F4F6"/>
            <w:tcMar>
              <w:top w:w="90" w:type="dxa"/>
              <w:start w:w="110" w:type="dxa"/>
              <w:bottom w:w="90" w:type="dxa"/>
              <w:end w:w="110" w:type="dxa"/>
            </w:tcMar>
            <w:vAlign w:val="center"/>
          </w:tcPr>
          <w:p>
            <w:pPr>
              <w:spacing w:after="0"/>
            </w:pPr>
            <w:r>
              <w:rPr>
                <w:rFonts w:ascii="Arial" w:hAnsi="Arial"/>
                <w:b w:val="0"/>
                <w:sz w:val="17"/>
              </w:rPr>
              <w:t>Business workflow approval</w:t>
            </w:r>
          </w:p>
        </w:tc>
        <w:tc>
          <w:tcPr>
            <w:tcW w:type="dxa" w:w="4896"/>
            <w:shd w:fill="F3F4F6"/>
            <w:tcMar>
              <w:top w:w="90" w:type="dxa"/>
              <w:start w:w="110" w:type="dxa"/>
              <w:bottom w:w="90" w:type="dxa"/>
              <w:end w:w="110" w:type="dxa"/>
            </w:tcMar>
            <w:vAlign w:val="center"/>
          </w:tcPr>
          <w:p>
            <w:pPr>
              <w:spacing w:after="0"/>
            </w:pPr>
            <w:r>
              <w:rPr>
                <w:rFonts w:ascii="Arial" w:hAnsi="Arial"/>
                <w:b w:val="0"/>
                <w:sz w:val="17"/>
              </w:rPr>
              <w:t>Masked or approved data, role testing, realistic portfolios and support procedures</w:t>
            </w:r>
          </w:p>
        </w:tc>
      </w:tr>
      <w:tr>
        <w:trPr>
          <w:cantSplit/>
        </w:trPr>
        <w:tc>
          <w:tcPr>
            <w:tcW w:type="dxa" w:w="1728"/>
            <w:shd w:fill="FFFFFF"/>
            <w:tcMar>
              <w:top w:w="90" w:type="dxa"/>
              <w:start w:w="110" w:type="dxa"/>
              <w:bottom w:w="90" w:type="dxa"/>
              <w:end w:w="110" w:type="dxa"/>
            </w:tcMar>
            <w:vAlign w:val="center"/>
          </w:tcPr>
          <w:p>
            <w:pPr>
              <w:spacing w:after="0"/>
            </w:pPr>
            <w:r>
              <w:rPr>
                <w:rFonts w:ascii="Arial" w:hAnsi="Arial"/>
                <w:b/>
                <w:sz w:val="17"/>
              </w:rPr>
              <w:t>Production</w:t>
            </w:r>
          </w:p>
        </w:tc>
        <w:tc>
          <w:tcPr>
            <w:tcW w:type="dxa" w:w="3311"/>
            <w:shd w:fill="FFFFFF"/>
            <w:tcMar>
              <w:top w:w="90" w:type="dxa"/>
              <w:start w:w="110" w:type="dxa"/>
              <w:bottom w:w="90" w:type="dxa"/>
              <w:end w:w="110" w:type="dxa"/>
            </w:tcMar>
            <w:vAlign w:val="center"/>
          </w:tcPr>
          <w:p>
            <w:pPr>
              <w:spacing w:after="0"/>
              <w:jc w:val="center"/>
            </w:pPr>
            <w:r>
              <w:rPr>
                <w:rFonts w:ascii="Arial" w:hAnsi="Arial"/>
                <w:b w:val="0"/>
                <w:sz w:val="17"/>
              </w:rPr>
              <w:t>Governed analyses</w:t>
            </w:r>
          </w:p>
        </w:tc>
        <w:tc>
          <w:tcPr>
            <w:tcW w:type="dxa" w:w="4896"/>
            <w:shd w:fill="FFFFFF"/>
            <w:tcMar>
              <w:top w:w="90" w:type="dxa"/>
              <w:start w:w="110" w:type="dxa"/>
              <w:bottom w:w="90" w:type="dxa"/>
              <w:end w:w="110" w:type="dxa"/>
            </w:tcMar>
            <w:vAlign w:val="center"/>
          </w:tcPr>
          <w:p>
            <w:pPr>
              <w:spacing w:after="0"/>
            </w:pPr>
            <w:r>
              <w:rPr>
                <w:rFonts w:ascii="Arial" w:hAnsi="Arial"/>
                <w:b w:val="0"/>
                <w:sz w:val="17"/>
              </w:rPr>
              <w:t>Backups, monitoring, secret management, capacity controls, restore tests and change approval</w:t>
            </w:r>
          </w:p>
        </w:tc>
      </w:tr>
    </w:tbl>
    <w:p>
      <w:pPr>
        <w:spacing w:after="40"/>
      </w:pPr>
    </w:p>
    <w:p>
      <w:pPr>
        <w:pStyle w:val="Heading2"/>
        <w:keepNext/>
      </w:pPr>
      <w:r>
        <w:rPr>
          <w:rFonts w:ascii="Arial" w:hAnsi="Arial"/>
          <w:b/>
          <w:color w:val="000000"/>
          <w:sz w:val="26"/>
        </w:rPr>
        <w:t>Capacity approach</w:t>
      </w:r>
    </w:p>
    <w:p>
      <w:r>
        <w:rPr>
          <w:rFonts w:ascii="Arial" w:hAnsi="Arial"/>
        </w:rPr>
        <w:t>The PiWind run used approximately 21.6 GB at peak under a highly parallel all-output configuration. The production design must expose compute profiles rather than inheriting maximum parallelism. The earthquake pilot should measure OpenQuake generation, conversion and Oasis loss workloads separately and use those measurements to set queue concurrency, worker memory, storage tiers and run-size limits.</w:t>
      </w:r>
    </w:p>
    <w:p>
      <w:pPr>
        <w:pStyle w:val="ListBullet"/>
      </w:pPr>
      <w:r>
        <w:rPr>
          <w:rFonts w:ascii="Arial" w:hAnsi="Arial"/>
        </w:rPr>
        <w:t>Define small, standard and large execution profiles with explicit CPU, memory and timeout limits.</w:t>
      </w:r>
    </w:p>
    <w:p>
      <w:pPr>
        <w:pStyle w:val="ListBullet"/>
      </w:pPr>
      <w:r>
        <w:rPr>
          <w:rFonts w:ascii="Arial" w:hAnsi="Arial"/>
        </w:rPr>
        <w:t>Prevent multiple large jobs from exhausting the workstation or production node.</w:t>
      </w:r>
    </w:p>
    <w:p>
      <w:pPr>
        <w:pStyle w:val="ListBullet"/>
      </w:pPr>
      <w:r>
        <w:rPr>
          <w:rFonts w:ascii="Arial" w:hAnsi="Arial"/>
        </w:rPr>
        <w:t>Instrument event throughput, GMF bytes, conversion throughput, Oasis event throughput and output volume.</w:t>
      </w:r>
    </w:p>
    <w:p>
      <w:pPr>
        <w:pStyle w:val="ListBullet"/>
      </w:pPr>
      <w:r>
        <w:rPr>
          <w:rFonts w:ascii="Arial" w:hAnsi="Arial"/>
        </w:rPr>
        <w:t>Allow cancellation and clean restart without leaving published partial results.</w:t>
      </w:r>
    </w:p>
    <w:p>
      <w:pPr>
        <w:pStyle w:val="ListBullet"/>
      </w:pPr>
      <w:r>
        <w:rPr>
          <w:rFonts w:ascii="Arial" w:hAnsi="Arial"/>
        </w:rPr>
        <w:t>Set storage quotas and lifecycle rules by artifact class rather than deleting files manually.</w:t>
      </w:r>
    </w:p>
    <w:p>
      <w:pPr>
        <w:pStyle w:val="Heading2"/>
        <w:keepNext/>
      </w:pPr>
      <w:r>
        <w:rPr>
          <w:rFonts w:ascii="Arial" w:hAnsi="Arial"/>
          <w:b/>
          <w:color w:val="000000"/>
          <w:sz w:val="26"/>
        </w:rPr>
        <w:t>Operational service levels</w:t>
      </w:r>
    </w:p>
    <w:p>
      <w:r>
        <w:rPr>
          <w:rFonts w:ascii="Arial" w:hAnsi="Arial"/>
        </w:rPr>
        <w:t>During the internal pilot, the service level should prioritize recoverability and transparency over continuous availability. Target values for availability, recovery time, recovery point, support hours and maximum run duration should be agreed after pilot workload measurements. Production approval requires a successful restore exercise, not merely confirmation that backups exist.</w:t>
      </w:r>
    </w:p>
    <w:p>
      <w:pPr>
        <w:pStyle w:val="Heading1"/>
        <w:keepNext/>
      </w:pPr>
      <w:r>
        <w:rPr>
          <w:rFonts w:ascii="Arial" w:hAnsi="Arial"/>
          <w:b/>
          <w:color w:val="000000"/>
          <w:sz w:val="36"/>
        </w:rPr>
        <w:t>11  Quality and Validation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655"/>
            <w:shd w:fill="234A9E"/>
            <w:tcMar>
              <w:top w:w="110" w:type="dxa"/>
              <w:start w:w="110" w:type="dxa"/>
              <w:bottom w:w="110" w:type="dxa"/>
              <w:end w:w="110" w:type="dxa"/>
            </w:tcMar>
            <w:vAlign w:val="center"/>
          </w:tcPr>
          <w:p>
            <w:pPr>
              <w:spacing w:after="0"/>
              <w:jc w:val="center"/>
            </w:pPr>
            <w:r>
              <w:rPr>
                <w:rFonts w:ascii="Arial" w:hAnsi="Arial"/>
                <w:b/>
                <w:color w:val="FFFFFF"/>
                <w:sz w:val="16"/>
              </w:rPr>
              <w:t>Test layer</w:t>
            </w:r>
          </w:p>
        </w:tc>
        <w:tc>
          <w:tcPr>
            <w:tcW w:type="dxa" w:w="3168"/>
            <w:shd w:fill="234A9E"/>
            <w:tcMar>
              <w:top w:w="110" w:type="dxa"/>
              <w:start w:w="110" w:type="dxa"/>
              <w:bottom w:w="110" w:type="dxa"/>
              <w:end w:w="110" w:type="dxa"/>
            </w:tcMar>
            <w:vAlign w:val="center"/>
          </w:tcPr>
          <w:p>
            <w:pPr>
              <w:spacing w:after="0"/>
              <w:jc w:val="center"/>
            </w:pPr>
            <w:r>
              <w:rPr>
                <w:rFonts w:ascii="Arial" w:hAnsi="Arial"/>
                <w:b/>
                <w:color w:val="FFFFFF"/>
                <w:sz w:val="16"/>
              </w:rPr>
              <w:t>Purpose</w:t>
            </w:r>
          </w:p>
        </w:tc>
        <w:tc>
          <w:tcPr>
            <w:tcW w:type="dxa" w:w="5112"/>
            <w:shd w:fill="234A9E"/>
            <w:tcMar>
              <w:top w:w="110" w:type="dxa"/>
              <w:start w:w="110" w:type="dxa"/>
              <w:bottom w:w="110" w:type="dxa"/>
              <w:end w:w="110" w:type="dxa"/>
            </w:tcMar>
            <w:vAlign w:val="center"/>
          </w:tcPr>
          <w:p>
            <w:pPr>
              <w:spacing w:after="0"/>
              <w:jc w:val="center"/>
            </w:pPr>
            <w:r>
              <w:rPr>
                <w:rFonts w:ascii="Arial" w:hAnsi="Arial"/>
                <w:b/>
                <w:color w:val="FFFFFF"/>
                <w:sz w:val="16"/>
              </w:rPr>
              <w:t>Representative evidence</w:t>
            </w:r>
          </w:p>
        </w:tc>
      </w:tr>
      <w:tr>
        <w:trPr>
          <w:cantSplit/>
        </w:trPr>
        <w:tc>
          <w:tcPr>
            <w:tcW w:type="dxa" w:w="1655"/>
            <w:shd w:fill="FFFFFF"/>
            <w:tcMar>
              <w:top w:w="90" w:type="dxa"/>
              <w:start w:w="110" w:type="dxa"/>
              <w:bottom w:w="90" w:type="dxa"/>
              <w:end w:w="110" w:type="dxa"/>
            </w:tcMar>
            <w:vAlign w:val="center"/>
          </w:tcPr>
          <w:p>
            <w:pPr>
              <w:spacing w:after="0"/>
            </w:pPr>
            <w:r>
              <w:rPr>
                <w:rFonts w:ascii="Arial" w:hAnsi="Arial"/>
                <w:b/>
                <w:sz w:val="16"/>
              </w:rPr>
              <w:t>Unit</w:t>
            </w:r>
          </w:p>
        </w:tc>
        <w:tc>
          <w:tcPr>
            <w:tcW w:type="dxa" w:w="3168"/>
            <w:shd w:fill="FFFFFF"/>
            <w:tcMar>
              <w:top w:w="90" w:type="dxa"/>
              <w:start w:w="110" w:type="dxa"/>
              <w:bottom w:w="90" w:type="dxa"/>
              <w:end w:w="110" w:type="dxa"/>
            </w:tcMar>
            <w:vAlign w:val="center"/>
          </w:tcPr>
          <w:p>
            <w:pPr>
              <w:spacing w:after="0"/>
            </w:pPr>
            <w:r>
              <w:rPr>
                <w:rFonts w:ascii="Arial" w:hAnsi="Arial"/>
                <w:b w:val="0"/>
                <w:sz w:val="16"/>
              </w:rPr>
              <w:t>Verify local transformation and business rules</w:t>
            </w:r>
          </w:p>
        </w:tc>
        <w:tc>
          <w:tcPr>
            <w:tcW w:type="dxa" w:w="5112"/>
            <w:shd w:fill="FFFFFF"/>
            <w:tcMar>
              <w:top w:w="90" w:type="dxa"/>
              <w:start w:w="110" w:type="dxa"/>
              <w:bottom w:w="90" w:type="dxa"/>
              <w:end w:w="110" w:type="dxa"/>
            </w:tcMar>
            <w:vAlign w:val="center"/>
          </w:tcPr>
          <w:p>
            <w:pPr>
              <w:spacing w:after="0"/>
            </w:pPr>
            <w:r>
              <w:rPr>
                <w:rFonts w:ascii="Arial" w:hAnsi="Arial"/>
                <w:b w:val="0"/>
                <w:sz w:val="16"/>
              </w:rPr>
              <w:t>Binning boundaries, IDs, status transitions, permissions and financial mappings</w:t>
            </w:r>
          </w:p>
        </w:tc>
      </w:tr>
      <w:tr>
        <w:trPr>
          <w:cantSplit/>
        </w:trPr>
        <w:tc>
          <w:tcPr>
            <w:tcW w:type="dxa" w:w="1655"/>
            <w:shd w:fill="F3F4F6"/>
            <w:tcMar>
              <w:top w:w="90" w:type="dxa"/>
              <w:start w:w="110" w:type="dxa"/>
              <w:bottom w:w="90" w:type="dxa"/>
              <w:end w:w="110" w:type="dxa"/>
            </w:tcMar>
            <w:vAlign w:val="center"/>
          </w:tcPr>
          <w:p>
            <w:pPr>
              <w:spacing w:after="0"/>
            </w:pPr>
            <w:r>
              <w:rPr>
                <w:rFonts w:ascii="Arial" w:hAnsi="Arial"/>
                <w:b/>
                <w:sz w:val="16"/>
              </w:rPr>
              <w:t>Contract</w:t>
            </w:r>
          </w:p>
        </w:tc>
        <w:tc>
          <w:tcPr>
            <w:tcW w:type="dxa" w:w="3168"/>
            <w:shd w:fill="F3F4F6"/>
            <w:tcMar>
              <w:top w:w="90" w:type="dxa"/>
              <w:start w:w="110" w:type="dxa"/>
              <w:bottom w:w="90" w:type="dxa"/>
              <w:end w:w="110" w:type="dxa"/>
            </w:tcMar>
            <w:vAlign w:val="center"/>
          </w:tcPr>
          <w:p>
            <w:pPr>
              <w:spacing w:after="0"/>
            </w:pPr>
            <w:r>
              <w:rPr>
                <w:rFonts w:ascii="Arial" w:hAnsi="Arial"/>
                <w:b w:val="0"/>
                <w:sz w:val="16"/>
              </w:rPr>
              <w:t>Detect upstream API and schema change</w:t>
            </w:r>
          </w:p>
        </w:tc>
        <w:tc>
          <w:tcPr>
            <w:tcW w:type="dxa" w:w="5112"/>
            <w:shd w:fill="F3F4F6"/>
            <w:tcMar>
              <w:top w:w="90" w:type="dxa"/>
              <w:start w:w="110" w:type="dxa"/>
              <w:bottom w:w="90" w:type="dxa"/>
              <w:end w:w="110" w:type="dxa"/>
            </w:tcMar>
            <w:vAlign w:val="center"/>
          </w:tcPr>
          <w:p>
            <w:pPr>
              <w:spacing w:after="0"/>
            </w:pPr>
            <w:r>
              <w:rPr>
                <w:rFonts w:ascii="Arial" w:hAnsi="Arial"/>
                <w:b w:val="0"/>
                <w:sz w:val="16"/>
              </w:rPr>
              <w:t>Pinned OpenQuake and Oasis request, response and export fixtures</w:t>
            </w:r>
          </w:p>
        </w:tc>
      </w:tr>
      <w:tr>
        <w:trPr>
          <w:cantSplit/>
        </w:trPr>
        <w:tc>
          <w:tcPr>
            <w:tcW w:type="dxa" w:w="1655"/>
            <w:shd w:fill="FFFFFF"/>
            <w:tcMar>
              <w:top w:w="90" w:type="dxa"/>
              <w:start w:w="110" w:type="dxa"/>
              <w:bottom w:w="90" w:type="dxa"/>
              <w:end w:w="110" w:type="dxa"/>
            </w:tcMar>
            <w:vAlign w:val="center"/>
          </w:tcPr>
          <w:p>
            <w:pPr>
              <w:spacing w:after="0"/>
            </w:pPr>
            <w:r>
              <w:rPr>
                <w:rFonts w:ascii="Arial" w:hAnsi="Arial"/>
                <w:b/>
                <w:sz w:val="16"/>
              </w:rPr>
              <w:t>Component</w:t>
            </w:r>
          </w:p>
        </w:tc>
        <w:tc>
          <w:tcPr>
            <w:tcW w:type="dxa" w:w="3168"/>
            <w:shd w:fill="FFFFFF"/>
            <w:tcMar>
              <w:top w:w="90" w:type="dxa"/>
              <w:start w:w="110" w:type="dxa"/>
              <w:bottom w:w="90" w:type="dxa"/>
              <w:end w:w="110" w:type="dxa"/>
            </w:tcMar>
            <w:vAlign w:val="center"/>
          </w:tcPr>
          <w:p>
            <w:pPr>
              <w:spacing w:after="0"/>
            </w:pPr>
            <w:r>
              <w:rPr>
                <w:rFonts w:ascii="Arial" w:hAnsi="Arial"/>
                <w:b w:val="0"/>
                <w:sz w:val="16"/>
              </w:rPr>
              <w:t>Verify each container with real dependencies</w:t>
            </w:r>
          </w:p>
        </w:tc>
        <w:tc>
          <w:tcPr>
            <w:tcW w:type="dxa" w:w="5112"/>
            <w:shd w:fill="FFFFFF"/>
            <w:tcMar>
              <w:top w:w="90" w:type="dxa"/>
              <w:start w:w="110" w:type="dxa"/>
              <w:bottom w:w="90" w:type="dxa"/>
              <w:end w:w="110" w:type="dxa"/>
            </w:tcMar>
            <w:vAlign w:val="center"/>
          </w:tcPr>
          <w:p>
            <w:pPr>
              <w:spacing w:after="0"/>
            </w:pPr>
            <w:r>
              <w:rPr>
                <w:rFonts w:ascii="Arial" w:hAnsi="Arial"/>
                <w:b w:val="0"/>
                <w:sz w:val="16"/>
              </w:rPr>
              <w:t>HDF5 chunking, keys lookup, model packaging and result ingestion</w:t>
            </w:r>
          </w:p>
        </w:tc>
      </w:tr>
      <w:tr>
        <w:trPr>
          <w:cantSplit/>
        </w:trPr>
        <w:tc>
          <w:tcPr>
            <w:tcW w:type="dxa" w:w="1655"/>
            <w:shd w:fill="F3F4F6"/>
            <w:tcMar>
              <w:top w:w="90" w:type="dxa"/>
              <w:start w:w="110" w:type="dxa"/>
              <w:bottom w:w="90" w:type="dxa"/>
              <w:end w:w="110" w:type="dxa"/>
            </w:tcMar>
            <w:vAlign w:val="center"/>
          </w:tcPr>
          <w:p>
            <w:pPr>
              <w:spacing w:after="0"/>
            </w:pPr>
            <w:r>
              <w:rPr>
                <w:rFonts w:ascii="Arial" w:hAnsi="Arial"/>
                <w:b/>
                <w:sz w:val="16"/>
              </w:rPr>
              <w:t>End to end</w:t>
            </w:r>
          </w:p>
        </w:tc>
        <w:tc>
          <w:tcPr>
            <w:tcW w:type="dxa" w:w="3168"/>
            <w:shd w:fill="F3F4F6"/>
            <w:tcMar>
              <w:top w:w="90" w:type="dxa"/>
              <w:start w:w="110" w:type="dxa"/>
              <w:bottom w:w="90" w:type="dxa"/>
              <w:end w:w="110" w:type="dxa"/>
            </w:tcMar>
            <w:vAlign w:val="center"/>
          </w:tcPr>
          <w:p>
            <w:pPr>
              <w:spacing w:after="0"/>
            </w:pPr>
            <w:r>
              <w:rPr>
                <w:rFonts w:ascii="Arial" w:hAnsi="Arial"/>
                <w:b w:val="0"/>
                <w:sz w:val="16"/>
              </w:rPr>
              <w:t>Prove the complete analyst workflow</w:t>
            </w:r>
          </w:p>
        </w:tc>
        <w:tc>
          <w:tcPr>
            <w:tcW w:type="dxa" w:w="5112"/>
            <w:shd w:fill="F3F4F6"/>
            <w:tcMar>
              <w:top w:w="90" w:type="dxa"/>
              <w:start w:w="110" w:type="dxa"/>
              <w:bottom w:w="90" w:type="dxa"/>
              <w:end w:w="110" w:type="dxa"/>
            </w:tcMar>
            <w:vAlign w:val="center"/>
          </w:tcPr>
          <w:p>
            <w:pPr>
              <w:spacing w:after="0"/>
            </w:pPr>
            <w:r>
              <w:rPr>
                <w:rFonts w:ascii="Arial" w:hAnsi="Arial"/>
                <w:b w:val="0"/>
                <w:sz w:val="16"/>
              </w:rPr>
              <w:t>PiWind baseline and a small earthquake golden model through the KRE UI and APIs</w:t>
            </w:r>
          </w:p>
        </w:tc>
      </w:tr>
      <w:tr>
        <w:trPr>
          <w:cantSplit/>
        </w:trPr>
        <w:tc>
          <w:tcPr>
            <w:tcW w:type="dxa" w:w="1655"/>
            <w:shd w:fill="FFFFFF"/>
            <w:tcMar>
              <w:top w:w="90" w:type="dxa"/>
              <w:start w:w="110" w:type="dxa"/>
              <w:bottom w:w="90" w:type="dxa"/>
              <w:end w:w="110" w:type="dxa"/>
            </w:tcMar>
            <w:vAlign w:val="center"/>
          </w:tcPr>
          <w:p>
            <w:pPr>
              <w:spacing w:after="0"/>
            </w:pPr>
            <w:r>
              <w:rPr>
                <w:rFonts w:ascii="Arial" w:hAnsi="Arial"/>
                <w:b/>
                <w:sz w:val="16"/>
              </w:rPr>
              <w:t>Scientific</w:t>
            </w:r>
          </w:p>
        </w:tc>
        <w:tc>
          <w:tcPr>
            <w:tcW w:type="dxa" w:w="3168"/>
            <w:shd w:fill="FFFFFF"/>
            <w:tcMar>
              <w:top w:w="90" w:type="dxa"/>
              <w:start w:w="110" w:type="dxa"/>
              <w:bottom w:w="90" w:type="dxa"/>
              <w:end w:w="110" w:type="dxa"/>
            </w:tcMar>
            <w:vAlign w:val="center"/>
          </w:tcPr>
          <w:p>
            <w:pPr>
              <w:spacing w:after="0"/>
            </w:pPr>
            <w:r>
              <w:rPr>
                <w:rFonts w:ascii="Arial" w:hAnsi="Arial"/>
                <w:b w:val="0"/>
                <w:sz w:val="16"/>
              </w:rPr>
              <w:t>Establish model credibility</w:t>
            </w:r>
          </w:p>
        </w:tc>
        <w:tc>
          <w:tcPr>
            <w:tcW w:type="dxa" w:w="5112"/>
            <w:shd w:fill="FFFFFF"/>
            <w:tcMar>
              <w:top w:w="90" w:type="dxa"/>
              <w:start w:w="110" w:type="dxa"/>
              <w:bottom w:w="90" w:type="dxa"/>
              <w:end w:w="110" w:type="dxa"/>
            </w:tcMar>
            <w:vAlign w:val="center"/>
          </w:tcPr>
          <w:p>
            <w:pPr>
              <w:spacing w:after="0"/>
            </w:pPr>
            <w:r>
              <w:rPr>
                <w:rFonts w:ascii="Arial" w:hAnsi="Arial"/>
                <w:b w:val="0"/>
                <w:sz w:val="16"/>
              </w:rPr>
              <w:t>Hazard benchmarks, event frequency, spatial checks, vulnerability sensitivity and loss comparisons</w:t>
            </w:r>
          </w:p>
        </w:tc>
      </w:tr>
      <w:tr>
        <w:trPr>
          <w:cantSplit/>
        </w:trPr>
        <w:tc>
          <w:tcPr>
            <w:tcW w:type="dxa" w:w="1655"/>
            <w:shd w:fill="F3F4F6"/>
            <w:tcMar>
              <w:top w:w="90" w:type="dxa"/>
              <w:start w:w="110" w:type="dxa"/>
              <w:bottom w:w="90" w:type="dxa"/>
              <w:end w:w="110" w:type="dxa"/>
            </w:tcMar>
            <w:vAlign w:val="center"/>
          </w:tcPr>
          <w:p>
            <w:pPr>
              <w:spacing w:after="0"/>
            </w:pPr>
            <w:r>
              <w:rPr>
                <w:rFonts w:ascii="Arial" w:hAnsi="Arial"/>
                <w:b/>
                <w:sz w:val="16"/>
              </w:rPr>
              <w:t>Performance</w:t>
            </w:r>
          </w:p>
        </w:tc>
        <w:tc>
          <w:tcPr>
            <w:tcW w:type="dxa" w:w="3168"/>
            <w:shd w:fill="F3F4F6"/>
            <w:tcMar>
              <w:top w:w="90" w:type="dxa"/>
              <w:start w:w="110" w:type="dxa"/>
              <w:bottom w:w="90" w:type="dxa"/>
              <w:end w:w="110" w:type="dxa"/>
            </w:tcMar>
            <w:vAlign w:val="center"/>
          </w:tcPr>
          <w:p>
            <w:pPr>
              <w:spacing w:after="0"/>
            </w:pPr>
            <w:r>
              <w:rPr>
                <w:rFonts w:ascii="Arial" w:hAnsi="Arial"/>
                <w:b w:val="0"/>
                <w:sz w:val="16"/>
              </w:rPr>
              <w:t>Set safe limits and capacity</w:t>
            </w:r>
          </w:p>
        </w:tc>
        <w:tc>
          <w:tcPr>
            <w:tcW w:type="dxa" w:w="5112"/>
            <w:shd w:fill="F3F4F6"/>
            <w:tcMar>
              <w:top w:w="90" w:type="dxa"/>
              <w:start w:w="110" w:type="dxa"/>
              <w:bottom w:w="90" w:type="dxa"/>
              <w:end w:w="110" w:type="dxa"/>
            </w:tcMar>
            <w:vAlign w:val="center"/>
          </w:tcPr>
          <w:p>
            <w:pPr>
              <w:spacing w:after="0"/>
            </w:pPr>
            <w:r>
              <w:rPr>
                <w:rFonts w:ascii="Arial" w:hAnsi="Arial"/>
                <w:b w:val="0"/>
                <w:sz w:val="16"/>
              </w:rPr>
              <w:t>Large GMF, portfolio and result tests with CPU, memory, I/O and duration</w:t>
            </w:r>
          </w:p>
        </w:tc>
      </w:tr>
      <w:tr>
        <w:trPr>
          <w:cantSplit/>
        </w:trPr>
        <w:tc>
          <w:tcPr>
            <w:tcW w:type="dxa" w:w="1655"/>
            <w:shd w:fill="FFFFFF"/>
            <w:tcMar>
              <w:top w:w="90" w:type="dxa"/>
              <w:start w:w="110" w:type="dxa"/>
              <w:bottom w:w="90" w:type="dxa"/>
              <w:end w:w="110" w:type="dxa"/>
            </w:tcMar>
            <w:vAlign w:val="center"/>
          </w:tcPr>
          <w:p>
            <w:pPr>
              <w:spacing w:after="0"/>
            </w:pPr>
            <w:r>
              <w:rPr>
                <w:rFonts w:ascii="Arial" w:hAnsi="Arial"/>
                <w:b/>
                <w:sz w:val="16"/>
              </w:rPr>
              <w:t>Security</w:t>
            </w:r>
          </w:p>
        </w:tc>
        <w:tc>
          <w:tcPr>
            <w:tcW w:type="dxa" w:w="3168"/>
            <w:shd w:fill="FFFFFF"/>
            <w:tcMar>
              <w:top w:w="90" w:type="dxa"/>
              <w:start w:w="110" w:type="dxa"/>
              <w:bottom w:w="90" w:type="dxa"/>
              <w:end w:w="110" w:type="dxa"/>
            </w:tcMar>
            <w:vAlign w:val="center"/>
          </w:tcPr>
          <w:p>
            <w:pPr>
              <w:spacing w:after="0"/>
            </w:pPr>
            <w:r>
              <w:rPr>
                <w:rFonts w:ascii="Arial" w:hAnsi="Arial"/>
                <w:b w:val="0"/>
                <w:sz w:val="16"/>
              </w:rPr>
              <w:t>Protect portfolio and model assets</w:t>
            </w:r>
          </w:p>
        </w:tc>
        <w:tc>
          <w:tcPr>
            <w:tcW w:type="dxa" w:w="5112"/>
            <w:shd w:fill="FFFFFF"/>
            <w:tcMar>
              <w:top w:w="90" w:type="dxa"/>
              <w:start w:w="110" w:type="dxa"/>
              <w:bottom w:w="90" w:type="dxa"/>
              <w:end w:w="110" w:type="dxa"/>
            </w:tcMar>
            <w:vAlign w:val="center"/>
          </w:tcPr>
          <w:p>
            <w:pPr>
              <w:spacing w:after="0"/>
            </w:pPr>
            <w:r>
              <w:rPr>
                <w:rFonts w:ascii="Arial" w:hAnsi="Arial"/>
                <w:b w:val="0"/>
                <w:sz w:val="16"/>
              </w:rPr>
              <w:t>Authorization, upload, secrets, dependency, image and penetration testing</w:t>
            </w:r>
          </w:p>
        </w:tc>
      </w:tr>
      <w:tr>
        <w:trPr>
          <w:cantSplit/>
        </w:trPr>
        <w:tc>
          <w:tcPr>
            <w:tcW w:type="dxa" w:w="1655"/>
            <w:shd w:fill="F3F4F6"/>
            <w:tcMar>
              <w:top w:w="90" w:type="dxa"/>
              <w:start w:w="110" w:type="dxa"/>
              <w:bottom w:w="90" w:type="dxa"/>
              <w:end w:w="110" w:type="dxa"/>
            </w:tcMar>
            <w:vAlign w:val="center"/>
          </w:tcPr>
          <w:p>
            <w:pPr>
              <w:spacing w:after="0"/>
            </w:pPr>
            <w:r>
              <w:rPr>
                <w:rFonts w:ascii="Arial" w:hAnsi="Arial"/>
                <w:b/>
                <w:sz w:val="16"/>
              </w:rPr>
              <w:t>Resilience</w:t>
            </w:r>
          </w:p>
        </w:tc>
        <w:tc>
          <w:tcPr>
            <w:tcW w:type="dxa" w:w="3168"/>
            <w:shd w:fill="F3F4F6"/>
            <w:tcMar>
              <w:top w:w="90" w:type="dxa"/>
              <w:start w:w="110" w:type="dxa"/>
              <w:bottom w:w="90" w:type="dxa"/>
              <w:end w:w="110" w:type="dxa"/>
            </w:tcMar>
            <w:vAlign w:val="center"/>
          </w:tcPr>
          <w:p>
            <w:pPr>
              <w:spacing w:after="0"/>
            </w:pPr>
            <w:r>
              <w:rPr>
                <w:rFonts w:ascii="Arial" w:hAnsi="Arial"/>
                <w:b w:val="0"/>
                <w:sz w:val="16"/>
              </w:rPr>
              <w:t>Prove recovery behavior</w:t>
            </w:r>
          </w:p>
        </w:tc>
        <w:tc>
          <w:tcPr>
            <w:tcW w:type="dxa" w:w="5112"/>
            <w:shd w:fill="F3F4F6"/>
            <w:tcMar>
              <w:top w:w="90" w:type="dxa"/>
              <w:start w:w="110" w:type="dxa"/>
              <w:bottom w:w="90" w:type="dxa"/>
              <w:end w:w="110" w:type="dxa"/>
            </w:tcMar>
            <w:vAlign w:val="center"/>
          </w:tcPr>
          <w:p>
            <w:pPr>
              <w:spacing w:after="0"/>
            </w:pPr>
            <w:r>
              <w:rPr>
                <w:rFonts w:ascii="Arial" w:hAnsi="Arial"/>
                <w:b w:val="0"/>
                <w:sz w:val="16"/>
              </w:rPr>
              <w:t>Worker termination, engine failure, object-store interruption, retry and restore exercises</w:t>
            </w:r>
          </w:p>
        </w:tc>
      </w:tr>
    </w:tbl>
    <w:p>
      <w:pPr>
        <w:spacing w:after="40"/>
      </w:pPr>
    </w:p>
    <w:p>
      <w:pPr>
        <w:pStyle w:val="Heading2"/>
        <w:keepNext/>
      </w:pPr>
      <w:r>
        <w:rPr>
          <w:rFonts w:ascii="Arial" w:hAnsi="Arial"/>
          <w:b/>
          <w:color w:val="000000"/>
          <w:sz w:val="26"/>
        </w:rPr>
        <w:t>Release acceptance</w:t>
      </w:r>
    </w:p>
    <w:p>
      <w:pPr>
        <w:pStyle w:val="ListBullet"/>
      </w:pPr>
      <w:r>
        <w:rPr>
          <w:rFonts w:ascii="Arial" w:hAnsi="Arial"/>
        </w:rPr>
        <w:t>A fresh environment can be built from version-controlled configuration and pinned images.</w:t>
      </w:r>
    </w:p>
    <w:p>
      <w:pPr>
        <w:pStyle w:val="ListBullet"/>
      </w:pPr>
      <w:r>
        <w:rPr>
          <w:rFonts w:ascii="Arial" w:hAnsi="Arial"/>
        </w:rPr>
        <w:t>An approved user can complete the full journey without editing engine files or using a command line.</w:t>
      </w:r>
    </w:p>
    <w:p>
      <w:pPr>
        <w:pStyle w:val="ListBullet"/>
      </w:pPr>
      <w:r>
        <w:rPr>
          <w:rFonts w:ascii="Arial" w:hAnsi="Arial"/>
        </w:rPr>
        <w:t>Every result is traceable to immutable exposure, model, engine, converter and settings versions.</w:t>
      </w:r>
    </w:p>
    <w:p>
      <w:pPr>
        <w:pStyle w:val="ListBullet"/>
      </w:pPr>
      <w:r>
        <w:rPr>
          <w:rFonts w:ascii="Arial" w:hAnsi="Arial"/>
        </w:rPr>
        <w:t>Engine or worker failure produces an intelligible state and a safe retry or cancellation path.</w:t>
      </w:r>
    </w:p>
    <w:p>
      <w:pPr>
        <w:pStyle w:val="ListBullet"/>
      </w:pPr>
      <w:r>
        <w:rPr>
          <w:rFonts w:ascii="Arial" w:hAnsi="Arial"/>
        </w:rPr>
        <w:t>Scientific benchmarks and converter tolerances are approved by an independent reviewer.</w:t>
      </w:r>
    </w:p>
    <w:p>
      <w:pPr>
        <w:pStyle w:val="ListBullet"/>
      </w:pPr>
      <w:r>
        <w:rPr>
          <w:rFonts w:ascii="Arial" w:hAnsi="Arial"/>
        </w:rPr>
        <w:t>Ground-up and supported financial outputs match golden results within documented tolerances.</w:t>
      </w:r>
    </w:p>
    <w:p>
      <w:pPr>
        <w:pStyle w:val="ListBullet"/>
      </w:pPr>
      <w:r>
        <w:rPr>
          <w:rFonts w:ascii="Arial" w:hAnsi="Arial"/>
        </w:rPr>
        <w:t>Access control, audit, backup and restore tests pass.</w:t>
      </w:r>
    </w:p>
    <w:p>
      <w:pPr>
        <w:pStyle w:val="ListBullet"/>
      </w:pPr>
      <w:r>
        <w:rPr>
          <w:rFonts w:ascii="Arial" w:hAnsi="Arial"/>
        </w:rPr>
        <w:t>Known limitations are visible in the model catalogue and exported result package.</w:t>
      </w:r>
    </w:p>
    <w:p>
      <w:pPr>
        <w:pStyle w:val="Heading1"/>
        <w:keepNext/>
      </w:pPr>
      <w:r>
        <w:rPr>
          <w:rFonts w:ascii="Arial" w:hAnsi="Arial"/>
          <w:b/>
          <w:color w:val="000000"/>
          <w:sz w:val="36"/>
        </w:rPr>
        <w:t>12  Phased Delivery Roadmap</w:t>
      </w:r>
    </w:p>
    <w:p>
      <w:r>
        <w:rPr>
          <w:rFonts w:ascii="Arial" w:hAnsi="Arial"/>
        </w:rPr>
        <w:t>The roadmap is organized around working vertical slices. Durations are planning ranges for a core team of approximately five to seven people with dedicated catastrophe modelling input. Scientific data acquisition, licensing or independent validation can extend the schedule and should be tracked separately from software delivery.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Phase</w:t>
            </w:r>
          </w:p>
        </w:tc>
        <w:tc>
          <w:tcPr>
            <w:tcW w:type="dxa" w:w="1944"/>
            <w:shd w:fill="234A9E"/>
            <w:tcMar>
              <w:top w:w="110" w:type="dxa"/>
              <w:start w:w="110" w:type="dxa"/>
              <w:bottom w:w="110" w:type="dxa"/>
              <w:end w:w="110" w:type="dxa"/>
            </w:tcMar>
            <w:vAlign w:val="center"/>
          </w:tcPr>
          <w:p>
            <w:pPr>
              <w:spacing w:after="0"/>
              <w:jc w:val="center"/>
            </w:pPr>
            <w:r>
              <w:rPr>
                <w:rFonts w:ascii="Arial" w:hAnsi="Arial"/>
                <w:b/>
                <w:color w:val="FFFFFF"/>
                <w:sz w:val="16"/>
              </w:rPr>
              <w:t>Indicative duration</w:t>
            </w:r>
          </w:p>
        </w:tc>
        <w:tc>
          <w:tcPr>
            <w:tcW w:type="dxa" w:w="5903"/>
            <w:shd w:fill="234A9E"/>
            <w:tcMar>
              <w:top w:w="110" w:type="dxa"/>
              <w:start w:w="110" w:type="dxa"/>
              <w:bottom w:w="110" w:type="dxa"/>
              <w:end w:w="110" w:type="dxa"/>
            </w:tcMar>
            <w:vAlign w:val="center"/>
          </w:tcPr>
          <w:p>
            <w:pPr>
              <w:spacing w:after="0"/>
              <w:jc w:val="center"/>
            </w:pPr>
            <w:r>
              <w:rPr>
                <w:rFonts w:ascii="Arial" w:hAnsi="Arial"/>
                <w:b/>
                <w:color w:val="FFFFFF"/>
                <w:sz w:val="16"/>
              </w:rPr>
              <w:t>Outcome and exit gate</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0 Direction and model charter</w:t>
            </w:r>
          </w:p>
        </w:tc>
        <w:tc>
          <w:tcPr>
            <w:tcW w:type="dxa" w:w="1944"/>
            <w:shd w:fill="FFFFFF"/>
            <w:tcMar>
              <w:top w:w="90" w:type="dxa"/>
              <w:start w:w="110" w:type="dxa"/>
              <w:bottom w:w="90" w:type="dxa"/>
              <w:end w:w="110" w:type="dxa"/>
            </w:tcMar>
            <w:vAlign w:val="center"/>
          </w:tcPr>
          <w:p>
            <w:pPr>
              <w:spacing w:after="0"/>
              <w:jc w:val="center"/>
            </w:pPr>
            <w:r>
              <w:rPr>
                <w:rFonts w:ascii="Arial" w:hAnsi="Arial"/>
                <w:b w:val="0"/>
                <w:sz w:val="16"/>
              </w:rPr>
              <w:t>2 to 3 weeks</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Confirm release users, pilot country, grid policy, event semantics study, data rights, deployment target and acceptance authority</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1 Platform foundation</w:t>
            </w:r>
          </w:p>
        </w:tc>
        <w:tc>
          <w:tcPr>
            <w:tcW w:type="dxa" w:w="1944"/>
            <w:shd w:fill="F3F4F6"/>
            <w:tcMar>
              <w:top w:w="90" w:type="dxa"/>
              <w:start w:w="110" w:type="dxa"/>
              <w:bottom w:w="90" w:type="dxa"/>
              <w:end w:w="110" w:type="dxa"/>
            </w:tcMar>
            <w:vAlign w:val="center"/>
          </w:tcPr>
          <w:p>
            <w:pPr>
              <w:spacing w:after="0"/>
              <w:jc w:val="center"/>
            </w:pPr>
            <w:r>
              <w:rPr>
                <w:rFonts w:ascii="Arial" w:hAnsi="Arial"/>
                <w:b w:val="0"/>
                <w:sz w:val="16"/>
              </w:rPr>
              <w:t>3 to 5 weeks</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React and Django skeleton, identity, projects, PostgreSQL, object storage, queue, observability and automated environments</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2 Engine vertical slice</w:t>
            </w:r>
          </w:p>
        </w:tc>
        <w:tc>
          <w:tcPr>
            <w:tcW w:type="dxa" w:w="1944"/>
            <w:shd w:fill="FFFFFF"/>
            <w:tcMar>
              <w:top w:w="90" w:type="dxa"/>
              <w:start w:w="110" w:type="dxa"/>
              <w:bottom w:w="90" w:type="dxa"/>
              <w:end w:w="110" w:type="dxa"/>
            </w:tcMar>
            <w:vAlign w:val="center"/>
          </w:tcPr>
          <w:p>
            <w:pPr>
              <w:spacing w:after="0"/>
              <w:jc w:val="center"/>
            </w:pPr>
            <w:r>
              <w:rPr>
                <w:rFonts w:ascii="Arial" w:hAnsi="Arial"/>
                <w:b w:val="0"/>
                <w:sz w:val="16"/>
              </w:rPr>
              <w:t>4 to 6 weeks</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KRE submits and monitors OpenQuake and Oasis jobs; PiWind runs from the KRE interface; artifacts and lineage are visible</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3 Earthquake hazard prototype</w:t>
            </w:r>
          </w:p>
        </w:tc>
        <w:tc>
          <w:tcPr>
            <w:tcW w:type="dxa" w:w="1944"/>
            <w:shd w:fill="F3F4F6"/>
            <w:tcMar>
              <w:top w:w="90" w:type="dxa"/>
              <w:start w:w="110" w:type="dxa"/>
              <w:bottom w:w="90" w:type="dxa"/>
              <w:end w:w="110" w:type="dxa"/>
            </w:tcMar>
            <w:vAlign w:val="center"/>
          </w:tcPr>
          <w:p>
            <w:pPr>
              <w:spacing w:after="0"/>
              <w:jc w:val="center"/>
            </w:pPr>
            <w:r>
              <w:rPr>
                <w:rFonts w:ascii="Arial" w:hAnsi="Arial"/>
                <w:b w:val="0"/>
                <w:sz w:val="16"/>
              </w:rPr>
              <w:t>6 to 10 weeks</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Pilot source model, stable grid, OpenQuake settings, benchmark calculation and capacity measurements approved</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4 Converter and model package</w:t>
            </w:r>
          </w:p>
        </w:tc>
        <w:tc>
          <w:tcPr>
            <w:tcW w:type="dxa" w:w="1944"/>
            <w:shd w:fill="FFFFFF"/>
            <w:tcMar>
              <w:top w:w="90" w:type="dxa"/>
              <w:start w:w="110" w:type="dxa"/>
              <w:bottom w:w="90" w:type="dxa"/>
              <w:end w:w="110" w:type="dxa"/>
            </w:tcMar>
            <w:vAlign w:val="center"/>
          </w:tcPr>
          <w:p>
            <w:pPr>
              <w:spacing w:after="0"/>
              <w:jc w:val="center"/>
            </w:pPr>
            <w:r>
              <w:rPr>
                <w:rFonts w:ascii="Arial" w:hAnsi="Arial"/>
                <w:b w:val="0"/>
                <w:sz w:val="16"/>
              </w:rPr>
              <w:t>8 to 12 weeks</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Chunked HDF5 conversion, event and occurrence mapping, footprint generation, QA report and golden package approved</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5 Vulnerability and loss workflow</w:t>
            </w:r>
          </w:p>
        </w:tc>
        <w:tc>
          <w:tcPr>
            <w:tcW w:type="dxa" w:w="1944"/>
            <w:shd w:fill="F3F4F6"/>
            <w:tcMar>
              <w:top w:w="90" w:type="dxa"/>
              <w:start w:w="110" w:type="dxa"/>
              <w:bottom w:w="90" w:type="dxa"/>
              <w:end w:w="110" w:type="dxa"/>
            </w:tcMar>
            <w:vAlign w:val="center"/>
          </w:tcPr>
          <w:p>
            <w:pPr>
              <w:spacing w:after="0"/>
              <w:jc w:val="center"/>
            </w:pPr>
            <w:r>
              <w:rPr>
                <w:rFonts w:ascii="Arial" w:hAnsi="Arial"/>
                <w:b w:val="0"/>
                <w:sz w:val="16"/>
              </w:rPr>
              <w:t>6 to 10 weeks</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Taxonomy mapping, vulnerability set, keys service, ground-up loss and supported financial calculations validated</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6 Analyst product</w:t>
            </w:r>
          </w:p>
        </w:tc>
        <w:tc>
          <w:tcPr>
            <w:tcW w:type="dxa" w:w="1944"/>
            <w:shd w:fill="FFFFFF"/>
            <w:tcMar>
              <w:top w:w="90" w:type="dxa"/>
              <w:start w:w="110" w:type="dxa"/>
              <w:bottom w:w="90" w:type="dxa"/>
              <w:end w:w="110" w:type="dxa"/>
            </w:tcMar>
            <w:vAlign w:val="center"/>
          </w:tcPr>
          <w:p>
            <w:pPr>
              <w:spacing w:after="0"/>
              <w:jc w:val="center"/>
            </w:pPr>
            <w:r>
              <w:rPr>
                <w:rFonts w:ascii="Arial" w:hAnsi="Arial"/>
                <w:b w:val="0"/>
                <w:sz w:val="16"/>
              </w:rPr>
              <w:t>6 to 9 weeks</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Exposure workspace, analysis builder, run monitor, result views, maps, comparisons, exports and model catalogue complete</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7 Production readiness</w:t>
            </w:r>
          </w:p>
        </w:tc>
        <w:tc>
          <w:tcPr>
            <w:tcW w:type="dxa" w:w="1944"/>
            <w:shd w:fill="F3F4F6"/>
            <w:tcMar>
              <w:top w:w="90" w:type="dxa"/>
              <w:start w:w="110" w:type="dxa"/>
              <w:bottom w:w="90" w:type="dxa"/>
              <w:end w:w="110" w:type="dxa"/>
            </w:tcMar>
            <w:vAlign w:val="center"/>
          </w:tcPr>
          <w:p>
            <w:pPr>
              <w:spacing w:after="0"/>
              <w:jc w:val="center"/>
            </w:pPr>
            <w:r>
              <w:rPr>
                <w:rFonts w:ascii="Arial" w:hAnsi="Arial"/>
                <w:b w:val="0"/>
                <w:sz w:val="16"/>
              </w:rPr>
              <w:t>5 to 8 weeks</w:t>
            </w:r>
          </w:p>
        </w:tc>
        <w:tc>
          <w:tcPr>
            <w:tcW w:type="dxa" w:w="5903"/>
            <w:shd w:fill="F3F4F6"/>
            <w:tcMar>
              <w:top w:w="90" w:type="dxa"/>
              <w:start w:w="110" w:type="dxa"/>
              <w:bottom w:w="90" w:type="dxa"/>
              <w:end w:w="110" w:type="dxa"/>
            </w:tcMar>
            <w:vAlign w:val="center"/>
          </w:tcPr>
          <w:p>
            <w:pPr>
              <w:spacing w:after="0"/>
            </w:pPr>
            <w:r>
              <w:rPr>
                <w:rFonts w:ascii="Arial" w:hAnsi="Arial"/>
                <w:b w:val="0"/>
                <w:sz w:val="16"/>
              </w:rPr>
              <w:t>Security, performance, restore, UAT, operating procedures, training, limitations and release approvals complete</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8 Controlled pilot</w:t>
            </w:r>
          </w:p>
        </w:tc>
        <w:tc>
          <w:tcPr>
            <w:tcW w:type="dxa" w:w="1944"/>
            <w:shd w:fill="FFFFFF"/>
            <w:tcMar>
              <w:top w:w="90" w:type="dxa"/>
              <w:start w:w="110" w:type="dxa"/>
              <w:bottom w:w="90" w:type="dxa"/>
              <w:end w:w="110" w:type="dxa"/>
            </w:tcMar>
            <w:vAlign w:val="center"/>
          </w:tcPr>
          <w:p>
            <w:pPr>
              <w:spacing w:after="0"/>
              <w:jc w:val="center"/>
            </w:pPr>
            <w:r>
              <w:rPr>
                <w:rFonts w:ascii="Arial" w:hAnsi="Arial"/>
                <w:b w:val="0"/>
                <w:sz w:val="16"/>
              </w:rPr>
              <w:t>4 to 6 weeks</w:t>
            </w:r>
          </w:p>
        </w:tc>
        <w:tc>
          <w:tcPr>
            <w:tcW w:type="dxa" w:w="5903"/>
            <w:shd w:fill="FFFFFF"/>
            <w:tcMar>
              <w:top w:w="90" w:type="dxa"/>
              <w:start w:w="110" w:type="dxa"/>
              <w:bottom w:w="90" w:type="dxa"/>
              <w:end w:w="110" w:type="dxa"/>
            </w:tcMar>
            <w:vAlign w:val="center"/>
          </w:tcPr>
          <w:p>
            <w:pPr>
              <w:spacing w:after="0"/>
            </w:pPr>
            <w:r>
              <w:rPr>
                <w:rFonts w:ascii="Arial" w:hAnsi="Arial"/>
                <w:b w:val="0"/>
                <w:sz w:val="16"/>
              </w:rPr>
              <w:t>Selected KRE portfolios run under supervision; findings resolved and operating thresholds confirmed</w:t>
            </w:r>
          </w:p>
        </w:tc>
      </w:tr>
    </w:tbl>
    <w:p>
      <w:pPr>
        <w:spacing w:after="40"/>
      </w:pPr>
    </w:p>
    <w:p>
      <w:r>
        <w:rPr>
          <w:rFonts w:ascii="Arial" w:hAnsi="Arial"/>
        </w:rPr>
        <w:t>With overlap between platform, interface and model work, an internal earthquake MVP is likely to require approximately seven to ten months after the model charter is approved. A fully governed production release is more realistically a nine to twelve month programme. These are planning ranges, not delivery commitments.</w:t>
      </w:r>
    </w:p>
    <w:p>
      <w:pPr>
        <w:pStyle w:val="Heading2"/>
        <w:keepNext/>
      </w:pPr>
      <w:r>
        <w:rPr>
          <w:rFonts w:ascii="Arial" w:hAnsi="Arial"/>
          <w:b/>
          <w:color w:val="000000"/>
          <w:sz w:val="26"/>
        </w:rPr>
        <w:t>Milestone demonstrations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160"/>
            <w:shd w:fill="234A9E"/>
            <w:tcMar>
              <w:top w:w="110" w:type="dxa"/>
              <w:start w:w="110" w:type="dxa"/>
              <w:bottom w:w="110" w:type="dxa"/>
              <w:end w:w="110" w:type="dxa"/>
            </w:tcMar>
            <w:vAlign w:val="center"/>
          </w:tcPr>
          <w:p>
            <w:pPr>
              <w:spacing w:after="0"/>
              <w:jc w:val="center"/>
            </w:pPr>
            <w:r>
              <w:rPr>
                <w:rFonts w:ascii="Arial" w:hAnsi="Arial"/>
                <w:b/>
                <w:color w:val="FFFFFF"/>
                <w:sz w:val="17"/>
              </w:rPr>
              <w:t>Milestone</w:t>
            </w:r>
          </w:p>
        </w:tc>
        <w:tc>
          <w:tcPr>
            <w:tcW w:type="dxa" w:w="7776"/>
            <w:shd w:fill="234A9E"/>
            <w:tcMar>
              <w:top w:w="110" w:type="dxa"/>
              <w:start w:w="110" w:type="dxa"/>
              <w:bottom w:w="110" w:type="dxa"/>
              <w:end w:w="110" w:type="dxa"/>
            </w:tcMar>
            <w:vAlign w:val="center"/>
          </w:tcPr>
          <w:p>
            <w:pPr>
              <w:spacing w:after="0"/>
              <w:jc w:val="center"/>
            </w:pPr>
            <w:r>
              <w:rPr>
                <w:rFonts w:ascii="Arial" w:hAnsi="Arial"/>
                <w:b/>
                <w:color w:val="FFFFFF"/>
                <w:sz w:val="17"/>
              </w:rPr>
              <w:t>Demonstration</w:t>
            </w:r>
          </w:p>
        </w:tc>
      </w:tr>
      <w:tr>
        <w:trPr>
          <w:cantSplit/>
        </w:trPr>
        <w:tc>
          <w:tcPr>
            <w:tcW w:type="dxa" w:w="2160"/>
            <w:shd w:fill="FFFFFF"/>
            <w:tcMar>
              <w:top w:w="90" w:type="dxa"/>
              <w:start w:w="110" w:type="dxa"/>
              <w:bottom w:w="90" w:type="dxa"/>
              <w:end w:w="110" w:type="dxa"/>
            </w:tcMar>
            <w:vAlign w:val="center"/>
          </w:tcPr>
          <w:p>
            <w:pPr>
              <w:spacing w:after="0"/>
            </w:pPr>
            <w:r>
              <w:rPr>
                <w:rFonts w:ascii="Arial" w:hAnsi="Arial"/>
                <w:b/>
                <w:sz w:val="17"/>
              </w:rPr>
              <w:t>M1 Foundation</w:t>
            </w:r>
          </w:p>
        </w:tc>
        <w:tc>
          <w:tcPr>
            <w:tcW w:type="dxa" w:w="7776"/>
            <w:shd w:fill="FFFFFF"/>
            <w:tcMar>
              <w:top w:w="90" w:type="dxa"/>
              <w:start w:w="110" w:type="dxa"/>
              <w:bottom w:w="90" w:type="dxa"/>
              <w:end w:w="110" w:type="dxa"/>
            </w:tcMar>
            <w:vAlign w:val="center"/>
          </w:tcPr>
          <w:p>
            <w:pPr>
              <w:spacing w:after="0"/>
            </w:pPr>
            <w:r>
              <w:rPr>
                <w:rFonts w:ascii="Arial" w:hAnsi="Arial"/>
                <w:b w:val="0"/>
                <w:sz w:val="17"/>
              </w:rPr>
              <w:t>Sign in, create a project, upload an artifact and observe a durable background task</w:t>
            </w:r>
          </w:p>
        </w:tc>
      </w:tr>
      <w:tr>
        <w:trPr>
          <w:cantSplit/>
        </w:trPr>
        <w:tc>
          <w:tcPr>
            <w:tcW w:type="dxa" w:w="2160"/>
            <w:shd w:fill="F3F4F6"/>
            <w:tcMar>
              <w:top w:w="90" w:type="dxa"/>
              <w:start w:w="110" w:type="dxa"/>
              <w:bottom w:w="90" w:type="dxa"/>
              <w:end w:w="110" w:type="dxa"/>
            </w:tcMar>
            <w:vAlign w:val="center"/>
          </w:tcPr>
          <w:p>
            <w:pPr>
              <w:spacing w:after="0"/>
            </w:pPr>
            <w:r>
              <w:rPr>
                <w:rFonts w:ascii="Arial" w:hAnsi="Arial"/>
                <w:b/>
                <w:sz w:val="17"/>
              </w:rPr>
              <w:t>M2 Engine integration</w:t>
            </w:r>
          </w:p>
        </w:tc>
        <w:tc>
          <w:tcPr>
            <w:tcW w:type="dxa" w:w="7776"/>
            <w:shd w:fill="F3F4F6"/>
            <w:tcMar>
              <w:top w:w="90" w:type="dxa"/>
              <w:start w:w="110" w:type="dxa"/>
              <w:bottom w:w="90" w:type="dxa"/>
              <w:end w:w="110" w:type="dxa"/>
            </w:tcMar>
            <w:vAlign w:val="center"/>
          </w:tcPr>
          <w:p>
            <w:pPr>
              <w:spacing w:after="0"/>
            </w:pPr>
            <w:r>
              <w:rPr>
                <w:rFonts w:ascii="Arial" w:hAnsi="Arial"/>
                <w:b w:val="0"/>
                <w:sz w:val="17"/>
              </w:rPr>
              <w:t>Run PiWind end to end from KRE and inspect lineage and outputs</w:t>
            </w:r>
          </w:p>
        </w:tc>
      </w:tr>
      <w:tr>
        <w:trPr>
          <w:cantSplit/>
        </w:trPr>
        <w:tc>
          <w:tcPr>
            <w:tcW w:type="dxa" w:w="2160"/>
            <w:shd w:fill="FFFFFF"/>
            <w:tcMar>
              <w:top w:w="90" w:type="dxa"/>
              <w:start w:w="110" w:type="dxa"/>
              <w:bottom w:w="90" w:type="dxa"/>
              <w:end w:w="110" w:type="dxa"/>
            </w:tcMar>
            <w:vAlign w:val="center"/>
          </w:tcPr>
          <w:p>
            <w:pPr>
              <w:spacing w:after="0"/>
            </w:pPr>
            <w:r>
              <w:rPr>
                <w:rFonts w:ascii="Arial" w:hAnsi="Arial"/>
                <w:b/>
                <w:sz w:val="17"/>
              </w:rPr>
              <w:t>M3 Hazard</w:t>
            </w:r>
          </w:p>
        </w:tc>
        <w:tc>
          <w:tcPr>
            <w:tcW w:type="dxa" w:w="7776"/>
            <w:shd w:fill="FFFFFF"/>
            <w:tcMar>
              <w:top w:w="90" w:type="dxa"/>
              <w:start w:w="110" w:type="dxa"/>
              <w:bottom w:w="90" w:type="dxa"/>
              <w:end w:w="110" w:type="dxa"/>
            </w:tcMar>
            <w:vAlign w:val="center"/>
          </w:tcPr>
          <w:p>
            <w:pPr>
              <w:spacing w:after="0"/>
            </w:pPr>
            <w:r>
              <w:rPr>
                <w:rFonts w:ascii="Arial" w:hAnsi="Arial"/>
                <w:b w:val="0"/>
                <w:sz w:val="17"/>
              </w:rPr>
              <w:t>Run the pilot OpenQuake model on the stable grid and compare benchmark hazard</w:t>
            </w:r>
          </w:p>
        </w:tc>
      </w:tr>
      <w:tr>
        <w:trPr>
          <w:cantSplit/>
        </w:trPr>
        <w:tc>
          <w:tcPr>
            <w:tcW w:type="dxa" w:w="2160"/>
            <w:shd w:fill="F3F4F6"/>
            <w:tcMar>
              <w:top w:w="90" w:type="dxa"/>
              <w:start w:w="110" w:type="dxa"/>
              <w:bottom w:w="90" w:type="dxa"/>
              <w:end w:w="110" w:type="dxa"/>
            </w:tcMar>
            <w:vAlign w:val="center"/>
          </w:tcPr>
          <w:p>
            <w:pPr>
              <w:spacing w:after="0"/>
            </w:pPr>
            <w:r>
              <w:rPr>
                <w:rFonts w:ascii="Arial" w:hAnsi="Arial"/>
                <w:b/>
                <w:sz w:val="17"/>
              </w:rPr>
              <w:t>M4 Conversion</w:t>
            </w:r>
          </w:p>
        </w:tc>
        <w:tc>
          <w:tcPr>
            <w:tcW w:type="dxa" w:w="7776"/>
            <w:shd w:fill="F3F4F6"/>
            <w:tcMar>
              <w:top w:w="90" w:type="dxa"/>
              <w:start w:w="110" w:type="dxa"/>
              <w:bottom w:w="90" w:type="dxa"/>
              <w:end w:w="110" w:type="dxa"/>
            </w:tcMar>
            <w:vAlign w:val="center"/>
          </w:tcPr>
          <w:p>
            <w:pPr>
              <w:spacing w:after="0"/>
            </w:pPr>
            <w:r>
              <w:rPr>
                <w:rFonts w:ascii="Arial" w:hAnsi="Arial"/>
                <w:b w:val="0"/>
                <w:sz w:val="17"/>
              </w:rPr>
              <w:t>Produce and validate an Oasis footprint without CSV staging or database array ingestion</w:t>
            </w:r>
          </w:p>
        </w:tc>
      </w:tr>
      <w:tr>
        <w:trPr>
          <w:cantSplit/>
        </w:trPr>
        <w:tc>
          <w:tcPr>
            <w:tcW w:type="dxa" w:w="2160"/>
            <w:shd w:fill="FFFFFF"/>
            <w:tcMar>
              <w:top w:w="90" w:type="dxa"/>
              <w:start w:w="110" w:type="dxa"/>
              <w:bottom w:w="90" w:type="dxa"/>
              <w:end w:w="110" w:type="dxa"/>
            </w:tcMar>
            <w:vAlign w:val="center"/>
          </w:tcPr>
          <w:p>
            <w:pPr>
              <w:spacing w:after="0"/>
            </w:pPr>
            <w:r>
              <w:rPr>
                <w:rFonts w:ascii="Arial" w:hAnsi="Arial"/>
                <w:b/>
                <w:sz w:val="17"/>
              </w:rPr>
              <w:t>M5 Loss</w:t>
            </w:r>
          </w:p>
        </w:tc>
        <w:tc>
          <w:tcPr>
            <w:tcW w:type="dxa" w:w="7776"/>
            <w:shd w:fill="FFFFFF"/>
            <w:tcMar>
              <w:top w:w="90" w:type="dxa"/>
              <w:start w:w="110" w:type="dxa"/>
              <w:bottom w:w="90" w:type="dxa"/>
              <w:end w:w="110" w:type="dxa"/>
            </w:tcMar>
            <w:vAlign w:val="center"/>
          </w:tcPr>
          <w:p>
            <w:pPr>
              <w:spacing w:after="0"/>
            </w:pPr>
            <w:r>
              <w:rPr>
                <w:rFonts w:ascii="Arial" w:hAnsi="Arial"/>
                <w:b w:val="0"/>
                <w:sz w:val="17"/>
              </w:rPr>
              <w:t>Run one approved portfolio through ground-up and insured loss</w:t>
            </w:r>
          </w:p>
        </w:tc>
      </w:tr>
      <w:tr>
        <w:trPr>
          <w:cantSplit/>
        </w:trPr>
        <w:tc>
          <w:tcPr>
            <w:tcW w:type="dxa" w:w="2160"/>
            <w:shd w:fill="F3F4F6"/>
            <w:tcMar>
              <w:top w:w="90" w:type="dxa"/>
              <w:start w:w="110" w:type="dxa"/>
              <w:bottom w:w="90" w:type="dxa"/>
              <w:end w:w="110" w:type="dxa"/>
            </w:tcMar>
            <w:vAlign w:val="center"/>
          </w:tcPr>
          <w:p>
            <w:pPr>
              <w:spacing w:after="0"/>
            </w:pPr>
            <w:r>
              <w:rPr>
                <w:rFonts w:ascii="Arial" w:hAnsi="Arial"/>
                <w:b/>
                <w:sz w:val="17"/>
              </w:rPr>
              <w:t>M6 Product</w:t>
            </w:r>
          </w:p>
        </w:tc>
        <w:tc>
          <w:tcPr>
            <w:tcW w:type="dxa" w:w="7776"/>
            <w:shd w:fill="F3F4F6"/>
            <w:tcMar>
              <w:top w:w="90" w:type="dxa"/>
              <w:start w:w="110" w:type="dxa"/>
              <w:bottom w:w="90" w:type="dxa"/>
              <w:end w:w="110" w:type="dxa"/>
            </w:tcMar>
            <w:vAlign w:val="center"/>
          </w:tcPr>
          <w:p>
            <w:pPr>
              <w:spacing w:after="0"/>
            </w:pPr>
            <w:r>
              <w:rPr>
                <w:rFonts w:ascii="Arial" w:hAnsi="Arial"/>
                <w:b w:val="0"/>
                <w:sz w:val="17"/>
              </w:rPr>
              <w:t>Complete the analyst journey and compare two governed runs</w:t>
            </w:r>
          </w:p>
        </w:tc>
      </w:tr>
      <w:tr>
        <w:trPr>
          <w:cantSplit/>
        </w:trPr>
        <w:tc>
          <w:tcPr>
            <w:tcW w:type="dxa" w:w="2160"/>
            <w:shd w:fill="FFFFFF"/>
            <w:tcMar>
              <w:top w:w="90" w:type="dxa"/>
              <w:start w:w="110" w:type="dxa"/>
              <w:bottom w:w="90" w:type="dxa"/>
              <w:end w:w="110" w:type="dxa"/>
            </w:tcMar>
            <w:vAlign w:val="center"/>
          </w:tcPr>
          <w:p>
            <w:pPr>
              <w:spacing w:after="0"/>
            </w:pPr>
            <w:r>
              <w:rPr>
                <w:rFonts w:ascii="Arial" w:hAnsi="Arial"/>
                <w:b/>
                <w:sz w:val="17"/>
              </w:rPr>
              <w:t>M7 Production</w:t>
            </w:r>
          </w:p>
        </w:tc>
        <w:tc>
          <w:tcPr>
            <w:tcW w:type="dxa" w:w="7776"/>
            <w:shd w:fill="FFFFFF"/>
            <w:tcMar>
              <w:top w:w="90" w:type="dxa"/>
              <w:start w:w="110" w:type="dxa"/>
              <w:bottom w:w="90" w:type="dxa"/>
              <w:end w:w="110" w:type="dxa"/>
            </w:tcMar>
            <w:vAlign w:val="center"/>
          </w:tcPr>
          <w:p>
            <w:pPr>
              <w:spacing w:after="0"/>
            </w:pPr>
            <w:r>
              <w:rPr>
                <w:rFonts w:ascii="Arial" w:hAnsi="Arial"/>
                <w:b w:val="0"/>
                <w:sz w:val="17"/>
              </w:rPr>
              <w:t>Restore the platform and a selected run from backup in a clean environment</w:t>
            </w:r>
          </w:p>
        </w:tc>
      </w:tr>
    </w:tbl>
    <w:p>
      <w:pPr>
        <w:spacing w:after="40"/>
      </w:pPr>
    </w:p>
    <w:p>
      <w:pPr>
        <w:pStyle w:val="Heading1"/>
        <w:keepNext/>
      </w:pPr>
      <w:r>
        <w:rPr>
          <w:rFonts w:ascii="Arial" w:hAnsi="Arial"/>
          <w:b/>
          <w:color w:val="000000"/>
          <w:sz w:val="36"/>
        </w:rPr>
        <w:t>13  Team and Delivery Governance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234A9E"/>
            <w:tcMar>
              <w:top w:w="110" w:type="dxa"/>
              <w:start w:w="110" w:type="dxa"/>
              <w:bottom w:w="110" w:type="dxa"/>
              <w:end w:w="110" w:type="dxa"/>
            </w:tcMar>
            <w:vAlign w:val="center"/>
          </w:tcPr>
          <w:p>
            <w:pPr>
              <w:spacing w:after="0"/>
              <w:jc w:val="center"/>
            </w:pPr>
            <w:r>
              <w:rPr>
                <w:rFonts w:ascii="Arial" w:hAnsi="Arial"/>
                <w:b/>
                <w:color w:val="FFFFFF"/>
                <w:sz w:val="16"/>
              </w:rPr>
              <w:t>Role</w:t>
            </w:r>
          </w:p>
        </w:tc>
        <w:tc>
          <w:tcPr>
            <w:tcW w:type="dxa" w:w="5472"/>
            <w:shd w:fill="234A9E"/>
            <w:tcMar>
              <w:top w:w="110" w:type="dxa"/>
              <w:start w:w="110" w:type="dxa"/>
              <w:bottom w:w="110" w:type="dxa"/>
              <w:end w:w="110" w:type="dxa"/>
            </w:tcMar>
            <w:vAlign w:val="center"/>
          </w:tcPr>
          <w:p>
            <w:pPr>
              <w:spacing w:after="0"/>
              <w:jc w:val="center"/>
            </w:pPr>
            <w:r>
              <w:rPr>
                <w:rFonts w:ascii="Arial" w:hAnsi="Arial"/>
                <w:b/>
                <w:color w:val="FFFFFF"/>
                <w:sz w:val="16"/>
              </w:rPr>
              <w:t>Core accountability</w:t>
            </w:r>
          </w:p>
        </w:tc>
        <w:tc>
          <w:tcPr>
            <w:tcW w:type="dxa" w:w="2376"/>
            <w:shd w:fill="234A9E"/>
            <w:tcMar>
              <w:top w:w="110" w:type="dxa"/>
              <w:start w:w="110" w:type="dxa"/>
              <w:bottom w:w="110" w:type="dxa"/>
              <w:end w:w="110" w:type="dxa"/>
            </w:tcMar>
            <w:vAlign w:val="center"/>
          </w:tcPr>
          <w:p>
            <w:pPr>
              <w:spacing w:after="0"/>
              <w:jc w:val="center"/>
            </w:pPr>
            <w:r>
              <w:rPr>
                <w:rFonts w:ascii="Arial" w:hAnsi="Arial"/>
                <w:b/>
                <w:color w:val="FFFFFF"/>
                <w:sz w:val="16"/>
              </w:rPr>
              <w:t>Indicative involvement</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KRE product owner</w:t>
            </w:r>
          </w:p>
        </w:tc>
        <w:tc>
          <w:tcPr>
            <w:tcW w:type="dxa" w:w="5472"/>
            <w:shd w:fill="FFFFFF"/>
            <w:tcMar>
              <w:top w:w="90" w:type="dxa"/>
              <w:start w:w="110" w:type="dxa"/>
              <w:bottom w:w="90" w:type="dxa"/>
              <w:end w:w="110" w:type="dxa"/>
            </w:tcMar>
            <w:vAlign w:val="center"/>
          </w:tcPr>
          <w:p>
            <w:pPr>
              <w:spacing w:after="0"/>
            </w:pPr>
            <w:r>
              <w:rPr>
                <w:rFonts w:ascii="Arial" w:hAnsi="Arial"/>
                <w:b w:val="0"/>
                <w:sz w:val="16"/>
              </w:rPr>
              <w:t>Scope, priorities, business acceptance and stakeholder decisions</w:t>
            </w:r>
          </w:p>
        </w:tc>
        <w:tc>
          <w:tcPr>
            <w:tcW w:type="dxa" w:w="2376"/>
            <w:shd w:fill="FFFFFF"/>
            <w:tcMar>
              <w:top w:w="90" w:type="dxa"/>
              <w:start w:w="110" w:type="dxa"/>
              <w:bottom w:w="90" w:type="dxa"/>
              <w:end w:w="110" w:type="dxa"/>
            </w:tcMar>
            <w:vAlign w:val="center"/>
          </w:tcPr>
          <w:p>
            <w:pPr>
              <w:spacing w:after="0"/>
              <w:jc w:val="center"/>
            </w:pPr>
            <w:r>
              <w:rPr>
                <w:rFonts w:ascii="Arial" w:hAnsi="Arial"/>
                <w:b w:val="0"/>
                <w:sz w:val="16"/>
              </w:rPr>
              <w:t>Dedicated</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Catastrophe model owner</w:t>
            </w:r>
          </w:p>
        </w:tc>
        <w:tc>
          <w:tcPr>
            <w:tcW w:type="dxa" w:w="5472"/>
            <w:shd w:fill="F3F4F6"/>
            <w:tcMar>
              <w:top w:w="90" w:type="dxa"/>
              <w:start w:w="110" w:type="dxa"/>
              <w:bottom w:w="90" w:type="dxa"/>
              <w:end w:w="110" w:type="dxa"/>
            </w:tcMar>
            <w:vAlign w:val="center"/>
          </w:tcPr>
          <w:p>
            <w:pPr>
              <w:spacing w:after="0"/>
            </w:pPr>
            <w:r>
              <w:rPr>
                <w:rFonts w:ascii="Arial" w:hAnsi="Arial"/>
                <w:b w:val="0"/>
                <w:sz w:val="16"/>
              </w:rPr>
              <w:t>Scientific requirements, assumptions, validation and model approval</w:t>
            </w:r>
          </w:p>
        </w:tc>
        <w:tc>
          <w:tcPr>
            <w:tcW w:type="dxa" w:w="2376"/>
            <w:shd w:fill="F3F4F6"/>
            <w:tcMar>
              <w:top w:w="90" w:type="dxa"/>
              <w:start w:w="110" w:type="dxa"/>
              <w:bottom w:w="90" w:type="dxa"/>
              <w:end w:w="110" w:type="dxa"/>
            </w:tcMar>
            <w:vAlign w:val="center"/>
          </w:tcPr>
          <w:p>
            <w:pPr>
              <w:spacing w:after="0"/>
            </w:pPr>
            <w:r>
              <w:rPr>
                <w:rFonts w:ascii="Arial" w:hAnsi="Arial"/>
                <w:b w:val="0"/>
                <w:sz w:val="16"/>
              </w:rPr>
              <w:t>Dedicated during model phases</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Technical lead</w:t>
            </w:r>
          </w:p>
        </w:tc>
        <w:tc>
          <w:tcPr>
            <w:tcW w:type="dxa" w:w="5472"/>
            <w:shd w:fill="FFFFFF"/>
            <w:tcMar>
              <w:top w:w="90" w:type="dxa"/>
              <w:start w:w="110" w:type="dxa"/>
              <w:bottom w:w="90" w:type="dxa"/>
              <w:end w:w="110" w:type="dxa"/>
            </w:tcMar>
            <w:vAlign w:val="center"/>
          </w:tcPr>
          <w:p>
            <w:pPr>
              <w:spacing w:after="0"/>
            </w:pPr>
            <w:r>
              <w:rPr>
                <w:rFonts w:ascii="Arial" w:hAnsi="Arial"/>
                <w:b w:val="0"/>
                <w:sz w:val="16"/>
              </w:rPr>
              <w:t>Architecture, contracts, code quality, security and release design</w:t>
            </w:r>
          </w:p>
        </w:tc>
        <w:tc>
          <w:tcPr>
            <w:tcW w:type="dxa" w:w="2376"/>
            <w:shd w:fill="FFFFFF"/>
            <w:tcMar>
              <w:top w:w="90" w:type="dxa"/>
              <w:start w:w="110" w:type="dxa"/>
              <w:bottom w:w="90" w:type="dxa"/>
              <w:end w:w="110" w:type="dxa"/>
            </w:tcMar>
            <w:vAlign w:val="center"/>
          </w:tcPr>
          <w:p>
            <w:pPr>
              <w:spacing w:after="0"/>
              <w:jc w:val="center"/>
            </w:pPr>
            <w:r>
              <w:rPr>
                <w:rFonts w:ascii="Arial" w:hAnsi="Arial"/>
                <w:b w:val="0"/>
                <w:sz w:val="16"/>
              </w:rPr>
              <w:t>Dedicated</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Backend engineer</w:t>
            </w:r>
          </w:p>
        </w:tc>
        <w:tc>
          <w:tcPr>
            <w:tcW w:type="dxa" w:w="5472"/>
            <w:shd w:fill="F3F4F6"/>
            <w:tcMar>
              <w:top w:w="90" w:type="dxa"/>
              <w:start w:w="110" w:type="dxa"/>
              <w:bottom w:w="90" w:type="dxa"/>
              <w:end w:w="110" w:type="dxa"/>
            </w:tcMar>
            <w:vAlign w:val="center"/>
          </w:tcPr>
          <w:p>
            <w:pPr>
              <w:spacing w:after="0"/>
            </w:pPr>
            <w:r>
              <w:rPr>
                <w:rFonts w:ascii="Arial" w:hAnsi="Arial"/>
                <w:b w:val="0"/>
                <w:sz w:val="16"/>
              </w:rPr>
              <w:t>Django API, workflow, engine adapters, lineage and operations</w:t>
            </w:r>
          </w:p>
        </w:tc>
        <w:tc>
          <w:tcPr>
            <w:tcW w:type="dxa" w:w="2376"/>
            <w:shd w:fill="F3F4F6"/>
            <w:tcMar>
              <w:top w:w="90" w:type="dxa"/>
              <w:start w:w="110" w:type="dxa"/>
              <w:bottom w:w="90" w:type="dxa"/>
              <w:end w:w="110" w:type="dxa"/>
            </w:tcMar>
            <w:vAlign w:val="center"/>
          </w:tcPr>
          <w:p>
            <w:pPr>
              <w:spacing w:after="0"/>
              <w:jc w:val="center"/>
            </w:pPr>
            <w:r>
              <w:rPr>
                <w:rFonts w:ascii="Arial" w:hAnsi="Arial"/>
                <w:b w:val="0"/>
                <w:sz w:val="16"/>
              </w:rPr>
              <w:t>One to two dedicated</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Frontend engineer</w:t>
            </w:r>
          </w:p>
        </w:tc>
        <w:tc>
          <w:tcPr>
            <w:tcW w:type="dxa" w:w="5472"/>
            <w:shd w:fill="FFFFFF"/>
            <w:tcMar>
              <w:top w:w="90" w:type="dxa"/>
              <w:start w:w="110" w:type="dxa"/>
              <w:bottom w:w="90" w:type="dxa"/>
              <w:end w:w="110" w:type="dxa"/>
            </w:tcMar>
            <w:vAlign w:val="center"/>
          </w:tcPr>
          <w:p>
            <w:pPr>
              <w:spacing w:after="0"/>
            </w:pPr>
            <w:r>
              <w:rPr>
                <w:rFonts w:ascii="Arial" w:hAnsi="Arial"/>
                <w:b w:val="0"/>
                <w:sz w:val="16"/>
              </w:rPr>
              <w:t>React workflow, maps, charts, accessibility and design system</w:t>
            </w:r>
          </w:p>
        </w:tc>
        <w:tc>
          <w:tcPr>
            <w:tcW w:type="dxa" w:w="2376"/>
            <w:shd w:fill="FFFFFF"/>
            <w:tcMar>
              <w:top w:w="90" w:type="dxa"/>
              <w:start w:w="110" w:type="dxa"/>
              <w:bottom w:w="90" w:type="dxa"/>
              <w:end w:w="110" w:type="dxa"/>
            </w:tcMar>
            <w:vAlign w:val="center"/>
          </w:tcPr>
          <w:p>
            <w:pPr>
              <w:spacing w:after="0"/>
              <w:jc w:val="center"/>
            </w:pPr>
            <w:r>
              <w:rPr>
                <w:rFonts w:ascii="Arial" w:hAnsi="Arial"/>
                <w:b w:val="0"/>
                <w:sz w:val="16"/>
              </w:rPr>
              <w:t>One dedicated</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Scientific or data engineer</w:t>
            </w:r>
          </w:p>
        </w:tc>
        <w:tc>
          <w:tcPr>
            <w:tcW w:type="dxa" w:w="5472"/>
            <w:shd w:fill="F3F4F6"/>
            <w:tcMar>
              <w:top w:w="90" w:type="dxa"/>
              <w:start w:w="110" w:type="dxa"/>
              <w:bottom w:w="90" w:type="dxa"/>
              <w:end w:w="110" w:type="dxa"/>
            </w:tcMar>
            <w:vAlign w:val="center"/>
          </w:tcPr>
          <w:p>
            <w:pPr>
              <w:spacing w:after="0"/>
            </w:pPr>
            <w:r>
              <w:rPr>
                <w:rFonts w:ascii="Arial" w:hAnsi="Arial"/>
                <w:b w:val="0"/>
                <w:sz w:val="16"/>
              </w:rPr>
              <w:t>HDF5 conversion, geospatial grid, model packaging and performance</w:t>
            </w:r>
          </w:p>
        </w:tc>
        <w:tc>
          <w:tcPr>
            <w:tcW w:type="dxa" w:w="2376"/>
            <w:shd w:fill="F3F4F6"/>
            <w:tcMar>
              <w:top w:w="90" w:type="dxa"/>
              <w:start w:w="110" w:type="dxa"/>
              <w:bottom w:w="90" w:type="dxa"/>
              <w:end w:w="110" w:type="dxa"/>
            </w:tcMar>
            <w:vAlign w:val="center"/>
          </w:tcPr>
          <w:p>
            <w:pPr>
              <w:spacing w:after="0"/>
              <w:jc w:val="center"/>
            </w:pPr>
            <w:r>
              <w:rPr>
                <w:rFonts w:ascii="Arial" w:hAnsi="Arial"/>
                <w:b w:val="0"/>
                <w:sz w:val="16"/>
              </w:rPr>
              <w:t>One dedicated</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QA and automation engineer</w:t>
            </w:r>
          </w:p>
        </w:tc>
        <w:tc>
          <w:tcPr>
            <w:tcW w:type="dxa" w:w="5472"/>
            <w:shd w:fill="FFFFFF"/>
            <w:tcMar>
              <w:top w:w="90" w:type="dxa"/>
              <w:start w:w="110" w:type="dxa"/>
              <w:bottom w:w="90" w:type="dxa"/>
              <w:end w:w="110" w:type="dxa"/>
            </w:tcMar>
            <w:vAlign w:val="center"/>
          </w:tcPr>
          <w:p>
            <w:pPr>
              <w:spacing w:after="0"/>
            </w:pPr>
            <w:r>
              <w:rPr>
                <w:rFonts w:ascii="Arial" w:hAnsi="Arial"/>
                <w:b w:val="0"/>
                <w:sz w:val="16"/>
              </w:rPr>
              <w:t>Test strategy, fixtures, performance, resilience and UAT evidence</w:t>
            </w:r>
          </w:p>
        </w:tc>
        <w:tc>
          <w:tcPr>
            <w:tcW w:type="dxa" w:w="2376"/>
            <w:shd w:fill="FFFFFF"/>
            <w:tcMar>
              <w:top w:w="90" w:type="dxa"/>
              <w:start w:w="110" w:type="dxa"/>
              <w:bottom w:w="90" w:type="dxa"/>
              <w:end w:w="110" w:type="dxa"/>
            </w:tcMar>
            <w:vAlign w:val="center"/>
          </w:tcPr>
          <w:p>
            <w:pPr>
              <w:spacing w:after="0"/>
            </w:pPr>
            <w:r>
              <w:rPr>
                <w:rFonts w:ascii="Arial" w:hAnsi="Arial"/>
                <w:b w:val="0"/>
                <w:sz w:val="16"/>
              </w:rPr>
              <w:t>Dedicated from foundation onward</w:t>
            </w:r>
          </w:p>
        </w:tc>
      </w:tr>
      <w:tr>
        <w:trPr>
          <w:cantSplit/>
        </w:trPr>
        <w:tc>
          <w:tcPr>
            <w:tcW w:type="dxa" w:w="2088"/>
            <w:shd w:fill="F3F4F6"/>
            <w:tcMar>
              <w:top w:w="90" w:type="dxa"/>
              <w:start w:w="110" w:type="dxa"/>
              <w:bottom w:w="90" w:type="dxa"/>
              <w:end w:w="110" w:type="dxa"/>
            </w:tcMar>
            <w:vAlign w:val="center"/>
          </w:tcPr>
          <w:p>
            <w:pPr>
              <w:spacing w:after="0"/>
            </w:pPr>
            <w:r>
              <w:rPr>
                <w:rFonts w:ascii="Arial" w:hAnsi="Arial"/>
                <w:b/>
                <w:sz w:val="16"/>
              </w:rPr>
              <w:t>Platform engineer</w:t>
            </w:r>
          </w:p>
        </w:tc>
        <w:tc>
          <w:tcPr>
            <w:tcW w:type="dxa" w:w="5472"/>
            <w:shd w:fill="F3F4F6"/>
            <w:tcMar>
              <w:top w:w="90" w:type="dxa"/>
              <w:start w:w="110" w:type="dxa"/>
              <w:bottom w:w="90" w:type="dxa"/>
              <w:end w:w="110" w:type="dxa"/>
            </w:tcMar>
            <w:vAlign w:val="center"/>
          </w:tcPr>
          <w:p>
            <w:pPr>
              <w:spacing w:after="0"/>
            </w:pPr>
            <w:r>
              <w:rPr>
                <w:rFonts w:ascii="Arial" w:hAnsi="Arial"/>
                <w:b w:val="0"/>
                <w:sz w:val="16"/>
              </w:rPr>
              <w:t>Containers, CI, environments, observability, backup and security</w:t>
            </w:r>
          </w:p>
        </w:tc>
        <w:tc>
          <w:tcPr>
            <w:tcW w:type="dxa" w:w="2376"/>
            <w:shd w:fill="F3F4F6"/>
            <w:tcMar>
              <w:top w:w="90" w:type="dxa"/>
              <w:start w:w="110" w:type="dxa"/>
              <w:bottom w:w="90" w:type="dxa"/>
              <w:end w:w="110" w:type="dxa"/>
            </w:tcMar>
            <w:vAlign w:val="center"/>
          </w:tcPr>
          <w:p>
            <w:pPr>
              <w:spacing w:after="0"/>
            </w:pPr>
            <w:r>
              <w:rPr>
                <w:rFonts w:ascii="Arial" w:hAnsi="Arial"/>
                <w:b w:val="0"/>
                <w:sz w:val="16"/>
              </w:rPr>
              <w:t>Part-time then dedicated near release</w:t>
            </w:r>
          </w:p>
        </w:tc>
      </w:tr>
      <w:tr>
        <w:trPr>
          <w:cantSplit/>
        </w:trPr>
        <w:tc>
          <w:tcPr>
            <w:tcW w:type="dxa" w:w="2088"/>
            <w:shd w:fill="FFFFFF"/>
            <w:tcMar>
              <w:top w:w="90" w:type="dxa"/>
              <w:start w:w="110" w:type="dxa"/>
              <w:bottom w:w="90" w:type="dxa"/>
              <w:end w:w="110" w:type="dxa"/>
            </w:tcMar>
            <w:vAlign w:val="center"/>
          </w:tcPr>
          <w:p>
            <w:pPr>
              <w:spacing w:after="0"/>
            </w:pPr>
            <w:r>
              <w:rPr>
                <w:rFonts w:ascii="Arial" w:hAnsi="Arial"/>
                <w:b/>
                <w:sz w:val="16"/>
              </w:rPr>
              <w:t>Independent reviewers</w:t>
            </w:r>
          </w:p>
        </w:tc>
        <w:tc>
          <w:tcPr>
            <w:tcW w:type="dxa" w:w="5472"/>
            <w:shd w:fill="FFFFFF"/>
            <w:tcMar>
              <w:top w:w="90" w:type="dxa"/>
              <w:start w:w="110" w:type="dxa"/>
              <w:bottom w:w="90" w:type="dxa"/>
              <w:end w:w="110" w:type="dxa"/>
            </w:tcMar>
            <w:vAlign w:val="center"/>
          </w:tcPr>
          <w:p>
            <w:pPr>
              <w:spacing w:after="0"/>
            </w:pPr>
            <w:r>
              <w:rPr>
                <w:rFonts w:ascii="Arial" w:hAnsi="Arial"/>
                <w:b w:val="0"/>
                <w:sz w:val="16"/>
              </w:rPr>
              <w:t>Hazard, vulnerability, financial and security challenge</w:t>
            </w:r>
          </w:p>
        </w:tc>
        <w:tc>
          <w:tcPr>
            <w:tcW w:type="dxa" w:w="2376"/>
            <w:shd w:fill="FFFFFF"/>
            <w:tcMar>
              <w:top w:w="90" w:type="dxa"/>
              <w:start w:w="110" w:type="dxa"/>
              <w:bottom w:w="90" w:type="dxa"/>
              <w:end w:w="110" w:type="dxa"/>
            </w:tcMar>
            <w:vAlign w:val="center"/>
          </w:tcPr>
          <w:p>
            <w:pPr>
              <w:spacing w:after="0"/>
              <w:jc w:val="center"/>
            </w:pPr>
            <w:r>
              <w:rPr>
                <w:rFonts w:ascii="Arial" w:hAnsi="Arial"/>
                <w:b w:val="0"/>
                <w:sz w:val="16"/>
              </w:rPr>
              <w:t>At defined gates</w:t>
            </w:r>
          </w:p>
        </w:tc>
      </w:tr>
    </w:tbl>
    <w:p>
      <w:pPr>
        <w:spacing w:after="40"/>
      </w:pPr>
    </w:p>
    <w:p>
      <w:pPr>
        <w:pStyle w:val="Heading2"/>
        <w:keepNext/>
      </w:pPr>
      <w:r>
        <w:rPr>
          <w:rFonts w:ascii="Arial" w:hAnsi="Arial"/>
          <w:b/>
          <w:color w:val="000000"/>
          <w:sz w:val="26"/>
        </w:rPr>
        <w:t>Ways of working</w:t>
      </w:r>
    </w:p>
    <w:p>
      <w:pPr>
        <w:pStyle w:val="ListBullet"/>
      </w:pPr>
      <w:r>
        <w:rPr>
          <w:rFonts w:ascii="Arial" w:hAnsi="Arial"/>
        </w:rPr>
        <w:t>Maintain one prioritized product backlog but separate software completion from scientific approval.</w:t>
      </w:r>
    </w:p>
    <w:p>
      <w:pPr>
        <w:pStyle w:val="ListBullet"/>
      </w:pPr>
      <w:r>
        <w:rPr>
          <w:rFonts w:ascii="Arial" w:hAnsi="Arial"/>
        </w:rPr>
        <w:t>Record architecture, model and data decisions in short version-controlled decision records.</w:t>
      </w:r>
    </w:p>
    <w:p>
      <w:pPr>
        <w:pStyle w:val="ListBullet"/>
      </w:pPr>
      <w:r>
        <w:rPr>
          <w:rFonts w:ascii="Arial" w:hAnsi="Arial"/>
        </w:rPr>
        <w:t>Demonstrate a working vertical slice at least every two weeks.</w:t>
      </w:r>
    </w:p>
    <w:p>
      <w:pPr>
        <w:pStyle w:val="ListBullet"/>
      </w:pPr>
      <w:r>
        <w:rPr>
          <w:rFonts w:ascii="Arial" w:hAnsi="Arial"/>
        </w:rPr>
        <w:t>Require review for engine-version changes, event semantics, grid versions, vulnerability changes and financial interpretation.</w:t>
      </w:r>
    </w:p>
    <w:p>
      <w:pPr>
        <w:pStyle w:val="ListBullet"/>
      </w:pPr>
      <w:r>
        <w:rPr>
          <w:rFonts w:ascii="Arial" w:hAnsi="Arial"/>
        </w:rPr>
        <w:t>Treat model packages as releases with changelogs, compatibility, evidence and rollback—not as folders copied between machines.</w:t>
      </w:r>
    </w:p>
    <w:p>
      <w:pPr>
        <w:pStyle w:val="ListBullet"/>
      </w:pPr>
      <w:r>
        <w:rPr>
          <w:rFonts w:ascii="Arial" w:hAnsi="Arial"/>
        </w:rPr>
        <w:t>Keep upstream contributions separate from KRE product delivery; propose general fixes upstream where practical.</w:t>
      </w:r>
    </w:p>
    <w:p>
      <w:pPr>
        <w:pStyle w:val="Heading1"/>
        <w:keepNext/>
      </w:pPr>
      <w:r>
        <w:rPr>
          <w:rFonts w:ascii="Arial" w:hAnsi="Arial"/>
          <w:b/>
          <w:color w:val="000000"/>
          <w:sz w:val="36"/>
        </w:rPr>
        <w:t>14  Risk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880"/>
            <w:shd w:fill="234A9E"/>
            <w:tcMar>
              <w:top w:w="110" w:type="dxa"/>
              <w:start w:w="110" w:type="dxa"/>
              <w:bottom w:w="110" w:type="dxa"/>
              <w:end w:w="110" w:type="dxa"/>
            </w:tcMar>
            <w:vAlign w:val="center"/>
          </w:tcPr>
          <w:p>
            <w:pPr>
              <w:spacing w:after="0"/>
              <w:jc w:val="center"/>
            </w:pPr>
            <w:r>
              <w:rPr>
                <w:rFonts w:ascii="Arial" w:hAnsi="Arial"/>
                <w:b/>
                <w:color w:val="FFFFFF"/>
                <w:sz w:val="16"/>
              </w:rPr>
              <w:t>Risk</w:t>
            </w:r>
          </w:p>
        </w:tc>
        <w:tc>
          <w:tcPr>
            <w:tcW w:type="dxa" w:w="2592"/>
            <w:shd w:fill="234A9E"/>
            <w:tcMar>
              <w:top w:w="110" w:type="dxa"/>
              <w:start w:w="110" w:type="dxa"/>
              <w:bottom w:w="110" w:type="dxa"/>
              <w:end w:w="110" w:type="dxa"/>
            </w:tcMar>
            <w:vAlign w:val="center"/>
          </w:tcPr>
          <w:p>
            <w:pPr>
              <w:spacing w:after="0"/>
              <w:jc w:val="center"/>
            </w:pPr>
            <w:r>
              <w:rPr>
                <w:rFonts w:ascii="Arial" w:hAnsi="Arial"/>
                <w:b/>
                <w:color w:val="FFFFFF"/>
                <w:sz w:val="16"/>
              </w:rPr>
              <w:t>Impact</w:t>
            </w:r>
          </w:p>
        </w:tc>
        <w:tc>
          <w:tcPr>
            <w:tcW w:type="dxa" w:w="4464"/>
            <w:shd w:fill="234A9E"/>
            <w:tcMar>
              <w:top w:w="110" w:type="dxa"/>
              <w:start w:w="110" w:type="dxa"/>
              <w:bottom w:w="110" w:type="dxa"/>
              <w:end w:w="110" w:type="dxa"/>
            </w:tcMar>
            <w:vAlign w:val="center"/>
          </w:tcPr>
          <w:p>
            <w:pPr>
              <w:spacing w:after="0"/>
              <w:jc w:val="center"/>
            </w:pPr>
            <w:r>
              <w:rPr>
                <w:rFonts w:ascii="Arial" w:hAnsi="Arial"/>
                <w:b/>
                <w:color w:val="FFFFFF"/>
                <w:sz w:val="16"/>
              </w:rPr>
              <w:t>Mitigation and trigger</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sz w:val="16"/>
              </w:rPr>
              <w:t>Event semantics are defined too late</w:t>
            </w:r>
          </w:p>
        </w:tc>
        <w:tc>
          <w:tcPr>
            <w:tcW w:type="dxa" w:w="2592"/>
            <w:shd w:fill="FFFFFF"/>
            <w:tcMar>
              <w:top w:w="90" w:type="dxa"/>
              <w:start w:w="110" w:type="dxa"/>
              <w:bottom w:w="90" w:type="dxa"/>
              <w:end w:w="110" w:type="dxa"/>
            </w:tcMar>
            <w:vAlign w:val="center"/>
          </w:tcPr>
          <w:p>
            <w:pPr>
              <w:spacing w:after="0"/>
            </w:pPr>
            <w:r>
              <w:rPr>
                <w:rFonts w:ascii="Arial" w:hAnsi="Arial"/>
                <w:b w:val="0"/>
                <w:sz w:val="16"/>
              </w:rPr>
              <w:t>Converter rework and invalid annual frequency</w:t>
            </w:r>
          </w:p>
        </w:tc>
        <w:tc>
          <w:tcPr>
            <w:tcW w:type="dxa" w:w="4464"/>
            <w:shd w:fill="FFFFFF"/>
            <w:tcMar>
              <w:top w:w="90" w:type="dxa"/>
              <w:start w:w="110" w:type="dxa"/>
              <w:bottom w:w="90" w:type="dxa"/>
              <w:end w:w="110" w:type="dxa"/>
            </w:tcMar>
            <w:vAlign w:val="center"/>
          </w:tcPr>
          <w:p>
            <w:pPr>
              <w:spacing w:after="0"/>
            </w:pPr>
            <w:r>
              <w:rPr>
                <w:rFonts w:ascii="Arial" w:hAnsi="Arial"/>
                <w:b w:val="0"/>
                <w:sz w:val="16"/>
              </w:rPr>
              <w:t>Complete and approve the event identity study before production converter development</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sz w:val="16"/>
              </w:rPr>
              <w:t>Hazard grid is portfolio-specific</w:t>
            </w:r>
          </w:p>
        </w:tc>
        <w:tc>
          <w:tcPr>
            <w:tcW w:type="dxa" w:w="2592"/>
            <w:shd w:fill="F3F4F6"/>
            <w:tcMar>
              <w:top w:w="90" w:type="dxa"/>
              <w:start w:w="110" w:type="dxa"/>
              <w:bottom w:w="90" w:type="dxa"/>
              <w:end w:w="110" w:type="dxa"/>
            </w:tcMar>
            <w:vAlign w:val="center"/>
          </w:tcPr>
          <w:p>
            <w:pPr>
              <w:spacing w:after="0"/>
            </w:pPr>
            <w:r>
              <w:rPr>
                <w:rFonts w:ascii="Arial" w:hAnsi="Arial"/>
                <w:b w:val="0"/>
                <w:sz w:val="16"/>
              </w:rPr>
              <w:t>Repeated GMF generation, high storage and inconsistent comparisons</w:t>
            </w:r>
          </w:p>
        </w:tc>
        <w:tc>
          <w:tcPr>
            <w:tcW w:type="dxa" w:w="4464"/>
            <w:shd w:fill="F3F4F6"/>
            <w:tcMar>
              <w:top w:w="90" w:type="dxa"/>
              <w:start w:w="110" w:type="dxa"/>
              <w:bottom w:w="90" w:type="dxa"/>
              <w:end w:w="110" w:type="dxa"/>
            </w:tcMar>
            <w:vAlign w:val="center"/>
          </w:tcPr>
          <w:p>
            <w:pPr>
              <w:spacing w:after="0"/>
            </w:pPr>
            <w:r>
              <w:rPr>
                <w:rFonts w:ascii="Arial" w:hAnsi="Arial"/>
                <w:b w:val="0"/>
                <w:sz w:val="16"/>
              </w:rPr>
              <w:t>Adopt a stable area-peril grid and version it before model build</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sz w:val="16"/>
              </w:rPr>
              <w:t>Third-party data rights are unclear</w:t>
            </w:r>
          </w:p>
        </w:tc>
        <w:tc>
          <w:tcPr>
            <w:tcW w:type="dxa" w:w="2592"/>
            <w:shd w:fill="FFFFFF"/>
            <w:tcMar>
              <w:top w:w="90" w:type="dxa"/>
              <w:start w:w="110" w:type="dxa"/>
              <w:bottom w:w="90" w:type="dxa"/>
              <w:end w:w="110" w:type="dxa"/>
            </w:tcMar>
            <w:vAlign w:val="center"/>
          </w:tcPr>
          <w:p>
            <w:pPr>
              <w:spacing w:after="0"/>
            </w:pPr>
            <w:r>
              <w:rPr>
                <w:rFonts w:ascii="Arial" w:hAnsi="Arial"/>
                <w:b w:val="0"/>
                <w:sz w:val="16"/>
              </w:rPr>
              <w:t>Model cannot be deployed or shared</w:t>
            </w:r>
          </w:p>
        </w:tc>
        <w:tc>
          <w:tcPr>
            <w:tcW w:type="dxa" w:w="4464"/>
            <w:shd w:fill="FFFFFF"/>
            <w:tcMar>
              <w:top w:w="90" w:type="dxa"/>
              <w:start w:w="110" w:type="dxa"/>
              <w:bottom w:w="90" w:type="dxa"/>
              <w:end w:w="110" w:type="dxa"/>
            </w:tcMar>
            <w:vAlign w:val="center"/>
          </w:tcPr>
          <w:p>
            <w:pPr>
              <w:spacing w:after="0"/>
            </w:pPr>
            <w:r>
              <w:rPr>
                <w:rFonts w:ascii="Arial" w:hAnsi="Arial"/>
                <w:b w:val="0"/>
                <w:sz w:val="16"/>
              </w:rPr>
              <w:t>Complete a source and vulnerability licence register in phase zero</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sz w:val="16"/>
              </w:rPr>
              <w:t>OpenQuake or Oasis upgrade breaks integration</w:t>
            </w:r>
          </w:p>
        </w:tc>
        <w:tc>
          <w:tcPr>
            <w:tcW w:type="dxa" w:w="2592"/>
            <w:shd w:fill="F3F4F6"/>
            <w:tcMar>
              <w:top w:w="90" w:type="dxa"/>
              <w:start w:w="110" w:type="dxa"/>
              <w:bottom w:w="90" w:type="dxa"/>
              <w:end w:w="110" w:type="dxa"/>
            </w:tcMar>
            <w:vAlign w:val="center"/>
          </w:tcPr>
          <w:p>
            <w:pPr>
              <w:spacing w:after="0"/>
            </w:pPr>
            <w:r>
              <w:rPr>
                <w:rFonts w:ascii="Arial" w:hAnsi="Arial"/>
                <w:b w:val="0"/>
                <w:sz w:val="16"/>
              </w:rPr>
              <w:t>Interrupted releases or changed results</w:t>
            </w:r>
          </w:p>
        </w:tc>
        <w:tc>
          <w:tcPr>
            <w:tcW w:type="dxa" w:w="4464"/>
            <w:shd w:fill="F3F4F6"/>
            <w:tcMar>
              <w:top w:w="90" w:type="dxa"/>
              <w:start w:w="110" w:type="dxa"/>
              <w:bottom w:w="90" w:type="dxa"/>
              <w:end w:w="110" w:type="dxa"/>
            </w:tcMar>
            <w:vAlign w:val="center"/>
          </w:tcPr>
          <w:p>
            <w:pPr>
              <w:spacing w:after="0"/>
            </w:pPr>
            <w:r>
              <w:rPr>
                <w:rFonts w:ascii="Arial" w:hAnsi="Arial"/>
                <w:b w:val="0"/>
                <w:sz w:val="16"/>
              </w:rPr>
              <w:t>Pin image digests, maintain contract tests and upgrade through a compatibility environment</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sz w:val="16"/>
              </w:rPr>
              <w:t>Large files pass through Django or CSV</w:t>
            </w:r>
          </w:p>
        </w:tc>
        <w:tc>
          <w:tcPr>
            <w:tcW w:type="dxa" w:w="2592"/>
            <w:shd w:fill="FFFFFF"/>
            <w:tcMar>
              <w:top w:w="90" w:type="dxa"/>
              <w:start w:w="110" w:type="dxa"/>
              <w:bottom w:w="90" w:type="dxa"/>
              <w:end w:w="110" w:type="dxa"/>
            </w:tcMar>
            <w:vAlign w:val="center"/>
          </w:tcPr>
          <w:p>
            <w:pPr>
              <w:spacing w:after="0"/>
            </w:pPr>
            <w:r>
              <w:rPr>
                <w:rFonts w:ascii="Arial" w:hAnsi="Arial"/>
                <w:b w:val="0"/>
                <w:sz w:val="16"/>
              </w:rPr>
              <w:t>Poor performance, memory pressure and fragile workflows</w:t>
            </w:r>
          </w:p>
        </w:tc>
        <w:tc>
          <w:tcPr>
            <w:tcW w:type="dxa" w:w="4464"/>
            <w:shd w:fill="FFFFFF"/>
            <w:tcMar>
              <w:top w:w="90" w:type="dxa"/>
              <w:start w:w="110" w:type="dxa"/>
              <w:bottom w:w="90" w:type="dxa"/>
              <w:end w:w="110" w:type="dxa"/>
            </w:tcMar>
            <w:vAlign w:val="center"/>
          </w:tcPr>
          <w:p>
            <w:pPr>
              <w:spacing w:after="0"/>
            </w:pPr>
            <w:r>
              <w:rPr>
                <w:rFonts w:ascii="Arial" w:hAnsi="Arial"/>
                <w:b w:val="0"/>
                <w:sz w:val="16"/>
              </w:rPr>
              <w:t>Direct object uploads and chunked HDF5 or Parquet processing</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sz w:val="16"/>
              </w:rPr>
              <w:t>Scientific validation is treated as software QA</w:t>
            </w:r>
          </w:p>
        </w:tc>
        <w:tc>
          <w:tcPr>
            <w:tcW w:type="dxa" w:w="2592"/>
            <w:shd w:fill="F3F4F6"/>
            <w:tcMar>
              <w:top w:w="90" w:type="dxa"/>
              <w:start w:w="110" w:type="dxa"/>
              <w:bottom w:w="90" w:type="dxa"/>
              <w:end w:w="110" w:type="dxa"/>
            </w:tcMar>
            <w:vAlign w:val="center"/>
          </w:tcPr>
          <w:p>
            <w:pPr>
              <w:spacing w:after="0"/>
            </w:pPr>
            <w:r>
              <w:rPr>
                <w:rFonts w:ascii="Arial" w:hAnsi="Arial"/>
                <w:b w:val="0"/>
                <w:sz w:val="16"/>
              </w:rPr>
              <w:t>Technically correct but unreliable model</w:t>
            </w:r>
          </w:p>
        </w:tc>
        <w:tc>
          <w:tcPr>
            <w:tcW w:type="dxa" w:w="4464"/>
            <w:shd w:fill="F3F4F6"/>
            <w:tcMar>
              <w:top w:w="90" w:type="dxa"/>
              <w:start w:w="110" w:type="dxa"/>
              <w:bottom w:w="90" w:type="dxa"/>
              <w:end w:w="110" w:type="dxa"/>
            </w:tcMar>
            <w:vAlign w:val="center"/>
          </w:tcPr>
          <w:p>
            <w:pPr>
              <w:spacing w:after="0"/>
            </w:pPr>
            <w:r>
              <w:rPr>
                <w:rFonts w:ascii="Arial" w:hAnsi="Arial"/>
                <w:b w:val="0"/>
                <w:sz w:val="16"/>
              </w:rPr>
              <w:t>Separate approval gates and independent reviewers</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sz w:val="16"/>
              </w:rPr>
              <w:t>Unbounded concurrency exhausts the host</w:t>
            </w:r>
          </w:p>
        </w:tc>
        <w:tc>
          <w:tcPr>
            <w:tcW w:type="dxa" w:w="2592"/>
            <w:shd w:fill="FFFFFF"/>
            <w:tcMar>
              <w:top w:w="90" w:type="dxa"/>
              <w:start w:w="110" w:type="dxa"/>
              <w:bottom w:w="90" w:type="dxa"/>
              <w:end w:w="110" w:type="dxa"/>
            </w:tcMar>
            <w:vAlign w:val="center"/>
          </w:tcPr>
          <w:p>
            <w:pPr>
              <w:spacing w:after="0"/>
            </w:pPr>
            <w:r>
              <w:rPr>
                <w:rFonts w:ascii="Arial" w:hAnsi="Arial"/>
                <w:b w:val="0"/>
                <w:sz w:val="16"/>
              </w:rPr>
              <w:t>Failed jobs and poor user experience</w:t>
            </w:r>
          </w:p>
        </w:tc>
        <w:tc>
          <w:tcPr>
            <w:tcW w:type="dxa" w:w="4464"/>
            <w:shd w:fill="FFFFFF"/>
            <w:tcMar>
              <w:top w:w="90" w:type="dxa"/>
              <w:start w:w="110" w:type="dxa"/>
              <w:bottom w:w="90" w:type="dxa"/>
              <w:end w:w="110" w:type="dxa"/>
            </w:tcMar>
            <w:vAlign w:val="center"/>
          </w:tcPr>
          <w:p>
            <w:pPr>
              <w:spacing w:after="0"/>
            </w:pPr>
            <w:r>
              <w:rPr>
                <w:rFonts w:ascii="Arial" w:hAnsi="Arial"/>
                <w:b w:val="0"/>
                <w:sz w:val="16"/>
              </w:rPr>
              <w:t>Resource profiles, queue limits, admission control and measured capacity</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sz w:val="16"/>
              </w:rPr>
              <w:t>Custom engine forks accumulate</w:t>
            </w:r>
          </w:p>
        </w:tc>
        <w:tc>
          <w:tcPr>
            <w:tcW w:type="dxa" w:w="2592"/>
            <w:shd w:fill="F3F4F6"/>
            <w:tcMar>
              <w:top w:w="90" w:type="dxa"/>
              <w:start w:w="110" w:type="dxa"/>
              <w:bottom w:w="90" w:type="dxa"/>
              <w:end w:w="110" w:type="dxa"/>
            </w:tcMar>
            <w:vAlign w:val="center"/>
          </w:tcPr>
          <w:p>
            <w:pPr>
              <w:spacing w:after="0"/>
            </w:pPr>
            <w:r>
              <w:rPr>
                <w:rFonts w:ascii="Arial" w:hAnsi="Arial"/>
                <w:b w:val="0"/>
                <w:sz w:val="16"/>
              </w:rPr>
              <w:t>Expensive maintenance and delayed security upgrades</w:t>
            </w:r>
          </w:p>
        </w:tc>
        <w:tc>
          <w:tcPr>
            <w:tcW w:type="dxa" w:w="4464"/>
            <w:shd w:fill="F3F4F6"/>
            <w:tcMar>
              <w:top w:w="90" w:type="dxa"/>
              <w:start w:w="110" w:type="dxa"/>
              <w:bottom w:w="90" w:type="dxa"/>
              <w:end w:w="110" w:type="dxa"/>
            </w:tcMar>
            <w:vAlign w:val="center"/>
          </w:tcPr>
          <w:p>
            <w:pPr>
              <w:spacing w:after="0"/>
            </w:pPr>
            <w:r>
              <w:rPr>
                <w:rFonts w:ascii="Arial" w:hAnsi="Arial"/>
                <w:b w:val="0"/>
                <w:sz w:val="16"/>
              </w:rPr>
              <w:t>Use supported APIs and isolate KRE logic in adapters and converter services</w:t>
            </w:r>
          </w:p>
        </w:tc>
      </w:tr>
      <w:tr>
        <w:trPr>
          <w:cantSplit/>
        </w:trPr>
        <w:tc>
          <w:tcPr>
            <w:tcW w:type="dxa" w:w="2880"/>
            <w:shd w:fill="FFFFFF"/>
            <w:tcMar>
              <w:top w:w="90" w:type="dxa"/>
              <w:start w:w="110" w:type="dxa"/>
              <w:bottom w:w="90" w:type="dxa"/>
              <w:end w:w="110" w:type="dxa"/>
            </w:tcMar>
            <w:vAlign w:val="center"/>
          </w:tcPr>
          <w:p>
            <w:pPr>
              <w:spacing w:after="0"/>
            </w:pPr>
            <w:r>
              <w:rPr>
                <w:rFonts w:ascii="Arial" w:hAnsi="Arial"/>
                <w:b/>
                <w:sz w:val="16"/>
              </w:rPr>
              <w:t>Financial terms are assumed rather than tested</w:t>
            </w:r>
          </w:p>
        </w:tc>
        <w:tc>
          <w:tcPr>
            <w:tcW w:type="dxa" w:w="2592"/>
            <w:shd w:fill="FFFFFF"/>
            <w:tcMar>
              <w:top w:w="90" w:type="dxa"/>
              <w:start w:w="110" w:type="dxa"/>
              <w:bottom w:w="90" w:type="dxa"/>
              <w:end w:w="110" w:type="dxa"/>
            </w:tcMar>
            <w:vAlign w:val="center"/>
          </w:tcPr>
          <w:p>
            <w:pPr>
              <w:spacing w:after="0"/>
            </w:pPr>
            <w:r>
              <w:rPr>
                <w:rFonts w:ascii="Arial" w:hAnsi="Arial"/>
                <w:b w:val="0"/>
                <w:sz w:val="16"/>
              </w:rPr>
              <w:t>Material insured or ceded loss errors</w:t>
            </w:r>
          </w:p>
        </w:tc>
        <w:tc>
          <w:tcPr>
            <w:tcW w:type="dxa" w:w="4464"/>
            <w:shd w:fill="FFFFFF"/>
            <w:tcMar>
              <w:top w:w="90" w:type="dxa"/>
              <w:start w:w="110" w:type="dxa"/>
              <w:bottom w:w="90" w:type="dxa"/>
              <w:end w:w="110" w:type="dxa"/>
            </w:tcMar>
            <w:vAlign w:val="center"/>
          </w:tcPr>
          <w:p>
            <w:pPr>
              <w:spacing w:after="0"/>
            </w:pPr>
            <w:r>
              <w:rPr>
                <w:rFonts w:ascii="Arial" w:hAnsi="Arial"/>
                <w:b w:val="0"/>
                <w:sz w:val="16"/>
              </w:rPr>
              <w:t>Representative OED contract fixtures and actuarial review</w:t>
            </w:r>
          </w:p>
        </w:tc>
      </w:tr>
      <w:tr>
        <w:trPr>
          <w:cantSplit/>
        </w:trPr>
        <w:tc>
          <w:tcPr>
            <w:tcW w:type="dxa" w:w="2880"/>
            <w:shd w:fill="F3F4F6"/>
            <w:tcMar>
              <w:top w:w="90" w:type="dxa"/>
              <w:start w:w="110" w:type="dxa"/>
              <w:bottom w:w="90" w:type="dxa"/>
              <w:end w:w="110" w:type="dxa"/>
            </w:tcMar>
            <w:vAlign w:val="center"/>
          </w:tcPr>
          <w:p>
            <w:pPr>
              <w:spacing w:after="0"/>
            </w:pPr>
            <w:r>
              <w:rPr>
                <w:rFonts w:ascii="Arial" w:hAnsi="Arial"/>
                <w:b/>
                <w:sz w:val="16"/>
              </w:rPr>
              <w:t>Result interface hides uncertainty</w:t>
            </w:r>
          </w:p>
        </w:tc>
        <w:tc>
          <w:tcPr>
            <w:tcW w:type="dxa" w:w="2592"/>
            <w:shd w:fill="F3F4F6"/>
            <w:tcMar>
              <w:top w:w="90" w:type="dxa"/>
              <w:start w:w="110" w:type="dxa"/>
              <w:bottom w:w="90" w:type="dxa"/>
              <w:end w:w="110" w:type="dxa"/>
            </w:tcMar>
            <w:vAlign w:val="center"/>
          </w:tcPr>
          <w:p>
            <w:pPr>
              <w:spacing w:after="0"/>
            </w:pPr>
            <w:r>
              <w:rPr>
                <w:rFonts w:ascii="Arial" w:hAnsi="Arial"/>
                <w:b w:val="0"/>
                <w:sz w:val="16"/>
              </w:rPr>
              <w:t>Overconfident decisions</w:t>
            </w:r>
          </w:p>
        </w:tc>
        <w:tc>
          <w:tcPr>
            <w:tcW w:type="dxa" w:w="4464"/>
            <w:shd w:fill="F3F4F6"/>
            <w:tcMar>
              <w:top w:w="90" w:type="dxa"/>
              <w:start w:w="110" w:type="dxa"/>
              <w:bottom w:w="90" w:type="dxa"/>
              <w:end w:w="110" w:type="dxa"/>
            </w:tcMar>
            <w:vAlign w:val="center"/>
          </w:tcPr>
          <w:p>
            <w:pPr>
              <w:spacing w:after="0"/>
            </w:pPr>
            <w:r>
              <w:rPr>
                <w:rFonts w:ascii="Arial" w:hAnsi="Arial"/>
                <w:b w:val="0"/>
                <w:sz w:val="16"/>
              </w:rPr>
              <w:t>Display model version, uncertainty, data quality and limitations beside decision metrics</w:t>
            </w:r>
          </w:p>
        </w:tc>
      </w:tr>
    </w:tbl>
    <w:p>
      <w:pPr>
        <w:spacing w:after="40"/>
      </w:pPr>
    </w:p>
    <w:p>
      <w:pPr>
        <w:pStyle w:val="Heading1"/>
        <w:keepNext/>
      </w:pPr>
      <w:r>
        <w:rPr>
          <w:rFonts w:ascii="Arial" w:hAnsi="Arial"/>
          <w:b/>
          <w:color w:val="000000"/>
          <w:sz w:val="36"/>
        </w:rPr>
        <w:t>15  Decisions Required</w:t>
      </w:r>
    </w:p>
    <w:p>
      <w:r>
        <w:rPr>
          <w:rFonts w:ascii="Arial" w:hAnsi="Arial"/>
        </w:rPr>
        <w:t>The following decisions should be completed during the model charter. Defaults shown here allow engineering to begin but should not be treated as silent assumptions.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376"/>
            <w:shd w:fill="234A9E"/>
            <w:tcMar>
              <w:top w:w="110" w:type="dxa"/>
              <w:start w:w="110" w:type="dxa"/>
              <w:bottom w:w="110" w:type="dxa"/>
              <w:end w:w="110" w:type="dxa"/>
            </w:tcMar>
            <w:vAlign w:val="center"/>
          </w:tcPr>
          <w:p>
            <w:pPr>
              <w:spacing w:after="0"/>
              <w:jc w:val="center"/>
            </w:pPr>
            <w:r>
              <w:rPr>
                <w:rFonts w:ascii="Arial" w:hAnsi="Arial"/>
                <w:b/>
                <w:color w:val="FFFFFF"/>
                <w:sz w:val="16"/>
              </w:rPr>
              <w:t>Decision</w:t>
            </w:r>
          </w:p>
        </w:tc>
        <w:tc>
          <w:tcPr>
            <w:tcW w:type="dxa" w:w="3528"/>
            <w:shd w:fill="234A9E"/>
            <w:tcMar>
              <w:top w:w="110" w:type="dxa"/>
              <w:start w:w="110" w:type="dxa"/>
              <w:bottom w:w="110" w:type="dxa"/>
              <w:end w:w="110" w:type="dxa"/>
            </w:tcMar>
            <w:vAlign w:val="center"/>
          </w:tcPr>
          <w:p>
            <w:pPr>
              <w:spacing w:after="0"/>
              <w:jc w:val="center"/>
            </w:pPr>
            <w:r>
              <w:rPr>
                <w:rFonts w:ascii="Arial" w:hAnsi="Arial"/>
                <w:b/>
                <w:color w:val="FFFFFF"/>
                <w:sz w:val="16"/>
              </w:rPr>
              <w:t>Recommended default</w:t>
            </w:r>
          </w:p>
        </w:tc>
        <w:tc>
          <w:tcPr>
            <w:tcW w:type="dxa" w:w="4031"/>
            <w:shd w:fill="234A9E"/>
            <w:tcMar>
              <w:top w:w="110" w:type="dxa"/>
              <w:start w:w="110" w:type="dxa"/>
              <w:bottom w:w="110" w:type="dxa"/>
              <w:end w:w="110" w:type="dxa"/>
            </w:tcMar>
            <w:vAlign w:val="center"/>
          </w:tcPr>
          <w:p>
            <w:pPr>
              <w:spacing w:after="0"/>
              <w:jc w:val="center"/>
            </w:pPr>
            <w:r>
              <w:rPr>
                <w:rFonts w:ascii="Arial" w:hAnsi="Arial"/>
                <w:b/>
                <w:color w:val="FFFFFF"/>
                <w:sz w:val="16"/>
              </w:rPr>
              <w:t>Why it matters</w:t>
            </w:r>
          </w:p>
        </w:tc>
      </w:tr>
      <w:tr>
        <w:trPr>
          <w:cantSplit/>
        </w:trPr>
        <w:tc>
          <w:tcPr>
            <w:tcW w:type="dxa" w:w="2376"/>
            <w:shd w:fill="FFFFFF"/>
            <w:tcMar>
              <w:top w:w="90" w:type="dxa"/>
              <w:start w:w="110" w:type="dxa"/>
              <w:bottom w:w="90" w:type="dxa"/>
              <w:end w:w="110" w:type="dxa"/>
            </w:tcMar>
            <w:vAlign w:val="center"/>
          </w:tcPr>
          <w:p>
            <w:pPr>
              <w:spacing w:after="0"/>
            </w:pPr>
            <w:r>
              <w:rPr>
                <w:rFonts w:ascii="Arial" w:hAnsi="Arial"/>
                <w:b/>
                <w:sz w:val="16"/>
              </w:rPr>
              <w:t>Release users</w:t>
            </w:r>
          </w:p>
        </w:tc>
        <w:tc>
          <w:tcPr>
            <w:tcW w:type="dxa" w:w="3528"/>
            <w:shd w:fill="FFFFFF"/>
            <w:tcMar>
              <w:top w:w="90" w:type="dxa"/>
              <w:start w:w="110" w:type="dxa"/>
              <w:bottom w:w="90" w:type="dxa"/>
              <w:end w:w="110" w:type="dxa"/>
            </w:tcMar>
            <w:vAlign w:val="center"/>
          </w:tcPr>
          <w:p>
            <w:pPr>
              <w:spacing w:after="0"/>
              <w:jc w:val="center"/>
            </w:pPr>
            <w:r>
              <w:rPr>
                <w:rFonts w:ascii="Arial" w:hAnsi="Arial"/>
                <w:b w:val="0"/>
                <w:sz w:val="16"/>
              </w:rPr>
              <w:t>KRE staff only</w:t>
            </w:r>
          </w:p>
        </w:tc>
        <w:tc>
          <w:tcPr>
            <w:tcW w:type="dxa" w:w="4031"/>
            <w:shd w:fill="FFFFFF"/>
            <w:tcMar>
              <w:top w:w="90" w:type="dxa"/>
              <w:start w:w="110" w:type="dxa"/>
              <w:bottom w:w="90" w:type="dxa"/>
              <w:end w:w="110" w:type="dxa"/>
            </w:tcMar>
            <w:vAlign w:val="center"/>
          </w:tcPr>
          <w:p>
            <w:pPr>
              <w:spacing w:after="0"/>
            </w:pPr>
            <w:r>
              <w:rPr>
                <w:rFonts w:ascii="Arial" w:hAnsi="Arial"/>
                <w:b w:val="0"/>
                <w:sz w:val="16"/>
              </w:rPr>
              <w:t>Determines tenancy, authentication, licensing and support obligations</w:t>
            </w:r>
          </w:p>
        </w:tc>
      </w:tr>
      <w:tr>
        <w:trPr>
          <w:cantSplit/>
        </w:trPr>
        <w:tc>
          <w:tcPr>
            <w:tcW w:type="dxa" w:w="2376"/>
            <w:shd w:fill="F3F4F6"/>
            <w:tcMar>
              <w:top w:w="90" w:type="dxa"/>
              <w:start w:w="110" w:type="dxa"/>
              <w:bottom w:w="90" w:type="dxa"/>
              <w:end w:w="110" w:type="dxa"/>
            </w:tcMar>
            <w:vAlign w:val="center"/>
          </w:tcPr>
          <w:p>
            <w:pPr>
              <w:spacing w:after="0"/>
            </w:pPr>
            <w:r>
              <w:rPr>
                <w:rFonts w:ascii="Arial" w:hAnsi="Arial"/>
                <w:b/>
                <w:sz w:val="16"/>
              </w:rPr>
              <w:t>Pilot country</w:t>
            </w:r>
          </w:p>
        </w:tc>
        <w:tc>
          <w:tcPr>
            <w:tcW w:type="dxa" w:w="3528"/>
            <w:shd w:fill="F3F4F6"/>
            <w:tcMar>
              <w:top w:w="90" w:type="dxa"/>
              <w:start w:w="110" w:type="dxa"/>
              <w:bottom w:w="90" w:type="dxa"/>
              <w:end w:w="110" w:type="dxa"/>
            </w:tcMar>
            <w:vAlign w:val="center"/>
          </w:tcPr>
          <w:p>
            <w:pPr>
              <w:spacing w:after="0"/>
            </w:pPr>
            <w:r>
              <w:rPr>
                <w:rFonts w:ascii="Arial" w:hAnsi="Arial"/>
                <w:b w:val="0"/>
                <w:sz w:val="16"/>
              </w:rPr>
              <w:t>Select one country with accessible source, site and validation data</w:t>
            </w:r>
          </w:p>
        </w:tc>
        <w:tc>
          <w:tcPr>
            <w:tcW w:type="dxa" w:w="4031"/>
            <w:shd w:fill="F3F4F6"/>
            <w:tcMar>
              <w:top w:w="90" w:type="dxa"/>
              <w:start w:w="110" w:type="dxa"/>
              <w:bottom w:w="90" w:type="dxa"/>
              <w:end w:w="110" w:type="dxa"/>
            </w:tcMar>
            <w:vAlign w:val="center"/>
          </w:tcPr>
          <w:p>
            <w:pPr>
              <w:spacing w:after="0"/>
            </w:pPr>
            <w:r>
              <w:rPr>
                <w:rFonts w:ascii="Arial" w:hAnsi="Arial"/>
                <w:b w:val="0"/>
                <w:sz w:val="16"/>
              </w:rPr>
              <w:t>Controls scientific workload and representative portfolios</w:t>
            </w:r>
          </w:p>
        </w:tc>
      </w:tr>
      <w:tr>
        <w:trPr>
          <w:cantSplit/>
        </w:trPr>
        <w:tc>
          <w:tcPr>
            <w:tcW w:type="dxa" w:w="2376"/>
            <w:shd w:fill="FFFFFF"/>
            <w:tcMar>
              <w:top w:w="90" w:type="dxa"/>
              <w:start w:w="110" w:type="dxa"/>
              <w:bottom w:w="90" w:type="dxa"/>
              <w:end w:w="110" w:type="dxa"/>
            </w:tcMar>
            <w:vAlign w:val="center"/>
          </w:tcPr>
          <w:p>
            <w:pPr>
              <w:spacing w:after="0"/>
            </w:pPr>
            <w:r>
              <w:rPr>
                <w:rFonts w:ascii="Arial" w:hAnsi="Arial"/>
                <w:b/>
                <w:sz w:val="16"/>
              </w:rPr>
              <w:t>Hazard spatial basis</w:t>
            </w:r>
          </w:p>
        </w:tc>
        <w:tc>
          <w:tcPr>
            <w:tcW w:type="dxa" w:w="3528"/>
            <w:shd w:fill="FFFFFF"/>
            <w:tcMar>
              <w:top w:w="90" w:type="dxa"/>
              <w:start w:w="110" w:type="dxa"/>
              <w:bottom w:w="90" w:type="dxa"/>
              <w:end w:w="110" w:type="dxa"/>
            </w:tcMar>
            <w:vAlign w:val="center"/>
          </w:tcPr>
          <w:p>
            <w:pPr>
              <w:spacing w:after="0"/>
            </w:pPr>
            <w:r>
              <w:rPr>
                <w:rFonts w:ascii="Arial" w:hAnsi="Arial"/>
                <w:b w:val="0"/>
                <w:sz w:val="16"/>
              </w:rPr>
              <w:t>Stable country grid or variable-resolution mesh</w:t>
            </w:r>
          </w:p>
        </w:tc>
        <w:tc>
          <w:tcPr>
            <w:tcW w:type="dxa" w:w="4031"/>
            <w:shd w:fill="FFFFFF"/>
            <w:tcMar>
              <w:top w:w="90" w:type="dxa"/>
              <w:start w:w="110" w:type="dxa"/>
              <w:bottom w:w="90" w:type="dxa"/>
              <w:end w:w="110" w:type="dxa"/>
            </w:tcMar>
            <w:vAlign w:val="center"/>
          </w:tcPr>
          <w:p>
            <w:pPr>
              <w:spacing w:after="0"/>
            </w:pPr>
            <w:r>
              <w:rPr>
                <w:rFonts w:ascii="Arial" w:hAnsi="Arial"/>
                <w:b w:val="0"/>
                <w:sz w:val="16"/>
              </w:rPr>
              <w:t>Determines GMF reuse, storage, keys lookup and accuracy</w:t>
            </w:r>
          </w:p>
        </w:tc>
      </w:tr>
      <w:tr>
        <w:trPr>
          <w:cantSplit/>
        </w:trPr>
        <w:tc>
          <w:tcPr>
            <w:tcW w:type="dxa" w:w="2376"/>
            <w:shd w:fill="F3F4F6"/>
            <w:tcMar>
              <w:top w:w="90" w:type="dxa"/>
              <w:start w:w="110" w:type="dxa"/>
              <w:bottom w:w="90" w:type="dxa"/>
              <w:end w:w="110" w:type="dxa"/>
            </w:tcMar>
            <w:vAlign w:val="center"/>
          </w:tcPr>
          <w:p>
            <w:pPr>
              <w:spacing w:after="0"/>
            </w:pPr>
            <w:r>
              <w:rPr>
                <w:rFonts w:ascii="Arial" w:hAnsi="Arial"/>
                <w:b/>
                <w:sz w:val="16"/>
              </w:rPr>
              <w:t>Event representation</w:t>
            </w:r>
          </w:p>
        </w:tc>
        <w:tc>
          <w:tcPr>
            <w:tcW w:type="dxa" w:w="3528"/>
            <w:shd w:fill="F3F4F6"/>
            <w:tcMar>
              <w:top w:w="90" w:type="dxa"/>
              <w:start w:w="110" w:type="dxa"/>
              <w:bottom w:w="90" w:type="dxa"/>
              <w:end w:w="110" w:type="dxa"/>
            </w:tcMar>
            <w:vAlign w:val="center"/>
          </w:tcPr>
          <w:p>
            <w:pPr>
              <w:spacing w:after="0"/>
            </w:pPr>
            <w:r>
              <w:rPr>
                <w:rFonts w:ascii="Arial" w:hAnsi="Arial"/>
                <w:b w:val="0"/>
                <w:sz w:val="16"/>
              </w:rPr>
              <w:t>Formal study before converter build</w:t>
            </w:r>
          </w:p>
        </w:tc>
        <w:tc>
          <w:tcPr>
            <w:tcW w:type="dxa" w:w="4031"/>
            <w:shd w:fill="F3F4F6"/>
            <w:tcMar>
              <w:top w:w="90" w:type="dxa"/>
              <w:start w:w="110" w:type="dxa"/>
              <w:bottom w:w="90" w:type="dxa"/>
              <w:end w:w="110" w:type="dxa"/>
            </w:tcMar>
            <w:vAlign w:val="center"/>
          </w:tcPr>
          <w:p>
            <w:pPr>
              <w:spacing w:after="0"/>
            </w:pPr>
            <w:r>
              <w:rPr>
                <w:rFonts w:ascii="Arial" w:hAnsi="Arial"/>
                <w:b w:val="0"/>
                <w:sz w:val="16"/>
              </w:rPr>
              <w:t>Controls frequency, uncertainty, correlation and footprint probabilities</w:t>
            </w:r>
          </w:p>
        </w:tc>
      </w:tr>
      <w:tr>
        <w:trPr>
          <w:cantSplit/>
        </w:trPr>
        <w:tc>
          <w:tcPr>
            <w:tcW w:type="dxa" w:w="2376"/>
            <w:shd w:fill="FFFFFF"/>
            <w:tcMar>
              <w:top w:w="90" w:type="dxa"/>
              <w:start w:w="110" w:type="dxa"/>
              <w:bottom w:w="90" w:type="dxa"/>
              <w:end w:w="110" w:type="dxa"/>
            </w:tcMar>
            <w:vAlign w:val="center"/>
          </w:tcPr>
          <w:p>
            <w:pPr>
              <w:spacing w:after="0"/>
            </w:pPr>
            <w:r>
              <w:rPr>
                <w:rFonts w:ascii="Arial" w:hAnsi="Arial"/>
                <w:b/>
                <w:sz w:val="16"/>
              </w:rPr>
              <w:t>Production hosting</w:t>
            </w:r>
          </w:p>
        </w:tc>
        <w:tc>
          <w:tcPr>
            <w:tcW w:type="dxa" w:w="3528"/>
            <w:shd w:fill="FFFFFF"/>
            <w:tcMar>
              <w:top w:w="90" w:type="dxa"/>
              <w:start w:w="110" w:type="dxa"/>
              <w:bottom w:w="90" w:type="dxa"/>
              <w:end w:w="110" w:type="dxa"/>
            </w:tcMar>
            <w:vAlign w:val="center"/>
          </w:tcPr>
          <w:p>
            <w:pPr>
              <w:spacing w:after="0"/>
            </w:pPr>
            <w:r>
              <w:rPr>
                <w:rFonts w:ascii="Arial" w:hAnsi="Arial"/>
                <w:b w:val="0"/>
                <w:sz w:val="16"/>
              </w:rPr>
              <w:t>Portable containers; decide host after capacity spike</w:t>
            </w:r>
          </w:p>
        </w:tc>
        <w:tc>
          <w:tcPr>
            <w:tcW w:type="dxa" w:w="4031"/>
            <w:shd w:fill="FFFFFF"/>
            <w:tcMar>
              <w:top w:w="90" w:type="dxa"/>
              <w:start w:w="110" w:type="dxa"/>
              <w:bottom w:w="90" w:type="dxa"/>
              <w:end w:w="110" w:type="dxa"/>
            </w:tcMar>
            <w:vAlign w:val="center"/>
          </w:tcPr>
          <w:p>
            <w:pPr>
              <w:spacing w:after="0"/>
            </w:pPr>
            <w:r>
              <w:rPr>
                <w:rFonts w:ascii="Arial" w:hAnsi="Arial"/>
                <w:b w:val="0"/>
                <w:sz w:val="16"/>
              </w:rPr>
              <w:t>Controls broker, object store, secrets, backup and identity integration</w:t>
            </w:r>
          </w:p>
        </w:tc>
      </w:tr>
      <w:tr>
        <w:trPr>
          <w:cantSplit/>
        </w:trPr>
        <w:tc>
          <w:tcPr>
            <w:tcW w:type="dxa" w:w="2376"/>
            <w:shd w:fill="F3F4F6"/>
            <w:tcMar>
              <w:top w:w="90" w:type="dxa"/>
              <w:start w:w="110" w:type="dxa"/>
              <w:bottom w:w="90" w:type="dxa"/>
              <w:end w:w="110" w:type="dxa"/>
            </w:tcMar>
            <w:vAlign w:val="center"/>
          </w:tcPr>
          <w:p>
            <w:pPr>
              <w:spacing w:after="0"/>
            </w:pPr>
            <w:r>
              <w:rPr>
                <w:rFonts w:ascii="Arial" w:hAnsi="Arial"/>
                <w:b/>
                <w:sz w:val="16"/>
              </w:rPr>
              <w:t>Portfolio scale</w:t>
            </w:r>
          </w:p>
        </w:tc>
        <w:tc>
          <w:tcPr>
            <w:tcW w:type="dxa" w:w="3528"/>
            <w:shd w:fill="F3F4F6"/>
            <w:tcMar>
              <w:top w:w="90" w:type="dxa"/>
              <w:start w:w="110" w:type="dxa"/>
              <w:bottom w:w="90" w:type="dxa"/>
              <w:end w:w="110" w:type="dxa"/>
            </w:tcMar>
            <w:vAlign w:val="center"/>
          </w:tcPr>
          <w:p>
            <w:pPr>
              <w:spacing w:after="0"/>
            </w:pPr>
            <w:r>
              <w:rPr>
                <w:rFonts w:ascii="Arial" w:hAnsi="Arial"/>
                <w:b w:val="0"/>
                <w:sz w:val="16"/>
              </w:rPr>
              <w:t>Measure small, median and largest expected portfolios</w:t>
            </w:r>
          </w:p>
        </w:tc>
        <w:tc>
          <w:tcPr>
            <w:tcW w:type="dxa" w:w="4031"/>
            <w:shd w:fill="F3F4F6"/>
            <w:tcMar>
              <w:top w:w="90" w:type="dxa"/>
              <w:start w:w="110" w:type="dxa"/>
              <w:bottom w:w="90" w:type="dxa"/>
              <w:end w:w="110" w:type="dxa"/>
            </w:tcMar>
            <w:vAlign w:val="center"/>
          </w:tcPr>
          <w:p>
            <w:pPr>
              <w:spacing w:after="0"/>
            </w:pPr>
            <w:r>
              <w:rPr>
                <w:rFonts w:ascii="Arial" w:hAnsi="Arial"/>
                <w:b w:val="0"/>
                <w:sz w:val="16"/>
              </w:rPr>
              <w:t>Sets upload, mapping, queue, storage and result-view requirements</w:t>
            </w:r>
          </w:p>
        </w:tc>
      </w:tr>
      <w:tr>
        <w:trPr>
          <w:cantSplit/>
        </w:trPr>
        <w:tc>
          <w:tcPr>
            <w:tcW w:type="dxa" w:w="2376"/>
            <w:shd w:fill="FFFFFF"/>
            <w:tcMar>
              <w:top w:w="90" w:type="dxa"/>
              <w:start w:w="110" w:type="dxa"/>
              <w:bottom w:w="90" w:type="dxa"/>
              <w:end w:w="110" w:type="dxa"/>
            </w:tcMar>
            <w:vAlign w:val="center"/>
          </w:tcPr>
          <w:p>
            <w:pPr>
              <w:spacing w:after="0"/>
            </w:pPr>
            <w:r>
              <w:rPr>
                <w:rFonts w:ascii="Arial" w:hAnsi="Arial"/>
                <w:b/>
                <w:sz w:val="16"/>
              </w:rPr>
              <w:t>Vulnerability source</w:t>
            </w:r>
          </w:p>
        </w:tc>
        <w:tc>
          <w:tcPr>
            <w:tcW w:type="dxa" w:w="3528"/>
            <w:shd w:fill="FFFFFF"/>
            <w:tcMar>
              <w:top w:w="90" w:type="dxa"/>
              <w:start w:w="110" w:type="dxa"/>
              <w:bottom w:w="90" w:type="dxa"/>
              <w:end w:w="110" w:type="dxa"/>
            </w:tcMar>
            <w:vAlign w:val="center"/>
          </w:tcPr>
          <w:p>
            <w:pPr>
              <w:spacing w:after="0"/>
            </w:pPr>
            <w:r>
              <w:rPr>
                <w:rFonts w:ascii="Arial" w:hAnsi="Arial"/>
                <w:b w:val="0"/>
                <w:sz w:val="16"/>
              </w:rPr>
              <w:t>Use only functions with documented provenance and commercial rights</w:t>
            </w:r>
          </w:p>
        </w:tc>
        <w:tc>
          <w:tcPr>
            <w:tcW w:type="dxa" w:w="4031"/>
            <w:shd w:fill="FFFFFF"/>
            <w:tcMar>
              <w:top w:w="90" w:type="dxa"/>
              <w:start w:w="110" w:type="dxa"/>
              <w:bottom w:w="90" w:type="dxa"/>
              <w:end w:w="110" w:type="dxa"/>
            </w:tcMar>
            <w:vAlign w:val="center"/>
          </w:tcPr>
          <w:p>
            <w:pPr>
              <w:spacing w:after="0"/>
            </w:pPr>
            <w:r>
              <w:rPr>
                <w:rFonts w:ascii="Arial" w:hAnsi="Arial"/>
                <w:b w:val="0"/>
                <w:sz w:val="16"/>
              </w:rPr>
              <w:t>Controls model credibility, cost and publication rights</w:t>
            </w:r>
          </w:p>
        </w:tc>
      </w:tr>
      <w:tr>
        <w:trPr>
          <w:cantSplit/>
        </w:trPr>
        <w:tc>
          <w:tcPr>
            <w:tcW w:type="dxa" w:w="2376"/>
            <w:shd w:fill="F3F4F6"/>
            <w:tcMar>
              <w:top w:w="90" w:type="dxa"/>
              <w:start w:w="110" w:type="dxa"/>
              <w:bottom w:w="90" w:type="dxa"/>
              <w:end w:w="110" w:type="dxa"/>
            </w:tcMar>
            <w:vAlign w:val="center"/>
          </w:tcPr>
          <w:p>
            <w:pPr>
              <w:spacing w:after="0"/>
            </w:pPr>
            <w:r>
              <w:rPr>
                <w:rFonts w:ascii="Arial" w:hAnsi="Arial"/>
                <w:b/>
                <w:sz w:val="16"/>
              </w:rPr>
              <w:t>Financial scope</w:t>
            </w:r>
          </w:p>
        </w:tc>
        <w:tc>
          <w:tcPr>
            <w:tcW w:type="dxa" w:w="3528"/>
            <w:shd w:fill="F3F4F6"/>
            <w:tcMar>
              <w:top w:w="90" w:type="dxa"/>
              <w:start w:w="110" w:type="dxa"/>
              <w:bottom w:w="90" w:type="dxa"/>
              <w:end w:w="110" w:type="dxa"/>
            </w:tcMar>
            <w:vAlign w:val="center"/>
          </w:tcPr>
          <w:p>
            <w:pPr>
              <w:spacing w:after="0"/>
            </w:pPr>
            <w:r>
              <w:rPr>
                <w:rFonts w:ascii="Arial" w:hAnsi="Arial"/>
                <w:b w:val="0"/>
                <w:sz w:val="16"/>
              </w:rPr>
              <w:t>Ground-up first; add insured then reinsurance behind golden tests</w:t>
            </w:r>
          </w:p>
        </w:tc>
        <w:tc>
          <w:tcPr>
            <w:tcW w:type="dxa" w:w="4031"/>
            <w:shd w:fill="F3F4F6"/>
            <w:tcMar>
              <w:top w:w="90" w:type="dxa"/>
              <w:start w:w="110" w:type="dxa"/>
              <w:bottom w:w="90" w:type="dxa"/>
              <w:end w:w="110" w:type="dxa"/>
            </w:tcMar>
            <w:vAlign w:val="center"/>
          </w:tcPr>
          <w:p>
            <w:pPr>
              <w:spacing w:after="0"/>
            </w:pPr>
            <w:r>
              <w:rPr>
                <w:rFonts w:ascii="Arial" w:hAnsi="Arial"/>
                <w:b w:val="0"/>
                <w:sz w:val="16"/>
              </w:rPr>
              <w:t>Avoids mixing hazard validation with complex contract interpretation</w:t>
            </w:r>
          </w:p>
        </w:tc>
      </w:tr>
      <w:tr>
        <w:trPr>
          <w:cantSplit/>
        </w:trPr>
        <w:tc>
          <w:tcPr>
            <w:tcW w:type="dxa" w:w="2376"/>
            <w:shd w:fill="FFFFFF"/>
            <w:tcMar>
              <w:top w:w="90" w:type="dxa"/>
              <w:start w:w="110" w:type="dxa"/>
              <w:bottom w:w="90" w:type="dxa"/>
              <w:end w:w="110" w:type="dxa"/>
            </w:tcMar>
            <w:vAlign w:val="center"/>
          </w:tcPr>
          <w:p>
            <w:pPr>
              <w:spacing w:after="0"/>
            </w:pPr>
            <w:r>
              <w:rPr>
                <w:rFonts w:ascii="Arial" w:hAnsi="Arial"/>
                <w:b/>
                <w:sz w:val="16"/>
              </w:rPr>
              <w:t>Retention</w:t>
            </w:r>
          </w:p>
        </w:tc>
        <w:tc>
          <w:tcPr>
            <w:tcW w:type="dxa" w:w="3528"/>
            <w:shd w:fill="FFFFFF"/>
            <w:tcMar>
              <w:top w:w="90" w:type="dxa"/>
              <w:start w:w="110" w:type="dxa"/>
              <w:bottom w:w="90" w:type="dxa"/>
              <w:end w:w="110" w:type="dxa"/>
            </w:tcMar>
            <w:vAlign w:val="center"/>
          </w:tcPr>
          <w:p>
            <w:pPr>
              <w:spacing w:after="0"/>
            </w:pPr>
            <w:r>
              <w:rPr>
                <w:rFonts w:ascii="Arial" w:hAnsi="Arial"/>
                <w:b w:val="0"/>
                <w:sz w:val="16"/>
              </w:rPr>
              <w:t>Keep manifests and published packages; expire raw GMFs after acceptance unless governed otherwise</w:t>
            </w:r>
          </w:p>
        </w:tc>
        <w:tc>
          <w:tcPr>
            <w:tcW w:type="dxa" w:w="4031"/>
            <w:shd w:fill="FFFFFF"/>
            <w:tcMar>
              <w:top w:w="90" w:type="dxa"/>
              <w:start w:w="110" w:type="dxa"/>
              <w:bottom w:w="90" w:type="dxa"/>
              <w:end w:w="110" w:type="dxa"/>
            </w:tcMar>
            <w:vAlign w:val="center"/>
          </w:tcPr>
          <w:p>
            <w:pPr>
              <w:spacing w:after="0"/>
            </w:pPr>
            <w:r>
              <w:rPr>
                <w:rFonts w:ascii="Arial" w:hAnsi="Arial"/>
                <w:b w:val="0"/>
                <w:sz w:val="16"/>
              </w:rPr>
              <w:t>Balances auditability, reproducibility and storage cost</w:t>
            </w:r>
          </w:p>
        </w:tc>
      </w:tr>
      <w:tr>
        <w:trPr>
          <w:cantSplit/>
        </w:trPr>
        <w:tc>
          <w:tcPr>
            <w:tcW w:type="dxa" w:w="2376"/>
            <w:shd w:fill="F3F4F6"/>
            <w:tcMar>
              <w:top w:w="90" w:type="dxa"/>
              <w:start w:w="110" w:type="dxa"/>
              <w:bottom w:w="90" w:type="dxa"/>
              <w:end w:w="110" w:type="dxa"/>
            </w:tcMar>
            <w:vAlign w:val="center"/>
          </w:tcPr>
          <w:p>
            <w:pPr>
              <w:spacing w:after="0"/>
            </w:pPr>
            <w:r>
              <w:rPr>
                <w:rFonts w:ascii="Arial" w:hAnsi="Arial"/>
                <w:b/>
                <w:sz w:val="16"/>
              </w:rPr>
              <w:t>Availability target</w:t>
            </w:r>
          </w:p>
        </w:tc>
        <w:tc>
          <w:tcPr>
            <w:tcW w:type="dxa" w:w="3528"/>
            <w:shd w:fill="F3F4F6"/>
            <w:tcMar>
              <w:top w:w="90" w:type="dxa"/>
              <w:start w:w="110" w:type="dxa"/>
              <w:bottom w:w="90" w:type="dxa"/>
              <w:end w:w="110" w:type="dxa"/>
            </w:tcMar>
            <w:vAlign w:val="center"/>
          </w:tcPr>
          <w:p>
            <w:pPr>
              <w:spacing w:after="0"/>
            </w:pPr>
            <w:r>
              <w:rPr>
                <w:rFonts w:ascii="Arial" w:hAnsi="Arial"/>
                <w:b w:val="0"/>
                <w:sz w:val="16"/>
              </w:rPr>
              <w:t>Recoverable business-hours service for internal pilot</w:t>
            </w:r>
          </w:p>
        </w:tc>
        <w:tc>
          <w:tcPr>
            <w:tcW w:type="dxa" w:w="4031"/>
            <w:shd w:fill="F3F4F6"/>
            <w:tcMar>
              <w:top w:w="90" w:type="dxa"/>
              <w:start w:w="110" w:type="dxa"/>
              <w:bottom w:w="90" w:type="dxa"/>
              <w:end w:w="110" w:type="dxa"/>
            </w:tcMar>
            <w:vAlign w:val="center"/>
          </w:tcPr>
          <w:p>
            <w:pPr>
              <w:spacing w:after="0"/>
            </w:pPr>
            <w:r>
              <w:rPr>
                <w:rFonts w:ascii="Arial" w:hAnsi="Arial"/>
                <w:b w:val="0"/>
                <w:sz w:val="16"/>
              </w:rPr>
              <w:t>Avoids premature high-availability complexity</w:t>
            </w:r>
          </w:p>
        </w:tc>
      </w:tr>
    </w:tbl>
    <w:p>
      <w:pPr>
        <w:spacing w:after="40"/>
      </w:pPr>
    </w:p>
    <w:p>
      <w:pPr>
        <w:pStyle w:val="Heading1"/>
        <w:keepNext/>
      </w:pPr>
      <w:r>
        <w:rPr>
          <w:rFonts w:ascii="Arial" w:hAnsi="Arial"/>
          <w:b/>
          <w:color w:val="000000"/>
          <w:sz w:val="36"/>
        </w:rPr>
        <w:t>16  First Thirty Days</w:t>
      </w:r>
    </w:p>
    <w:p>
      <w:pPr>
        <w:pStyle w:val="ListNumber"/>
      </w:pPr>
      <w:r>
        <w:rPr>
          <w:rFonts w:ascii="Arial" w:hAnsi="Arial"/>
        </w:rPr>
        <w:t>Approve the internal release boundary, pilot country selection criteria and model approval roles.</w:t>
      </w:r>
    </w:p>
    <w:p>
      <w:pPr>
        <w:pStyle w:val="ListNumber"/>
      </w:pPr>
      <w:r>
        <w:rPr>
          <w:rFonts w:ascii="Arial" w:hAnsi="Arial"/>
        </w:rPr>
        <w:t>Create the version-controlled repository structure for the KRE web application, engine adapters, converter, deployment configuration, model specifications and test fixtures.</w:t>
      </w:r>
    </w:p>
    <w:p>
      <w:pPr>
        <w:pStyle w:val="ListNumber"/>
      </w:pPr>
      <w:r>
        <w:rPr>
          <w:rFonts w:ascii="Arial" w:hAnsi="Arial"/>
        </w:rPr>
        <w:t>Build the Docker Compose foundation with Django, React, PostgreSQL, artifact storage, queue, OpenQuake and Oasis services.</w:t>
      </w:r>
    </w:p>
    <w:p>
      <w:pPr>
        <w:pStyle w:val="ListNumber"/>
      </w:pPr>
      <w:r>
        <w:rPr>
          <w:rFonts w:ascii="Arial" w:hAnsi="Arial"/>
        </w:rPr>
        <w:t>Turn the successful PiWind command-line test into an automated integration test and trigger it through a minimal KRE workflow.</w:t>
      </w:r>
    </w:p>
    <w:p>
      <w:pPr>
        <w:pStyle w:val="ListNumber"/>
      </w:pPr>
      <w:r>
        <w:rPr>
          <w:rFonts w:ascii="Arial" w:hAnsi="Arial"/>
        </w:rPr>
        <w:t>Run an OpenQuake API and HDF5 export spike using a small event-based earthquake calculation.</w:t>
      </w:r>
    </w:p>
    <w:p>
      <w:pPr>
        <w:pStyle w:val="ListNumber"/>
      </w:pPr>
      <w:r>
        <w:rPr>
          <w:rFonts w:ascii="Arial" w:hAnsi="Arial"/>
        </w:rPr>
        <w:t>Produce the event identity decision paper and a first area-peril grid experiment for the proposed pilot country.</w:t>
      </w:r>
    </w:p>
    <w:p>
      <w:pPr>
        <w:pStyle w:val="ListNumber"/>
      </w:pPr>
      <w:r>
        <w:rPr>
          <w:rFonts w:ascii="Arial" w:hAnsi="Arial"/>
        </w:rPr>
        <w:t>Define the KRE run state machine, artifact manifest, engine adapter interfaces and compatibility matrix.</w:t>
      </w:r>
    </w:p>
    <w:p>
      <w:pPr>
        <w:pStyle w:val="ListNumber"/>
      </w:pPr>
      <w:r>
        <w:rPr>
          <w:rFonts w:ascii="Arial" w:hAnsi="Arial"/>
        </w:rPr>
        <w:t>Create the first clickable React workflow for project, exposure upload, analysis submission, run monitoring and result navigation.</w:t>
      </w:r>
    </w:p>
    <w:p>
      <w:pPr>
        <w:pStyle w:val="ListNumber"/>
      </w:pPr>
      <w:r>
        <w:rPr>
          <w:rFonts w:ascii="Arial" w:hAnsi="Arial"/>
        </w:rPr>
        <w:t>Establish CI checks for unit tests, contracts, container builds, security scans and the PiWind baseline.</w:t>
      </w:r>
    </w:p>
    <w:p>
      <w:pPr>
        <w:pStyle w:val="ListNumber"/>
      </w:pPr>
      <w:r>
        <w:rPr>
          <w:rFonts w:ascii="Arial" w:hAnsi="Arial"/>
        </w:rPr>
        <w:t>Agree the evidence required to accept the first earthquake vertical slice.</w:t>
      </w:r>
    </w:p>
    <w:p>
      <w:pPr>
        <w:pStyle w:val="Heading2"/>
        <w:keepNext/>
      </w:pPr>
      <w:r>
        <w:rPr>
          <w:rFonts w:ascii="Arial" w:hAnsi="Arial"/>
          <w:b/>
          <w:color w:val="000000"/>
          <w:sz w:val="26"/>
        </w:rPr>
        <w:t>Thirty day exit evidence</w:t>
      </w:r>
    </w:p>
    <w:p>
      <w:pPr>
        <w:pStyle w:val="ListBullet"/>
      </w:pPr>
      <w:r>
        <w:rPr>
          <w:rFonts w:ascii="Arial" w:hAnsi="Arial"/>
        </w:rPr>
        <w:t>A clean-machine setup can launch the development platform from documented commands.</w:t>
      </w:r>
    </w:p>
    <w:p>
      <w:pPr>
        <w:pStyle w:val="ListBullet"/>
      </w:pPr>
      <w:r>
        <w:rPr>
          <w:rFonts w:ascii="Arial" w:hAnsi="Arial"/>
        </w:rPr>
        <w:t>KRE can submit one Oasis smoke analysis and one small OpenQuake calculation through service adapters.</w:t>
      </w:r>
    </w:p>
    <w:p>
      <w:pPr>
        <w:pStyle w:val="ListBullet"/>
      </w:pPr>
      <w:r>
        <w:rPr>
          <w:rFonts w:ascii="Arial" w:hAnsi="Arial"/>
        </w:rPr>
        <w:t>All produced artifacts have a recorded URI, checksum, owner, status and retention class.</w:t>
      </w:r>
    </w:p>
    <w:p>
      <w:pPr>
        <w:pStyle w:val="ListBullet"/>
      </w:pPr>
      <w:r>
        <w:rPr>
          <w:rFonts w:ascii="Arial" w:hAnsi="Arial"/>
        </w:rPr>
        <w:t>The fixed-grid and event-semantics decisions have named owners and dated review points.</w:t>
      </w:r>
    </w:p>
    <w:p>
      <w:pPr>
        <w:pStyle w:val="ListBullet"/>
      </w:pPr>
      <w:r>
        <w:rPr>
          <w:rFonts w:ascii="Arial" w:hAnsi="Arial"/>
        </w:rPr>
        <w:t>The programme backlog and milestone demonstrations are estimated by the delivery team.</w:t>
      </w:r>
    </w:p>
    <w:p>
      <w:pPr>
        <w:pStyle w:val="Heading1"/>
        <w:keepNext/>
      </w:pPr>
      <w:r>
        <w:rPr>
          <w:rFonts w:ascii="Arial" w:hAnsi="Arial"/>
          <w:b/>
          <w:color w:val="000000"/>
          <w:sz w:val="36"/>
        </w:rPr>
        <w:t>17  Reference Baseline</w:t>
      </w:r>
    </w:p>
    <w:p>
      <w:r>
        <w:rPr>
          <w:rFonts w:ascii="Arial" w:hAnsi="Arial"/>
        </w:rPr>
        <w:t>The following upstream sources define the initial implementation boundary. KRE should pin exact releases and container digests after compatibility testing rather than following moving latest tags.</w:t>
      </w:r>
    </w:p>
    <w:p>
      <w:pPr>
        <w:pStyle w:val="ListBullet"/>
      </w:pPr>
      <w:hyperlink r:id="rId10">
        <w:r>
          <w:rPr>
            <w:color w:val="234A9E"/>
            <w:u w:val="single"/>
          </w:rPr>
          <w:t>OpenQuake Engine repository and release baseline</w:t>
        </w:r>
      </w:hyperlink>
      <w:r>
        <w:rPr>
          <w:rFonts w:ascii="Arial" w:hAnsi="Arial"/>
          <w:sz w:val="19"/>
        </w:rPr>
        <w:t>. At the planning date, the project identifies 3.23 as the long-term-support line and 3.26 as the latest stable line.</w:t>
      </w:r>
    </w:p>
    <w:p>
      <w:pPr>
        <w:pStyle w:val="ListBullet"/>
      </w:pPr>
      <w:hyperlink r:id="rId11">
        <w:r>
          <w:rPr>
            <w:color w:val="234A9E"/>
            <w:u w:val="single"/>
          </w:rPr>
          <w:t>OpenQuake engine architecture</w:t>
        </w:r>
      </w:hyperlink>
      <w:r>
        <w:rPr>
          <w:rFonts w:ascii="Arial" w:hAnsi="Arial"/>
          <w:sz w:val="19"/>
        </w:rPr>
        <w:t>. Describes per-calculation HDF5 datastores and the separate metadata database.</w:t>
      </w:r>
    </w:p>
    <w:p>
      <w:pPr>
        <w:pStyle w:val="ListBullet"/>
      </w:pPr>
      <w:hyperlink r:id="rId12">
        <w:r>
          <w:rPr>
            <w:color w:val="234A9E"/>
            <w:u w:val="single"/>
          </w:rPr>
          <w:t>OpenQuake REST API</w:t>
        </w:r>
      </w:hyperlink>
      <w:r>
        <w:rPr>
          <w:rFonts w:ascii="Arial" w:hAnsi="Arial"/>
          <w:sz w:val="19"/>
        </w:rPr>
        <w:t>. Provides the supported remote calculation and result boundary.</w:t>
      </w:r>
    </w:p>
    <w:p>
      <w:pPr>
        <w:pStyle w:val="ListBullet"/>
      </w:pPr>
      <w:hyperlink r:id="rId13">
        <w:r>
          <w:rPr>
            <w:color w:val="234A9E"/>
            <w:u w:val="single"/>
          </w:rPr>
          <w:t>OpenQuake export guidance</w:t>
        </w:r>
      </w:hyperlink>
      <w:r>
        <w:rPr>
          <w:rFonts w:ascii="Arial" w:hAnsi="Arial"/>
          <w:sz w:val="19"/>
        </w:rPr>
        <w:t>. Lists GMF HDF5 export and recommends binary formats for large outputs.</w:t>
      </w:r>
    </w:p>
    <w:p>
      <w:pPr>
        <w:pStyle w:val="ListBullet"/>
      </w:pPr>
      <w:hyperlink r:id="rId14">
        <w:r>
          <w:rPr>
            <w:color w:val="234A9E"/>
            <w:u w:val="single"/>
          </w:rPr>
          <w:t>OasisLMF repository</w:t>
        </w:r>
      </w:hyperlink>
      <w:r>
        <w:rPr>
          <w:rFonts w:ascii="Arial" w:hAnsi="Arial"/>
          <w:sz w:val="19"/>
        </w:rPr>
        <w:t>. Defines the supported 2.5.x line for 2026 and the model development toolkit.</w:t>
      </w:r>
    </w:p>
    <w:p>
      <w:pPr>
        <w:pStyle w:val="ListBullet"/>
      </w:pPr>
      <w:hyperlink r:id="rId15">
        <w:r>
          <w:rPr>
            <w:color w:val="234A9E"/>
            <w:u w:val="single"/>
          </w:rPr>
          <w:t>Oasis Platform API reference</w:t>
        </w:r>
      </w:hyperlink>
      <w:r>
        <w:rPr>
          <w:rFonts w:ascii="Arial" w:hAnsi="Arial"/>
          <w:sz w:val="19"/>
        </w:rPr>
        <w:t>. Documents the Platform REST APIs and OpenAPI schemas.</w:t>
      </w:r>
    </w:p>
    <w:p>
      <w:pPr>
        <w:pStyle w:val="ListBullet"/>
      </w:pPr>
      <w:hyperlink r:id="rId16">
        <w:r>
          <w:rPr>
            <w:color w:val="234A9E"/>
            <w:u w:val="single"/>
          </w:rPr>
          <w:t>Oasis model data formats</w:t>
        </w:r>
      </w:hyperlink>
      <w:r>
        <w:rPr>
          <w:rFonts w:ascii="Arial" w:hAnsi="Arial"/>
          <w:sz w:val="19"/>
        </w:rPr>
        <w:t>. Defines events, area perils, footprints, intensity, vulnerability and occurrence concepts.</w:t>
      </w:r>
    </w:p>
    <w:p>
      <w:pPr>
        <w:pStyle w:val="ListBullet"/>
      </w:pPr>
      <w:hyperlink r:id="rId17">
        <w:r>
          <w:rPr>
            <w:color w:val="234A9E"/>
            <w:u w:val="single"/>
          </w:rPr>
          <w:t>Oasis keys service</w:t>
        </w:r>
      </w:hyperlink>
      <w:r>
        <w:rPr>
          <w:rFonts w:ascii="Arial" w:hAnsi="Arial"/>
          <w:sz w:val="19"/>
        </w:rPr>
        <w:t>. Defines the exposure-to-model lookup boundary.</w:t>
      </w:r>
    </w:p>
    <w:p>
      <w:pPr>
        <w:pStyle w:val="ListBullet"/>
      </w:pPr>
      <w:hyperlink r:id="rId18">
        <w:r>
          <w:rPr>
            <w:color w:val="234A9E"/>
            <w:u w:val="single"/>
          </w:rPr>
          <w:t>Oasis result formats</w:t>
        </w:r>
      </w:hyperlink>
      <w:r>
        <w:rPr>
          <w:rFonts w:ascii="Arial" w:hAnsi="Arial"/>
          <w:sz w:val="19"/>
        </w:rPr>
        <w:t>. Documents current ORD-aligned loss result outputs.</w:t>
      </w:r>
    </w:p>
    <w:p>
      <w:pPr>
        <w:pStyle w:val="Heading2"/>
        <w:keepNext/>
      </w:pPr>
      <w:r>
        <w:rPr>
          <w:rFonts w:ascii="Arial" w:hAnsi="Arial"/>
          <w:b/>
          <w:color w:val="000000"/>
          <w:sz w:val="26"/>
        </w:rPr>
        <w:t>Version policy</w:t>
      </w:r>
    </w:p>
    <w:p>
      <w:r>
        <w:rPr>
          <w:rFonts w:ascii="Arial" w:hAnsi="Arial"/>
        </w:rPr>
        <w:t>The production selection should favour the OpenQuake LTS line unless a required model or export capability is available only in the newer stable line. Oasis should use a tested 2.5.x patch release and matching Platform and model-worker images. Every engine update must run contract, scientific regression and PiWind or earthquake end-to-end suites before promotion.</w:t>
      </w:r>
    </w:p>
    <w:sectPr w:rsidR="00FC693F" w:rsidRPr="0006063C" w:rsidSect="00034616">
      <w:footerReference w:type="default" r:id="rId1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8784"/>
          <w:tcMar>
            <w:top w:w="40" w:type="dxa"/>
            <w:start w:w="20" w:type="dxa"/>
            <w:bottom w:w="20" w:type="dxa"/>
            <w:end w:w="20" w:type="dxa"/>
          </w:tcMar>
        </w:tcPr>
        <w:p>
          <w:pPr>
            <w:spacing w:after="0"/>
          </w:pPr>
          <w:r>
            <w:rPr>
              <w:rFonts w:ascii="Arial" w:hAnsi="Arial"/>
              <w:color w:val="555555"/>
              <w:sz w:val="15"/>
            </w:rPr>
            <w:t>Klapton Reinsurance PLC  |  Earthquake Platform Build Plan</w:t>
          </w:r>
        </w:p>
      </w:tc>
      <w:tc>
        <w:tcPr>
          <w:tcW w:type="dxa" w:w="1209"/>
          <w:tcMar>
            <w:top w:w="40" w:type="dxa"/>
            <w:start w:w="20" w:type="dxa"/>
            <w:bottom w:w="20" w:type="dxa"/>
            <w:end w:w="20" w:type="dxa"/>
          </w:tcMar>
        </w:tcPr>
        <w:p>
          <w:pPr>
            <w:spacing w:after="0"/>
            <w:jc w:val="right"/>
          </w:pPr>
          <w:r>
            <w:rPr>
              <w:rFonts w:ascii="Arial" w:hAnsi="Arial"/>
              <w:color w:val="555555"/>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spacing w:after="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gem/oq-engine" TargetMode="External"/><Relationship Id="rId11" Type="http://schemas.openxmlformats.org/officeDocument/2006/relationships/hyperlink" Target="https://docs.openquake.org/oq-engine/master/manual/contributing/architecture.html" TargetMode="External"/><Relationship Id="rId12" Type="http://schemas.openxmlformats.org/officeDocument/2006/relationships/hyperlink" Target="https://docs.openquake.org/oq-engine/manual/latest/api-reference/rest-api.html" TargetMode="External"/><Relationship Id="rId13" Type="http://schemas.openxmlformats.org/officeDocument/2006/relationships/hyperlink" Target="https://docs.openquake.org/oq-engine/manual/master/user-guide/advanced/useful-oq-commands.html" TargetMode="External"/><Relationship Id="rId14" Type="http://schemas.openxmlformats.org/officeDocument/2006/relationships/hyperlink" Target="https://github.com/OasisLMF/OasisLMF" TargetMode="External"/><Relationship Id="rId15" Type="http://schemas.openxmlformats.org/officeDocument/2006/relationships/hyperlink" Target="https://oasislmf.github.io/2.5.7/platform/reference/index.html" TargetMode="External"/><Relationship Id="rId16" Type="http://schemas.openxmlformats.org/officeDocument/2006/relationships/hyperlink" Target="https://oasislmf.github.io/2.5.7/oasislmf/reference/Oasis-model-data-formats.html" TargetMode="External"/><Relationship Id="rId17" Type="http://schemas.openxmlformats.org/officeDocument/2006/relationships/hyperlink" Target="https://oasislmf.github.io/2.5.7/oasislmf/explanation/keys-service.html" TargetMode="External"/><Relationship Id="rId18" Type="http://schemas.openxmlformats.org/officeDocument/2006/relationships/hyperlink" Target="https://oasislmf.github.io/2.5.7/oasislmf/reference/outputs/results.htm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Klapton Re Earthquake Catastrophe Modelling Platform Build Plan</dc:title>
  <dc:subject>End to end product, model, engineering and delivery plan</dc:subject>
  <dc:creator>Klapton Reinsurance PLC</dc:creator>
  <cp:keywords>Klapton Re, catastrophe modelling, earthquake, OpenQuake, OasisLMF, React, Django</cp:keywords>
  <dc:description/>
  <cp:lastModifiedBy/>
  <cp:revision>1</cp:revision>
  <dcterms:created xsi:type="dcterms:W3CDTF">2013-12-23T23:15:00Z</dcterms:created>
  <dcterms:modified xsi:type="dcterms:W3CDTF">2013-12-23T23:15:00Z</dcterms:modified>
  <cp:category/>
</cp:coreProperties>
</file>