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mc="http://schemas.openxmlformats.org/markup-compatibility/2006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mc:Ignorable="w14 w15 wp14">
  <w:body>
    <w:tbl>
      <w:tblPr>
        <w:tblW w:type="dxa" w:w="11906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11906"/>
      </w:tblGrid>
      <w:tr>
        <w:trPr>
          <w:trHeight w:val="16838" w:hRule="exact"/>
        </w:trPr>
        <w:tc>
          <w:tcPr>
            <w:tcW w:type="dxa" w:w="1190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000000" w:color="auto" w:val="clear"/>
            <w:tcMar>
              <w:top w:type="dxa" w:w="900"/>
              <w:left w:type="dxa" w:w="1000"/>
              <w:bottom w:type="dxa" w:w="700"/>
              <w:right w:type="dxa" w:w="1000"/>
            </w:tcMar>
            <w:vAlign w:val="top"/>
          </w:tcPr>
          <w:p>
            <w:pPr>
              <w:tabs>
                <w:tab w:val="right" w:pos="10406"/>
              </w:tabs>
              <w:spacing w:after="24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AURIX ROBOTICS PROJECT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8"/>
                <w:sz w:val="14"/>
                <w:szCs w:val="14"/>
              </w:rPr>
              <w:t xml:space="preserve">TROUBLESHOOTING</w:t>
            </w:r>
          </w:p>
          <w:p>
            <w:pPr>
              <w:spacing w:after="400" w:before="400"/>
              <w:jc w:val="center"/>
            </w:pPr>
            <w:r>
              <w:drawing>
                <wp:inline distT="0" distB="0" distL="0" distR="0">
                  <wp:extent cx="3143250" cy="3143250"/>
                  <wp:effectExtent t="0" r="0" b="0" l="0"/>
                  <wp:docPr id="1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325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before="0" w:line="32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68"/>
                <w:szCs w:val="68"/>
              </w:rPr>
              <w:t xml:space="preserve">MediRun</w:t>
            </w:r>
          </w:p>
          <w:p>
            <w:pPr>
              <w:spacing w:after="26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z w:val="34"/>
                <w:szCs w:val="34"/>
              </w:rPr>
              <w:t xml:space="preserve">트러블슈팅 관리 대장 (GUI · HMI)</w:t>
            </w:r>
          </w:p>
          <w:p>
            <w:pPr>
              <w:pBdr>
                <w:bottom w:val="single" w:color="8A5C13" w:sz="6"/>
              </w:pBdr>
              <w:spacing w:after="240" w:before="0" w:line="260"/>
            </w:pPr>
          </w:p>
          <w:p>
            <w:pPr>
              <w:spacing w:after="12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7"/>
                <w:szCs w:val="17"/>
              </w:rPr>
              <w:t xml:space="preserve">이슈 등록 · 재현 · 원인 분석 · 조치 · 검증 · 재발 방지</w:t>
            </w:r>
          </w:p>
          <w:p>
            <w:pPr>
              <w:spacing w:after="9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5"/>
                <w:szCs w:val="15"/>
              </w:rPr>
              <w:t xml:space="preserve">TurtleBot3 Burger · ROS 2 Humble · Nav2 · Arduino · Qt(C++) · PostgreSQL</w:t>
            </w:r>
          </w:p>
          <w:p>
            <w:pPr>
              <w:spacing w:after="10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D9A441"/>
                <w:spacing w:val="24"/>
                <w:sz w:val="14"/>
                <w:szCs w:val="14"/>
              </w:rPr>
              <w:t xml:space="preserve">PROJECT MEMBERS</w:t>
            </w:r>
          </w:p>
          <w:p>
            <w:pPr>
              <w:tabs>
                <w:tab w:val="right" w:pos="10406"/>
              </w:tabs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22"/>
                <w:szCs w:val="22"/>
              </w:rPr>
              <w:t xml:space="preserve">도희정  •  최치언</w:t>
            </w:r>
            <w:r>
              <w:rPr>
                <w:rFonts w:ascii="맑은 고딕" w:cs="맑은 고딕" w:eastAsia="맑은 고딕" w:hAnsi="맑은 고딕"/>
              </w:rPr>
              <w:t xml:space="preserve">	</w:t>
            </w:r>
            <w:r>
              <w:rPr>
                <w:rFonts w:ascii="맑은 고딕" w:cs="맑은 고딕" w:eastAsia="맑은 고딕" w:hAnsi="맑은 고딕"/>
                <w:b/>
                <w:bCs/>
                <w:color w:val="8A8A8A"/>
                <w:sz w:val="14"/>
                <w:szCs w:val="14"/>
              </w:rPr>
              <w:t xml:space="preserve">2026.07.31 | TROUBLESHOOTING</w:t>
            </w:r>
          </w:p>
        </w:tc>
      </w:tr>
    </w:tbl>
    <w:p>
      <w:pPr>
        <w:spacing w:line="20"/>
      </w:pPr>
    </w:p>
    <w:p>
      <w:pPr>
        <w:sectPr>
          <w:pgSz w:w="11906" w:h="16838" w:orient="portrait"/>
          <w:pgMar w:top="0" w:right="0" w:bottom="0" w:left="0" w:header="0" w:footer="0" w:gutter="0"/>
          <w:pgNumType/>
          <w:docGrid w:linePitch="360"/>
        </w:sectPr>
      </w:pPr>
    </w:p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1. 문서 범위와 표기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 문서는 GUI · HMI 영역(GUI)에서 발생한 문제만 등록·추적·종결하는 기록이다. 다른 영역의 이슈는 해당 영역 문서에 등록한다. 이슈 1건은 카드 1개로 관리하며, 증상·재현·원인·조치·검증·재발 방지를 한 세트로 남긴다.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1.1 기록 대상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구분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 범위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Qt 대시보드, 화면 갱신, 권한별 표시, 사용자 조작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기록한다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재현 여부와 무관하게 개발·시험을 30분 이상 멈춘 문제, 원인이 즉시 설명되지 않는 동작, 임시 조치로 넘어간 문제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기록하지 않는다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오타·컴파일 에러처럼 즉시 자명하게 해결된 것, 설계 변경 논의(설계서에서 다룸)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영역 경계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원인이 다른 영역으로 밝혀지면 이 문서의 이슈는 "타 영역 이관"으로 종결하고, 해당 영역 문서에 새 ID로 등록한 뒤 두 문서의 관련란에 서로의 ID를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1.2 식별자와 분류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표기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값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ID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color w:val="B97812"/>
                <w:sz w:val="16"/>
                <w:szCs w:val="16"/>
              </w:rPr>
              <w:t xml:space="preserve">TS-GUI-nn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TS-GUI-01부터 순번. 종결되어도 번호를 재사용하지 않는다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영역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고정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(GUI · HMI)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/ MAJOR / MINOR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상태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대문자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 / INVESTIGATING / RESOLVED / WORKAROUND / WONTFIX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1.3 심각도 판단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기준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기능이 동작하지 않거나, 다른 작업 전체가 진행 불가한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MAJOR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핵심 기능이 동작하지 않으나 우회 경로가 있는 상태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오류·성능 저하 등 기능 수행에는 지장이 없는 상태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대응 우선순위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안전 정지 › 데이터 손실 › 기능 불가 › 성능 저하 › 표시 오류. 같은 심각도라면 이 순서로 처리한다.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2. 이슈 관리 규칙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2.1 상태 전이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현재 상태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다음 상태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전이 조건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OPEN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담당자가 지정되고 원인 분석을 시작한 시점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근본 원인이 확인되고 조치 후 검증 항목을 통과한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원인 미확인 또는 근본 조치 불가로 임시 회피만 적용한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INVESTIGATING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WONTFIX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프로젝트 범위 밖으로 판단해 대응하지 않기로 합의한 경우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WORKAROUND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이후 근본 원인이 확인되어 정식 조치가 반영된 경우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2.2 종결 조건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원인란에 "확인됨" 또는 "미확인" 중 하나가 명시되어 있어야 한다. 비워 둘 수 없다.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검증란에 무엇을 관측해 해결로 판단했는지 적혀 있어야 한다. "정상 동작 확인"만으로는 종결하지 않는다.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재발 방지란에 규칙·체크리스트·코드 중 어디로 반영했는지, 또는 반영하지 않은 이유를 적는다.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WORKAROUND 상태로 종결한 이슈는 6장 미해결 목록에 그대로 남긴다.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2.3 기록 원칙</w:t>
      </w:r>
    </w:p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증상과 추측 분리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증상란에는 관측된 것만 적는다. "…때문인 것 같다"는 진단 과정에 적고, 확인되기 전까지 원인란으로 올리지 않는다.</w:t>
            </w: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실패한 가설 보존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아니었던 것을 지우지 않는다. 같은 증상이 재발했을 때 가장 시간을 아껴 주는 정보다.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3. 이슈 목록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영역 전체 이슈의 인덱스다. 상세는 4장의 같은 ID 카드를 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4746"/>
        <w:gridCol w:w="1700"/>
        <w:gridCol w:w="1800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4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심각도</w:t>
            </w:r>
          </w:p>
        </w:tc>
        <w:tc>
          <w:tcPr>
            <w:tcW w:type="dxa" w:w="18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TS-GUI-01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헤더 배터리 잔량이 49~50% 경계에서 떨림</w:t>
            </w: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</w:t>
            </w: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TS-GUI-02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TS-GUI-03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TS-GUI-04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TS-GUI-05</w:t>
            </w:r>
          </w:p>
        </w:tc>
        <w:tc>
          <w:tcPr>
            <w:tcW w:type="dxa" w:w="4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  <w:tc>
          <w:tcPr>
            <w:tcW w:type="dxa" w:w="18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  <w:jc w:val="center"/>
            </w:pPr>
          </w:p>
        </w:tc>
      </w:tr>
    </w:tbl>
    <w:p>
      <w:pPr>
        <w:spacing w:after="120" w:line="120"/>
      </w:pP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000"/>
        <w:gridCol w:w="7746"/>
      </w:tblGrid>
      <w:tr>
        <w:trPr>
          <w:tblHeader/>
        </w:trPr>
        <w:tc>
          <w:tcPr>
            <w:tcW w:type="dxa" w:w="2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집계</w:t>
            </w:r>
          </w:p>
        </w:tc>
        <w:tc>
          <w:tcPr>
            <w:tcW w:type="dxa" w:w="77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건수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전체 / 종결 / 미해결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1 / 1 / 0</w:t>
            </w:r>
          </w:p>
        </w:tc>
      </w:tr>
      <w:tr>
        <w:tc>
          <w:tcPr>
            <w:tcW w:type="dxa" w:w="2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잔여</w:t>
            </w:r>
          </w:p>
        </w:tc>
        <w:tc>
          <w:tcPr>
            <w:tcW w:type="dxa" w:w="7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0</w:t>
            </w: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4. 이슈 상세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이슈 1건당 아래 카드 한 세트를 그대로 복사해 채운다. 항목을 빼거나 순서를 바꾸지 않는다. 해당 없음이면 "해당 없음"이라고 적는다.</w:t>
            </w: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4.1 TS-GUI-01 (헤더 배터리 잔량 표시 떨림)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개요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심각도 / 상태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MINOR / RESOLVED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발생일 / 해결일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2026-07-31 / 2026-07-31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담당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GUI 담당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환경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 2 Humble · Qt Widgets · TurtleBot3 /battery_state · medirun_gui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관련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연관 이슈 없음 / fix(dashboard): 배터리 떨림 현상 수정 / GUI 헤더 배터리 표시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증상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헤더 배터리 값이 49%와 50% 사이에서 반복적으로 바뀌어 숫자와 색상이 경계값 근처에서 흔들렸다.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$ 명령어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헤더에서 49%와 50%가 반복 전환되는 화면 확인, /battery_state 수신은 정상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재현 절차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TurtleBot3 bringup 실행 후 /battery_state publish 상태를 만든다.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배터리 토픽이 연속 수신된다.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medirun_gui를 실행하고 헤더 배터리 표시를 확인한다.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49~50% 경계에서 숫자와 색상이 흔들린다.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재현율: 5/5회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진단 과정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경계 근처 raw percentage가 흔들리고 있고, GUI가 이를 즉시 정수화해 표시하는지 확인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/battery_state echo 확인, provider 로직 검토, 헤더 갱신 경로 확인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raw percentage 값이 경계 부근에서 미세하게 변하고 있었음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 토픽 미수신 문제 아님 — /battery_state가 정상적으로 계속 들어왔음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표시 로직 문제 맞음 — 필터와 히스테리시스 없이 매 메시지마다 정수화하고 있었음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원인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확인됨. /battery_state의 percentage 값이 경계 근처에서 미세하게 흔들리는데, GUI가 이를 매 메시지마다 즉시 정수화해 표시하면서 49%와 50%가 반복 전환되었다. 시간기반 필터와 표시 히스테리시스가 없어 센서 노이즈가 그대로 UI 떨림으로 나타났다.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조치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전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변경 후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rosbatterytelemetryprovider.cpp, headerbar.cpp</w:t>
            </w: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7F8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raw percentage 즉시 반영, 경계값 근처에서 정수 표시와 색상이 반복 전환</w:t>
            </w:r>
          </w:p>
          <w:p>
            <w:pPr>
              <w:spacing w:after="20" w:line="240"/>
            </w:pPr>
            <w:r>
              <w:rPr>
                <w:rFonts w:ascii="Consolas" w:cs="Consolas" w:eastAsia="Consolas" w:hAnsi="Consolas"/>
                <w:color w:val="3C3429"/>
                <w:sz w:val="16"/>
                <w:szCs w:val="16"/>
              </w:rPr>
              <w:t xml:space="preserve">시간기반 저역통과 필터(tau=5.0s)와 표시 히스테리시스(1.25%p) 적용</w:t>
            </w:r>
          </w:p>
        </w:tc>
      </w:tr>
    </w:tbl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검증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경계 구간에서도 숫자가 49%와 50%로 오락가락하지 않는지 확인</w:t>
      </w:r>
    </w:p>
    <w:p>
      <w:pPr>
        <w:pStyle w:val="ListParagraph"/>
        <w:numPr>
          <w:ilvl w:val="0"/>
          <w:numId w:val="2"/>
        </w:numPr>
        <w:spacing w:after="8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동일 절차를 다시 수행한 결과 헤더 배터리 값이 46%로 안정적으로 유지되었다. /battery_state 실시간 갱신은 유지됐고, 미수신 시 --% 표시도 정상 동작했다. 검증 결과 5/5회 정상 동작했다.</w:t>
      </w:r>
    </w:p>
    <w:p>
      <w:pPr>
        <w:pStyle w:val="Heading3"/>
        <w:spacing w:after="120" w:before="260" w:line="260"/>
      </w:pPr>
      <w:r>
        <w:rPr>
          <w:rFonts w:ascii="맑은 고딕" w:cs="맑은 고딕" w:eastAsia="맑은 고딕" w:hAnsi="맑은 고딕"/>
          <w:b/>
          <w:bCs/>
          <w:color w:val="241B12"/>
          <w:sz w:val="21"/>
          <w:szCs w:val="21"/>
        </w:rPr>
        <w:t xml:space="preserve">재발 방지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2600"/>
        <w:gridCol w:w="7146"/>
      </w:tblGrid>
      <w:tr>
        <w:trPr>
          <w:tblHeader/>
        </w:trPr>
        <w:tc>
          <w:tcPr>
            <w:tcW w:type="dxa" w:w="26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위치</w:t>
            </w:r>
          </w:p>
        </w:tc>
        <w:tc>
          <w:tcPr>
            <w:tcW w:type="dxa" w:w="71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코드</w:t>
            </w:r>
          </w:p>
        </w:tc>
        <w:tc>
          <w:tcPr>
            <w:tcW w:type="dxa" w:w="71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5. 재발 방지</w:t>
      </w:r>
    </w:p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5.1 반복된 원인 유형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GUI 영역에서 두 번 이상 같은 원인으로 발생한 이슈를 묶는다.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유형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해당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/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/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shd w:fill="FAFA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/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2"/>
        <w:pBdr>
          <w:left w:val="single" w:color="D9A441" w:sz="24" w:space="8"/>
        </w:pBdr>
        <w:spacing w:after="180" w:before="380" w:line="280"/>
        <w:ind w:left="140"/>
      </w:pPr>
      <w:r>
        <w:rPr>
          <w:rFonts w:ascii="맑은 고딕" w:cs="맑은 고딕" w:eastAsia="맑은 고딕" w:hAnsi="맑은 고딕"/>
          <w:b/>
          <w:bCs/>
          <w:color w:val="241B12"/>
          <w:sz w:val="26"/>
          <w:szCs w:val="26"/>
        </w:rPr>
        <w:t xml:space="preserve">5.2 규칙으로 승격된 항목</w:t>
      </w:r>
    </w:p>
    <w:p>
      <w:pPr>
        <w:spacing w:after="140" w:before="0" w:line="260"/>
      </w:pPr>
      <w:r>
        <w:rPr>
          <w:rFonts w:ascii="맑은 고딕" w:cs="맑은 고딕" w:eastAsia="맑은 고딕" w:hAnsi="맑은 고딕"/>
          <w:color w:val="3C3429"/>
          <w:sz w:val="17"/>
          <w:szCs w:val="17"/>
        </w:rPr>
        <w:t xml:space="preserve">반복 발생을 막기 위해 개발 규칙서·체크리스트로 옮긴 항목을 적는다. 승격 후에는 이 문서가 아니라 규칙서가 원본이다.</w:t>
      </w:r>
    </w:p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000"/>
        <w:gridCol w:w="5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항목</w:t>
            </w:r>
          </w:p>
        </w:tc>
        <w:tc>
          <w:tcPr>
            <w:tcW w:type="dxa" w:w="30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출처 이슈</w:t>
            </w:r>
          </w:p>
        </w:tc>
        <w:tc>
          <w:tcPr>
            <w:tcW w:type="dxa" w:w="5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반영 문서·절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30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배터리처럼 변화가 느린 센서 UI는 시간기반 필터와 히스테리시스를 적용하고, 경계값 기반 표시는 raw 값을 바로 정수화하지 않는다. / TS-GUI-01 / GUI 구현 체크 항목</w:t>
            </w:r>
          </w:p>
        </w:tc>
        <w:tc>
          <w:tcPr>
            <w:tcW w:type="dxa" w:w="5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p>
      <w:pPr>
        <w:pStyle w:val="Heading1"/>
        <w:spacing w:after="220" w:before="200" w:line="280"/>
      </w:pPr>
      <w:r>
        <w:rPr>
          <w:rFonts w:ascii="맑은 고딕" w:cs="맑은 고딕" w:eastAsia="맑은 고딕" w:hAnsi="맑은 고딕"/>
          <w:b/>
          <w:bCs/>
          <w:color w:val="241B12"/>
          <w:sz w:val="40"/>
          <w:szCs w:val="40"/>
        </w:rPr>
        <w:t xml:space="preserve">6. 미해결 이슈</w:t>
      </w:r>
    </w:p>
    <w:tbl>
      <w:tblPr>
        <w:tblW w:type="dxa" w:w="9746"/>
        <w:tblBorders>
          <w:top w:val="single" w:color="EAD9B6" w:sz="6"/>
          <w:left w:val="single" w:color="EAD9B6" w:sz="6"/>
          <w:bottom w:val="single" w:color="EAD9B6" w:sz="6"/>
          <w:right w:val="single" w:color="EAD9B6" w:sz="6"/>
          <w:insideH w:val="single" w:color="EAD9B6" w:sz="6"/>
          <w:insideV w:val="single" w:color="EAD9B6" w:sz="6"/>
        </w:tblBorders>
      </w:tblPr>
      <w:tblGrid>
        <w:gridCol w:w="9746"/>
      </w:tblGrid>
      <w:tr>
        <w:tc>
          <w:tcPr>
            <w:tcW w:type="dxa" w:w="9746"/>
            <w:tcBorders>
              <w:top w:val="single" w:color="EAD9B6" w:sz="6"/>
              <w:left w:val="single" w:color="EAD9B6" w:sz="6"/>
              <w:bottom w:val="single" w:color="EAD9B6" w:sz="6"/>
              <w:right w:val="single" w:color="EAD9B6" w:sz="6"/>
            </w:tcBorders>
            <w:shd w:fill="FFF8E8" w:color="auto" w:val="clear"/>
            <w:tcMar>
              <w:top w:type="dxa" w:w="130"/>
              <w:left w:type="dxa" w:w="110"/>
              <w:bottom w:type="dxa" w:w="13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RESOLVED가 아닌 이슈만 모은다. 이 표가 비어 있지 않으면 그대로 위험관리 항목으로 옮겨 추적한다.</w:t>
            </w:r>
          </w:p>
        </w:tc>
      </w:tr>
    </w:tbl>
    <w:tbl>
      <w:tblPr>
        <w:tblW w:type="dxa" w:w="9746"/>
        <w:tblBorders>
          <w:top w:val="single" w:color="DEDEDE" w:sz="6"/>
          <w:left w:val="single" w:color="DEDEDE" w:sz="6"/>
          <w:bottom w:val="single" w:color="DEDEDE" w:sz="6"/>
          <w:right w:val="single" w:color="DEDEDE" w:sz="6"/>
          <w:insideH w:val="single" w:color="DEDEDE" w:sz="6"/>
          <w:insideV w:val="single" w:color="DEDEDE" w:sz="6"/>
        </w:tblBorders>
      </w:tblPr>
      <w:tblGrid>
        <w:gridCol w:w="1500"/>
        <w:gridCol w:w="3300"/>
        <w:gridCol w:w="1700"/>
        <w:gridCol w:w="3246"/>
      </w:tblGrid>
      <w:tr>
        <w:trPr>
          <w:tblHeader/>
        </w:trPr>
        <w:tc>
          <w:tcPr>
            <w:tcW w:type="dxa" w:w="15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ID</w:t>
            </w:r>
          </w:p>
        </w:tc>
        <w:tc>
          <w:tcPr>
            <w:tcW w:type="dxa" w:w="33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증상</w:t>
            </w:r>
          </w:p>
        </w:tc>
        <w:tc>
          <w:tcPr>
            <w:tcW w:type="dxa" w:w="1700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상태</w:t>
            </w:r>
          </w:p>
        </w:tc>
        <w:tc>
          <w:tcPr>
            <w:tcW w:type="dxa" w:w="3246"/>
            <w:tcBorders>
              <w:top w:val="single" w:color="49361D" w:sz="6"/>
              <w:left w:val="single" w:color="49361D" w:sz="6"/>
              <w:bottom w:val="single" w:color="49361D" w:sz="6"/>
              <w:right w:val="single" w:color="49361D" w:sz="6"/>
            </w:tcBorders>
            <w:shd w:fill="241B1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F4CF87"/>
                <w:sz w:val="17"/>
                <w:szCs w:val="17"/>
              </w:rPr>
              <w:t xml:space="preserve">영향과 임시 대응</w:t>
            </w:r>
          </w:p>
        </w:tc>
      </w:tr>
      <w:tr>
        <w:tc>
          <w:tcPr>
            <w:tcW w:type="dxa" w:w="15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/>
            </w:r>
          </w:p>
        </w:tc>
        <w:tc>
          <w:tcPr>
            <w:tcW w:type="dxa" w:w="33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  <w:tc>
          <w:tcPr>
            <w:tcW w:type="dxa" w:w="1700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/>
            </w:r>
          </w:p>
        </w:tc>
        <w:tc>
          <w:tcPr>
            <w:tcW w:type="dxa" w:w="3246"/>
            <w:tcBorders>
              <w:top w:val="single" w:color="DEDEDE" w:sz="6"/>
              <w:left w:val="single" w:color="DEDEDE" w:sz="6"/>
              <w:bottom w:val="single" w:color="DEDEDE" w:sz="6"/>
              <w:right w:val="single" w:color="DEDEDE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 w:line="260"/>
            </w:pPr>
          </w:p>
        </w:tc>
      </w:tr>
    </w:tbl>
    <w:tbl>
      <w:tblPr>
        <w:tblW w:type="dxa" w:w="9746"/>
        <w:tblBorders>
          <w:top w:val="none" w:color="auto" w:sz="0"/>
          <w:left w:val="single" w:color="D9A441" w:sz="2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746"/>
      </w:tblGrid>
      <w:tr>
        <w:tc>
          <w:tcPr>
            <w:tcW w:type="dxa" w:w="9746"/>
            <w:tcBorders>
              <w:top w:val="none" w:color="auto" w:sz="0"/>
              <w:left w:val="single" w:color="D9A441" w:sz="20"/>
              <w:bottom w:val="none" w:color="auto" w:sz="0"/>
              <w:right w:val="none" w:color="auto" w:sz="0"/>
            </w:tcBorders>
            <w:shd w:fill="FFF8E8" w:color="auto" w:val="clear"/>
            <w:tcMar>
              <w:top w:type="dxa" w:w="120"/>
              <w:left w:type="dxa" w:w="160"/>
              <w:bottom w:type="dxa" w:w="120"/>
              <w:right w:type="dxa" w:w="140"/>
            </w:tcMar>
          </w:tcPr>
          <w:p>
            <w:pPr>
              <w:spacing w:after="0" w:before="0" w:line="260"/>
            </w:pPr>
            <w:r>
              <w:rPr>
                <w:rFonts w:ascii="맑은 고딕" w:cs="맑은 고딕" w:eastAsia="맑은 고딕" w:hAnsi="맑은 고딕"/>
                <w:b/>
                <w:bCs/>
                <w:color w:val="8A5C13"/>
                <w:sz w:val="17"/>
                <w:szCs w:val="17"/>
              </w:rPr>
              <w:t xml:space="preserve">인수 전 확인  </w:t>
            </w:r>
            <w:r>
              <w:rPr>
                <w:rFonts w:ascii="맑은 고딕" w:cs="맑은 고딕" w:eastAsia="맑은 고딕" w:hAnsi="맑은 고딕"/>
                <w:color w:val="3C3429"/>
                <w:sz w:val="17"/>
                <w:szCs w:val="17"/>
              </w:rPr>
              <w:t xml:space="preserve">BLOCKER 또는 MAJOR가 이 표에 남아 있는 상태로 시험 인수를 진행하지 않는다. 진행해야 한다면 사유와 승인자를 시험 기록에 남긴다.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080" w:bottom="1000" w:left="1080" w:header="620" w:footer="48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맑은 고딕" w:cs="맑은 고딕" w:eastAsia="맑은 고딕" w:hAnsi="맑은 고딕"/>
        <w:color w:val="8A8A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A441" w:sz="6" w:space="4"/>
      </w:pBdr>
      <w:tabs>
        <w:tab w:val="right" w:pos="9746"/>
      </w:tabs>
      <w:spacing w:after="60"/>
    </w:pP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AURIX ROBOTICS PROJECT</w:t>
    </w:r>
    <w:r>
      <w:rPr>
        <w:rFonts w:ascii="맑은 고딕" w:cs="맑은 고딕" w:eastAsia="맑은 고딕" w:hAnsi="맑은 고딕"/>
      </w:rPr>
      <w:t xml:space="preserve">	</w:t>
    </w:r>
    <w:r>
      <w:rPr>
        <w:rFonts w:ascii="맑은 고딕" w:cs="맑은 고딕" w:eastAsia="맑은 고딕" w:hAnsi="맑은 고딕"/>
        <w:b/>
        <w:bCs/>
        <w:color w:val="D9A441"/>
        <w:spacing w:val="20"/>
        <w:sz w:val="14"/>
        <w:szCs w:val="14"/>
      </w:rPr>
      <w:t xml:space="preserve">TROUBLESHOOTING · GUI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rFonts w:ascii="맑은 고딕" w:cs="맑은 고딕" w:eastAsia="맑은 고딕" w:hAnsi="맑은 고딕"/>
        <w:color w:val="B978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02124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e772b614bd49488f401780aa03ba113eb28ad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MediRun</dc:title>
  <dc:creator>AURIX ROBOTICS PROJECT</dc:creator>
  <cp:lastModifiedBy>Un-named</cp:lastModifiedBy>
  <cp:revision>1</cp:revision>
  <dcterms:created xsi:type="dcterms:W3CDTF">2026-07-29T06:49:24.289Z</dcterms:created>
  <dcterms:modified xsi:type="dcterms:W3CDTF">2026-07-29T06:49:24.290Z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