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0733C" w14:textId="77777777" w:rsidR="002303C4" w:rsidRPr="002303C4" w:rsidRDefault="002303C4" w:rsidP="002303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ru-RU"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ru-RU" w:eastAsia="en-GB"/>
          <w14:ligatures w14:val="none"/>
        </w:rPr>
        <w:t>1. Модели кредитного риска для малого и среднего бизнеса (</w:t>
      </w:r>
      <w:r w:rsidRPr="002303C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SMB</w:t>
      </w:r>
      <w:r w:rsidRPr="002303C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ru-RU" w:eastAsia="en-GB"/>
          <w14:ligatures w14:val="none"/>
        </w:rPr>
        <w:t>)</w:t>
      </w:r>
    </w:p>
    <w:p w14:paraId="30B18323" w14:textId="77777777" w:rsidR="002303C4" w:rsidRPr="002303C4" w:rsidRDefault="002303C4" w:rsidP="00230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ru-RU"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ru-RU" w:eastAsia="en-GB"/>
          <w14:ligatures w14:val="none"/>
        </w:rPr>
        <w:t>Контекст</w:t>
      </w:r>
    </w:p>
    <w:p w14:paraId="2500B45A" w14:textId="77777777" w:rsidR="002303C4" w:rsidRPr="002303C4" w:rsidRDefault="002303C4" w:rsidP="0023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color w:val="000000"/>
          <w:kern w:val="0"/>
          <w:lang w:val="ru-RU" w:eastAsia="en-GB"/>
          <w14:ligatures w14:val="none"/>
        </w:rPr>
        <w:t>Малые и средние предприятия (</w:t>
      </w:r>
      <w:r w:rsidRPr="002303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SMB</w:t>
      </w:r>
      <w:r w:rsidRPr="002303C4">
        <w:rPr>
          <w:rFonts w:ascii="Times New Roman" w:eastAsia="Times New Roman" w:hAnsi="Times New Roman" w:cs="Times New Roman"/>
          <w:color w:val="000000"/>
          <w:kern w:val="0"/>
          <w:lang w:val="ru-RU" w:eastAsia="en-GB"/>
          <w14:ligatures w14:val="none"/>
        </w:rPr>
        <w:t xml:space="preserve">) часто испытывают сложности при получении кредитов из-за недостатка информации и высоких рисков для банков. </w:t>
      </w:r>
      <w:r w:rsidRPr="002303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Традиционные кредитные рейтинги и скоринговые модели часто недостаточно точны для таких компаний.</w:t>
      </w:r>
    </w:p>
    <w:p w14:paraId="2713A3FC" w14:textId="77777777" w:rsidR="002303C4" w:rsidRPr="002303C4" w:rsidRDefault="002303C4" w:rsidP="00230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Используемые данные</w:t>
      </w:r>
    </w:p>
    <w:p w14:paraId="3786B25F" w14:textId="77777777" w:rsidR="002303C4" w:rsidRPr="002303C4" w:rsidRDefault="002303C4" w:rsidP="00230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Финансовые показатели компании (ликвидность, прибыльность, долги)</w:t>
      </w:r>
    </w:p>
    <w:p w14:paraId="4575A65A" w14:textId="77777777" w:rsidR="002303C4" w:rsidRPr="002303C4" w:rsidRDefault="002303C4" w:rsidP="00230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Характеристики бизнеса (возраст, размер, отрасль)</w:t>
      </w:r>
    </w:p>
    <w:p w14:paraId="4D7B9B3E" w14:textId="77777777" w:rsidR="002303C4" w:rsidRPr="002303C4" w:rsidRDefault="002303C4" w:rsidP="00230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История платежей и кредитных обязательств</w:t>
      </w:r>
    </w:p>
    <w:p w14:paraId="19FF7D7B" w14:textId="77777777" w:rsidR="002303C4" w:rsidRPr="002303C4" w:rsidRDefault="002303C4" w:rsidP="00230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Методы анализа</w:t>
      </w:r>
    </w:p>
    <w:p w14:paraId="797D96FF" w14:textId="77777777" w:rsidR="002303C4" w:rsidRPr="002303C4" w:rsidRDefault="002303C4" w:rsidP="002303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Логистическая регрессия</w:t>
      </w:r>
      <w:r w:rsidRPr="002303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— классический метод для прогнозирования вероятности дефолта (PD, Probability of Default)</w:t>
      </w:r>
    </w:p>
    <w:p w14:paraId="6216A122" w14:textId="77777777" w:rsidR="002303C4" w:rsidRPr="002303C4" w:rsidRDefault="002303C4" w:rsidP="002303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Деревья решений</w:t>
      </w:r>
      <w:r w:rsidRPr="002303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и </w:t>
      </w:r>
      <w:r w:rsidRPr="002303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случайные леса</w:t>
      </w:r>
      <w:r w:rsidRPr="002303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— для выявления сложных взаимосвязей</w:t>
      </w:r>
    </w:p>
    <w:p w14:paraId="19306FCB" w14:textId="77777777" w:rsidR="002303C4" w:rsidRPr="002303C4" w:rsidRDefault="002303C4" w:rsidP="002303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Факторный анализ</w:t>
      </w:r>
      <w:r w:rsidRPr="002303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— для уменьшения размерности данных</w:t>
      </w:r>
    </w:p>
    <w:p w14:paraId="723D7B6F" w14:textId="77777777" w:rsidR="002303C4" w:rsidRPr="002303C4" w:rsidRDefault="002303C4" w:rsidP="00230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Результаты</w:t>
      </w:r>
    </w:p>
    <w:p w14:paraId="3BB55679" w14:textId="77777777" w:rsidR="002303C4" w:rsidRPr="002303C4" w:rsidRDefault="002303C4" w:rsidP="002303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Модель PD позволяет банкам количественно оценивать риск невозврата кредита SMB.</w:t>
      </w:r>
    </w:p>
    <w:p w14:paraId="36C33141" w14:textId="77777777" w:rsidR="002303C4" w:rsidRPr="002303C4" w:rsidRDefault="002303C4" w:rsidP="002303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Улучшение качества кредитного портфеля за счёт более точного определения заемщиков с высоким риском.</w:t>
      </w:r>
    </w:p>
    <w:p w14:paraId="79456785" w14:textId="77777777" w:rsidR="002303C4" w:rsidRPr="002303C4" w:rsidRDefault="002303C4" w:rsidP="002303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Возможность предлагать более адаптированные кредитные продукты и условия.</w:t>
      </w:r>
    </w:p>
    <w:p w14:paraId="76A16282" w14:textId="77777777" w:rsidR="002303C4" w:rsidRPr="002303C4" w:rsidRDefault="002303C4" w:rsidP="00230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Значение</w:t>
      </w:r>
    </w:p>
    <w:p w14:paraId="284D058C" w14:textId="77777777" w:rsidR="002303C4" w:rsidRPr="002303C4" w:rsidRDefault="002303C4" w:rsidP="0023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Использование таких моделей снижает убытки от дефолтов и расширяет доступ малого бизнеса к финансированию.</w:t>
      </w:r>
    </w:p>
    <w:p w14:paraId="2DDA8A20" w14:textId="77777777" w:rsidR="002303C4" w:rsidRPr="002303C4" w:rsidRDefault="002303C4" w:rsidP="002303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BB99AA2">
          <v:rect id="_x0000_i1025" style="width:0;height:1.5pt" o:hralign="center" o:hrstd="t" o:hr="t" fillcolor="#a0a0a0" stroked="f"/>
        </w:pict>
      </w:r>
    </w:p>
    <w:p w14:paraId="33F1C54B" w14:textId="77777777" w:rsidR="002303C4" w:rsidRPr="002303C4" w:rsidRDefault="002303C4" w:rsidP="002303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2. Оценка кредитоспособности с использованием открытых банковских данных (Open Banking)</w:t>
      </w:r>
    </w:p>
    <w:p w14:paraId="5D2A95A7" w14:textId="77777777" w:rsidR="002303C4" w:rsidRPr="002303C4" w:rsidRDefault="002303C4" w:rsidP="00230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Контекст</w:t>
      </w:r>
    </w:p>
    <w:p w14:paraId="45BC057A" w14:textId="77777777" w:rsidR="002303C4" w:rsidRPr="002303C4" w:rsidRDefault="002303C4" w:rsidP="0023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Open Banking открывает доступ к банковским транзакциям клиентов по API. Это даёт возможность анализировать реальные денежные потоки и поведение пользователей для оценки их кредитоспособности.</w:t>
      </w:r>
    </w:p>
    <w:p w14:paraId="592B030B" w14:textId="77777777" w:rsidR="002303C4" w:rsidRPr="002303C4" w:rsidRDefault="002303C4" w:rsidP="00230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lastRenderedPageBreak/>
        <w:t>Используемые данные</w:t>
      </w:r>
    </w:p>
    <w:p w14:paraId="6220A226" w14:textId="77777777" w:rsidR="002303C4" w:rsidRPr="002303C4" w:rsidRDefault="002303C4" w:rsidP="002303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История транзакций по счетам (доходы, расходы, регулярные платежи)</w:t>
      </w:r>
    </w:p>
    <w:p w14:paraId="18F96DE3" w14:textId="77777777" w:rsidR="002303C4" w:rsidRPr="002303C4" w:rsidRDefault="002303C4" w:rsidP="002303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Сальдо счетов и динамика движения средств</w:t>
      </w:r>
    </w:p>
    <w:p w14:paraId="33F96E63" w14:textId="77777777" w:rsidR="002303C4" w:rsidRPr="002303C4" w:rsidRDefault="002303C4" w:rsidP="002303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Категоризация транзакций (аренда, покупки, зарплата и т.п.)</w:t>
      </w:r>
    </w:p>
    <w:p w14:paraId="030CAC67" w14:textId="77777777" w:rsidR="002303C4" w:rsidRPr="002303C4" w:rsidRDefault="002303C4" w:rsidP="00230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Методы анализа</w:t>
      </w:r>
    </w:p>
    <w:p w14:paraId="183E9621" w14:textId="77777777" w:rsidR="002303C4" w:rsidRPr="002303C4" w:rsidRDefault="002303C4" w:rsidP="002303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Глубокое обучение (Deep Learning)</w:t>
      </w:r>
      <w:r w:rsidRPr="002303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нейронные сети способны выявлять сложные паттерны в больших объемах транзакционных данных.</w:t>
      </w:r>
    </w:p>
    <w:p w14:paraId="341237FF" w14:textId="77777777" w:rsidR="002303C4" w:rsidRPr="002303C4" w:rsidRDefault="002303C4" w:rsidP="002303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Временные ряды</w:t>
      </w:r>
      <w:r w:rsidRPr="002303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и </w:t>
      </w:r>
      <w:r w:rsidRPr="002303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анализ последовательностей</w:t>
      </w:r>
      <w:r w:rsidRPr="002303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для прогнозирования изменений финансового поведения.</w:t>
      </w:r>
    </w:p>
    <w:p w14:paraId="39FB1178" w14:textId="77777777" w:rsidR="002303C4" w:rsidRPr="002303C4" w:rsidRDefault="002303C4" w:rsidP="00230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Результаты</w:t>
      </w:r>
    </w:p>
    <w:p w14:paraId="6FDA0EA5" w14:textId="77777777" w:rsidR="002303C4" w:rsidRPr="002303C4" w:rsidRDefault="002303C4" w:rsidP="002303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Модели на базе транзакционных данных показывают более высокую точность прогнозирования дефолтов по сравнению с традиционными скорингами (кредитные отчеты, анкеты).</w:t>
      </w:r>
    </w:p>
    <w:p w14:paraId="1B70B8EB" w14:textId="77777777" w:rsidR="002303C4" w:rsidRPr="002303C4" w:rsidRDefault="002303C4" w:rsidP="002303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Это позволяет кредиторам быстрее и точнее принимать решения, а клиентам получать более справедливые оценки.</w:t>
      </w:r>
    </w:p>
    <w:p w14:paraId="4E72D547" w14:textId="77777777" w:rsidR="002303C4" w:rsidRPr="002303C4" w:rsidRDefault="002303C4" w:rsidP="00230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Значение</w:t>
      </w:r>
    </w:p>
    <w:p w14:paraId="266CF0B1" w14:textId="77777777" w:rsidR="002303C4" w:rsidRPr="002303C4" w:rsidRDefault="002303C4" w:rsidP="0023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Такой подход повышает финансовую инклюзивность, особенно для тех, у кого недостаточно кредитной истории, но есть стабильные денежные потоки.</w:t>
      </w:r>
    </w:p>
    <w:p w14:paraId="3C5A7F5B" w14:textId="77777777" w:rsidR="002303C4" w:rsidRPr="002303C4" w:rsidRDefault="00C14CC3" w:rsidP="002303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4CC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A6E2DD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6D4A3B7" w14:textId="77777777" w:rsidR="002303C4" w:rsidRPr="002303C4" w:rsidRDefault="002303C4" w:rsidP="002303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3. Прогнозирование дефолта по кредитным картам с использованием SHAP (Explainable AI)</w:t>
      </w:r>
    </w:p>
    <w:p w14:paraId="5699A5A1" w14:textId="77777777" w:rsidR="002303C4" w:rsidRPr="002303C4" w:rsidRDefault="002303C4" w:rsidP="00230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Контекст</w:t>
      </w:r>
    </w:p>
    <w:p w14:paraId="5F73FEF5" w14:textId="77777777" w:rsidR="002303C4" w:rsidRPr="002303C4" w:rsidRDefault="002303C4" w:rsidP="0023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Модели кредитного риска всё чаще становятся сложными и непрозрачными — “чёрными ящиками”. SHAP (SHapley Additive exPlanations) — это метод интерпретируемости моделей, позволяющий понять вклад каждой переменной в прогноз.</w:t>
      </w:r>
    </w:p>
    <w:p w14:paraId="0008E54F" w14:textId="77777777" w:rsidR="002303C4" w:rsidRPr="002303C4" w:rsidRDefault="002303C4" w:rsidP="00230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Используемые данные</w:t>
      </w:r>
    </w:p>
    <w:p w14:paraId="7051B52E" w14:textId="77777777" w:rsidR="002303C4" w:rsidRPr="002303C4" w:rsidRDefault="002303C4" w:rsidP="002303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Транзакционные данные по кредитным картам</w:t>
      </w:r>
    </w:p>
    <w:p w14:paraId="09A0895F" w14:textId="77777777" w:rsidR="002303C4" w:rsidRPr="002303C4" w:rsidRDefault="002303C4" w:rsidP="002303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История платежей и просрочек</w:t>
      </w:r>
    </w:p>
    <w:p w14:paraId="6EC2B296" w14:textId="77777777" w:rsidR="002303C4" w:rsidRPr="002303C4" w:rsidRDefault="002303C4" w:rsidP="002303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Данные о клиентах: доход, возраст, стаж</w:t>
      </w:r>
    </w:p>
    <w:p w14:paraId="3E4A23B9" w14:textId="77777777" w:rsidR="002303C4" w:rsidRPr="002303C4" w:rsidRDefault="002303C4" w:rsidP="00230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Методы анализа</w:t>
      </w:r>
    </w:p>
    <w:p w14:paraId="3D493405" w14:textId="77777777" w:rsidR="002303C4" w:rsidRPr="002303C4" w:rsidRDefault="002303C4" w:rsidP="002303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Обучение сложной модели (например, градиентный бустинг) для прогнозирования дефолта.</w:t>
      </w:r>
    </w:p>
    <w:p w14:paraId="3C5D660E" w14:textId="77777777" w:rsidR="002303C4" w:rsidRPr="002303C4" w:rsidRDefault="002303C4" w:rsidP="002303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Использование SHAP для вычисления важности признаков и объяснения, почему модель принимает те или иные решения.</w:t>
      </w:r>
    </w:p>
    <w:p w14:paraId="6620F070" w14:textId="77777777" w:rsidR="002303C4" w:rsidRPr="002303C4" w:rsidRDefault="002303C4" w:rsidP="00230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Результаты</w:t>
      </w:r>
    </w:p>
    <w:p w14:paraId="18B4F239" w14:textId="77777777" w:rsidR="002303C4" w:rsidRPr="002303C4" w:rsidRDefault="002303C4" w:rsidP="002303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Модель становится прозрачной: кредиторы видят, какие факторы влияют на высокий риск дефолта.</w:t>
      </w:r>
    </w:p>
    <w:p w14:paraId="70BD4002" w14:textId="77777777" w:rsidR="002303C4" w:rsidRPr="002303C4" w:rsidRDefault="002303C4" w:rsidP="002303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Повышается доверие к модели и её решениям.</w:t>
      </w:r>
    </w:p>
    <w:p w14:paraId="274D7B9F" w14:textId="77777777" w:rsidR="002303C4" w:rsidRPr="002303C4" w:rsidRDefault="002303C4" w:rsidP="002303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Обеспечивается соответствие нормативным требованиям (например, GDPR, законы о кредитном скоринге).</w:t>
      </w:r>
    </w:p>
    <w:p w14:paraId="628C5601" w14:textId="77777777" w:rsidR="002303C4" w:rsidRPr="002303C4" w:rsidRDefault="002303C4" w:rsidP="00230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Значение</w:t>
      </w:r>
    </w:p>
    <w:p w14:paraId="3CCC5D00" w14:textId="77777777" w:rsidR="002303C4" w:rsidRPr="002303C4" w:rsidRDefault="002303C4" w:rsidP="0023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303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Объяснимость моделей — ключ к их широкому принятию и уменьшению риска дискриминации или ошибок.</w:t>
      </w:r>
    </w:p>
    <w:p w14:paraId="0A4875C3" w14:textId="77777777" w:rsidR="002303C4" w:rsidRDefault="002303C4"/>
    <w:sectPr w:rsidR="00230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C4BDF"/>
    <w:multiLevelType w:val="multilevel"/>
    <w:tmpl w:val="0074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A61D4"/>
    <w:multiLevelType w:val="multilevel"/>
    <w:tmpl w:val="AE62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F6B19"/>
    <w:multiLevelType w:val="multilevel"/>
    <w:tmpl w:val="FC42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D261B"/>
    <w:multiLevelType w:val="multilevel"/>
    <w:tmpl w:val="3132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162841"/>
    <w:multiLevelType w:val="multilevel"/>
    <w:tmpl w:val="E998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E057A6"/>
    <w:multiLevelType w:val="multilevel"/>
    <w:tmpl w:val="92FE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C17ACE"/>
    <w:multiLevelType w:val="multilevel"/>
    <w:tmpl w:val="2C04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B24FAC"/>
    <w:multiLevelType w:val="multilevel"/>
    <w:tmpl w:val="9324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9A6416"/>
    <w:multiLevelType w:val="multilevel"/>
    <w:tmpl w:val="FDB8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727355">
    <w:abstractNumId w:val="3"/>
  </w:num>
  <w:num w:numId="2" w16cid:durableId="291056212">
    <w:abstractNumId w:val="6"/>
  </w:num>
  <w:num w:numId="3" w16cid:durableId="970985287">
    <w:abstractNumId w:val="1"/>
  </w:num>
  <w:num w:numId="4" w16cid:durableId="1579092648">
    <w:abstractNumId w:val="4"/>
  </w:num>
  <w:num w:numId="5" w16cid:durableId="1810783220">
    <w:abstractNumId w:val="8"/>
  </w:num>
  <w:num w:numId="6" w16cid:durableId="709036565">
    <w:abstractNumId w:val="5"/>
  </w:num>
  <w:num w:numId="7" w16cid:durableId="1164661037">
    <w:abstractNumId w:val="0"/>
  </w:num>
  <w:num w:numId="8" w16cid:durableId="572660961">
    <w:abstractNumId w:val="7"/>
  </w:num>
  <w:num w:numId="9" w16cid:durableId="1999191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C4"/>
    <w:rsid w:val="002303C4"/>
    <w:rsid w:val="005E2F8D"/>
    <w:rsid w:val="00C1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8292"/>
  <w15:chartTrackingRefBased/>
  <w15:docId w15:val="{DB247190-0BBD-6848-BB19-0E0ADE93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0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0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3C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0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303C4"/>
    <w:rPr>
      <w:b/>
      <w:bCs/>
    </w:rPr>
  </w:style>
  <w:style w:type="character" w:customStyle="1" w:styleId="apple-converted-space">
    <w:name w:val="apple-converted-space"/>
    <w:basedOn w:val="DefaultParagraphFont"/>
    <w:rsid w:val="00230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Talis</dc:creator>
  <cp:keywords/>
  <dc:description/>
  <cp:lastModifiedBy>Diana Talis</cp:lastModifiedBy>
  <cp:revision>1</cp:revision>
  <dcterms:created xsi:type="dcterms:W3CDTF">2025-09-04T21:24:00Z</dcterms:created>
  <dcterms:modified xsi:type="dcterms:W3CDTF">2025-09-04T21:25:00Z</dcterms:modified>
</cp:coreProperties>
</file>