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Employee Handbook</w:t>
      </w:r>
    </w:p>
    <w:p>
      <w:r>
        <w:t>This handbook applies to all full-time and part-time employees of Recall Inc.</w:t>
      </w:r>
    </w:p>
    <w:p>
      <w:pPr>
        <w:pStyle w:val="Heading1"/>
      </w:pPr>
      <w:r>
        <w:t>Remote Work Policy</w:t>
      </w:r>
    </w:p>
    <w:p>
      <w:r>
        <w:t>Employees may work remotely up to 3 days per week with manager approval. Core collaboration hours are 10:00 AM to 3:00 PM in the employee's local timezone.</w:t>
      </w:r>
    </w:p>
    <w:p>
      <w:pPr>
        <w:pStyle w:val="Heading1"/>
      </w:pPr>
      <w:r>
        <w:t>Paid Time Off</w:t>
      </w:r>
    </w:p>
    <w:p>
      <w:r>
        <w:t>Full-time employees receive 20 PTO days per calendar year. Unused PTO above 5 days rolls over to the next year.</w:t>
      </w:r>
    </w:p>
    <w:p>
      <w:pPr>
        <w:pStyle w:val="Heading1"/>
      </w:pPr>
      <w:r>
        <w:t>Benefits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Plan</w:t>
            </w:r>
          </w:p>
        </w:tc>
        <w:tc>
          <w:tcPr>
            <w:tcW w:type="dxa" w:w="2880"/>
          </w:tcPr>
          <w:p>
            <w:r>
              <w:t>Employee Cost</w:t>
            </w:r>
          </w:p>
        </w:tc>
        <w:tc>
          <w:tcPr>
            <w:tcW w:type="dxa" w:w="2880"/>
          </w:tcPr>
          <w:p>
            <w:r>
              <w:t>Coverage</w:t>
            </w:r>
          </w:p>
        </w:tc>
      </w:tr>
      <w:tr>
        <w:tc>
          <w:tcPr>
            <w:tcW w:type="dxa" w:w="2880"/>
          </w:tcPr>
          <w:p>
            <w:r>
              <w:t>Medical PPO</w:t>
            </w:r>
          </w:p>
        </w:tc>
        <w:tc>
          <w:tcPr>
            <w:tcW w:type="dxa" w:w="2880"/>
          </w:tcPr>
          <w:p>
            <w:r>
              <w:t>$120/month</w:t>
            </w:r>
          </w:p>
        </w:tc>
        <w:tc>
          <w:tcPr>
            <w:tcW w:type="dxa" w:w="2880"/>
          </w:tcPr>
          <w:p>
            <w:r>
              <w:t>In-network 90%</w:t>
            </w:r>
          </w:p>
        </w:tc>
      </w:tr>
      <w:tr>
        <w:tc>
          <w:tcPr>
            <w:tcW w:type="dxa" w:w="2880"/>
          </w:tcPr>
          <w:p>
            <w:r>
              <w:t>Dental</w:t>
            </w:r>
          </w:p>
        </w:tc>
        <w:tc>
          <w:tcPr>
            <w:tcW w:type="dxa" w:w="2880"/>
          </w:tcPr>
          <w:p>
            <w:r>
              <w:t>$25/month</w:t>
            </w:r>
          </w:p>
        </w:tc>
        <w:tc>
          <w:tcPr>
            <w:tcW w:type="dxa" w:w="2880"/>
          </w:tcPr>
          <w:p>
            <w:r>
              <w:t>Preventive 100%</w:t>
            </w:r>
          </w:p>
        </w:tc>
      </w:tr>
      <w:tr>
        <w:tc>
          <w:tcPr>
            <w:tcW w:type="dxa" w:w="2880"/>
          </w:tcPr>
          <w:p>
            <w:r>
              <w:t>Vision</w:t>
            </w:r>
          </w:p>
        </w:tc>
        <w:tc>
          <w:tcPr>
            <w:tcW w:type="dxa" w:w="2880"/>
          </w:tcPr>
          <w:p>
            <w:r>
              <w:t>$10/month</w:t>
            </w:r>
          </w:p>
        </w:tc>
        <w:tc>
          <w:tcPr>
            <w:tcW w:type="dxa" w:w="2880"/>
          </w:tcPr>
          <w:p>
            <w:r>
              <w:t>Annual exam covered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