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Informe de analisis: Villla Mitre U21 (Torneo Interconferencias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b w:val="1"/>
          <w:bCs w:val="1"/>
          <w:u w:val="single"/>
        </w:rPr>
      </w:pPr>
      <w:r w:rsidDel="00000000" w:rsidR="00000000" w:rsidRPr="00000000">
        <w:rPr>
          <w:b w:val="1"/>
          <w:bCs w:val="1"/>
          <w:u w:val="single"/>
          <w:rtl w:val="0"/>
        </w:rPr>
        <w:t xml:space="preserve">Contexto:</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presente análisis se basa en tres partidos correspondientes al Torneo de Interconferencias de la categoría U21 de Villa Mitre, disputados durante el segundo semestre del año 2025.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Los encuentros analizados fueron frente a </w:t>
      </w:r>
      <w:r w:rsidDel="00000000" w:rsidR="00000000" w:rsidRPr="00000000">
        <w:rPr>
          <w:rtl w:val="0"/>
        </w:rPr>
        <w:t xml:space="preserve">Estrella de Boedo</w:t>
      </w:r>
      <w:r w:rsidDel="00000000" w:rsidR="00000000" w:rsidRPr="00000000">
        <w:rPr>
          <w:rtl w:val="0"/>
        </w:rPr>
        <w:t xml:space="preserve">, </w:t>
      </w:r>
      <w:r w:rsidDel="00000000" w:rsidR="00000000" w:rsidRPr="00000000">
        <w:rPr>
          <w:rtl w:val="0"/>
        </w:rPr>
        <w:t xml:space="preserve">San Fernando</w:t>
      </w:r>
      <w:r w:rsidDel="00000000" w:rsidR="00000000" w:rsidRPr="00000000">
        <w:rPr>
          <w:rtl w:val="0"/>
        </w:rPr>
        <w:t xml:space="preserve"> y </w:t>
      </w:r>
      <w:r w:rsidDel="00000000" w:rsidR="00000000" w:rsidRPr="00000000">
        <w:rPr>
          <w:rtl w:val="0"/>
        </w:rPr>
        <w:t xml:space="preserve">Crovara</w:t>
      </w:r>
      <w:r w:rsidDel="00000000" w:rsidR="00000000" w:rsidRPr="00000000">
        <w:rPr>
          <w:rtl w:val="0"/>
        </w:rPr>
        <w:t xml:space="preserve">, en los cuales Villa Mitre obtuvo dos victorias y una derrota.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Los datos fueron tomados de la aplicación oficial de la CAB, teniendo en cuenta que, al tratarse de una competencia de divisiones formativas, puede haber un margen de error en el registro estadístico (por ejemplo, en rebotes o asistencias).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u w:val="single"/>
        </w:rPr>
      </w:pPr>
      <w:r w:rsidDel="00000000" w:rsidR="00000000" w:rsidRPr="00000000">
        <w:rPr>
          <w:rtl w:val="0"/>
        </w:rPr>
        <w:t xml:space="preserve">El objetivo del trabajo fue evaluar si, a partir de los indicadores conocidos como </w:t>
      </w:r>
      <w:r w:rsidDel="00000000" w:rsidR="00000000" w:rsidRPr="00000000">
        <w:rPr>
          <w:rtl w:val="0"/>
        </w:rPr>
        <w:t xml:space="preserve">Four Factors</w:t>
      </w:r>
      <w:r w:rsidDel="00000000" w:rsidR="00000000" w:rsidRPr="00000000">
        <w:rPr>
          <w:rtl w:val="0"/>
        </w:rPr>
        <w:t xml:space="preserve">, podían identificarse patrones de rendimiento y aspectos a mejorar para incrementar la eficacia colectiva del equipo.</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u w:val="single"/>
        </w:rPr>
      </w:pPr>
      <w:r w:rsidDel="00000000" w:rsidR="00000000" w:rsidRPr="00000000">
        <w:rPr>
          <w:b w:val="1"/>
          <w:bCs w:val="1"/>
          <w:u w:val="single"/>
          <w:rtl w:val="0"/>
        </w:rPr>
        <w:t xml:space="preserve">Descripción del Dashboard: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El Dashboard fue elaborado en Google Sheets a partir de las estadísticas totales de los tres partidos. Se calcularon los </w:t>
      </w:r>
      <w:r w:rsidDel="00000000" w:rsidR="00000000" w:rsidRPr="00000000">
        <w:rPr>
          <w:rtl w:val="0"/>
        </w:rPr>
        <w:t xml:space="preserve">Four Factors</w:t>
      </w:r>
      <w:r w:rsidDel="00000000" w:rsidR="00000000" w:rsidRPr="00000000">
        <w:rPr>
          <w:rtl w:val="0"/>
        </w:rPr>
        <w:t xml:space="preserve"> propuestos por Dean Oliver: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eFG% (Effective Field Goal %):</w:t>
      </w:r>
      <w:r w:rsidDel="00000000" w:rsidR="00000000" w:rsidRPr="00000000">
        <w:rPr>
          <w:rtl w:val="0"/>
        </w:rPr>
        <w:t xml:space="preserve"> mide la eficiencia real de tiro considerando el valor adicional del triple.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TOV% (Turnover %):</w:t>
      </w:r>
      <w:r w:rsidDel="00000000" w:rsidR="00000000" w:rsidRPr="00000000">
        <w:rPr>
          <w:rtl w:val="0"/>
        </w:rPr>
        <w:t xml:space="preserve"> indica la proporción de posesiones que terminan en pérdida.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ORB% (Offensive Rebound %):</w:t>
      </w:r>
      <w:r w:rsidDel="00000000" w:rsidR="00000000" w:rsidRPr="00000000">
        <w:rPr>
          <w:rtl w:val="0"/>
        </w:rPr>
        <w:t xml:space="preserve"> refleja la capacidad del equipo para obtener segundas oportunidades.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FTR (Free Throw Rate):</w:t>
      </w:r>
      <w:r w:rsidDel="00000000" w:rsidR="00000000" w:rsidRPr="00000000">
        <w:rPr>
          <w:rtl w:val="0"/>
        </w:rPr>
        <w:t xml:space="preserve"> evalúa la frecuencia con que el equipo llega a la línea de tiros libres.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Cada partido se representó mediante un gráfico comparativo Villa Mitre vs rival, permitiendo observar diferencias de rendimiento en cada factor.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b w:val="1"/>
          <w:bCs w:val="1"/>
          <w:u w:val="single"/>
          <w:rtl w:val="0"/>
        </w:rPr>
        <w:t xml:space="preserve">Resultados Clave: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Del análisis visual se observa que </w:t>
      </w:r>
      <w:r w:rsidDel="00000000" w:rsidR="00000000" w:rsidRPr="00000000">
        <w:rPr>
          <w:rtl w:val="0"/>
        </w:rPr>
        <w:t xml:space="preserve">Villa Mitre mantuvo un eFG% estable y superior al rival en los dos partidos ganados</w:t>
      </w:r>
      <w:r w:rsidDel="00000000" w:rsidR="00000000" w:rsidRPr="00000000">
        <w:rPr>
          <w:rtl w:val="0"/>
        </w:rPr>
        <w:t xml:space="preserve">, lo que refleja una buena selección y efectividad de tiro.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En cambio, frente a San Fernando —el único encuentro perdido—, el equipo rival mostró un </w:t>
      </w:r>
      <w:r w:rsidDel="00000000" w:rsidR="00000000" w:rsidRPr="00000000">
        <w:rPr>
          <w:rtl w:val="0"/>
        </w:rPr>
        <w:t xml:space="preserve">mayor FTR (0.53)</w:t>
      </w:r>
      <w:r w:rsidDel="00000000" w:rsidR="00000000" w:rsidRPr="00000000">
        <w:rPr>
          <w:rtl w:val="0"/>
        </w:rPr>
        <w:t xml:space="preserve">, señal de una mayor capacidad para provocar faltas y capitalizar puntos desde la línea.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En cuanto a </w:t>
      </w:r>
      <w:r w:rsidDel="00000000" w:rsidR="00000000" w:rsidRPr="00000000">
        <w:rPr>
          <w:rtl w:val="0"/>
        </w:rPr>
        <w:t xml:space="preserve">TOV%</w:t>
      </w:r>
      <w:r w:rsidDel="00000000" w:rsidR="00000000" w:rsidRPr="00000000">
        <w:rPr>
          <w:rtl w:val="0"/>
        </w:rPr>
        <w:t xml:space="preserve">, Villa Mitre mantuvo valores bajos y consistentes, demostrando control de balón.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El </w:t>
      </w:r>
      <w:r w:rsidDel="00000000" w:rsidR="00000000" w:rsidRPr="00000000">
        <w:rPr>
          <w:rtl w:val="0"/>
        </w:rPr>
        <w:t xml:space="preserve">ORB%</w:t>
      </w:r>
      <w:r w:rsidDel="00000000" w:rsidR="00000000" w:rsidRPr="00000000">
        <w:rPr>
          <w:rtl w:val="0"/>
        </w:rPr>
        <w:t xml:space="preserve"> fue un punto fuerte en la mayoría de los encuentros, especialmente frente a San Fernando (0.67), donde generó muchas segundas oportunidades pese al resultado adverso.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u w:val="single"/>
        </w:rPr>
      </w:pPr>
      <w:r w:rsidDel="00000000" w:rsidR="00000000" w:rsidRPr="00000000">
        <w:rPr>
          <w:b w:val="1"/>
          <w:bCs w:val="1"/>
          <w:u w:val="single"/>
          <w:rtl w:val="0"/>
        </w:rPr>
        <w:t xml:space="preserve">Recomendaciones: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partir de los resultados, se sugiere: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Mantener la eficiencia de tiro observada (eFG%) como base del juego ofensivo.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Reforzar el trabajo defensivo para evitar faltas innecesarias y reducir el FTR de los rivales.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Continuar fomentando la agresividad en el rebote ofensivo, ya que se traduce en posesiones extra y puntos de segunda chance.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Profundizar el uso de estas métricas como herramienta habitual de análisis post partido, para monitorear tendencias y planificar los entrenamientos de manera más focalizada.</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t xml:space="preserve">Dante Tosoratti</w:t>
      <w:tab/>
      <w:tab/>
      <w:tab/>
      <w:t xml:space="preserve">Informe de análisis de rendimiento (Four Factors)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