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sz w:val="36"/>
          <w:szCs w:val="36"/>
        </w:rPr>
      </w:pPr>
      <w:r w:rsidDel="00000000" w:rsidR="00000000" w:rsidRPr="00000000">
        <w:rPr>
          <w:sz w:val="24"/>
          <w:szCs w:val="24"/>
        </w:rPr>
        <w:drawing>
          <wp:inline distB="114300" distT="114300" distL="114300" distR="114300">
            <wp:extent cx="2439713" cy="16634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9713" cy="16634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Trabajo Práctico Nº 1</w:t>
      </w:r>
    </w:p>
    <w:p w:rsidR="00000000" w:rsidDel="00000000" w:rsidP="00000000" w:rsidRDefault="00000000" w:rsidRPr="00000000" w14:paraId="00000003">
      <w:pPr>
        <w:pStyle w:val="Subtitle"/>
        <w:pageBreakBefore w:val="0"/>
        <w:jc w:val="center"/>
        <w:rPr/>
      </w:pPr>
      <w:bookmarkStart w:colFirst="0" w:colLast="0" w:name="_ah4msqe11j0c" w:id="0"/>
      <w:bookmarkEnd w:id="0"/>
      <w:r w:rsidDel="00000000" w:rsidR="00000000" w:rsidRPr="00000000">
        <w:rPr>
          <w:rtl w:val="0"/>
        </w:rPr>
      </w:r>
    </w:p>
    <w:p w:rsidR="00000000" w:rsidDel="00000000" w:rsidP="00000000" w:rsidRDefault="00000000" w:rsidRPr="00000000" w14:paraId="00000004">
      <w:pPr>
        <w:pStyle w:val="Subtitle"/>
        <w:pageBreakBefore w:val="0"/>
        <w:jc w:val="center"/>
        <w:rPr>
          <w:rFonts w:ascii="Times New Roman" w:cs="Times New Roman" w:eastAsia="Times New Roman" w:hAnsi="Times New Roman"/>
        </w:rPr>
      </w:pPr>
      <w:bookmarkStart w:colFirst="0" w:colLast="0" w:name="_xf0kgi45t112" w:id="1"/>
      <w:bookmarkEnd w:id="1"/>
      <w:r w:rsidDel="00000000" w:rsidR="00000000" w:rsidRPr="00000000">
        <w:rPr>
          <w:rFonts w:ascii="Times New Roman" w:cs="Times New Roman" w:eastAsia="Times New Roman" w:hAnsi="Times New Roman"/>
          <w:rtl w:val="0"/>
        </w:rPr>
        <w:t xml:space="preserve">Segundo c</w:t>
      </w:r>
      <w:r w:rsidDel="00000000" w:rsidR="00000000" w:rsidRPr="00000000">
        <w:rPr>
          <w:rFonts w:ascii="Times New Roman" w:cs="Times New Roman" w:eastAsia="Times New Roman" w:hAnsi="Times New Roman"/>
          <w:rtl w:val="0"/>
        </w:rPr>
        <w:t xml:space="preserve">uatrimestre de 2026</w:t>
      </w:r>
    </w:p>
    <w:p w:rsidR="00000000" w:rsidDel="00000000" w:rsidP="00000000" w:rsidRDefault="00000000" w:rsidRPr="00000000" w14:paraId="00000005">
      <w:pPr>
        <w:pStyle w:val="Subtitle"/>
        <w:pageBreakBefore w:val="0"/>
        <w:jc w:val="center"/>
        <w:rPr>
          <w:rFonts w:ascii="Times New Roman" w:cs="Times New Roman" w:eastAsia="Times New Roman" w:hAnsi="Times New Roman"/>
          <w:b w:val="1"/>
          <w:bCs w:val="1"/>
          <w:sz w:val="24"/>
          <w:szCs w:val="24"/>
        </w:rPr>
      </w:pPr>
      <w:bookmarkStart w:colFirst="0" w:colLast="0" w:name="_4wlaaqswqmls"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5</w:t>
      </w:r>
    </w:p>
    <w:p w:rsidR="00000000" w:rsidDel="00000000" w:rsidP="00000000" w:rsidRDefault="00000000" w:rsidRPr="00000000" w14:paraId="0000000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tbl>
      <w:tblPr>
        <w:tblStyle w:val="Table1"/>
        <w:tblW w:w="687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1530"/>
        <w:gridCol w:w="2355"/>
        <w:tblGridChange w:id="0">
          <w:tblGrid>
            <w:gridCol w:w="2985"/>
            <w:gridCol w:w="1530"/>
            <w:gridCol w:w="235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Sol Allievi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65774</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Martina Risso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65688</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Dante Tosoratti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65823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Tomás Agustín Picciolo</w:t>
            </w:r>
            <w:r w:rsidDel="00000000" w:rsidR="00000000" w:rsidRPr="00000000">
              <w:rPr>
                <w:rtl w:val="0"/>
              </w:rPr>
            </w:r>
          </w:p>
          <w:p w:rsidR="00000000" w:rsidDel="00000000" w:rsidP="00000000" w:rsidRDefault="00000000" w:rsidRPr="00000000" w14:paraId="0000001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63690</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A">
      <w:pPr>
        <w:pageBreakBefore w:val="0"/>
        <w:rPr>
          <w:sz w:val="24"/>
          <w:szCs w:val="24"/>
        </w:rPr>
      </w:pPr>
      <w:r w:rsidDel="00000000" w:rsidR="00000000" w:rsidRPr="00000000">
        <w:rPr>
          <w:rtl w:val="0"/>
        </w:rPr>
      </w:r>
    </w:p>
    <w:p w:rsidR="00000000" w:rsidDel="00000000" w:rsidP="00000000" w:rsidRDefault="00000000" w:rsidRPr="00000000" w14:paraId="0000001B">
      <w:pPr>
        <w:pageBreakBefore w:val="0"/>
        <w:widowControl w:val="0"/>
        <w:spacing w:line="240" w:lineRule="auto"/>
        <w:ind w:left="720" w:firstLine="0"/>
        <w:rPr>
          <w:b w:val="1"/>
          <w:bCs w:val="1"/>
          <w:sz w:val="24"/>
          <w:szCs w:val="24"/>
        </w:rPr>
      </w:pPr>
      <w:r w:rsidDel="00000000" w:rsidR="00000000" w:rsidRPr="00000000">
        <w:rPr>
          <w:sz w:val="24"/>
          <w:szCs w:val="24"/>
          <w:rtl w:val="0"/>
        </w:rPr>
        <w:t xml:space="preserve">        </w:t>
      </w:r>
      <w:r w:rsidDel="00000000" w:rsidR="00000000" w:rsidRPr="00000000">
        <w:rPr>
          <w:rtl w:val="0"/>
        </w:rPr>
      </w:r>
    </w:p>
    <w:tbl>
      <w:tblPr>
        <w:tblStyle w:val="Table2"/>
        <w:tblW w:w="312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255"/>
        <w:tblGridChange w:id="0">
          <w:tblGrid>
            <w:gridCol w:w="2865"/>
            <w:gridCol w:w="25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ind w:left="0" w:firstLine="0"/>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entrega: </w:t>
      </w:r>
      <w:r w:rsidDel="00000000" w:rsidR="00000000" w:rsidRPr="00000000">
        <w:rPr>
          <w:rFonts w:ascii="Times New Roman" w:cs="Times New Roman" w:eastAsia="Times New Roman" w:hAnsi="Times New Roman"/>
          <w:sz w:val="24"/>
          <w:szCs w:val="24"/>
          <w:rtl w:val="0"/>
        </w:rPr>
        <w:t xml:space="preserve">9 de Septiembre</w:t>
      </w:r>
      <w:r w:rsidDel="00000000" w:rsidR="00000000" w:rsidRPr="00000000">
        <w:rPr>
          <w:rFonts w:ascii="Times New Roman" w:cs="Times New Roman" w:eastAsia="Times New Roman" w:hAnsi="Times New Roman"/>
          <w:sz w:val="24"/>
          <w:szCs w:val="24"/>
          <w:rtl w:val="0"/>
        </w:rPr>
        <w:t xml:space="preserve"> de 2026</w:t>
      </w:r>
    </w:p>
    <w:p w:rsidR="00000000" w:rsidDel="00000000" w:rsidP="00000000" w:rsidRDefault="00000000" w:rsidRPr="00000000" w14:paraId="00000020">
      <w:pPr>
        <w:pageBreakBefore w:val="0"/>
        <w:widowControl w:val="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21">
      <w:pPr>
        <w:pageBreakBefore w:val="0"/>
        <w:widowControl w:val="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22">
      <w:pPr>
        <w:pageBreakBefore w:val="0"/>
        <w:widowControl w:val="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23">
      <w:pPr>
        <w:pageBreakBefore w:val="0"/>
        <w:widowControl w:val="0"/>
        <w:ind w:left="0" w:firstLine="0"/>
        <w:rPr/>
      </w:pPr>
      <w:r w:rsidDel="00000000" w:rsidR="00000000" w:rsidRPr="00000000">
        <w:rPr>
          <w:rtl w:val="0"/>
        </w:rPr>
      </w:r>
    </w:p>
    <w:p w:rsidR="00000000" w:rsidDel="00000000" w:rsidP="00000000" w:rsidRDefault="00000000" w:rsidRPr="00000000" w14:paraId="00000024">
      <w:pPr>
        <w:pageBreakBefore w:val="0"/>
        <w:widowControl w:val="0"/>
        <w:ind w:left="0" w:firstLine="0"/>
        <w:rPr/>
      </w:pPr>
      <w:r w:rsidDel="00000000" w:rsidR="00000000" w:rsidRPr="00000000">
        <w:rPr>
          <w:rtl w:val="0"/>
        </w:rPr>
      </w:r>
    </w:p>
    <w:p w:rsidR="00000000" w:rsidDel="00000000" w:rsidP="00000000" w:rsidRDefault="00000000" w:rsidRPr="00000000" w14:paraId="00000025">
      <w:pPr>
        <w:widowControl w:val="0"/>
        <w:spacing w:before="11" w:line="240" w:lineRule="auto"/>
        <w:ind w:firstLine="0"/>
        <w:jc w:val="left"/>
        <w:rPr>
          <w:rFonts w:ascii="Times New Roman" w:cs="Times New Roman" w:eastAsia="Times New Roman" w:hAnsi="Times New Roman"/>
          <w:sz w:val="16"/>
          <w:szCs w:val="16"/>
        </w:rPr>
        <w:sectPr>
          <w:foot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Heading2"/>
        <w:keepNext w:val="0"/>
        <w:keepLines w:val="0"/>
        <w:widowControl w:val="0"/>
        <w:numPr>
          <w:ilvl w:val="0"/>
          <w:numId w:val="3"/>
        </w:numPr>
        <w:tabs>
          <w:tab w:val="left" w:leader="none" w:pos="438"/>
        </w:tabs>
        <w:spacing w:after="0" w:before="0" w:line="240" w:lineRule="auto"/>
        <w:ind w:left="438" w:hanging="220"/>
        <w:jc w:val="left"/>
        <w:rPr>
          <w:rFonts w:ascii="Times New Roman" w:cs="Times New Roman" w:eastAsia="Times New Roman" w:hAnsi="Times New Roman"/>
          <w:sz w:val="30"/>
          <w:szCs w:val="30"/>
        </w:rPr>
      </w:pPr>
      <w:bookmarkStart w:colFirst="0" w:colLast="0" w:name="_fyjsbelmpcdy" w:id="3"/>
      <w:bookmarkEnd w:id="3"/>
      <w:r w:rsidDel="00000000" w:rsidR="00000000" w:rsidRPr="00000000">
        <w:rPr>
          <w:rFonts w:ascii="Times New Roman" w:cs="Times New Roman" w:eastAsia="Times New Roman" w:hAnsi="Times New Roman"/>
          <w:sz w:val="30"/>
          <w:szCs w:val="30"/>
          <w:rtl w:val="0"/>
        </w:rPr>
        <w:t xml:space="preserve">Definición del negocio y alcance operativo</w:t>
      </w:r>
    </w:p>
    <w:p w:rsidR="00000000" w:rsidDel="00000000" w:rsidP="00000000" w:rsidRDefault="00000000" w:rsidRPr="00000000" w14:paraId="00000027">
      <w:pPr>
        <w:widowControl w:val="0"/>
        <w:tabs>
          <w:tab w:val="left" w:leader="none" w:pos="548"/>
        </w:tabs>
        <w:spacing w:before="0" w:line="240" w:lineRule="auto"/>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pStyle w:val="Heading3"/>
        <w:widowControl w:val="0"/>
        <w:numPr>
          <w:ilvl w:val="1"/>
          <w:numId w:val="3"/>
        </w:numPr>
        <w:tabs>
          <w:tab w:val="left" w:leader="none" w:pos="548"/>
        </w:tabs>
        <w:spacing w:after="0" w:before="0" w:line="240" w:lineRule="auto"/>
        <w:ind w:left="548" w:hanging="330"/>
        <w:jc w:val="left"/>
        <w:rPr>
          <w:rFonts w:ascii="Times New Roman" w:cs="Times New Roman" w:eastAsia="Times New Roman" w:hAnsi="Times New Roman"/>
          <w:b w:val="1"/>
          <w:bCs w:val="1"/>
          <w:sz w:val="24"/>
          <w:szCs w:val="24"/>
        </w:rPr>
      </w:pPr>
      <w:bookmarkStart w:colFirst="0" w:colLast="0" w:name="_n03xg12v7m7s" w:id="4"/>
      <w:bookmarkEnd w:id="4"/>
      <w:r w:rsidDel="00000000" w:rsidR="00000000" w:rsidRPr="00000000">
        <w:rPr>
          <w:rFonts w:ascii="Times New Roman" w:cs="Times New Roman" w:eastAsia="Times New Roman" w:hAnsi="Times New Roman"/>
          <w:b w:val="1"/>
          <w:bCs w:val="1"/>
          <w:color w:val="000000"/>
          <w:sz w:val="24"/>
          <w:szCs w:val="24"/>
          <w:rtl w:val="0"/>
        </w:rPr>
        <w:t xml:space="preserve">Contexto e interlocutor</w:t>
      </w:r>
    </w:p>
    <w:p w:rsidR="00000000" w:rsidDel="00000000" w:rsidP="00000000" w:rsidRDefault="00000000" w:rsidRPr="00000000" w14:paraId="00000029">
      <w:pPr>
        <w:widowControl w:val="0"/>
        <w:spacing w:before="0" w:line="259" w:lineRule="auto"/>
        <w:ind w:left="0" w:right="226"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mercado inmobiliario de CABA presenta una fuerte dispersión de información: a partir de un aviso individual no es sencillo determinar si el precio pedido está alineado con propiedades comparables o si existe una oportunidad real de compra. Nuestro equipo se posiciona como una consultora PropTech que trabaja para un Fondo de Inversión Inmobiliario interesado en detectar propiedades subvaluadas y, dentro de ese universo, identificar casos con potencial de refacción y reventa (flipping).</w:t>
      </w:r>
    </w:p>
    <w:p w:rsidR="00000000" w:rsidDel="00000000" w:rsidP="00000000" w:rsidRDefault="00000000" w:rsidRPr="00000000" w14:paraId="0000002A">
      <w:pPr>
        <w:widowControl w:val="0"/>
        <w:spacing w:before="0" w:line="259" w:lineRule="auto"/>
        <w:ind w:left="0" w:right="226"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 se aborda como un problema de </w:t>
      </w:r>
      <w:r w:rsidDel="00000000" w:rsidR="00000000" w:rsidRPr="00000000">
        <w:rPr>
          <w:rFonts w:ascii="Times New Roman" w:cs="Times New Roman" w:eastAsia="Times New Roman" w:hAnsi="Times New Roman"/>
          <w:rtl w:val="0"/>
        </w:rPr>
        <w:t xml:space="preserve">valuación</w:t>
      </w:r>
      <w:r w:rsidDel="00000000" w:rsidR="00000000" w:rsidRPr="00000000">
        <w:rPr>
          <w:rFonts w:ascii="Times New Roman" w:cs="Times New Roman" w:eastAsia="Times New Roman" w:hAnsi="Times New Roman"/>
          <w:rtl w:val="0"/>
        </w:rPr>
        <w:t xml:space="preserve"> relativa. Primero se busca estimar cuánto debería valer una propiedad de acuerdo con comparables de características similares. Luego se compara ese valor esperado con el precio publicado. La diferencia constituye la señal de subvaluación y, para los inmuebles que requieren obra, sirve como punto de partida para evaluar si el descuento compensa el costo de refacción y los demás costos de la operación.</w:t>
      </w:r>
    </w:p>
    <w:p w:rsidR="00000000" w:rsidDel="00000000" w:rsidP="00000000" w:rsidRDefault="00000000" w:rsidRPr="00000000" w14:paraId="0000002B">
      <w:pPr>
        <w:pStyle w:val="Heading3"/>
        <w:keepNext w:val="0"/>
        <w:keepLines w:val="0"/>
        <w:widowControl w:val="0"/>
        <w:tabs>
          <w:tab w:val="left" w:leader="none" w:pos="548"/>
        </w:tabs>
        <w:spacing w:after="0" w:before="0" w:line="240" w:lineRule="auto"/>
        <w:ind w:left="0" w:firstLine="0"/>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2C">
      <w:pPr>
        <w:pStyle w:val="Heading3"/>
        <w:keepNext w:val="0"/>
        <w:keepLines w:val="0"/>
        <w:widowControl w:val="0"/>
        <w:numPr>
          <w:ilvl w:val="1"/>
          <w:numId w:val="3"/>
        </w:numPr>
        <w:tabs>
          <w:tab w:val="left" w:leader="none" w:pos="548"/>
        </w:tabs>
        <w:spacing w:after="0" w:before="0" w:line="240" w:lineRule="auto"/>
        <w:ind w:left="548" w:hanging="33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Alcance operativo</w:t>
      </w:r>
    </w:p>
    <w:p w:rsidR="00000000" w:rsidDel="00000000" w:rsidP="00000000" w:rsidRDefault="00000000" w:rsidRPr="00000000" w14:paraId="0000002D">
      <w:pPr>
        <w:widowControl w:val="0"/>
        <w:spacing w:before="0"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mantener comparabilidad entre observaciones, se define el siguiente universo de análisis:</w:t>
      </w:r>
    </w:p>
    <w:p w:rsidR="00000000" w:rsidDel="00000000" w:rsidP="00000000" w:rsidRDefault="00000000" w:rsidRPr="00000000" w14:paraId="0000002E">
      <w:pPr>
        <w:widowControl w:val="0"/>
        <w:tabs>
          <w:tab w:val="left" w:leader="none" w:pos="937"/>
        </w:tabs>
        <w:spacing w:before="0" w:line="240" w:lineRule="auto"/>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Ubicación: </w:t>
      </w:r>
      <w:r w:rsidDel="00000000" w:rsidR="00000000" w:rsidRPr="00000000">
        <w:rPr>
          <w:rFonts w:ascii="Times New Roman" w:cs="Times New Roman" w:eastAsia="Times New Roman" w:hAnsi="Times New Roman"/>
          <w:rtl w:val="0"/>
        </w:rPr>
        <w:t xml:space="preserve">CABA, todos los barrios.</w:t>
      </w:r>
    </w:p>
    <w:p w:rsidR="00000000" w:rsidDel="00000000" w:rsidP="00000000" w:rsidRDefault="00000000" w:rsidRPr="00000000" w14:paraId="00000030">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Operación: </w:t>
      </w:r>
      <w:r w:rsidDel="00000000" w:rsidR="00000000" w:rsidRPr="00000000">
        <w:rPr>
          <w:rFonts w:ascii="Times New Roman" w:cs="Times New Roman" w:eastAsia="Times New Roman" w:hAnsi="Times New Roman"/>
          <w:rtl w:val="0"/>
        </w:rPr>
        <w:t xml:space="preserve">venta.</w:t>
      </w:r>
    </w:p>
    <w:p w:rsidR="00000000" w:rsidDel="00000000" w:rsidP="00000000" w:rsidRDefault="00000000" w:rsidRPr="00000000" w14:paraId="00000031">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Tipología principal: </w:t>
      </w:r>
      <w:r w:rsidDel="00000000" w:rsidR="00000000" w:rsidRPr="00000000">
        <w:rPr>
          <w:rFonts w:ascii="Times New Roman" w:cs="Times New Roman" w:eastAsia="Times New Roman" w:hAnsi="Times New Roman"/>
          <w:rtl w:val="0"/>
        </w:rPr>
        <w:t xml:space="preserve">departamentos.</w:t>
      </w:r>
    </w:p>
    <w:p w:rsidR="00000000" w:rsidDel="00000000" w:rsidP="00000000" w:rsidRDefault="00000000" w:rsidRPr="00000000" w14:paraId="00000032">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Condición: </w:t>
      </w:r>
      <w:r w:rsidDel="00000000" w:rsidR="00000000" w:rsidRPr="00000000">
        <w:rPr>
          <w:rFonts w:ascii="Times New Roman" w:cs="Times New Roman" w:eastAsia="Times New Roman" w:hAnsi="Times New Roman"/>
          <w:rtl w:val="0"/>
        </w:rPr>
        <w:t xml:space="preserve">stock usado. Se excluyen publicaciones en pozo, preventa, en construcción y a estrenar cuando la evidencia del aviso permite identificarlas.</w:t>
      </w:r>
    </w:p>
    <w:p w:rsidR="00000000" w:rsidDel="00000000" w:rsidP="00000000" w:rsidRDefault="00000000" w:rsidRPr="00000000" w14:paraId="00000033">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Moneda principal de análisis: </w:t>
      </w:r>
      <w:r w:rsidDel="00000000" w:rsidR="00000000" w:rsidRPr="00000000">
        <w:rPr>
          <w:rFonts w:ascii="Times New Roman" w:cs="Times New Roman" w:eastAsia="Times New Roman" w:hAnsi="Times New Roman"/>
          <w:color w:val="000000"/>
          <w:sz w:val="22"/>
          <w:szCs w:val="22"/>
          <w:rtl w:val="0"/>
        </w:rPr>
        <w:t xml:space="preserve">USD.</w:t>
      </w:r>
      <w:r w:rsidDel="00000000" w:rsidR="00000000" w:rsidRPr="00000000">
        <w:rPr>
          <w:rtl w:val="0"/>
        </w:rPr>
      </w:r>
    </w:p>
    <w:p w:rsidR="00000000" w:rsidDel="00000000" w:rsidP="00000000" w:rsidRDefault="00000000" w:rsidRPr="00000000" w14:paraId="00000034">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Unidad de observación: </w:t>
      </w:r>
      <w:r w:rsidDel="00000000" w:rsidR="00000000" w:rsidRPr="00000000">
        <w:rPr>
          <w:rFonts w:ascii="Times New Roman" w:cs="Times New Roman" w:eastAsia="Times New Roman" w:hAnsi="Times New Roman"/>
          <w:rtl w:val="0"/>
        </w:rPr>
        <w:t xml:space="preserve">aviso individual de una propiedad.</w:t>
      </w:r>
    </w:p>
    <w:p w:rsidR="00000000" w:rsidDel="00000000" w:rsidP="00000000" w:rsidRDefault="00000000" w:rsidRPr="00000000" w14:paraId="00000035">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Momento inicial: </w:t>
      </w:r>
      <w:r w:rsidDel="00000000" w:rsidR="00000000" w:rsidRPr="00000000">
        <w:rPr>
          <w:rFonts w:ascii="Times New Roman" w:cs="Times New Roman" w:eastAsia="Times New Roman" w:hAnsi="Times New Roman"/>
          <w:rtl w:val="0"/>
        </w:rPr>
        <w:t xml:space="preserve">primera corrida completa del scraper. Para estudiar permanencia en mercado se </w:t>
      </w:r>
      <w:r w:rsidDel="00000000" w:rsidR="00000000" w:rsidRPr="00000000">
        <w:rPr>
          <w:rFonts w:ascii="Times New Roman" w:cs="Times New Roman" w:eastAsia="Times New Roman" w:hAnsi="Times New Roman"/>
          <w:rtl w:val="0"/>
        </w:rPr>
        <w:t xml:space="preserve">realizarán</w:t>
      </w:r>
      <w:r w:rsidDel="00000000" w:rsidR="00000000" w:rsidRPr="00000000">
        <w:rPr>
          <w:rFonts w:ascii="Times New Roman" w:cs="Times New Roman" w:eastAsia="Times New Roman" w:hAnsi="Times New Roman"/>
          <w:rtl w:val="0"/>
        </w:rPr>
        <w:t xml:space="preserve"> capturas sucesivas.</w:t>
      </w:r>
    </w:p>
    <w:p w:rsidR="00000000" w:rsidDel="00000000" w:rsidP="00000000" w:rsidRDefault="00000000" w:rsidRPr="00000000" w14:paraId="00000036">
      <w:pPr>
        <w:widowControl w:val="0"/>
        <w:tabs>
          <w:tab w:val="left" w:leader="none" w:pos="937"/>
        </w:tabs>
        <w:spacing w:before="0"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7">
      <w:pPr>
        <w:widowControl w:val="0"/>
        <w:tabs>
          <w:tab w:val="left" w:leader="none" w:pos="705"/>
        </w:tabs>
        <w:spacing w:before="0"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 extracción cruda conserva otras tipologías porque forman parte de la respuesta original de la fuente. El filtro a departamentos usados se aplica en la etapa de curaduría, de modo que la base raw permanezca reproducible y completa.</w:t>
      </w:r>
    </w:p>
    <w:p w:rsidR="00000000" w:rsidDel="00000000" w:rsidP="00000000" w:rsidRDefault="00000000" w:rsidRPr="00000000" w14:paraId="00000038">
      <w:pPr>
        <w:widowControl w:val="0"/>
        <w:tabs>
          <w:tab w:val="left" w:leader="none" w:pos="937"/>
        </w:tabs>
        <w:spacing w:before="0"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3"/>
        <w:keepNext w:val="0"/>
        <w:keepLines w:val="0"/>
        <w:widowControl w:val="0"/>
        <w:numPr>
          <w:ilvl w:val="1"/>
          <w:numId w:val="3"/>
        </w:numPr>
        <w:tabs>
          <w:tab w:val="left" w:leader="none" w:pos="548"/>
        </w:tabs>
        <w:spacing w:after="0" w:before="0" w:line="240" w:lineRule="auto"/>
        <w:ind w:left="548" w:hanging="33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Encuadre estratégico</w:t>
      </w:r>
    </w:p>
    <w:p w:rsidR="00000000" w:rsidDel="00000000" w:rsidP="00000000" w:rsidRDefault="00000000" w:rsidRPr="00000000" w14:paraId="0000003A">
      <w:pPr>
        <w:widowControl w:val="0"/>
        <w:spacing w:before="0" w:line="259" w:lineRule="auto"/>
        <w:ind w:left="0" w:right="225"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Subvaluación y flipping no se tratan como dos problemas independientes. Una operación de flipping sólo resulta atractiva si el inmueble se compra con suficiente descuento respecto de su valor esperado posterior a la refacción. Por eso, el núcleo del proyecto es construir una referencia de valor comparable y, a partir de ella, ordenar oportunidades de inversión.</w:t>
      </w:r>
    </w:p>
    <w:p w:rsidR="00000000" w:rsidDel="00000000" w:rsidP="00000000" w:rsidRDefault="00000000" w:rsidRPr="00000000" w14:paraId="0000003B">
      <w:pPr>
        <w:widowControl w:val="0"/>
        <w:spacing w:before="0" w:line="259" w:lineRule="auto"/>
        <w:ind w:left="0" w:right="225"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0"/>
        <w:numPr>
          <w:ilvl w:val="1"/>
          <w:numId w:val="3"/>
        </w:numPr>
        <w:spacing w:line="259" w:lineRule="auto"/>
        <w:ind w:left="548" w:right="225" w:hanging="3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 principal del análisis</w:t>
      </w:r>
    </w:p>
    <w:p w:rsidR="00000000" w:rsidDel="00000000" w:rsidP="00000000" w:rsidRDefault="00000000" w:rsidRPr="00000000" w14:paraId="0000003D">
      <w:pPr>
        <w:widowControl w:val="0"/>
        <w:spacing w:before="0" w:line="259" w:lineRule="auto"/>
        <w:ind w:left="0" w:right="225"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Calcular, para cada propiedad publicada, el Gap de Subvaluación y en los casos "a refaccionar", el Margen Potencial de Flipping, para producir un ranking priorizado de oportunidades de inversión sobre el stock disponible en CABA.</w:t>
      </w:r>
      <w:r w:rsidDel="00000000" w:rsidR="00000000" w:rsidRPr="00000000">
        <w:rPr>
          <w:rtl w:val="0"/>
        </w:rPr>
      </w:r>
    </w:p>
    <w:p w:rsidR="00000000" w:rsidDel="00000000" w:rsidP="00000000" w:rsidRDefault="00000000" w:rsidRPr="00000000" w14:paraId="0000003E">
      <w:pPr>
        <w:widowControl w:val="0"/>
        <w:spacing w:before="0" w:line="259" w:lineRule="auto"/>
        <w:ind w:left="720" w:right="2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widowControl w:val="0"/>
        <w:spacing w:before="0" w:line="259" w:lineRule="auto"/>
        <w:ind w:left="0" w:right="2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Definición del usuario final</w:t>
      </w:r>
    </w:p>
    <w:p w:rsidR="00000000" w:rsidDel="00000000" w:rsidP="00000000" w:rsidRDefault="00000000" w:rsidRPr="00000000" w14:paraId="00000040">
      <w:pPr>
        <w:widowControl w:val="0"/>
        <w:spacing w:before="0" w:line="259" w:lineRule="auto"/>
        <w:ind w:left="0" w:right="225"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está dirigido a un Fondo de Inversión Inmobiliario. El equipo de inversión lo utilizará como input para dos decisiones concretas: priorizar qué propiedades visitar/ofertar (ranking de subvaluación) y decidir si conviene comprar y refaccionar una unidad puntual (margen potencial de flipping). El resultado se consume vía un ranking exportable y, en la entrega final, un dashboard interactivo en Power BI/Tableau.</w:t>
      </w:r>
    </w:p>
    <w:p w:rsidR="00000000" w:rsidDel="00000000" w:rsidP="00000000" w:rsidRDefault="00000000" w:rsidRPr="00000000" w14:paraId="00000041">
      <w:pPr>
        <w:widowControl w:val="0"/>
        <w:spacing w:before="0" w:line="259" w:lineRule="auto"/>
        <w:ind w:left="0" w:right="2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2"/>
        <w:keepNext w:val="0"/>
        <w:keepLines w:val="0"/>
        <w:widowControl w:val="0"/>
        <w:numPr>
          <w:ilvl w:val="0"/>
          <w:numId w:val="3"/>
        </w:numPr>
        <w:tabs>
          <w:tab w:val="left" w:leader="none" w:pos="438"/>
        </w:tabs>
        <w:spacing w:after="0" w:before="0" w:line="240" w:lineRule="auto"/>
        <w:ind w:left="438" w:hanging="220"/>
        <w:jc w:val="left"/>
        <w:rPr>
          <w:rFonts w:ascii="Times New Roman" w:cs="Times New Roman" w:eastAsia="Times New Roman" w:hAnsi="Times New Roman"/>
          <w:sz w:val="30"/>
          <w:szCs w:val="30"/>
        </w:rPr>
      </w:pPr>
      <w:bookmarkStart w:colFirst="0" w:colLast="0" w:name="_b5r6tlj0mjkh" w:id="5"/>
      <w:bookmarkEnd w:id="5"/>
      <w:r w:rsidDel="00000000" w:rsidR="00000000" w:rsidRPr="00000000">
        <w:rPr>
          <w:rFonts w:ascii="Times New Roman" w:cs="Times New Roman" w:eastAsia="Times New Roman" w:hAnsi="Times New Roman"/>
          <w:sz w:val="30"/>
          <w:szCs w:val="30"/>
          <w:rtl w:val="0"/>
        </w:rPr>
        <w:t xml:space="preserve">Preguntas de investigación</w:t>
      </w:r>
    </w:p>
    <w:p w:rsidR="00000000" w:rsidDel="00000000" w:rsidP="00000000" w:rsidRDefault="00000000" w:rsidRPr="00000000" w14:paraId="00000043">
      <w:pPr>
        <w:pStyle w:val="Heading3"/>
        <w:keepNext w:val="0"/>
        <w:keepLines w:val="0"/>
        <w:widowControl w:val="0"/>
        <w:spacing w:after="0" w:before="0" w:line="240" w:lineRule="auto"/>
        <w:ind w:left="218" w:firstLine="0"/>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44">
      <w:pPr>
        <w:pStyle w:val="Heading3"/>
        <w:keepNext w:val="0"/>
        <w:keepLines w:val="0"/>
        <w:widowControl w:val="0"/>
        <w:spacing w:after="0" w:before="0" w:line="240" w:lineRule="auto"/>
        <w:ind w:left="218"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Nivel descriptivo</w:t>
      </w:r>
    </w:p>
    <w:p w:rsidR="00000000" w:rsidDel="00000000" w:rsidP="00000000" w:rsidRDefault="00000000" w:rsidRPr="00000000" w14:paraId="00000045">
      <w:pPr>
        <w:keepNext w:val="0"/>
        <w:keepLines w:val="0"/>
        <w:widowControl w:val="1"/>
        <w:numPr>
          <w:ilvl w:val="0"/>
          <w:numId w:val="1"/>
        </w:numPr>
        <w:tabs>
          <w:tab w:val="left" w:leader="none" w:pos="938"/>
        </w:tabs>
        <w:spacing w:before="0" w:line="259" w:lineRule="auto"/>
        <w:ind w:left="938" w:right="611"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¿Cuál es el precio promedio, mediano y la dispersión del USD/m2 por barrio y cómo varía según superficie, ambientes y antigüedad</w:t>
      </w:r>
    </w:p>
    <w:p w:rsidR="00000000" w:rsidDel="00000000" w:rsidP="00000000" w:rsidRDefault="00000000" w:rsidRPr="00000000" w14:paraId="00000046">
      <w:pPr>
        <w:keepNext w:val="0"/>
        <w:keepLines w:val="0"/>
        <w:widowControl w:val="1"/>
        <w:numPr>
          <w:ilvl w:val="0"/>
          <w:numId w:val="1"/>
        </w:numPr>
        <w:tabs>
          <w:tab w:val="left" w:leader="none" w:pos="938"/>
        </w:tabs>
        <w:spacing w:before="0" w:line="259" w:lineRule="auto"/>
        <w:ind w:left="938" w:right="611"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diferencia de USD/m2 existe entre departamentos que necesitan obra y departamentos reciclados/refaccionados comparables?</w:t>
      </w:r>
    </w:p>
    <w:p w:rsidR="00000000" w:rsidDel="00000000" w:rsidP="00000000" w:rsidRDefault="00000000" w:rsidRPr="00000000" w14:paraId="00000047">
      <w:pPr>
        <w:keepNext w:val="1"/>
        <w:keepLines w:val="1"/>
        <w:widowControl w:val="1"/>
        <w:numPr>
          <w:ilvl w:val="0"/>
          <w:numId w:val="1"/>
        </w:numPr>
        <w:tabs>
          <w:tab w:val="left" w:leader="none" w:pos="938"/>
        </w:tabs>
        <w:spacing w:before="0" w:line="259" w:lineRule="auto"/>
        <w:ind w:left="938" w:right="1054"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proporción de la oferta usada puede clasificarse como “necesita obra”, “buen estado”, “reciclada/refaccionada” o permanece sin evidencia suficiente para clasificar?</w:t>
      </w:r>
    </w:p>
    <w:p w:rsidR="00000000" w:rsidDel="00000000" w:rsidP="00000000" w:rsidRDefault="00000000" w:rsidRPr="00000000" w14:paraId="00000048">
      <w:pPr>
        <w:widowControl w:val="0"/>
        <w:numPr>
          <w:ilvl w:val="0"/>
          <w:numId w:val="1"/>
        </w:numPr>
        <w:tabs>
          <w:tab w:val="left" w:leader="none" w:pos="938"/>
        </w:tabs>
        <w:spacing w:before="0" w:line="259" w:lineRule="auto"/>
        <w:ind w:left="938" w:right="1054"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características y amenities aparecen con mayor frecuencia en cada segmento de precio?</w:t>
      </w:r>
    </w:p>
    <w:p w:rsidR="00000000" w:rsidDel="00000000" w:rsidP="00000000" w:rsidRDefault="00000000" w:rsidRPr="00000000" w14:paraId="00000049">
      <w:pPr>
        <w:widowControl w:val="0"/>
        <w:numPr>
          <w:ilvl w:val="0"/>
          <w:numId w:val="1"/>
        </w:numPr>
        <w:tabs>
          <w:tab w:val="left" w:leader="none" w:pos="938"/>
        </w:tabs>
        <w:spacing w:before="0" w:line="259" w:lineRule="auto"/>
        <w:ind w:left="938" w:right="1054"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¿Cuánto tiempo permanece observado un aviso antes de dejar de aparecer en las capturas sucesivas?</w:t>
      </w:r>
    </w:p>
    <w:p w:rsidR="00000000" w:rsidDel="00000000" w:rsidP="00000000" w:rsidRDefault="00000000" w:rsidRPr="00000000" w14:paraId="0000004A">
      <w:pPr>
        <w:pStyle w:val="Heading3"/>
        <w:keepNext w:val="0"/>
        <w:keepLines w:val="0"/>
        <w:widowControl w:val="0"/>
        <w:spacing w:after="0" w:before="0" w:line="240" w:lineRule="auto"/>
        <w:ind w:left="218" w:firstLine="0"/>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4B">
      <w:pPr>
        <w:pStyle w:val="Heading3"/>
        <w:keepNext w:val="0"/>
        <w:keepLines w:val="0"/>
        <w:widowControl w:val="0"/>
        <w:spacing w:after="0" w:before="0" w:line="240" w:lineRule="auto"/>
        <w:ind w:left="218"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Nivel diagnóstico</w:t>
      </w:r>
    </w:p>
    <w:p w:rsidR="00000000" w:rsidDel="00000000" w:rsidP="00000000" w:rsidRDefault="00000000" w:rsidRPr="00000000" w14:paraId="0000004C">
      <w:pPr>
        <w:widowControl w:val="0"/>
        <w:numPr>
          <w:ilvl w:val="0"/>
          <w:numId w:val="5"/>
        </w:numPr>
        <w:tabs>
          <w:tab w:val="left" w:leader="none" w:pos="938"/>
        </w:tabs>
        <w:spacing w:before="0" w:line="259" w:lineRule="auto"/>
        <w:ind w:left="938" w:right="446"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variables disponibles explican mejor las diferencias de precio entre propiedades comparables de una misma zona?</w:t>
      </w:r>
    </w:p>
    <w:p w:rsidR="00000000" w:rsidDel="00000000" w:rsidP="00000000" w:rsidRDefault="00000000" w:rsidRPr="00000000" w14:paraId="0000004D">
      <w:pPr>
        <w:widowControl w:val="0"/>
        <w:numPr>
          <w:ilvl w:val="0"/>
          <w:numId w:val="5"/>
        </w:numPr>
        <w:tabs>
          <w:tab w:val="left" w:leader="none" w:pos="938"/>
        </w:tabs>
        <w:spacing w:before="0" w:line="259" w:lineRule="auto"/>
        <w:ind w:left="938" w:right="446"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descuento asociado a “necesita obra” es similar en todos los barrios o cambia según la zona?</w:t>
      </w:r>
    </w:p>
    <w:p w:rsidR="00000000" w:rsidDel="00000000" w:rsidP="00000000" w:rsidRDefault="00000000" w:rsidRPr="00000000" w14:paraId="0000004E">
      <w:pPr>
        <w:widowControl w:val="0"/>
        <w:numPr>
          <w:ilvl w:val="0"/>
          <w:numId w:val="5"/>
        </w:numPr>
        <w:tabs>
          <w:tab w:val="left" w:leader="none" w:pos="938"/>
        </w:tabs>
        <w:spacing w:before="0" w:line="259" w:lineRule="auto"/>
        <w:ind w:left="938" w:right="446"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relación presentan amenities como cochera,, seguridad, pileta  o terraza con el USD/m2 dentro de segmentos comparables?</w:t>
      </w:r>
    </w:p>
    <w:p w:rsidR="00000000" w:rsidDel="00000000" w:rsidP="00000000" w:rsidRDefault="00000000" w:rsidRPr="00000000" w14:paraId="0000004F">
      <w:pPr>
        <w:widowControl w:val="0"/>
        <w:numPr>
          <w:ilvl w:val="0"/>
          <w:numId w:val="5"/>
        </w:numPr>
        <w:tabs>
          <w:tab w:val="left" w:leader="none" w:pos="938"/>
        </w:tabs>
        <w:spacing w:before="0" w:line="259" w:lineRule="auto"/>
        <w:ind w:left="938" w:right="446"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dispersión del USD/m2 dentro de un barrio permite identificar micromercados u oportunidades que un promedio general oculta?</w:t>
      </w:r>
    </w:p>
    <w:p w:rsidR="00000000" w:rsidDel="00000000" w:rsidP="00000000" w:rsidRDefault="00000000" w:rsidRPr="00000000" w14:paraId="00000050">
      <w:pPr>
        <w:widowControl w:val="0"/>
        <w:spacing w:after="240" w:before="240" w:line="259"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predictivo</w:t>
      </w:r>
    </w:p>
    <w:p w:rsidR="00000000" w:rsidDel="00000000" w:rsidP="00000000" w:rsidRDefault="00000000" w:rsidRPr="00000000" w14:paraId="00000051">
      <w:pPr>
        <w:widowControl w:val="0"/>
        <w:numPr>
          <w:ilvl w:val="0"/>
          <w:numId w:val="4"/>
        </w:numPr>
        <w:spacing w:after="240" w:before="240" w:line="259"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las características de una propiedad, ¿podemos estimar un precio esperado y usar la diferencia con el precio publicado como señal de subvaluación?</w:t>
      </w:r>
    </w:p>
    <w:p w:rsidR="00000000" w:rsidDel="00000000" w:rsidP="00000000" w:rsidRDefault="00000000" w:rsidRPr="00000000" w14:paraId="00000052">
      <w:pPr>
        <w:widowControl w:val="0"/>
        <w:spacing w:after="240" w:before="240" w:line="259"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prescriptivo</w:t>
      </w:r>
    </w:p>
    <w:p w:rsidR="00000000" w:rsidDel="00000000" w:rsidP="00000000" w:rsidRDefault="00000000" w:rsidRPr="00000000" w14:paraId="00000053">
      <w:pPr>
        <w:widowControl w:val="0"/>
        <w:numPr>
          <w:ilvl w:val="0"/>
          <w:numId w:val="2"/>
        </w:numPr>
        <w:spacing w:after="240" w:before="240" w:line="259"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las propiedades subvaluadas y "a refaccionar", ¿cuáles convienen más una vez que se descuenta el costo estimado de la refacción?</w:t>
      </w:r>
    </w:p>
    <w:p w:rsidR="00000000" w:rsidDel="00000000" w:rsidP="00000000" w:rsidRDefault="00000000" w:rsidRPr="00000000" w14:paraId="00000054">
      <w:pPr>
        <w:widowControl w:val="0"/>
        <w:spacing w:before="0" w:line="259" w:lineRule="auto"/>
        <w:ind w:left="0" w:right="237"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widowControl w:val="0"/>
        <w:spacing w:before="0" w:line="259" w:lineRule="auto"/>
        <w:ind w:left="0" w:right="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Etapas posteriores del análisis:</w:t>
      </w:r>
      <w:r w:rsidDel="00000000" w:rsidR="00000000" w:rsidRPr="00000000">
        <w:rPr>
          <w:rFonts w:ascii="Times New Roman" w:cs="Times New Roman" w:eastAsia="Times New Roman" w:hAnsi="Times New Roman"/>
          <w:rtl w:val="0"/>
        </w:rPr>
        <w:t xml:space="preserve"> a partir de los patrones identificados en las etapas descriptiva y diagnóstica, se evaluará la posibilidad de estimar un valor de referencia para cada propiedad según sus características y, posteriormente, utilizar esa estimación para identificar y priorizar oportunidades de inversión y flipping.</w:t>
      </w:r>
    </w:p>
    <w:p w:rsidR="00000000" w:rsidDel="00000000" w:rsidP="00000000" w:rsidRDefault="00000000" w:rsidRPr="00000000" w14:paraId="00000056">
      <w:pPr>
        <w:widowControl w:val="0"/>
        <w:spacing w:before="16" w:line="240" w:lineRule="auto"/>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2"/>
        <w:keepNext w:val="0"/>
        <w:keepLines w:val="0"/>
        <w:widowControl w:val="0"/>
        <w:numPr>
          <w:ilvl w:val="0"/>
          <w:numId w:val="3"/>
        </w:numPr>
        <w:tabs>
          <w:tab w:val="left" w:leader="none" w:pos="438"/>
        </w:tabs>
        <w:spacing w:after="0" w:before="0" w:line="240" w:lineRule="auto"/>
        <w:ind w:left="438" w:hanging="220"/>
        <w:jc w:val="left"/>
        <w:rPr>
          <w:rFonts w:ascii="Times New Roman" w:cs="Times New Roman" w:eastAsia="Times New Roman" w:hAnsi="Times New Roman"/>
          <w:sz w:val="30"/>
          <w:szCs w:val="30"/>
        </w:rPr>
      </w:pPr>
      <w:bookmarkStart w:colFirst="0" w:colLast="0" w:name="_2dt5syp0frqw" w:id="6"/>
      <w:bookmarkEnd w:id="6"/>
      <w:r w:rsidDel="00000000" w:rsidR="00000000" w:rsidRPr="00000000">
        <w:rPr>
          <w:rFonts w:ascii="Times New Roman" w:cs="Times New Roman" w:eastAsia="Times New Roman" w:hAnsi="Times New Roman"/>
          <w:sz w:val="30"/>
          <w:szCs w:val="30"/>
          <w:rtl w:val="0"/>
        </w:rPr>
        <w:t xml:space="preserve">KPIs y definiciones operativas</w:t>
      </w:r>
    </w:p>
    <w:p w:rsidR="00000000" w:rsidDel="00000000" w:rsidP="00000000" w:rsidRDefault="00000000" w:rsidRPr="00000000" w14:paraId="00000058">
      <w:pPr>
        <w:widowControl w:val="0"/>
        <w:spacing w:before="6" w:line="240" w:lineRule="auto"/>
        <w:ind w:firstLine="0"/>
        <w:jc w:val="left"/>
        <w:rPr>
          <w:rFonts w:ascii="Times New Roman" w:cs="Times New Roman" w:eastAsia="Times New Roman" w:hAnsi="Times New Roman"/>
          <w:sz w:val="14"/>
          <w:szCs w:val="14"/>
        </w:rPr>
      </w:pPr>
      <w:r w:rsidDel="00000000" w:rsidR="00000000" w:rsidRPr="00000000">
        <w:rPr>
          <w:rtl w:val="0"/>
        </w:rPr>
      </w:r>
    </w:p>
    <w:tbl>
      <w:tblPr>
        <w:tblStyle w:val="Table3"/>
        <w:tblW w:w="9648.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22"/>
        <w:gridCol w:w="3322"/>
        <w:gridCol w:w="3104"/>
        <w:tblGridChange w:id="0">
          <w:tblGrid>
            <w:gridCol w:w="3222"/>
            <w:gridCol w:w="3322"/>
            <w:gridCol w:w="3104"/>
          </w:tblGrid>
        </w:tblGridChange>
      </w:tblGrid>
      <w:tr>
        <w:trPr>
          <w:cantSplit w:val="0"/>
          <w:trHeight w:val="280" w:hRule="atLeast"/>
          <w:tblHeader w:val="0"/>
        </w:trPr>
        <w:tc>
          <w:tcPr>
            <w:tcBorders>
              <w:bottom w:color="000000" w:space="0" w:sz="6" w:val="single"/>
            </w:tcBorders>
          </w:tcPr>
          <w:p w:rsidR="00000000" w:rsidDel="00000000" w:rsidP="00000000" w:rsidRDefault="00000000" w:rsidRPr="00000000" w14:paraId="00000059">
            <w:pPr>
              <w:widowControl w:val="0"/>
              <w:spacing w:line="199" w:lineRule="auto"/>
              <w:ind w:left="34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KPI</w:t>
            </w:r>
          </w:p>
        </w:tc>
        <w:tc>
          <w:tcPr>
            <w:tcBorders>
              <w:bottom w:color="000000" w:space="0" w:sz="6" w:val="single"/>
            </w:tcBorders>
          </w:tcPr>
          <w:p w:rsidR="00000000" w:rsidDel="00000000" w:rsidP="00000000" w:rsidRDefault="00000000" w:rsidRPr="00000000" w14:paraId="0000005A">
            <w:pPr>
              <w:widowControl w:val="0"/>
              <w:spacing w:line="199" w:lineRule="auto"/>
              <w:ind w:left="335"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matemática</w:t>
            </w:r>
          </w:p>
        </w:tc>
        <w:tc>
          <w:tcPr>
            <w:tcBorders>
              <w:bottom w:color="000000" w:space="0" w:sz="6" w:val="single"/>
            </w:tcBorders>
          </w:tcPr>
          <w:p w:rsidR="00000000" w:rsidDel="00000000" w:rsidP="00000000" w:rsidRDefault="00000000" w:rsidRPr="00000000" w14:paraId="0000005B">
            <w:pPr>
              <w:widowControl w:val="0"/>
              <w:spacing w:line="199" w:lineRule="auto"/>
              <w:ind w:left="228"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Interpretación comercial</w:t>
            </w:r>
          </w:p>
        </w:tc>
      </w:tr>
      <w:tr>
        <w:trPr>
          <w:cantSplit w:val="0"/>
          <w:trHeight w:val="753" w:hRule="atLeast"/>
          <w:tblHeader w:val="0"/>
        </w:trPr>
        <w:tc>
          <w:tcPr>
            <w:tcBorders>
              <w:top w:color="000000" w:space="0" w:sz="6" w:val="single"/>
            </w:tcBorders>
          </w:tcPr>
          <w:p w:rsidR="00000000" w:rsidDel="00000000" w:rsidP="00000000" w:rsidRDefault="00000000" w:rsidRPr="00000000" w14:paraId="0000005C">
            <w:pPr>
              <w:widowControl w:val="0"/>
              <w:spacing w:before="58" w:line="240" w:lineRule="auto"/>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0"/>
              <w:spacing w:line="240" w:lineRule="auto"/>
              <w:ind w:left="34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USD/m2 observado</w:t>
            </w:r>
          </w:p>
        </w:tc>
        <w:tc>
          <w:tcPr>
            <w:tcBorders>
              <w:top w:color="000000" w:space="0" w:sz="6" w:val="single"/>
            </w:tcBorders>
          </w:tcPr>
          <w:p w:rsidR="00000000" w:rsidDel="00000000" w:rsidP="00000000" w:rsidRDefault="00000000" w:rsidRPr="00000000" w14:paraId="0000005E">
            <w:pPr>
              <w:widowControl w:val="0"/>
              <w:spacing w:before="58" w:line="240" w:lineRule="auto"/>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widowControl w:val="0"/>
              <w:spacing w:line="240" w:lineRule="auto"/>
              <w:ind w:left="33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Precio_Valor / Superficie_Total_m2</w:t>
            </w:r>
          </w:p>
        </w:tc>
        <w:tc>
          <w:tcPr>
            <w:tcBorders>
              <w:top w:color="000000" w:space="0" w:sz="6" w:val="single"/>
            </w:tcBorders>
          </w:tcPr>
          <w:p w:rsidR="00000000" w:rsidDel="00000000" w:rsidP="00000000" w:rsidRDefault="00000000" w:rsidRPr="00000000" w14:paraId="00000060">
            <w:pPr>
              <w:widowControl w:val="0"/>
              <w:spacing w:before="58" w:line="240" w:lineRule="auto"/>
              <w:ind w:left="228" w:right="7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comparar propiedades de distinto tamaño en una misma unidad de valor.</w:t>
            </w:r>
          </w:p>
        </w:tc>
      </w:tr>
      <w:tr>
        <w:trPr>
          <w:cantSplit w:val="0"/>
          <w:trHeight w:val="760" w:hRule="atLeast"/>
          <w:tblHeader w:val="0"/>
        </w:trPr>
        <w:tc>
          <w:tcPr/>
          <w:p w:rsidR="00000000" w:rsidDel="00000000" w:rsidP="00000000" w:rsidRDefault="00000000" w:rsidRPr="00000000" w14:paraId="00000061">
            <w:pPr>
              <w:widowControl w:val="0"/>
              <w:spacing w:before="66" w:line="240" w:lineRule="auto"/>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widowControl w:val="0"/>
              <w:spacing w:line="240" w:lineRule="auto"/>
              <w:ind w:left="34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Benchmark USD/m2 comparable</w:t>
            </w:r>
          </w:p>
        </w:tc>
        <w:tc>
          <w:tcPr/>
          <w:p w:rsidR="00000000" w:rsidDel="00000000" w:rsidP="00000000" w:rsidRDefault="00000000" w:rsidRPr="00000000" w14:paraId="00000063">
            <w:pPr>
              <w:widowControl w:val="0"/>
              <w:spacing w:before="66" w:line="240" w:lineRule="auto"/>
              <w:ind w:left="335" w:right="2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Mediana del USD/m2 de propiedades comparables por zona, ambientes y banda de superficie</w:t>
            </w:r>
          </w:p>
        </w:tc>
        <w:tc>
          <w:tcPr/>
          <w:p w:rsidR="00000000" w:rsidDel="00000000" w:rsidP="00000000" w:rsidRDefault="00000000" w:rsidRPr="00000000" w14:paraId="00000064">
            <w:pPr>
              <w:widowControl w:val="0"/>
              <w:spacing w:before="169" w:line="240" w:lineRule="auto"/>
              <w:ind w:left="22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 robusta de mercado para el segmento de la propiedad.</w:t>
            </w:r>
          </w:p>
        </w:tc>
      </w:tr>
      <w:tr>
        <w:trPr>
          <w:cantSplit w:val="0"/>
          <w:trHeight w:val="761" w:hRule="atLeast"/>
          <w:tblHeader w:val="0"/>
        </w:trPr>
        <w:tc>
          <w:tcPr/>
          <w:p w:rsidR="00000000" w:rsidDel="00000000" w:rsidP="00000000" w:rsidRDefault="00000000" w:rsidRPr="00000000" w14:paraId="00000065">
            <w:pPr>
              <w:widowControl w:val="0"/>
              <w:spacing w:before="66" w:line="240" w:lineRule="auto"/>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widowControl w:val="0"/>
              <w:spacing w:line="240" w:lineRule="auto"/>
              <w:ind w:left="34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Precio esperado</w:t>
            </w:r>
          </w:p>
        </w:tc>
        <w:tc>
          <w:tcPr/>
          <w:p w:rsidR="00000000" w:rsidDel="00000000" w:rsidP="00000000" w:rsidRDefault="00000000" w:rsidRPr="00000000" w14:paraId="00000067">
            <w:pPr>
              <w:widowControl w:val="0"/>
              <w:spacing w:before="169" w:line="240" w:lineRule="auto"/>
              <w:ind w:left="335" w:right="12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Benchmark_USD_m2 * Superficie_Total_m2</w:t>
            </w:r>
          </w:p>
        </w:tc>
        <w:tc>
          <w:tcPr/>
          <w:p w:rsidR="00000000" w:rsidDel="00000000" w:rsidP="00000000" w:rsidRDefault="00000000" w:rsidRPr="00000000" w14:paraId="00000068">
            <w:pPr>
              <w:widowControl w:val="0"/>
              <w:spacing w:before="66" w:line="240" w:lineRule="auto"/>
              <w:ind w:left="228" w:right="7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de referencia aproximado para una propiedad con características comparables.</w:t>
            </w:r>
          </w:p>
        </w:tc>
      </w:tr>
      <w:tr>
        <w:trPr>
          <w:cantSplit w:val="0"/>
          <w:trHeight w:val="761" w:hRule="atLeast"/>
          <w:tblHeader w:val="0"/>
        </w:trPr>
        <w:tc>
          <w:tcPr/>
          <w:p w:rsidR="00000000" w:rsidDel="00000000" w:rsidP="00000000" w:rsidRDefault="00000000" w:rsidRPr="00000000" w14:paraId="00000069">
            <w:pPr>
              <w:widowControl w:val="0"/>
              <w:spacing w:before="66" w:line="240" w:lineRule="auto"/>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widowControl w:val="0"/>
              <w:spacing w:line="240" w:lineRule="auto"/>
              <w:ind w:left="34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de subvaluación</w:t>
            </w:r>
          </w:p>
        </w:tc>
        <w:tc>
          <w:tcPr/>
          <w:p w:rsidR="00000000" w:rsidDel="00000000" w:rsidP="00000000" w:rsidRDefault="00000000" w:rsidRPr="00000000" w14:paraId="0000006B">
            <w:pPr>
              <w:widowControl w:val="0"/>
              <w:spacing w:before="169" w:line="240" w:lineRule="auto"/>
              <w:ind w:left="33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(Precio_Esperado - Precio_Publicado)</w:t>
            </w:r>
          </w:p>
          <w:p w:rsidR="00000000" w:rsidDel="00000000" w:rsidP="00000000" w:rsidRDefault="00000000" w:rsidRPr="00000000" w14:paraId="0000006C">
            <w:pPr>
              <w:widowControl w:val="0"/>
              <w:spacing w:line="240" w:lineRule="auto"/>
              <w:ind w:left="33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Precio_Esperado * 100</w:t>
            </w:r>
          </w:p>
        </w:tc>
        <w:tc>
          <w:tcPr/>
          <w:p w:rsidR="00000000" w:rsidDel="00000000" w:rsidP="00000000" w:rsidRDefault="00000000" w:rsidRPr="00000000" w14:paraId="0000006D">
            <w:pPr>
              <w:widowControl w:val="0"/>
              <w:spacing w:before="66" w:line="240" w:lineRule="auto"/>
              <w:ind w:left="228" w:right="1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porcentual de cuánto más barata está publicada una propiedad respecto de su benchmark.</w:t>
            </w:r>
          </w:p>
        </w:tc>
      </w:tr>
      <w:tr>
        <w:trPr>
          <w:cantSplit w:val="0"/>
          <w:trHeight w:val="687" w:hRule="atLeast"/>
          <w:tblHeader w:val="0"/>
        </w:trPr>
        <w:tc>
          <w:tcPr/>
          <w:p w:rsidR="00000000" w:rsidDel="00000000" w:rsidP="00000000" w:rsidRDefault="00000000" w:rsidRPr="00000000" w14:paraId="0000006E">
            <w:pPr>
              <w:widowControl w:val="0"/>
              <w:spacing w:before="66" w:line="240" w:lineRule="auto"/>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widowControl w:val="0"/>
              <w:spacing w:line="240" w:lineRule="auto"/>
              <w:ind w:left="34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de estado / flipping</w:t>
            </w:r>
          </w:p>
        </w:tc>
        <w:tc>
          <w:tcPr/>
          <w:p w:rsidR="00000000" w:rsidDel="00000000" w:rsidP="00000000" w:rsidRDefault="00000000" w:rsidRPr="00000000" w14:paraId="00000070">
            <w:pPr>
              <w:widowControl w:val="0"/>
              <w:spacing w:before="46" w:line="240" w:lineRule="auto"/>
              <w:ind w:left="335" w:right="2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(Mediana_USD_m2_Reciclada - Mediana_USD_m2_Necesita_Obra) / Mediana_USD_m2_Reciclada * 100</w:t>
            </w:r>
          </w:p>
        </w:tc>
        <w:tc>
          <w:tcPr/>
          <w:p w:rsidR="00000000" w:rsidDel="00000000" w:rsidP="00000000" w:rsidRDefault="00000000" w:rsidRPr="00000000" w14:paraId="00000071">
            <w:pPr>
              <w:widowControl w:val="0"/>
              <w:spacing w:before="46" w:line="240" w:lineRule="auto"/>
              <w:ind w:left="228" w:right="7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Mide el descuento observado asociado a la necesidad de refacción dentro de segmentos comparables.</w:t>
            </w:r>
          </w:p>
        </w:tc>
      </w:tr>
    </w:tbl>
    <w:p w:rsidR="00000000" w:rsidDel="00000000" w:rsidP="00000000" w:rsidRDefault="00000000" w:rsidRPr="00000000" w14:paraId="00000072">
      <w:pPr>
        <w:widowControl w:val="0"/>
        <w:spacing w:before="1" w:line="240" w:lineRule="auto"/>
        <w:ind w:firstLine="0"/>
        <w:jc w:val="left"/>
        <w:rPr>
          <w:rFonts w:ascii="Times New Roman" w:cs="Times New Roman" w:eastAsia="Times New Roman" w:hAnsi="Times New Roman"/>
          <w:b w:val="1"/>
          <w:bCs w:val="1"/>
        </w:rPr>
      </w:pPr>
      <w:r w:rsidDel="00000000" w:rsidR="00000000" w:rsidRPr="00000000">
        <w:rPr>
          <w:rtl w:val="0"/>
        </w:rPr>
      </w:r>
    </w:p>
    <w:tbl>
      <w:tblPr>
        <w:tblStyle w:val="Table4"/>
        <w:tblW w:w="9649.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26"/>
        <w:gridCol w:w="3309"/>
        <w:gridCol w:w="3114"/>
        <w:tblGridChange w:id="0">
          <w:tblGrid>
            <w:gridCol w:w="3226"/>
            <w:gridCol w:w="3309"/>
            <w:gridCol w:w="3114"/>
          </w:tblGrid>
        </w:tblGridChange>
      </w:tblGrid>
      <w:tr>
        <w:trPr>
          <w:cantSplit w:val="0"/>
          <w:trHeight w:val="1185" w:hRule="atLeast"/>
          <w:tblHeader w:val="0"/>
        </w:trPr>
        <w:tc>
          <w:tcPr>
            <w:tcBorders>
              <w:top w:color="000000" w:space="0" w:sz="6" w:val="single"/>
            </w:tcBorders>
          </w:tcPr>
          <w:p w:rsidR="00000000" w:rsidDel="00000000" w:rsidP="00000000" w:rsidRDefault="00000000" w:rsidRPr="00000000" w14:paraId="00000073">
            <w:pPr>
              <w:widowControl w:val="0"/>
              <w:spacing w:before="43" w:line="240" w:lineRule="auto"/>
              <w:ind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widowControl w:val="0"/>
              <w:spacing w:line="240" w:lineRule="auto"/>
              <w:ind w:left="34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 estimado de refacción</w:t>
            </w:r>
          </w:p>
        </w:tc>
        <w:tc>
          <w:tcPr>
            <w:tcBorders>
              <w:top w:color="000000" w:space="0" w:sz="6" w:val="single"/>
            </w:tcBorders>
          </w:tcPr>
          <w:p w:rsidR="00000000" w:rsidDel="00000000" w:rsidP="00000000" w:rsidRDefault="00000000" w:rsidRPr="00000000" w14:paraId="00000075">
            <w:pPr>
              <w:widowControl w:val="0"/>
              <w:spacing w:before="146" w:line="240" w:lineRule="auto"/>
              <w:ind w:left="330" w:right="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Superficie_Cubierta_m2 * Costo_Refaccion_USD_m2</w:t>
            </w:r>
          </w:p>
        </w:tc>
        <w:tc>
          <w:tcPr>
            <w:tcBorders>
              <w:top w:color="000000" w:space="0" w:sz="6" w:val="single"/>
            </w:tcBorders>
          </w:tcPr>
          <w:p w:rsidR="00000000" w:rsidDel="00000000" w:rsidP="00000000" w:rsidRDefault="00000000" w:rsidRPr="00000000" w14:paraId="00000076">
            <w:pPr>
              <w:widowControl w:val="0"/>
              <w:spacing w:before="43" w:line="240" w:lineRule="auto"/>
              <w:ind w:left="237" w:right="6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Aproxima la inversión necesaria para llevar una propiedad a un estado comparable post-obra.</w:t>
            </w:r>
          </w:p>
        </w:tc>
      </w:tr>
      <w:tr>
        <w:trPr>
          <w:cantSplit w:val="0"/>
          <w:trHeight w:val="554" w:hRule="atLeast"/>
          <w:tblHeader w:val="0"/>
        </w:trPr>
        <w:tc>
          <w:tcPr/>
          <w:p w:rsidR="00000000" w:rsidDel="00000000" w:rsidP="00000000" w:rsidRDefault="00000000" w:rsidRPr="00000000" w14:paraId="00000077">
            <w:pPr>
              <w:widowControl w:val="0"/>
              <w:spacing w:before="169" w:line="240" w:lineRule="auto"/>
              <w:ind w:left="34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Inversión total estimada</w:t>
            </w:r>
          </w:p>
        </w:tc>
        <w:tc>
          <w:tcPr/>
          <w:p w:rsidR="00000000" w:rsidDel="00000000" w:rsidP="00000000" w:rsidRDefault="00000000" w:rsidRPr="00000000" w14:paraId="00000078">
            <w:pPr>
              <w:widowControl w:val="0"/>
              <w:spacing w:before="66" w:line="240" w:lineRule="auto"/>
              <w:ind w:left="330" w:right="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Precio_Compra + Costo_Refaccion + Costos_Transaccion</w:t>
            </w:r>
          </w:p>
        </w:tc>
        <w:tc>
          <w:tcPr/>
          <w:p w:rsidR="00000000" w:rsidDel="00000000" w:rsidP="00000000" w:rsidRDefault="00000000" w:rsidRPr="00000000" w14:paraId="00000079">
            <w:pPr>
              <w:widowControl w:val="0"/>
              <w:spacing w:before="66" w:line="240" w:lineRule="auto"/>
              <w:ind w:left="237" w:right="6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Capital total comprometido en la operación.</w:t>
            </w:r>
          </w:p>
        </w:tc>
      </w:tr>
      <w:tr>
        <w:trPr>
          <w:cantSplit w:val="0"/>
          <w:trHeight w:val="554" w:hRule="atLeast"/>
          <w:tblHeader w:val="0"/>
        </w:trPr>
        <w:tc>
          <w:tcPr/>
          <w:p w:rsidR="00000000" w:rsidDel="00000000" w:rsidP="00000000" w:rsidRDefault="00000000" w:rsidRPr="00000000" w14:paraId="0000007A">
            <w:pPr>
              <w:widowControl w:val="0"/>
              <w:spacing w:before="169" w:line="240" w:lineRule="auto"/>
              <w:ind w:left="34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Margen potencial de flipping</w:t>
            </w:r>
          </w:p>
        </w:tc>
        <w:tc>
          <w:tcPr/>
          <w:p w:rsidR="00000000" w:rsidDel="00000000" w:rsidP="00000000" w:rsidRDefault="00000000" w:rsidRPr="00000000" w14:paraId="0000007B">
            <w:pPr>
              <w:widowControl w:val="0"/>
              <w:spacing w:before="66" w:line="240" w:lineRule="auto"/>
              <w:ind w:left="330" w:right="89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Precio_Esperado_PostObra - Inversion_Total</w:t>
            </w:r>
          </w:p>
        </w:tc>
        <w:tc>
          <w:tcPr/>
          <w:p w:rsidR="00000000" w:rsidDel="00000000" w:rsidP="00000000" w:rsidRDefault="00000000" w:rsidRPr="00000000" w14:paraId="0000007C">
            <w:pPr>
              <w:widowControl w:val="0"/>
              <w:spacing w:before="66" w:line="240" w:lineRule="auto"/>
              <w:ind w:left="237" w:right="6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Ganancia potencial en USD antes de impuestos y costos no modelados.</w:t>
            </w:r>
          </w:p>
        </w:tc>
      </w:tr>
      <w:tr>
        <w:trPr>
          <w:cantSplit w:val="0"/>
          <w:trHeight w:val="554" w:hRule="atLeast"/>
          <w:tblHeader w:val="0"/>
        </w:trPr>
        <w:tc>
          <w:tcPr/>
          <w:p w:rsidR="00000000" w:rsidDel="00000000" w:rsidP="00000000" w:rsidRDefault="00000000" w:rsidRPr="00000000" w14:paraId="0000007D">
            <w:pPr>
              <w:widowControl w:val="0"/>
              <w:spacing w:before="169" w:line="240" w:lineRule="auto"/>
              <w:ind w:left="34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ROI potencial de flipping</w:t>
            </w:r>
          </w:p>
        </w:tc>
        <w:tc>
          <w:tcPr/>
          <w:p w:rsidR="00000000" w:rsidDel="00000000" w:rsidP="00000000" w:rsidRDefault="00000000" w:rsidRPr="00000000" w14:paraId="0000007E">
            <w:pPr>
              <w:widowControl w:val="0"/>
              <w:spacing w:before="66" w:line="240" w:lineRule="auto"/>
              <w:ind w:left="330" w:right="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Margen_Potencial / Inversion_Total * 100</w:t>
            </w:r>
          </w:p>
        </w:tc>
        <w:tc>
          <w:tcPr/>
          <w:p w:rsidR="00000000" w:rsidDel="00000000" w:rsidP="00000000" w:rsidRDefault="00000000" w:rsidRPr="00000000" w14:paraId="0000007F">
            <w:pPr>
              <w:widowControl w:val="0"/>
              <w:spacing w:before="66" w:line="240" w:lineRule="auto"/>
              <w:ind w:left="237" w:right="6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comparar oportunidades de distinto tamaño de inversión.</w:t>
            </w:r>
          </w:p>
        </w:tc>
      </w:tr>
      <w:tr>
        <w:trPr>
          <w:cantSplit w:val="0"/>
          <w:trHeight w:val="75" w:hRule="atLeast"/>
          <w:tblHeader w:val="0"/>
        </w:trPr>
        <w:tc>
          <w:tcPr/>
          <w:p w:rsidR="00000000" w:rsidDel="00000000" w:rsidP="00000000" w:rsidRDefault="00000000" w:rsidRPr="00000000" w14:paraId="00000080">
            <w:pPr>
              <w:widowControl w:val="0"/>
              <w:spacing w:line="240" w:lineRule="auto"/>
              <w:ind w:left="0" w:firstLine="0"/>
              <w:jc w:val="left"/>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81">
            <w:pPr>
              <w:widowControl w:val="0"/>
              <w:spacing w:line="240" w:lineRule="auto"/>
              <w:ind w:left="330" w:right="1195"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2">
            <w:pPr>
              <w:widowControl w:val="0"/>
              <w:spacing w:before="46" w:line="240" w:lineRule="auto"/>
              <w:ind w:left="237" w:right="65"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3">
      <w:pPr>
        <w:widowControl w:val="0"/>
        <w:spacing w:before="53" w:line="240" w:lineRule="auto"/>
        <w:ind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widowControl w:val="0"/>
        <w:spacing w:line="259" w:lineRule="auto"/>
        <w:ind w:left="0" w:right="2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Umbral inicial de subvaluación. </w:t>
      </w:r>
      <w:r w:rsidDel="00000000" w:rsidR="00000000" w:rsidRPr="00000000">
        <w:rPr>
          <w:rFonts w:ascii="Times New Roman" w:cs="Times New Roman" w:eastAsia="Times New Roman" w:hAnsi="Times New Roman"/>
          <w:rtl w:val="0"/>
        </w:rPr>
        <w:t xml:space="preserve">Se propone utilizar 15% como umbral operativo preliminar para construir un primer ranking de oportunidades. No se lo presenta como un valor definitivo: será recalibrado en la segunda pre-entrega a partir de percentiles, dispersión de los gaps y costos de operación documentados.</w:t>
      </w:r>
    </w:p>
    <w:p w:rsidR="00000000" w:rsidDel="00000000" w:rsidP="00000000" w:rsidRDefault="00000000" w:rsidRPr="00000000" w14:paraId="00000085">
      <w:pPr>
        <w:widowControl w:val="0"/>
        <w:spacing w:line="259" w:lineRule="auto"/>
        <w:ind w:left="0" w:right="21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widowControl w:val="0"/>
        <w:spacing w:line="259" w:lineRule="auto"/>
        <w:ind w:left="0" w:right="219"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bCs w:val="1"/>
          <w:rtl w:val="0"/>
        </w:rPr>
        <w:t xml:space="preserve">Costo de refacción. </w:t>
      </w:r>
      <w:r w:rsidDel="00000000" w:rsidR="00000000" w:rsidRPr="00000000">
        <w:rPr>
          <w:rFonts w:ascii="Times New Roman" w:cs="Times New Roman" w:eastAsia="Times New Roman" w:hAnsi="Times New Roman"/>
          <w:rtl w:val="0"/>
        </w:rPr>
        <w:t xml:space="preserve">El índice de costo de construcción del INDEC se utilizará como insumo de actualización/normalización, pero no se asumirá que equivale directamente a un costo de refacción por m2. Será necesario definir una referencia base de costo de obra y llevarla a una unidad monetaria comparable con los precios de venta.</w:t>
      </w:r>
      <w:r w:rsidDel="00000000" w:rsidR="00000000" w:rsidRPr="00000000">
        <w:rPr>
          <w:rtl w:val="0"/>
        </w:rPr>
      </w:r>
    </w:p>
    <w:p w:rsidR="00000000" w:rsidDel="00000000" w:rsidP="00000000" w:rsidRDefault="00000000" w:rsidRPr="00000000" w14:paraId="00000087">
      <w:pPr>
        <w:widowControl w:val="0"/>
        <w:spacing w:before="16" w:line="240" w:lineRule="auto"/>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Style w:val="Heading2"/>
        <w:keepNext w:val="0"/>
        <w:keepLines w:val="0"/>
        <w:widowControl w:val="0"/>
        <w:numPr>
          <w:ilvl w:val="0"/>
          <w:numId w:val="3"/>
        </w:numPr>
        <w:tabs>
          <w:tab w:val="left" w:leader="none" w:pos="438"/>
        </w:tabs>
        <w:spacing w:after="0" w:before="0" w:line="240" w:lineRule="auto"/>
        <w:ind w:left="438" w:hanging="220"/>
        <w:jc w:val="left"/>
        <w:rPr>
          <w:rFonts w:ascii="Times New Roman" w:cs="Times New Roman" w:eastAsia="Times New Roman" w:hAnsi="Times New Roman"/>
          <w:sz w:val="30"/>
          <w:szCs w:val="30"/>
        </w:rPr>
      </w:pPr>
      <w:bookmarkStart w:colFirst="0" w:colLast="0" w:name="_b0tjnzwol07o" w:id="7"/>
      <w:bookmarkEnd w:id="7"/>
      <w:r w:rsidDel="00000000" w:rsidR="00000000" w:rsidRPr="00000000">
        <w:rPr>
          <w:rFonts w:ascii="Times New Roman" w:cs="Times New Roman" w:eastAsia="Times New Roman" w:hAnsi="Times New Roman"/>
          <w:sz w:val="30"/>
          <w:szCs w:val="30"/>
          <w:rtl w:val="0"/>
        </w:rPr>
        <w:t xml:space="preserve">Hipótesis iniciales y hoja de ruta</w:t>
      </w:r>
    </w:p>
    <w:p w:rsidR="00000000" w:rsidDel="00000000" w:rsidP="00000000" w:rsidRDefault="00000000" w:rsidRPr="00000000" w14:paraId="00000089">
      <w:pPr>
        <w:widowControl w:val="0"/>
        <w:tabs>
          <w:tab w:val="left" w:leader="none" w:pos="548"/>
        </w:tabs>
        <w:spacing w:before="0" w:line="240" w:lineRule="auto"/>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pStyle w:val="Heading3"/>
        <w:widowControl w:val="0"/>
        <w:numPr>
          <w:ilvl w:val="1"/>
          <w:numId w:val="3"/>
        </w:numPr>
        <w:tabs>
          <w:tab w:val="left" w:leader="none" w:pos="548"/>
        </w:tabs>
        <w:spacing w:after="0" w:before="0" w:line="240" w:lineRule="auto"/>
        <w:ind w:left="548" w:hanging="330"/>
        <w:jc w:val="left"/>
        <w:rPr>
          <w:rFonts w:ascii="Times New Roman" w:cs="Times New Roman" w:eastAsia="Times New Roman" w:hAnsi="Times New Roman"/>
          <w:b w:val="1"/>
          <w:bCs w:val="1"/>
          <w:sz w:val="24"/>
          <w:szCs w:val="24"/>
        </w:rPr>
      </w:pPr>
      <w:bookmarkStart w:colFirst="0" w:colLast="0" w:name="_btorx7c3ku8s" w:id="8"/>
      <w:bookmarkEnd w:id="8"/>
      <w:r w:rsidDel="00000000" w:rsidR="00000000" w:rsidRPr="00000000">
        <w:rPr>
          <w:rFonts w:ascii="Times New Roman" w:cs="Times New Roman" w:eastAsia="Times New Roman" w:hAnsi="Times New Roman"/>
          <w:b w:val="1"/>
          <w:bCs w:val="1"/>
          <w:color w:val="000000"/>
          <w:sz w:val="24"/>
          <w:szCs w:val="24"/>
          <w:rtl w:val="0"/>
        </w:rPr>
        <w:t xml:space="preserve">Hipótesis a validar</w:t>
      </w:r>
    </w:p>
    <w:p w:rsidR="00000000" w:rsidDel="00000000" w:rsidP="00000000" w:rsidRDefault="00000000" w:rsidRPr="00000000" w14:paraId="0000008B">
      <w:pPr>
        <w:widowControl w:val="0"/>
        <w:spacing w:before="0" w:line="259" w:lineRule="auto"/>
        <w:ind w:left="0" w:right="2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H1. Descuento por condición. </w:t>
      </w:r>
      <w:r w:rsidDel="00000000" w:rsidR="00000000" w:rsidRPr="00000000">
        <w:rPr>
          <w:rFonts w:ascii="Times New Roman" w:cs="Times New Roman" w:eastAsia="Times New Roman" w:hAnsi="Times New Roman"/>
          <w:rtl w:val="0"/>
        </w:rPr>
        <w:t xml:space="preserve">Los departamentos que necesitan obra presentan un USD/m2 menor que los reciclados/refaccionados, incluso al comparar propiedades de la misma zona y con características similares.</w:t>
      </w:r>
    </w:p>
    <w:p w:rsidR="00000000" w:rsidDel="00000000" w:rsidP="00000000" w:rsidRDefault="00000000" w:rsidRPr="00000000" w14:paraId="0000008C">
      <w:pPr>
        <w:widowControl w:val="0"/>
        <w:spacing w:before="0" w:line="259" w:lineRule="auto"/>
        <w:ind w:left="0" w:right="232"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widowControl w:val="0"/>
        <w:spacing w:before="0" w:line="259" w:lineRule="auto"/>
        <w:ind w:left="0" w:right="2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H2. Heterogeneidad espacial. </w:t>
      </w:r>
      <w:r w:rsidDel="00000000" w:rsidR="00000000" w:rsidRPr="00000000">
        <w:rPr>
          <w:rFonts w:ascii="Times New Roman" w:cs="Times New Roman" w:eastAsia="Times New Roman" w:hAnsi="Times New Roman"/>
          <w:rtl w:val="0"/>
        </w:rPr>
        <w:t xml:space="preserve">La dispersión del USD/m2 no es igual en todos los barrios, las zonas con mayor dispersión pueden contener más oportunidades de subvaluación relativa.</w:t>
      </w:r>
    </w:p>
    <w:p w:rsidR="00000000" w:rsidDel="00000000" w:rsidP="00000000" w:rsidRDefault="00000000" w:rsidRPr="00000000" w14:paraId="0000008E">
      <w:pPr>
        <w:widowControl w:val="0"/>
        <w:spacing w:before="0" w:line="259" w:lineRule="auto"/>
        <w:ind w:left="0" w:right="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widowControl w:val="0"/>
        <w:spacing w:before="0" w:line="259" w:lineRule="auto"/>
        <w:ind w:left="0" w:right="2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H3. Existencia de oportunidades de flipping. </w:t>
      </w:r>
      <w:r w:rsidDel="00000000" w:rsidR="00000000" w:rsidRPr="00000000">
        <w:rPr>
          <w:rFonts w:ascii="Times New Roman" w:cs="Times New Roman" w:eastAsia="Times New Roman" w:hAnsi="Times New Roman"/>
          <w:rtl w:val="0"/>
        </w:rPr>
        <w:t xml:space="preserve">En una parte de los casos que necesitan obra, el descuento de entrada supera el costo estimado de refacción y los costos de la operación, generando un margen potencial positivo.</w:t>
      </w:r>
    </w:p>
    <w:p w:rsidR="00000000" w:rsidDel="00000000" w:rsidP="00000000" w:rsidRDefault="00000000" w:rsidRPr="00000000" w14:paraId="00000090">
      <w:pPr>
        <w:widowControl w:val="0"/>
        <w:spacing w:before="0" w:line="259" w:lineRule="auto"/>
        <w:ind w:left="0" w:right="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Style w:val="Heading3"/>
        <w:keepNext w:val="0"/>
        <w:keepLines w:val="0"/>
        <w:widowControl w:val="0"/>
        <w:numPr>
          <w:ilvl w:val="1"/>
          <w:numId w:val="3"/>
        </w:numPr>
        <w:tabs>
          <w:tab w:val="left" w:leader="none" w:pos="548"/>
        </w:tabs>
        <w:spacing w:after="0" w:before="0" w:line="240" w:lineRule="auto"/>
        <w:ind w:left="548" w:hanging="33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2"/>
          <w:szCs w:val="22"/>
          <w:rtl w:val="0"/>
        </w:rPr>
        <w:t xml:space="preserve">Hoja de ruta analítica</w:t>
      </w:r>
    </w:p>
    <w:p w:rsidR="00000000" w:rsidDel="00000000" w:rsidP="00000000" w:rsidRDefault="00000000" w:rsidRPr="00000000" w14:paraId="00000092">
      <w:pPr>
        <w:widowControl w:val="0"/>
        <w:tabs>
          <w:tab w:val="left" w:leader="none" w:pos="938"/>
        </w:tabs>
        <w:spacing w:before="0" w:line="259" w:lineRule="auto"/>
        <w:ind w:left="0" w:right="444"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widowControl w:val="0"/>
        <w:numPr>
          <w:ilvl w:val="2"/>
          <w:numId w:val="3"/>
        </w:numPr>
        <w:tabs>
          <w:tab w:val="left" w:leader="none" w:pos="938"/>
        </w:tabs>
        <w:spacing w:before="0" w:line="259" w:lineRule="auto"/>
        <w:ind w:left="938" w:right="444"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Pre-Entrega 1: </w:t>
      </w:r>
      <w:r w:rsidDel="00000000" w:rsidR="00000000" w:rsidRPr="00000000">
        <w:rPr>
          <w:rFonts w:ascii="Times New Roman" w:cs="Times New Roman" w:eastAsia="Times New Roman" w:hAnsi="Times New Roman"/>
          <w:rtl w:val="0"/>
        </w:rPr>
        <w:t xml:space="preserve">definición del negocio, alcance, preguntas, KPIs, hipótesis, arquitectura de datos y extracción raw.</w:t>
      </w:r>
    </w:p>
    <w:p w:rsidR="00000000" w:rsidDel="00000000" w:rsidP="00000000" w:rsidRDefault="00000000" w:rsidRPr="00000000" w14:paraId="00000094">
      <w:pPr>
        <w:widowControl w:val="0"/>
        <w:numPr>
          <w:ilvl w:val="2"/>
          <w:numId w:val="3"/>
        </w:numPr>
        <w:tabs>
          <w:tab w:val="left" w:leader="none" w:pos="938"/>
        </w:tabs>
        <w:spacing w:before="0" w:line="259" w:lineRule="auto"/>
        <w:ind w:left="938" w:right="444"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Pre-Entrega 2: </w:t>
      </w:r>
      <w:r w:rsidDel="00000000" w:rsidR="00000000" w:rsidRPr="00000000">
        <w:rPr>
          <w:rFonts w:ascii="Times New Roman" w:cs="Times New Roman" w:eastAsia="Times New Roman" w:hAnsi="Times New Roman"/>
          <w:rtl w:val="0"/>
        </w:rPr>
        <w:t xml:space="preserve">limpieza formal, auditoría de calidad, tratamiento de faltantes/outliers, feature engineering sobre texto y amenities, cálculo de KPIs y EDA.</w:t>
      </w:r>
    </w:p>
    <w:p w:rsidR="00000000" w:rsidDel="00000000" w:rsidP="00000000" w:rsidRDefault="00000000" w:rsidRPr="00000000" w14:paraId="00000095">
      <w:pPr>
        <w:widowControl w:val="0"/>
        <w:numPr>
          <w:ilvl w:val="2"/>
          <w:numId w:val="3"/>
        </w:numPr>
        <w:tabs>
          <w:tab w:val="left" w:leader="none" w:pos="938"/>
        </w:tabs>
        <w:spacing w:before="0" w:line="259" w:lineRule="auto"/>
        <w:ind w:left="938" w:right="444"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Pre-Entrega 3: </w:t>
      </w:r>
      <w:r w:rsidDel="00000000" w:rsidR="00000000" w:rsidRPr="00000000">
        <w:rPr>
          <w:rFonts w:ascii="Times New Roman" w:cs="Times New Roman" w:eastAsia="Times New Roman" w:hAnsi="Times New Roman"/>
          <w:rtl w:val="0"/>
        </w:rPr>
        <w:t xml:space="preserve">integración espacial y económica, validación formal de hipótesis, reducción de dimensionalidad, clustering de micro-mercados y, si corresponde, modelos explicativos.</w:t>
      </w:r>
    </w:p>
    <w:p w:rsidR="00000000" w:rsidDel="00000000" w:rsidP="00000000" w:rsidRDefault="00000000" w:rsidRPr="00000000" w14:paraId="00000096">
      <w:pPr>
        <w:widowControl w:val="0"/>
        <w:numPr>
          <w:ilvl w:val="2"/>
          <w:numId w:val="3"/>
        </w:numPr>
        <w:tabs>
          <w:tab w:val="left" w:leader="none" w:pos="938"/>
        </w:tabs>
        <w:spacing w:before="0" w:line="259" w:lineRule="auto"/>
        <w:ind w:left="938" w:right="444"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Entrega final: </w:t>
      </w:r>
      <w:r w:rsidDel="00000000" w:rsidR="00000000" w:rsidRPr="00000000">
        <w:rPr>
          <w:rFonts w:ascii="Times New Roman" w:cs="Times New Roman" w:eastAsia="Times New Roman" w:hAnsi="Times New Roman"/>
          <w:rtl w:val="0"/>
        </w:rPr>
        <w:t xml:space="preserve">dashboard en Power BI/Tableau, ranking de oportunidades y presentación ejecutiva orientada al fondo de inversión.</w:t>
      </w:r>
      <w:r w:rsidDel="00000000" w:rsidR="00000000" w:rsidRPr="00000000">
        <w:rPr>
          <w:rtl w:val="0"/>
        </w:rPr>
      </w:r>
    </w:p>
    <w:p w:rsidR="00000000" w:rsidDel="00000000" w:rsidP="00000000" w:rsidRDefault="00000000" w:rsidRPr="00000000" w14:paraId="00000097">
      <w:pPr>
        <w:widowControl w:val="0"/>
        <w:spacing w:before="16" w:line="240" w:lineRule="auto"/>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2"/>
        <w:keepNext w:val="0"/>
        <w:keepLines w:val="0"/>
        <w:widowControl w:val="0"/>
        <w:numPr>
          <w:ilvl w:val="0"/>
          <w:numId w:val="3"/>
        </w:numPr>
        <w:tabs>
          <w:tab w:val="left" w:leader="none" w:pos="438"/>
        </w:tabs>
        <w:spacing w:after="0" w:before="0" w:line="240" w:lineRule="auto"/>
        <w:ind w:left="438" w:hanging="220"/>
        <w:jc w:val="left"/>
        <w:rPr>
          <w:rFonts w:ascii="Times New Roman" w:cs="Times New Roman" w:eastAsia="Times New Roman" w:hAnsi="Times New Roman"/>
          <w:sz w:val="30"/>
          <w:szCs w:val="30"/>
        </w:rPr>
      </w:pPr>
      <w:bookmarkStart w:colFirst="0" w:colLast="0" w:name="_m4fm8somr0yl" w:id="9"/>
      <w:bookmarkEnd w:id="9"/>
      <w:r w:rsidDel="00000000" w:rsidR="00000000" w:rsidRPr="00000000">
        <w:rPr>
          <w:rFonts w:ascii="Times New Roman" w:cs="Times New Roman" w:eastAsia="Times New Roman" w:hAnsi="Times New Roman"/>
          <w:sz w:val="30"/>
          <w:szCs w:val="30"/>
          <w:rtl w:val="0"/>
        </w:rPr>
        <w:t xml:space="preserve">Ejecución técnica de la extracción</w:t>
      </w:r>
    </w:p>
    <w:p w:rsidR="00000000" w:rsidDel="00000000" w:rsidP="00000000" w:rsidRDefault="00000000" w:rsidRPr="00000000" w14:paraId="00000099">
      <w:pPr>
        <w:pStyle w:val="Heading3"/>
        <w:widowControl w:val="0"/>
        <w:tabs>
          <w:tab w:val="left" w:leader="none" w:pos="548"/>
        </w:tabs>
        <w:spacing w:after="0" w:before="0" w:line="240" w:lineRule="auto"/>
        <w:ind w:left="0" w:firstLine="0"/>
        <w:jc w:val="left"/>
        <w:rPr>
          <w:rFonts w:ascii="Times New Roman" w:cs="Times New Roman" w:eastAsia="Times New Roman" w:hAnsi="Times New Roman"/>
          <w:b w:val="1"/>
          <w:bCs w:val="1"/>
          <w:color w:val="000000"/>
          <w:sz w:val="22"/>
          <w:szCs w:val="22"/>
        </w:rPr>
      </w:pPr>
      <w:bookmarkStart w:colFirst="0" w:colLast="0" w:name="_vud148n7otig" w:id="10"/>
      <w:bookmarkEnd w:id="10"/>
      <w:r w:rsidDel="00000000" w:rsidR="00000000" w:rsidRPr="00000000">
        <w:rPr>
          <w:rtl w:val="0"/>
        </w:rPr>
      </w:r>
    </w:p>
    <w:p w:rsidR="00000000" w:rsidDel="00000000" w:rsidP="00000000" w:rsidRDefault="00000000" w:rsidRPr="00000000" w14:paraId="0000009A">
      <w:pPr>
        <w:pStyle w:val="Heading3"/>
        <w:widowControl w:val="0"/>
        <w:numPr>
          <w:ilvl w:val="1"/>
          <w:numId w:val="3"/>
        </w:numPr>
        <w:tabs>
          <w:tab w:val="left" w:leader="none" w:pos="548"/>
        </w:tabs>
        <w:spacing w:after="0" w:before="0" w:line="240" w:lineRule="auto"/>
        <w:ind w:left="548" w:hanging="330"/>
        <w:jc w:val="left"/>
        <w:rPr>
          <w:rFonts w:ascii="Times New Roman" w:cs="Times New Roman" w:eastAsia="Times New Roman" w:hAnsi="Times New Roman"/>
          <w:b w:val="1"/>
          <w:bCs w:val="1"/>
          <w:sz w:val="24"/>
          <w:szCs w:val="24"/>
        </w:rPr>
      </w:pPr>
      <w:bookmarkStart w:colFirst="0" w:colLast="0" w:name="_rjmww5ozx1t6" w:id="11"/>
      <w:bookmarkEnd w:id="11"/>
      <w:r w:rsidDel="00000000" w:rsidR="00000000" w:rsidRPr="00000000">
        <w:rPr>
          <w:rFonts w:ascii="Times New Roman" w:cs="Times New Roman" w:eastAsia="Times New Roman" w:hAnsi="Times New Roman"/>
          <w:b w:val="1"/>
          <w:bCs w:val="1"/>
          <w:color w:val="000000"/>
          <w:sz w:val="24"/>
          <w:szCs w:val="24"/>
          <w:rtl w:val="0"/>
        </w:rPr>
        <w:t xml:space="preserve">Fuente y estrategia de extracción</w:t>
      </w:r>
    </w:p>
    <w:p w:rsidR="00000000" w:rsidDel="00000000" w:rsidP="00000000" w:rsidRDefault="00000000" w:rsidRPr="00000000" w14:paraId="0000009B">
      <w:pPr>
        <w:widowControl w:val="0"/>
        <w:spacing w:before="0" w:line="259" w:lineRule="auto"/>
        <w:ind w:left="218" w:right="228" w:firstLine="50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lugar de utilizar el script base de Argenprop provisto por la cátedra, se desarrolló un extractor propio sobre la API interna que alimenta el sitio de RE/MAX. La consulta se </w:t>
      </w:r>
      <w:r w:rsidDel="00000000" w:rsidR="00000000" w:rsidRPr="00000000">
        <w:rPr>
          <w:rFonts w:ascii="Times New Roman" w:cs="Times New Roman" w:eastAsia="Times New Roman" w:hAnsi="Times New Roman"/>
          <w:rtl w:val="0"/>
        </w:rPr>
        <w:t xml:space="preserve">restringió</w:t>
      </w:r>
      <w:r w:rsidDel="00000000" w:rsidR="00000000" w:rsidRPr="00000000">
        <w:rPr>
          <w:rFonts w:ascii="Times New Roman" w:cs="Times New Roman" w:eastAsia="Times New Roman" w:hAnsi="Times New Roman"/>
          <w:rtl w:val="0"/>
        </w:rPr>
        <w:t xml:space="preserve"> a Capital Federal y operación de venta.</w:t>
      </w:r>
    </w:p>
    <w:p w:rsidR="00000000" w:rsidDel="00000000" w:rsidP="00000000" w:rsidRDefault="00000000" w:rsidRPr="00000000" w14:paraId="0000009C">
      <w:pPr>
        <w:widowControl w:val="0"/>
        <w:spacing w:before="0" w:line="259" w:lineRule="auto"/>
        <w:ind w:left="218" w:right="228" w:firstLine="50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w:t>
      </w:r>
      <w:r w:rsidDel="00000000" w:rsidR="00000000" w:rsidRPr="00000000">
        <w:rPr>
          <w:rFonts w:ascii="Times New Roman" w:cs="Times New Roman" w:eastAsia="Times New Roman" w:hAnsi="Times New Roman"/>
          <w:rtl w:val="0"/>
        </w:rPr>
        <w:t xml:space="preserve">priorizó</w:t>
      </w:r>
      <w:r w:rsidDel="00000000" w:rsidR="00000000" w:rsidRPr="00000000">
        <w:rPr>
          <w:rFonts w:ascii="Times New Roman" w:cs="Times New Roman" w:eastAsia="Times New Roman" w:hAnsi="Times New Roman"/>
          <w:rtl w:val="0"/>
        </w:rPr>
        <w:t xml:space="preserve"> la API frente al parseo directo del HTML porque devuelve información estructurada en JSON y permite manejar la paginación de forma más estable. La arquitectura de extracción quedó planteada de la siguiente manera:</w:t>
      </w:r>
    </w:p>
    <w:p w:rsidR="00000000" w:rsidDel="00000000" w:rsidP="00000000" w:rsidRDefault="00000000" w:rsidRPr="00000000" w14:paraId="0000009D">
      <w:pPr>
        <w:widowControl w:val="0"/>
        <w:spacing w:before="0" w:line="259" w:lineRule="auto"/>
        <w:ind w:left="218" w:right="229"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widowControl w:val="0"/>
        <w:spacing w:before="0" w:line="259" w:lineRule="auto"/>
        <w:ind w:left="218" w:right="229"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 de listado paginado -&gt; IDs/slugs de propiedades -&gt; endpoint de detalle -&gt; JSON -&gt; normalización en Pandas -&gt; dataframe maestro raw -&gt; snapshots sucesivos.</w:t>
      </w:r>
    </w:p>
    <w:p w:rsidR="00000000" w:rsidDel="00000000" w:rsidP="00000000" w:rsidRDefault="00000000" w:rsidRPr="00000000" w14:paraId="0000009F">
      <w:pPr>
        <w:pStyle w:val="Heading3"/>
        <w:keepNext w:val="0"/>
        <w:keepLines w:val="0"/>
        <w:widowControl w:val="0"/>
        <w:tabs>
          <w:tab w:val="left" w:leader="none" w:pos="548"/>
        </w:tabs>
        <w:spacing w:after="240" w:before="240" w:line="240" w:lineRule="auto"/>
        <w:ind w:right="600" w:firstLine="0"/>
        <w:jc w:val="left"/>
        <w:rPr>
          <w:rFonts w:ascii="Times New Roman" w:cs="Times New Roman" w:eastAsia="Times New Roman" w:hAnsi="Times New Roman"/>
          <w:b w:val="1"/>
          <w:bCs w:val="1"/>
          <w:color w:val="000000"/>
          <w:sz w:val="24"/>
          <w:szCs w:val="24"/>
        </w:rPr>
      </w:pPr>
      <w:bookmarkStart w:colFirst="0" w:colLast="0" w:name="_w8i4frp9psxp" w:id="12"/>
      <w:bookmarkEnd w:id="12"/>
      <w:r w:rsidDel="00000000" w:rsidR="00000000" w:rsidRPr="00000000">
        <w:rPr>
          <w:rFonts w:ascii="Times New Roman" w:cs="Times New Roman" w:eastAsia="Times New Roman" w:hAnsi="Times New Roman"/>
          <w:b w:val="1"/>
          <w:bCs w:val="1"/>
          <w:color w:val="000000"/>
          <w:sz w:val="24"/>
          <w:szCs w:val="24"/>
          <w:rtl w:val="0"/>
        </w:rPr>
        <w:t xml:space="preserve">   5.2 </w:t>
        <w:tab/>
        <w:t xml:space="preserve">Descripción del dataset</w:t>
      </w:r>
    </w:p>
    <w:p w:rsidR="00000000" w:rsidDel="00000000" w:rsidP="00000000" w:rsidRDefault="00000000" w:rsidRPr="00000000" w14:paraId="000000A0">
      <w:pPr>
        <w:pStyle w:val="Heading3"/>
        <w:keepNext w:val="0"/>
        <w:keepLines w:val="0"/>
        <w:widowControl w:val="0"/>
        <w:tabs>
          <w:tab w:val="left" w:leader="none" w:pos="548"/>
        </w:tabs>
        <w:spacing w:after="240" w:before="240" w:line="240" w:lineRule="auto"/>
        <w:ind w:left="0" w:right="600" w:firstLine="0"/>
        <w:jc w:val="left"/>
        <w:rPr>
          <w:rFonts w:ascii="Times New Roman" w:cs="Times New Roman" w:eastAsia="Times New Roman" w:hAnsi="Times New Roman"/>
          <w:color w:val="000000"/>
          <w:sz w:val="22"/>
          <w:szCs w:val="22"/>
        </w:rPr>
      </w:pPr>
      <w:bookmarkStart w:colFirst="0" w:colLast="0" w:name="_e7tkc6pt3592" w:id="13"/>
      <w:bookmarkEnd w:id="13"/>
      <w:r w:rsidDel="00000000" w:rsidR="00000000" w:rsidRPr="00000000">
        <w:rPr>
          <w:rFonts w:ascii="Times New Roman" w:cs="Times New Roman" w:eastAsia="Times New Roman" w:hAnsi="Times New Roman"/>
          <w:color w:val="000000"/>
          <w:sz w:val="22"/>
          <w:szCs w:val="22"/>
          <w:rtl w:val="0"/>
        </w:rPr>
        <w:tab/>
        <w:t xml:space="preserve">El dataset primario proviene del scraping propio sobre RE/MAX </w:t>
      </w:r>
      <w:r w:rsidDel="00000000" w:rsidR="00000000" w:rsidRPr="00000000">
        <w:rPr>
          <w:rFonts w:ascii="Times New Roman" w:cs="Times New Roman" w:eastAsia="Times New Roman" w:hAnsi="Times New Roman"/>
          <w:color w:val="000000"/>
          <w:sz w:val="22"/>
          <w:szCs w:val="22"/>
          <w:rtl w:val="0"/>
        </w:rPr>
        <w:t xml:space="preserve">descripto</w:t>
      </w:r>
      <w:r w:rsidDel="00000000" w:rsidR="00000000" w:rsidRPr="00000000">
        <w:rPr>
          <w:rFonts w:ascii="Times New Roman" w:cs="Times New Roman" w:eastAsia="Times New Roman" w:hAnsi="Times New Roman"/>
          <w:color w:val="000000"/>
          <w:sz w:val="22"/>
          <w:szCs w:val="22"/>
          <w:rtl w:val="0"/>
        </w:rPr>
        <w:t xml:space="preserve"> en 5.1. No se incorporaron fuentes adicionales en esta etapa: la integración con datasets externos (BA Data, INDEC) está planificada para la Fase 3 (sección "Plan de integración de fuentes externas"). El detalle de variables se presenta en 5.3 y la evidencia cuantitativa de la corrida, más abajo en "Evidencia de la primera corrida raw".</w:t>
      </w:r>
    </w:p>
    <w:p w:rsidR="00000000" w:rsidDel="00000000" w:rsidP="00000000" w:rsidRDefault="00000000" w:rsidRPr="00000000" w14:paraId="000000A1">
      <w:pPr>
        <w:pStyle w:val="Heading3"/>
        <w:keepNext w:val="0"/>
        <w:keepLines w:val="0"/>
        <w:widowControl w:val="0"/>
        <w:tabs>
          <w:tab w:val="left" w:leader="none" w:pos="548"/>
        </w:tabs>
        <w:spacing w:after="0" w:before="0" w:line="240" w:lineRule="auto"/>
        <w:ind w:left="0" w:firstLine="0"/>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A2">
      <w:pPr>
        <w:pStyle w:val="Heading3"/>
        <w:keepNext w:val="0"/>
        <w:keepLines w:val="0"/>
        <w:widowControl w:val="0"/>
        <w:tabs>
          <w:tab w:val="left" w:leader="none" w:pos="548"/>
        </w:tabs>
        <w:spacing w:after="0" w:before="0" w:line="240" w:lineRule="auto"/>
        <w:ind w:lef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5.3 Variables capturadas</w:t>
      </w:r>
    </w:p>
    <w:p w:rsidR="00000000" w:rsidDel="00000000" w:rsidP="00000000" w:rsidRDefault="00000000" w:rsidRPr="00000000" w14:paraId="000000A3">
      <w:pPr>
        <w:widowControl w:val="0"/>
        <w:spacing w:before="0" w:line="259" w:lineRule="auto"/>
        <w:ind w:left="218" w:right="233" w:firstLine="50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endpoint de listado permite obtener precio, moneda, expensas, tipología, ambientes, dormitorios, baños, superficies, dirección, barrio/ubicación, coordenadas y estado de la publicación. El endpoint de detalle agrega descripción completa, antigüedad y apto crédito.</w:t>
      </w:r>
    </w:p>
    <w:p w:rsidR="00000000" w:rsidDel="00000000" w:rsidP="00000000" w:rsidRDefault="00000000" w:rsidRPr="00000000" w14:paraId="000000A4">
      <w:pPr>
        <w:widowControl w:val="0"/>
        <w:spacing w:before="6" w:line="240" w:lineRule="auto"/>
        <w:ind w:firstLine="0"/>
        <w:jc w:val="left"/>
        <w:rPr>
          <w:rFonts w:ascii="Times New Roman" w:cs="Times New Roman" w:eastAsia="Times New Roman" w:hAnsi="Times New Roman"/>
          <w:sz w:val="14"/>
          <w:szCs w:val="14"/>
        </w:rPr>
      </w:pPr>
      <w:r w:rsidDel="00000000" w:rsidR="00000000" w:rsidRPr="00000000">
        <w:rPr>
          <w:rtl w:val="0"/>
        </w:rPr>
      </w:r>
    </w:p>
    <w:tbl>
      <w:tblPr>
        <w:tblStyle w:val="Table5"/>
        <w:tblW w:w="9647.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81"/>
        <w:gridCol w:w="6366"/>
        <w:tblGridChange w:id="0">
          <w:tblGrid>
            <w:gridCol w:w="3281"/>
            <w:gridCol w:w="6366"/>
          </w:tblGrid>
        </w:tblGridChange>
      </w:tblGrid>
      <w:tr>
        <w:trPr>
          <w:cantSplit w:val="0"/>
          <w:trHeight w:val="280" w:hRule="atLeast"/>
          <w:tblHeader w:val="0"/>
        </w:trPr>
        <w:tc>
          <w:tcPr>
            <w:tcBorders>
              <w:bottom w:color="000000" w:space="0" w:sz="6" w:val="single"/>
            </w:tcBorders>
          </w:tcPr>
          <w:p w:rsidR="00000000" w:rsidDel="00000000" w:rsidP="00000000" w:rsidRDefault="00000000" w:rsidRPr="00000000" w14:paraId="000000A5">
            <w:pPr>
              <w:widowControl w:val="0"/>
              <w:spacing w:line="199" w:lineRule="auto"/>
              <w:ind w:left="34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Grupo</w:t>
            </w:r>
          </w:p>
        </w:tc>
        <w:tc>
          <w:tcPr>
            <w:tcBorders>
              <w:bottom w:color="000000" w:space="0" w:sz="6" w:val="single"/>
            </w:tcBorders>
          </w:tcPr>
          <w:p w:rsidR="00000000" w:rsidDel="00000000" w:rsidP="00000000" w:rsidRDefault="00000000" w:rsidRPr="00000000" w14:paraId="000000A6">
            <w:pPr>
              <w:widowControl w:val="0"/>
              <w:spacing w:line="199" w:lineRule="auto"/>
              <w:ind w:left="1882"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Variables principales</w:t>
            </w:r>
          </w:p>
        </w:tc>
      </w:tr>
      <w:tr>
        <w:trPr>
          <w:cantSplit w:val="0"/>
          <w:trHeight w:val="339" w:hRule="atLeast"/>
          <w:tblHeader w:val="0"/>
        </w:trPr>
        <w:tc>
          <w:tcPr>
            <w:tcBorders>
              <w:top w:color="000000" w:space="0" w:sz="6" w:val="single"/>
            </w:tcBorders>
          </w:tcPr>
          <w:p w:rsidR="00000000" w:rsidDel="00000000" w:rsidP="00000000" w:rsidRDefault="00000000" w:rsidRPr="00000000" w14:paraId="000000A7">
            <w:pPr>
              <w:widowControl w:val="0"/>
              <w:spacing w:before="58" w:line="240" w:lineRule="auto"/>
              <w:ind w:left="34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Identificación</w:t>
            </w:r>
          </w:p>
        </w:tc>
        <w:tc>
          <w:tcPr>
            <w:tcBorders>
              <w:top w:color="000000" w:space="0" w:sz="6" w:val="single"/>
            </w:tcBorders>
          </w:tcPr>
          <w:p w:rsidR="00000000" w:rsidDel="00000000" w:rsidP="00000000" w:rsidRDefault="00000000" w:rsidRPr="00000000" w14:paraId="000000A8">
            <w:pPr>
              <w:widowControl w:val="0"/>
              <w:spacing w:before="58" w:line="240" w:lineRule="auto"/>
              <w:ind w:left="1882"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 ID_Entidad, ID_Interno, Link</w:t>
            </w:r>
          </w:p>
        </w:tc>
      </w:tr>
      <w:tr>
        <w:trPr>
          <w:cantSplit w:val="0"/>
          <w:trHeight w:val="553" w:hRule="atLeast"/>
          <w:tblHeader w:val="0"/>
        </w:trPr>
        <w:tc>
          <w:tcPr/>
          <w:p w:rsidR="00000000" w:rsidDel="00000000" w:rsidP="00000000" w:rsidRDefault="00000000" w:rsidRPr="00000000" w14:paraId="000000A9">
            <w:pPr>
              <w:widowControl w:val="0"/>
              <w:spacing w:before="169" w:line="240" w:lineRule="auto"/>
              <w:ind w:left="34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Comerciales</w:t>
            </w:r>
          </w:p>
        </w:tc>
        <w:tc>
          <w:tcPr/>
          <w:p w:rsidR="00000000" w:rsidDel="00000000" w:rsidP="00000000" w:rsidRDefault="00000000" w:rsidRPr="00000000" w14:paraId="000000AA">
            <w:pPr>
              <w:widowControl w:val="0"/>
              <w:spacing w:before="66" w:line="240" w:lineRule="auto"/>
              <w:ind w:left="1882"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Operacion, </w:t>
            </w:r>
            <w:r w:rsidDel="00000000" w:rsidR="00000000" w:rsidRPr="00000000">
              <w:rPr>
                <w:rFonts w:ascii="Times New Roman" w:cs="Times New Roman" w:eastAsia="Times New Roman" w:hAnsi="Times New Roman"/>
                <w:sz w:val="18"/>
                <w:szCs w:val="18"/>
                <w:rtl w:val="0"/>
              </w:rPr>
              <w:t xml:space="preserve">Precio_Valor</w:t>
            </w:r>
            <w:r w:rsidDel="00000000" w:rsidR="00000000" w:rsidRPr="00000000">
              <w:rPr>
                <w:rFonts w:ascii="Times New Roman" w:cs="Times New Roman" w:eastAsia="Times New Roman" w:hAnsi="Times New Roman"/>
                <w:sz w:val="18"/>
                <w:szCs w:val="18"/>
                <w:rtl w:val="0"/>
              </w:rPr>
              <w:t xml:space="preserve">, Moneda, Expensas, Moneda_Expensas, Precio_m2_Total, Precio_m2_Cubierto</w:t>
            </w:r>
          </w:p>
        </w:tc>
      </w:tr>
      <w:tr>
        <w:trPr>
          <w:cantSplit w:val="0"/>
          <w:trHeight w:val="554" w:hRule="atLeast"/>
          <w:tblHeader w:val="0"/>
        </w:trPr>
        <w:tc>
          <w:tcPr/>
          <w:p w:rsidR="00000000" w:rsidDel="00000000" w:rsidP="00000000" w:rsidRDefault="00000000" w:rsidRPr="00000000" w14:paraId="000000AB">
            <w:pPr>
              <w:widowControl w:val="0"/>
              <w:spacing w:before="169" w:line="240" w:lineRule="auto"/>
              <w:ind w:left="34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Físicas</w:t>
            </w:r>
          </w:p>
        </w:tc>
        <w:tc>
          <w:tcPr/>
          <w:p w:rsidR="00000000" w:rsidDel="00000000" w:rsidP="00000000" w:rsidRDefault="00000000" w:rsidRPr="00000000" w14:paraId="000000AC">
            <w:pPr>
              <w:widowControl w:val="0"/>
              <w:spacing w:before="66" w:line="240" w:lineRule="auto"/>
              <w:ind w:left="1882"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Tipo_Propiedad</w:t>
            </w:r>
            <w:r w:rsidDel="00000000" w:rsidR="00000000" w:rsidRPr="00000000">
              <w:rPr>
                <w:rFonts w:ascii="Times New Roman" w:cs="Times New Roman" w:eastAsia="Times New Roman" w:hAnsi="Times New Roman"/>
                <w:sz w:val="18"/>
                <w:szCs w:val="18"/>
                <w:rtl w:val="0"/>
              </w:rPr>
              <w:t xml:space="preserve">, Ambientes, Dormitorios, Baños, Superficie_Total_m2, Superficie_Cubierta_m2, Antiguedad</w:t>
            </w:r>
          </w:p>
        </w:tc>
      </w:tr>
      <w:tr>
        <w:trPr>
          <w:cantSplit w:val="0"/>
          <w:trHeight w:val="346" w:hRule="atLeast"/>
          <w:tblHeader w:val="0"/>
        </w:trPr>
        <w:tc>
          <w:tcPr/>
          <w:p w:rsidR="00000000" w:rsidDel="00000000" w:rsidP="00000000" w:rsidRDefault="00000000" w:rsidRPr="00000000" w14:paraId="000000AD">
            <w:pPr>
              <w:widowControl w:val="0"/>
              <w:spacing w:before="66" w:line="240" w:lineRule="auto"/>
              <w:ind w:left="34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Ubicación</w:t>
            </w:r>
          </w:p>
        </w:tc>
        <w:tc>
          <w:tcPr/>
          <w:p w:rsidR="00000000" w:rsidDel="00000000" w:rsidP="00000000" w:rsidRDefault="00000000" w:rsidRPr="00000000" w14:paraId="000000AE">
            <w:pPr>
              <w:widowControl w:val="0"/>
              <w:spacing w:before="66" w:line="240" w:lineRule="auto"/>
              <w:ind w:left="1882"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Direccion, Barrio, Ubicacion, Latitud, Longitud</w:t>
            </w:r>
          </w:p>
        </w:tc>
      </w:tr>
      <w:tr>
        <w:trPr>
          <w:cantSplit w:val="0"/>
          <w:trHeight w:val="347" w:hRule="atLeast"/>
          <w:tblHeader w:val="0"/>
        </w:trPr>
        <w:tc>
          <w:tcPr/>
          <w:p w:rsidR="00000000" w:rsidDel="00000000" w:rsidP="00000000" w:rsidRDefault="00000000" w:rsidRPr="00000000" w14:paraId="000000AF">
            <w:pPr>
              <w:widowControl w:val="0"/>
              <w:spacing w:before="66" w:line="240" w:lineRule="auto"/>
              <w:ind w:left="34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Texto libre</w:t>
            </w:r>
          </w:p>
        </w:tc>
        <w:tc>
          <w:tcPr/>
          <w:p w:rsidR="00000000" w:rsidDel="00000000" w:rsidP="00000000" w:rsidRDefault="00000000" w:rsidRPr="00000000" w14:paraId="000000B0">
            <w:pPr>
              <w:widowControl w:val="0"/>
              <w:spacing w:before="66" w:line="240" w:lineRule="auto"/>
              <w:ind w:left="1882"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Titulo, Descripcion</w:t>
            </w:r>
          </w:p>
        </w:tc>
      </w:tr>
      <w:tr>
        <w:trPr>
          <w:cantSplit w:val="0"/>
          <w:trHeight w:val="273" w:hRule="atLeast"/>
          <w:tblHeader w:val="0"/>
        </w:trPr>
        <w:tc>
          <w:tcPr/>
          <w:p w:rsidR="00000000" w:rsidDel="00000000" w:rsidP="00000000" w:rsidRDefault="00000000" w:rsidRPr="00000000" w14:paraId="000000B1">
            <w:pPr>
              <w:widowControl w:val="0"/>
              <w:spacing w:before="66" w:line="187" w:lineRule="auto"/>
              <w:ind w:left="34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Otras</w:t>
            </w:r>
          </w:p>
        </w:tc>
        <w:tc>
          <w:tcPr/>
          <w:p w:rsidR="00000000" w:rsidDel="00000000" w:rsidP="00000000" w:rsidRDefault="00000000" w:rsidRPr="00000000" w14:paraId="000000B2">
            <w:pPr>
              <w:widowControl w:val="0"/>
              <w:spacing w:before="66" w:line="187" w:lineRule="auto"/>
              <w:ind w:left="1882"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Fecha_Publicacion, </w:t>
            </w:r>
            <w:r w:rsidDel="00000000" w:rsidR="00000000" w:rsidRPr="00000000">
              <w:rPr>
                <w:rFonts w:ascii="Times New Roman" w:cs="Times New Roman" w:eastAsia="Times New Roman" w:hAnsi="Times New Roman"/>
                <w:sz w:val="18"/>
                <w:szCs w:val="18"/>
                <w:rtl w:val="0"/>
              </w:rPr>
              <w:t xml:space="preserve">Apto_Credito</w:t>
            </w:r>
            <w:r w:rsidDel="00000000" w:rsidR="00000000" w:rsidRPr="00000000">
              <w:rPr>
                <w:rFonts w:ascii="Times New Roman" w:cs="Times New Roman" w:eastAsia="Times New Roman" w:hAnsi="Times New Roman"/>
                <w:sz w:val="18"/>
                <w:szCs w:val="18"/>
                <w:rtl w:val="0"/>
              </w:rPr>
              <w:t xml:space="preserve">, Amenities, Estado</w:t>
            </w:r>
          </w:p>
        </w:tc>
      </w:tr>
    </w:tbl>
    <w:p w:rsidR="00000000" w:rsidDel="00000000" w:rsidP="00000000" w:rsidRDefault="00000000" w:rsidRPr="00000000" w14:paraId="000000B3">
      <w:pPr>
        <w:widowControl w:val="0"/>
        <w:spacing w:before="30" w:line="240" w:lineRule="auto"/>
        <w:ind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3"/>
        <w:keepNext w:val="0"/>
        <w:keepLines w:val="0"/>
        <w:widowControl w:val="0"/>
        <w:numPr>
          <w:ilvl w:val="1"/>
          <w:numId w:val="3"/>
        </w:numPr>
        <w:tabs>
          <w:tab w:val="left" w:leader="none" w:pos="548"/>
        </w:tabs>
        <w:spacing w:after="0" w:before="0" w:line="240" w:lineRule="auto"/>
        <w:ind w:left="548" w:hanging="33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Tipos de datos</w:t>
      </w:r>
    </w:p>
    <w:p w:rsidR="00000000" w:rsidDel="00000000" w:rsidP="00000000" w:rsidRDefault="00000000" w:rsidRPr="00000000" w14:paraId="000000B5">
      <w:pPr>
        <w:widowControl w:val="0"/>
        <w:spacing w:before="0" w:line="240" w:lineRule="auto"/>
        <w:ind w:left="21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extracción combina distintos tipos de información necesarios para el análisis:</w:t>
      </w:r>
    </w:p>
    <w:p w:rsidR="00000000" w:rsidDel="00000000" w:rsidP="00000000" w:rsidRDefault="00000000" w:rsidRPr="00000000" w14:paraId="000000B6">
      <w:pPr>
        <w:widowControl w:val="0"/>
        <w:tabs>
          <w:tab w:val="left" w:leader="none" w:pos="937"/>
        </w:tabs>
        <w:spacing w:before="0" w:line="240" w:lineRule="auto"/>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Textuales: </w:t>
      </w:r>
      <w:r w:rsidDel="00000000" w:rsidR="00000000" w:rsidRPr="00000000">
        <w:rPr>
          <w:rFonts w:ascii="Times New Roman" w:cs="Times New Roman" w:eastAsia="Times New Roman" w:hAnsi="Times New Roman"/>
          <w:rtl w:val="0"/>
        </w:rPr>
        <w:t xml:space="preserve">Título</w:t>
      </w:r>
      <w:r w:rsidDel="00000000" w:rsidR="00000000" w:rsidRPr="00000000">
        <w:rPr>
          <w:rFonts w:ascii="Times New Roman" w:cs="Times New Roman" w:eastAsia="Times New Roman" w:hAnsi="Times New Roman"/>
          <w:rtl w:val="0"/>
        </w:rPr>
        <w:t xml:space="preserve">, Descripción, Dirección.</w:t>
      </w:r>
    </w:p>
    <w:p w:rsidR="00000000" w:rsidDel="00000000" w:rsidP="00000000" w:rsidRDefault="00000000" w:rsidRPr="00000000" w14:paraId="000000B8">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Numéricas continuas: </w:t>
      </w:r>
      <w:r w:rsidDel="00000000" w:rsidR="00000000" w:rsidRPr="00000000">
        <w:rPr>
          <w:rFonts w:ascii="Times New Roman" w:cs="Times New Roman" w:eastAsia="Times New Roman" w:hAnsi="Times New Roman"/>
          <w:rtl w:val="0"/>
        </w:rPr>
        <w:t xml:space="preserve">Precio_Valor</w:t>
      </w:r>
      <w:r w:rsidDel="00000000" w:rsidR="00000000" w:rsidRPr="00000000">
        <w:rPr>
          <w:rFonts w:ascii="Times New Roman" w:cs="Times New Roman" w:eastAsia="Times New Roman" w:hAnsi="Times New Roman"/>
          <w:rtl w:val="0"/>
        </w:rPr>
        <w:t xml:space="preserve">, Expensas, superficies, precios por m2, Latitud, Longitud, Antigüedad.</w:t>
      </w:r>
    </w:p>
    <w:p w:rsidR="00000000" w:rsidDel="00000000" w:rsidP="00000000" w:rsidRDefault="00000000" w:rsidRPr="00000000" w14:paraId="000000B9">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Numéricas discretas: </w:t>
      </w:r>
      <w:r w:rsidDel="00000000" w:rsidR="00000000" w:rsidRPr="00000000">
        <w:rPr>
          <w:rFonts w:ascii="Times New Roman" w:cs="Times New Roman" w:eastAsia="Times New Roman" w:hAnsi="Times New Roman"/>
          <w:rtl w:val="0"/>
        </w:rPr>
        <w:t xml:space="preserve">Ambientes, Dormitorios, Baños.</w:t>
      </w:r>
    </w:p>
    <w:p w:rsidR="00000000" w:rsidDel="00000000" w:rsidP="00000000" w:rsidRDefault="00000000" w:rsidRPr="00000000" w14:paraId="000000BA">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Categóricas</w:t>
      </w:r>
      <w:r w:rsidDel="00000000" w:rsidR="00000000" w:rsidRPr="00000000">
        <w:rPr>
          <w:rFonts w:ascii="Times New Roman" w:cs="Times New Roman" w:eastAsia="Times New Roman" w:hAnsi="Times New Roman"/>
          <w:b w:val="1"/>
          <w:bCs w:val="1"/>
          <w:rtl w:val="0"/>
        </w:rPr>
        <w:t xml:space="preserve"> nominales: </w:t>
      </w:r>
      <w:r w:rsidDel="00000000" w:rsidR="00000000" w:rsidRPr="00000000">
        <w:rPr>
          <w:rFonts w:ascii="Times New Roman" w:cs="Times New Roman" w:eastAsia="Times New Roman" w:hAnsi="Times New Roman"/>
          <w:rtl w:val="0"/>
        </w:rPr>
        <w:t xml:space="preserve">Tipo_Propiedad</w:t>
      </w:r>
      <w:r w:rsidDel="00000000" w:rsidR="00000000" w:rsidRPr="00000000">
        <w:rPr>
          <w:rFonts w:ascii="Times New Roman" w:cs="Times New Roman" w:eastAsia="Times New Roman" w:hAnsi="Times New Roman"/>
          <w:rtl w:val="0"/>
        </w:rPr>
        <w:t xml:space="preserve">, Barrio, Moneda y Estado de publicación.</w:t>
      </w:r>
    </w:p>
    <w:p w:rsidR="00000000" w:rsidDel="00000000" w:rsidP="00000000" w:rsidRDefault="00000000" w:rsidRPr="00000000" w14:paraId="000000BB">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Dicotómica: </w:t>
      </w:r>
      <w:r w:rsidDel="00000000" w:rsidR="00000000" w:rsidRPr="00000000">
        <w:rPr>
          <w:rFonts w:ascii="Times New Roman" w:cs="Times New Roman" w:eastAsia="Times New Roman" w:hAnsi="Times New Roman"/>
          <w:rtl w:val="0"/>
        </w:rPr>
        <w:t xml:space="preserve">Apto_Credito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C">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Ordinal derivada - avance de la etapa siguiente: </w:t>
      </w:r>
      <w:r w:rsidDel="00000000" w:rsidR="00000000" w:rsidRPr="00000000">
        <w:rPr>
          <w:rFonts w:ascii="Times New Roman" w:cs="Times New Roman" w:eastAsia="Times New Roman" w:hAnsi="Times New Roman"/>
          <w:rtl w:val="0"/>
        </w:rPr>
        <w:t xml:space="preserve">Estado_Propiedad</w:t>
      </w:r>
      <w:r w:rsidDel="00000000" w:rsidR="00000000" w:rsidRPr="00000000">
        <w:rPr>
          <w:rFonts w:ascii="Times New Roman" w:cs="Times New Roman" w:eastAsia="Times New Roman" w:hAnsi="Times New Roman"/>
          <w:rtl w:val="0"/>
        </w:rPr>
        <w:t xml:space="preserve">, construida exploratoriamente a partir del texto. En la base raw no se fuerza como ordinal una variable que conceptualmente no lo sea.</w:t>
      </w:r>
    </w:p>
    <w:p w:rsidR="00000000" w:rsidDel="00000000" w:rsidP="00000000" w:rsidRDefault="00000000" w:rsidRPr="00000000" w14:paraId="000000BD">
      <w:pPr>
        <w:widowControl w:val="0"/>
        <w:tabs>
          <w:tab w:val="left" w:leader="none" w:pos="937"/>
        </w:tabs>
        <w:spacing w:before="0" w:line="240" w:lineRule="auto"/>
        <w:ind w:lef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Desafíos técnicos y soluciones implementadas</w:t>
      </w:r>
      <w:r w:rsidDel="00000000" w:rsidR="00000000" w:rsidRPr="00000000">
        <w:rPr>
          <w:rtl w:val="0"/>
        </w:rPr>
      </w:r>
    </w:p>
    <w:p w:rsidR="00000000" w:rsidDel="00000000" w:rsidP="00000000" w:rsidRDefault="00000000" w:rsidRPr="00000000" w14:paraId="000000BE">
      <w:pPr>
        <w:widowControl w:val="0"/>
        <w:spacing w:before="7" w:line="240" w:lineRule="auto"/>
        <w:ind w:firstLine="0"/>
        <w:jc w:val="left"/>
        <w:rPr>
          <w:rFonts w:ascii="Times New Roman" w:cs="Times New Roman" w:eastAsia="Times New Roman" w:hAnsi="Times New Roman"/>
          <w:b w:val="1"/>
          <w:bCs w:val="1"/>
        </w:rPr>
      </w:pPr>
      <w:r w:rsidDel="00000000" w:rsidR="00000000" w:rsidRPr="00000000">
        <w:rPr>
          <w:rtl w:val="0"/>
        </w:rPr>
      </w:r>
    </w:p>
    <w:tbl>
      <w:tblPr>
        <w:tblStyle w:val="Table6"/>
        <w:tblW w:w="9675.0" w:type="dxa"/>
        <w:jc w:val="left"/>
        <w:tblInd w:w="1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20"/>
        <w:gridCol w:w="4755"/>
        <w:tblGridChange w:id="0">
          <w:tblGrid>
            <w:gridCol w:w="4920"/>
            <w:gridCol w:w="4755"/>
          </w:tblGrid>
        </w:tblGridChange>
      </w:tblGrid>
      <w:tr>
        <w:trPr>
          <w:cantSplit w:val="0"/>
          <w:trHeight w:val="270" w:hRule="atLeast"/>
          <w:tblHeader w:val="0"/>
        </w:trPr>
        <w:tc>
          <w:tcPr>
            <w:tcBorders>
              <w:bottom w:color="000000" w:space="0" w:sz="6" w:val="single"/>
            </w:tcBorders>
          </w:tcPr>
          <w:p w:rsidR="00000000" w:rsidDel="00000000" w:rsidP="00000000" w:rsidRDefault="00000000" w:rsidRPr="00000000" w14:paraId="000000BF">
            <w:pPr>
              <w:widowControl w:val="0"/>
              <w:spacing w:line="199" w:lineRule="auto"/>
              <w:ind w:left="34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Desafío</w:t>
            </w:r>
          </w:p>
        </w:tc>
        <w:tc>
          <w:tcPr>
            <w:tcBorders>
              <w:bottom w:color="000000" w:space="0" w:sz="6" w:val="single"/>
            </w:tcBorders>
          </w:tcPr>
          <w:p w:rsidR="00000000" w:rsidDel="00000000" w:rsidP="00000000" w:rsidRDefault="00000000" w:rsidRPr="00000000" w14:paraId="000000C0">
            <w:pPr>
              <w:widowControl w:val="0"/>
              <w:spacing w:line="199" w:lineRule="auto"/>
              <w:ind w:left="271"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Solución</w:t>
            </w:r>
          </w:p>
        </w:tc>
      </w:tr>
      <w:tr>
        <w:trPr>
          <w:cantSplit w:val="0"/>
          <w:trHeight w:val="547" w:hRule="atLeast"/>
          <w:tblHeader w:val="0"/>
        </w:trPr>
        <w:tc>
          <w:tcPr>
            <w:tcBorders>
              <w:top w:color="000000" w:space="0" w:sz="6" w:val="single"/>
            </w:tcBorders>
          </w:tcPr>
          <w:p w:rsidR="00000000" w:rsidDel="00000000" w:rsidP="00000000" w:rsidRDefault="00000000" w:rsidRPr="00000000" w14:paraId="000000C1">
            <w:pPr>
              <w:widowControl w:val="0"/>
              <w:spacing w:before="162" w:line="240" w:lineRule="auto"/>
              <w:ind w:left="3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listado no incluía descripción, antigüedad ni apto crédito</w:t>
            </w:r>
          </w:p>
        </w:tc>
        <w:tc>
          <w:tcPr>
            <w:tcBorders>
              <w:top w:color="000000" w:space="0" w:sz="6" w:val="single"/>
            </w:tcBorders>
          </w:tcPr>
          <w:p w:rsidR="00000000" w:rsidDel="00000000" w:rsidP="00000000" w:rsidRDefault="00000000" w:rsidRPr="00000000" w14:paraId="000000C2">
            <w:pPr>
              <w:widowControl w:val="0"/>
              <w:spacing w:before="59" w:line="240" w:lineRule="auto"/>
              <w:ind w:left="2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realizó una consulta adicional a la ficha individual de cada propiedad para obtener los campos que no estaban disponibles en el listado general.</w:t>
            </w:r>
          </w:p>
        </w:tc>
      </w:tr>
      <w:tr>
        <w:trPr>
          <w:cantSplit w:val="0"/>
          <w:trHeight w:val="553" w:hRule="atLeast"/>
          <w:tblHeader w:val="0"/>
        </w:trPr>
        <w:tc>
          <w:tcPr/>
          <w:p w:rsidR="00000000" w:rsidDel="00000000" w:rsidP="00000000" w:rsidRDefault="00000000" w:rsidRPr="00000000" w14:paraId="000000C3">
            <w:pPr>
              <w:widowControl w:val="0"/>
              <w:spacing w:before="66" w:line="240" w:lineRule="auto"/>
              <w:ind w:left="340" w:right="22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primer endpoint de detalle por ID devolvía errores internos</w:t>
            </w:r>
          </w:p>
        </w:tc>
        <w:tc>
          <w:tcPr/>
          <w:p w:rsidR="00000000" w:rsidDel="00000000" w:rsidP="00000000" w:rsidRDefault="00000000" w:rsidRPr="00000000" w14:paraId="000000C4">
            <w:pPr>
              <w:widowControl w:val="0"/>
              <w:spacing w:before="66" w:line="240" w:lineRule="auto"/>
              <w:ind w:left="2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revisó cómo el sitio cargaba la información y se identificó la ruta correcta para acceder al detalle de cada propiedad.</w:t>
            </w:r>
          </w:p>
        </w:tc>
      </w:tr>
      <w:tr>
        <w:trPr>
          <w:cantSplit w:val="0"/>
          <w:trHeight w:val="554" w:hRule="atLeast"/>
          <w:tblHeader w:val="0"/>
        </w:trPr>
        <w:tc>
          <w:tcPr/>
          <w:p w:rsidR="00000000" w:rsidDel="00000000" w:rsidP="00000000" w:rsidRDefault="00000000" w:rsidRPr="00000000" w14:paraId="000000C5">
            <w:pPr>
              <w:widowControl w:val="0"/>
              <w:spacing w:before="169" w:line="240" w:lineRule="auto"/>
              <w:ind w:left="3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filtro de Capital Federal depende de un parámetro frágil</w:t>
            </w:r>
          </w:p>
        </w:tc>
        <w:tc>
          <w:tcPr/>
          <w:p w:rsidR="00000000" w:rsidDel="00000000" w:rsidP="00000000" w:rsidRDefault="00000000" w:rsidRPr="00000000" w14:paraId="000000C6">
            <w:pPr>
              <w:widowControl w:val="0"/>
              <w:spacing w:before="66" w:line="240" w:lineRule="auto"/>
              <w:ind w:left="2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agregó una validación inicial para detectar respuestas vacías o cambios inesperados en la fuente de datos.</w:t>
            </w:r>
          </w:p>
        </w:tc>
      </w:tr>
      <w:tr>
        <w:trPr>
          <w:cantSplit w:val="0"/>
          <w:trHeight w:val="554" w:hRule="atLeast"/>
          <w:tblHeader w:val="0"/>
        </w:trPr>
        <w:tc>
          <w:tcPr/>
          <w:p w:rsidR="00000000" w:rsidDel="00000000" w:rsidP="00000000" w:rsidRDefault="00000000" w:rsidRPr="00000000" w14:paraId="000000C7">
            <w:pPr>
              <w:widowControl w:val="0"/>
              <w:spacing w:before="66" w:line="240" w:lineRule="auto"/>
              <w:ind w:left="340" w:right="22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consulta secuencial de miles de detalles era demasiado lenta</w:t>
            </w:r>
          </w:p>
        </w:tc>
        <w:tc>
          <w:tcPr/>
          <w:p w:rsidR="00000000" w:rsidDel="00000000" w:rsidP="00000000" w:rsidRDefault="00000000" w:rsidRPr="00000000" w14:paraId="000000C8">
            <w:pPr>
              <w:widowControl w:val="0"/>
              <w:spacing w:before="66" w:line="240" w:lineRule="auto"/>
              <w:ind w:left="27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realizaron las consultas en paralelo para reducir el tiempo de ejecución, incorporando además reintentos y registro de errores.</w:t>
            </w:r>
          </w:p>
        </w:tc>
      </w:tr>
      <w:tr>
        <w:trPr>
          <w:cantSplit w:val="0"/>
          <w:trHeight w:val="687" w:hRule="atLeast"/>
          <w:tblHeader w:val="0"/>
        </w:trPr>
        <w:tc>
          <w:tcPr/>
          <w:p w:rsidR="00000000" w:rsidDel="00000000" w:rsidP="00000000" w:rsidRDefault="00000000" w:rsidRPr="00000000" w14:paraId="000000C9">
            <w:pPr>
              <w:widowControl w:val="0"/>
              <w:spacing w:before="66" w:line="240" w:lineRule="auto"/>
              <w:ind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A">
            <w:pPr>
              <w:widowControl w:val="0"/>
              <w:spacing w:line="240" w:lineRule="auto"/>
              <w:ind w:left="3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campo Fecha_Publicacion no llega informado</w:t>
            </w:r>
          </w:p>
        </w:tc>
        <w:tc>
          <w:tcPr/>
          <w:p w:rsidR="00000000" w:rsidDel="00000000" w:rsidP="00000000" w:rsidRDefault="00000000" w:rsidRPr="00000000" w14:paraId="000000CB">
            <w:pPr>
              <w:widowControl w:val="0"/>
              <w:spacing w:before="46" w:line="240" w:lineRule="auto"/>
              <w:ind w:left="271" w:right="12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diseñó seguimiento propio por corridas mediante fechas de primera y última captura para medir permanencia observada.</w:t>
            </w:r>
          </w:p>
        </w:tc>
      </w:tr>
    </w:tbl>
    <w:p w:rsidR="00000000" w:rsidDel="00000000" w:rsidP="00000000" w:rsidRDefault="00000000" w:rsidRPr="00000000" w14:paraId="000000CC">
      <w:pPr>
        <w:widowControl w:val="0"/>
        <w:spacing w:before="29" w:line="240" w:lineRule="auto"/>
        <w:ind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pStyle w:val="Heading3"/>
        <w:keepNext w:val="0"/>
        <w:keepLines w:val="0"/>
        <w:widowControl w:val="0"/>
        <w:numPr>
          <w:ilvl w:val="1"/>
          <w:numId w:val="3"/>
        </w:numPr>
        <w:tabs>
          <w:tab w:val="left" w:leader="none" w:pos="548"/>
        </w:tabs>
        <w:spacing w:after="0" w:before="0" w:line="240" w:lineRule="auto"/>
        <w:ind w:left="548" w:hanging="33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Evidencia de la primera corrida raw</w:t>
      </w:r>
    </w:p>
    <w:p w:rsidR="00000000" w:rsidDel="00000000" w:rsidP="00000000" w:rsidRDefault="00000000" w:rsidRPr="00000000" w14:paraId="000000CE">
      <w:pPr>
        <w:widowControl w:val="0"/>
        <w:spacing w:before="0" w:line="259" w:lineRule="auto"/>
        <w:ind w:left="218" w:right="214" w:firstLine="50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primera corrida completa generó un dataframe maestro de 16.993 filas y 29 columnas, recorriendo 171 páginas. El campo de ubicación devuelve 75 etiquetas distintas en el universo crudo; estas etiquetas no se asumirán como barrios oficiales y más adelante, estas ubicaciones se ajustarán utilizando los límites oficiales de los barrios. Como control inicial de captura se observó:</w:t>
      </w:r>
    </w:p>
    <w:p w:rsidR="00000000" w:rsidDel="00000000" w:rsidP="00000000" w:rsidRDefault="00000000" w:rsidRPr="00000000" w14:paraId="000000CF">
      <w:pPr>
        <w:widowControl w:val="0"/>
        <w:tabs>
          <w:tab w:val="left" w:leader="none" w:pos="937"/>
        </w:tabs>
        <w:spacing w:before="0"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Fecha_Publicacion: 100% faltante.</w:t>
      </w:r>
    </w:p>
    <w:p w:rsidR="00000000" w:rsidDel="00000000" w:rsidP="00000000" w:rsidRDefault="00000000" w:rsidRPr="00000000" w14:paraId="000000D1">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Amenities: 23,72% faltante.</w:t>
      </w:r>
    </w:p>
    <w:p w:rsidR="00000000" w:rsidDel="00000000" w:rsidP="00000000" w:rsidRDefault="00000000" w:rsidRPr="00000000" w14:paraId="000000D2">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Expensas: 7,15% faltante.</w:t>
      </w:r>
    </w:p>
    <w:p w:rsidR="00000000" w:rsidDel="00000000" w:rsidP="00000000" w:rsidRDefault="00000000" w:rsidRPr="00000000" w14:paraId="000000D3">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Antigüedad: 3,38% faltante.</w:t>
      </w:r>
    </w:p>
    <w:p w:rsidR="00000000" w:rsidDel="00000000" w:rsidP="00000000" w:rsidRDefault="00000000" w:rsidRPr="00000000" w14:paraId="000000D4">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Precio_m2_Cubierto: 3,04% faltante.</w:t>
      </w:r>
    </w:p>
    <w:p w:rsidR="00000000" w:rsidDel="00000000" w:rsidP="00000000" w:rsidRDefault="00000000" w:rsidRPr="00000000" w14:paraId="000000D5">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y Apto_Credito: 0,62% faltante cada una.</w:t>
      </w:r>
    </w:p>
    <w:p w:rsidR="00000000" w:rsidDel="00000000" w:rsidP="00000000" w:rsidRDefault="00000000" w:rsidRPr="00000000" w14:paraId="000000D6">
      <w:pPr>
        <w:widowControl w:val="0"/>
        <w:numPr>
          <w:ilvl w:val="2"/>
          <w:numId w:val="3"/>
        </w:numPr>
        <w:tabs>
          <w:tab w:val="left" w:leader="none" w:pos="937"/>
        </w:tabs>
        <w:spacing w:before="0" w:line="240" w:lineRule="auto"/>
        <w:ind w:left="937" w:hanging="47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resto de los faltantes relevantes se encuentra por debajo del 0,1%.</w:t>
      </w:r>
    </w:p>
    <w:p w:rsidR="00000000" w:rsidDel="00000000" w:rsidP="00000000" w:rsidRDefault="00000000" w:rsidRPr="00000000" w14:paraId="000000D7">
      <w:pPr>
        <w:widowControl w:val="0"/>
        <w:spacing w:before="0" w:line="259" w:lineRule="auto"/>
        <w:ind w:left="218" w:right="225" w:firstLine="50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widowControl w:val="0"/>
        <w:spacing w:before="0" w:line="259" w:lineRule="auto"/>
        <w:ind w:left="218" w:right="225" w:firstLine="502"/>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rtl w:val="0"/>
        </w:rPr>
        <w:t xml:space="preserve">Estos controles se documentan en esta etapa como evidencia de calidad de captura. El tratamiento de faltantes y la decisión de imputar, excluir o conservar consideramos que corresponde formalmente a la Pre-Entrega 2.</w:t>
      </w:r>
      <w:r w:rsidDel="00000000" w:rsidR="00000000" w:rsidRPr="00000000">
        <w:rPr>
          <w:rtl w:val="0"/>
        </w:rPr>
      </w:r>
    </w:p>
    <w:p w:rsidR="00000000" w:rsidDel="00000000" w:rsidP="00000000" w:rsidRDefault="00000000" w:rsidRPr="00000000" w14:paraId="000000D9">
      <w:pPr>
        <w:widowControl w:val="0"/>
        <w:spacing w:before="0" w:line="259" w:lineRule="auto"/>
        <w:ind w:left="218" w:right="225" w:firstLine="50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Style w:val="Heading2"/>
        <w:keepNext w:val="0"/>
        <w:keepLines w:val="0"/>
        <w:widowControl w:val="0"/>
        <w:numPr>
          <w:ilvl w:val="0"/>
          <w:numId w:val="3"/>
        </w:numPr>
        <w:tabs>
          <w:tab w:val="left" w:leader="none" w:pos="438"/>
        </w:tabs>
        <w:spacing w:after="0" w:before="0" w:line="240" w:lineRule="auto"/>
        <w:ind w:left="438" w:hanging="220"/>
        <w:jc w:val="left"/>
        <w:rPr>
          <w:rFonts w:ascii="Times New Roman" w:cs="Times New Roman" w:eastAsia="Times New Roman" w:hAnsi="Times New Roman"/>
          <w:sz w:val="30"/>
          <w:szCs w:val="30"/>
        </w:rPr>
      </w:pPr>
      <w:bookmarkStart w:colFirst="0" w:colLast="0" w:name="_frhmvezqb2d" w:id="14"/>
      <w:bookmarkEnd w:id="14"/>
      <w:r w:rsidDel="00000000" w:rsidR="00000000" w:rsidRPr="00000000">
        <w:rPr>
          <w:rFonts w:ascii="Times New Roman" w:cs="Times New Roman" w:eastAsia="Times New Roman" w:hAnsi="Times New Roman"/>
          <w:sz w:val="30"/>
          <w:szCs w:val="30"/>
          <w:rtl w:val="0"/>
        </w:rPr>
        <w:t xml:space="preserve">Avance exploratorio de limpieza</w:t>
      </w:r>
    </w:p>
    <w:p w:rsidR="00000000" w:rsidDel="00000000" w:rsidP="00000000" w:rsidRDefault="00000000" w:rsidRPr="00000000" w14:paraId="000000DB">
      <w:pPr>
        <w:widowControl w:val="0"/>
        <w:spacing w:before="0" w:line="259" w:lineRule="auto"/>
        <w:ind w:left="0" w:right="38"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se adelantó parcialmente a la segunda etapa y realizó una primera limpieza exploratoria. Este trabajo se </w:t>
      </w:r>
      <w:r w:rsidDel="00000000" w:rsidR="00000000" w:rsidRPr="00000000">
        <w:rPr>
          <w:rFonts w:ascii="Times New Roman" w:cs="Times New Roman" w:eastAsia="Times New Roman" w:hAnsi="Times New Roman"/>
          <w:rtl w:val="0"/>
        </w:rPr>
        <w:t xml:space="preserve">incluye como avance, sin reemplazar el foco de la Pre-Entrega 1 sobre la base raw.</w:t>
      </w:r>
    </w:p>
    <w:p w:rsidR="00000000" w:rsidDel="00000000" w:rsidP="00000000" w:rsidRDefault="00000000" w:rsidRPr="00000000" w14:paraId="000000DC">
      <w:pPr>
        <w:widowControl w:val="0"/>
        <w:spacing w:before="0" w:line="259" w:lineRule="auto"/>
        <w:ind w:left="0" w:right="38"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los 16.993 registros originales se construyó una base de 9.671 departamentos usados y 44 variables, luego de excluir tipologías fuera del alcance, publicaciones nuevas/en desarrollo, duplicados reales y algunos casos no comparables co</w:t>
      </w:r>
      <w:r w:rsidDel="00000000" w:rsidR="00000000" w:rsidRPr="00000000">
        <w:rPr>
          <w:rFonts w:ascii="Times New Roman" w:cs="Times New Roman" w:eastAsia="Times New Roman" w:hAnsi="Times New Roman"/>
          <w:rtl w:val="0"/>
        </w:rPr>
        <w:t xml:space="preserve">n una compraventa residencial convencional. El criterio fue conservador: no eliminar outliers únicamente por ser extremos, sino revisar si existía una razón concreta para </w:t>
      </w:r>
      <w:r w:rsidDel="00000000" w:rsidR="00000000" w:rsidRPr="00000000">
        <w:rPr>
          <w:rFonts w:ascii="Times New Roman" w:cs="Times New Roman" w:eastAsia="Times New Roman" w:hAnsi="Times New Roman"/>
          <w:rtl w:val="0"/>
        </w:rPr>
        <w:t xml:space="preserve">considerarlos</w:t>
      </w:r>
      <w:r w:rsidDel="00000000" w:rsidR="00000000" w:rsidRPr="00000000">
        <w:rPr>
          <w:rFonts w:ascii="Times New Roman" w:cs="Times New Roman" w:eastAsia="Times New Roman" w:hAnsi="Times New Roman"/>
          <w:rtl w:val="0"/>
        </w:rPr>
        <w:t xml:space="preserve"> errores o casos fuera del universo analítico.</w:t>
      </w:r>
    </w:p>
    <w:p w:rsidR="00000000" w:rsidDel="00000000" w:rsidP="00000000" w:rsidRDefault="00000000" w:rsidRPr="00000000" w14:paraId="000000DD">
      <w:pPr>
        <w:widowControl w:val="0"/>
        <w:spacing w:before="0" w:line="259" w:lineRule="auto"/>
        <w:ind w:left="0" w:right="38"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generaron variables binarias de amenities y una variable exploratoria </w:t>
      </w:r>
      <w:r w:rsidDel="00000000" w:rsidR="00000000" w:rsidRPr="00000000">
        <w:rPr>
          <w:rFonts w:ascii="Times New Roman" w:cs="Times New Roman" w:eastAsia="Times New Roman" w:hAnsi="Times New Roman"/>
          <w:rtl w:val="0"/>
        </w:rPr>
        <w:t xml:space="preserve">Estado_Propiedad</w:t>
      </w:r>
      <w:r w:rsidDel="00000000" w:rsidR="00000000" w:rsidRPr="00000000">
        <w:rPr>
          <w:rFonts w:ascii="Times New Roman" w:cs="Times New Roman" w:eastAsia="Times New Roman" w:hAnsi="Times New Roman"/>
          <w:rtl w:val="0"/>
        </w:rPr>
        <w:t xml:space="preserve"> a partir de Titulo y Descripción. La clasificación preliminar resultó en:</w:t>
      </w:r>
    </w:p>
    <w:p w:rsidR="00000000" w:rsidDel="00000000" w:rsidP="00000000" w:rsidRDefault="00000000" w:rsidRPr="00000000" w14:paraId="000000DE">
      <w:pPr>
        <w:ind w:firstLine="0"/>
        <w:jc w:val="left"/>
        <w:rPr>
          <w:rFonts w:ascii="Times New Roman" w:cs="Times New Roman" w:eastAsia="Times New Roman" w:hAnsi="Times New Roman"/>
        </w:rPr>
      </w:pPr>
      <w:r w:rsidDel="00000000" w:rsidR="00000000" w:rsidRPr="00000000">
        <w:rPr>
          <w:rtl w:val="0"/>
        </w:rPr>
      </w:r>
    </w:p>
    <w:tbl>
      <w:tblPr>
        <w:tblStyle w:val="Table7"/>
        <w:tblW w:w="7920.0" w:type="dxa"/>
        <w:jc w:val="left"/>
        <w:tblInd w:w="108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78"/>
        <w:gridCol w:w="4742"/>
        <w:tblGridChange w:id="0">
          <w:tblGrid>
            <w:gridCol w:w="3178"/>
            <w:gridCol w:w="4742"/>
          </w:tblGrid>
        </w:tblGridChange>
      </w:tblGrid>
      <w:tr>
        <w:trPr>
          <w:cantSplit w:val="0"/>
          <w:trHeight w:val="280" w:hRule="atLeast"/>
          <w:tblHeader w:val="0"/>
        </w:trPr>
        <w:tc>
          <w:tcPr>
            <w:tcBorders>
              <w:bottom w:color="000000" w:space="0" w:sz="6" w:val="single"/>
            </w:tcBorders>
          </w:tcPr>
          <w:p w:rsidR="00000000" w:rsidDel="00000000" w:rsidP="00000000" w:rsidRDefault="00000000" w:rsidRPr="00000000" w14:paraId="000000DF">
            <w:pPr>
              <w:spacing w:line="199" w:lineRule="auto"/>
              <w:ind w:left="34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Estado_Propiedad</w:t>
            </w:r>
            <w:r w:rsidDel="00000000" w:rsidR="00000000" w:rsidRPr="00000000">
              <w:rPr>
                <w:rtl w:val="0"/>
              </w:rPr>
            </w:r>
          </w:p>
        </w:tc>
        <w:tc>
          <w:tcPr>
            <w:tcBorders>
              <w:bottom w:color="000000" w:space="0" w:sz="6" w:val="single"/>
            </w:tcBorders>
          </w:tcPr>
          <w:p w:rsidR="00000000" w:rsidDel="00000000" w:rsidP="00000000" w:rsidRDefault="00000000" w:rsidRPr="00000000" w14:paraId="000000E0">
            <w:pPr>
              <w:spacing w:line="199" w:lineRule="auto"/>
              <w:ind w:left="1123"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Registros</w:t>
            </w:r>
          </w:p>
        </w:tc>
      </w:tr>
      <w:tr>
        <w:trPr>
          <w:cantSplit w:val="0"/>
          <w:trHeight w:val="339" w:hRule="atLeast"/>
          <w:tblHeader w:val="0"/>
        </w:trPr>
        <w:tc>
          <w:tcPr>
            <w:tcBorders>
              <w:top w:color="000000" w:space="0" w:sz="6" w:val="single"/>
            </w:tcBorders>
          </w:tcPr>
          <w:p w:rsidR="00000000" w:rsidDel="00000000" w:rsidP="00000000" w:rsidRDefault="00000000" w:rsidRPr="00000000" w14:paraId="000000E1">
            <w:pPr>
              <w:spacing w:before="58" w:line="240" w:lineRule="auto"/>
              <w:ind w:left="34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Sin_clasificar</w:t>
            </w:r>
          </w:p>
        </w:tc>
        <w:tc>
          <w:tcPr>
            <w:tcBorders>
              <w:top w:color="000000" w:space="0" w:sz="6" w:val="single"/>
            </w:tcBorders>
          </w:tcPr>
          <w:p w:rsidR="00000000" w:rsidDel="00000000" w:rsidP="00000000" w:rsidRDefault="00000000" w:rsidRPr="00000000" w14:paraId="000000E2">
            <w:pPr>
              <w:spacing w:before="58" w:line="240" w:lineRule="auto"/>
              <w:ind w:left="1123"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6.170</w:t>
            </w:r>
          </w:p>
        </w:tc>
      </w:tr>
      <w:tr>
        <w:trPr>
          <w:cantSplit w:val="0"/>
          <w:trHeight w:val="346" w:hRule="atLeast"/>
          <w:tblHeader w:val="0"/>
        </w:trPr>
        <w:tc>
          <w:tcPr/>
          <w:p w:rsidR="00000000" w:rsidDel="00000000" w:rsidP="00000000" w:rsidRDefault="00000000" w:rsidRPr="00000000" w14:paraId="000000E3">
            <w:pPr>
              <w:spacing w:before="66" w:line="240" w:lineRule="auto"/>
              <w:ind w:left="34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Buen_estado</w:t>
            </w:r>
          </w:p>
        </w:tc>
        <w:tc>
          <w:tcPr/>
          <w:p w:rsidR="00000000" w:rsidDel="00000000" w:rsidP="00000000" w:rsidRDefault="00000000" w:rsidRPr="00000000" w14:paraId="000000E4">
            <w:pPr>
              <w:spacing w:before="66" w:line="240" w:lineRule="auto"/>
              <w:ind w:left="1123"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2.000</w:t>
            </w:r>
          </w:p>
        </w:tc>
      </w:tr>
      <w:tr>
        <w:trPr>
          <w:cantSplit w:val="0"/>
          <w:trHeight w:val="346" w:hRule="atLeast"/>
          <w:tblHeader w:val="0"/>
        </w:trPr>
        <w:tc>
          <w:tcPr/>
          <w:p w:rsidR="00000000" w:rsidDel="00000000" w:rsidP="00000000" w:rsidRDefault="00000000" w:rsidRPr="00000000" w14:paraId="000000E5">
            <w:pPr>
              <w:spacing w:before="66" w:line="240" w:lineRule="auto"/>
              <w:ind w:left="34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Reciclada_refaccionada</w:t>
            </w:r>
          </w:p>
        </w:tc>
        <w:tc>
          <w:tcPr/>
          <w:p w:rsidR="00000000" w:rsidDel="00000000" w:rsidP="00000000" w:rsidRDefault="00000000" w:rsidRPr="00000000" w14:paraId="000000E6">
            <w:pPr>
              <w:spacing w:before="66" w:line="240" w:lineRule="auto"/>
              <w:ind w:left="1123"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1.085</w:t>
            </w:r>
          </w:p>
        </w:tc>
      </w:tr>
      <w:tr>
        <w:trPr>
          <w:cantSplit w:val="0"/>
          <w:trHeight w:val="273" w:hRule="atLeast"/>
          <w:tblHeader w:val="0"/>
        </w:trPr>
        <w:tc>
          <w:tcPr/>
          <w:p w:rsidR="00000000" w:rsidDel="00000000" w:rsidP="00000000" w:rsidRDefault="00000000" w:rsidRPr="00000000" w14:paraId="000000E7">
            <w:pPr>
              <w:spacing w:before="66" w:line="187" w:lineRule="auto"/>
              <w:ind w:left="34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Necesita_obra</w:t>
            </w:r>
          </w:p>
        </w:tc>
        <w:tc>
          <w:tcPr/>
          <w:p w:rsidR="00000000" w:rsidDel="00000000" w:rsidP="00000000" w:rsidRDefault="00000000" w:rsidRPr="00000000" w14:paraId="000000E8">
            <w:pPr>
              <w:spacing w:before="66" w:line="187" w:lineRule="auto"/>
              <w:ind w:left="1123"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416</w:t>
            </w:r>
          </w:p>
        </w:tc>
      </w:tr>
    </w:tbl>
    <w:p w:rsidR="00000000" w:rsidDel="00000000" w:rsidP="00000000" w:rsidRDefault="00000000" w:rsidRPr="00000000" w14:paraId="000000E9">
      <w:pPr>
        <w:widowControl w:val="0"/>
        <w:spacing w:line="259" w:lineRule="auto"/>
        <w:ind w:left="0" w:right="226"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widowControl w:val="0"/>
        <w:spacing w:line="259" w:lineRule="auto"/>
        <w:ind w:left="0" w:right="226"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existencia de una gran cantidad de casos sin clasificar refuerza la necesidad de mantener criterios conservadores y de no inferir el estado del inmueble cuando el aviso no aporta evidencia suficiente. Estos resultados deberán formalizarse y validarse en la segunda pre-entrega.</w:t>
      </w:r>
    </w:p>
    <w:p w:rsidR="00000000" w:rsidDel="00000000" w:rsidP="00000000" w:rsidRDefault="00000000" w:rsidRPr="00000000" w14:paraId="000000EB">
      <w:pPr>
        <w:widowControl w:val="0"/>
        <w:spacing w:line="259" w:lineRule="auto"/>
        <w:ind w:left="0" w:right="22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pStyle w:val="Heading2"/>
        <w:keepNext w:val="0"/>
        <w:keepLines w:val="0"/>
        <w:widowControl w:val="0"/>
        <w:numPr>
          <w:ilvl w:val="0"/>
          <w:numId w:val="3"/>
        </w:numPr>
        <w:tabs>
          <w:tab w:val="left" w:leader="none" w:pos="438"/>
        </w:tabs>
        <w:spacing w:after="41" w:before="0" w:line="240" w:lineRule="auto"/>
        <w:ind w:left="438" w:hanging="220"/>
        <w:jc w:val="left"/>
        <w:rPr>
          <w:rFonts w:ascii="Times New Roman" w:cs="Times New Roman" w:eastAsia="Times New Roman" w:hAnsi="Times New Roman"/>
          <w:sz w:val="30"/>
          <w:szCs w:val="30"/>
        </w:rPr>
      </w:pPr>
      <w:bookmarkStart w:colFirst="0" w:colLast="0" w:name="_twp4trvkdril" w:id="15"/>
      <w:bookmarkEnd w:id="15"/>
      <w:r w:rsidDel="00000000" w:rsidR="00000000" w:rsidRPr="00000000">
        <w:rPr>
          <w:rFonts w:ascii="Times New Roman" w:cs="Times New Roman" w:eastAsia="Times New Roman" w:hAnsi="Times New Roman"/>
          <w:sz w:val="30"/>
          <w:szCs w:val="30"/>
          <w:rtl w:val="0"/>
        </w:rPr>
        <w:t xml:space="preserve">Plan de integración de fuentes externas</w:t>
      </w:r>
    </w:p>
    <w:p w:rsidR="00000000" w:rsidDel="00000000" w:rsidP="00000000" w:rsidRDefault="00000000" w:rsidRPr="00000000" w14:paraId="000000ED">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Para las próximas etapas del proyecto se prevé incorporar distintas fuentes externas que permitan enriquecer la información obtenida mediante el scraping y explicar mejor las diferencias de precio entre propiedades.</w:t>
      </w:r>
    </w:p>
    <w:p w:rsidR="00000000" w:rsidDel="00000000" w:rsidP="00000000" w:rsidRDefault="00000000" w:rsidRPr="00000000" w14:paraId="000000EE">
      <w:pPr>
        <w:tabs>
          <w:tab w:val="left" w:leader="none" w:pos="438"/>
        </w:tabs>
        <w:spacing w:after="0" w:before="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tabs>
          <w:tab w:val="left" w:leader="none" w:pos="438"/>
        </w:tabs>
        <w:spacing w:after="0" w:before="0" w:lineRule="auto"/>
        <w:ind w:left="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Barrios — BA Data</w:t>
        <w:br w:type="textWrapping"/>
      </w:r>
      <w:hyperlink r:id="rId8">
        <w:r w:rsidDel="00000000" w:rsidR="00000000" w:rsidRPr="00000000">
          <w:rPr>
            <w:rFonts w:ascii="Times New Roman" w:cs="Times New Roman" w:eastAsia="Times New Roman" w:hAnsi="Times New Roman"/>
            <w:color w:val="1155cc"/>
            <w:u w:val="single"/>
            <w:rtl w:val="0"/>
          </w:rPr>
          <w:t xml:space="preserve">https://data.buenosaires.gob.ar/dataset/barrios</w:t>
        </w:r>
      </w:hyperlink>
      <w:r w:rsidDel="00000000" w:rsidR="00000000" w:rsidRPr="00000000">
        <w:rPr>
          <w:rtl w:val="0"/>
        </w:rPr>
      </w:r>
    </w:p>
    <w:p w:rsidR="00000000" w:rsidDel="00000000" w:rsidP="00000000" w:rsidRDefault="00000000" w:rsidRPr="00000000" w14:paraId="000000F0">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Se utilizarán para validar y asignar correctamente el barrio de cada propiedad a partir de sus coordenadas de latitud y longitud. Esto permitirá trabajar con una división geográfica uniforme y evitar depender únicamente de la ubicación informada en cada publicación.</w:t>
      </w:r>
    </w:p>
    <w:p w:rsidR="00000000" w:rsidDel="00000000" w:rsidP="00000000" w:rsidRDefault="00000000" w:rsidRPr="00000000" w14:paraId="000000F2">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tabs>
          <w:tab w:val="left" w:leader="none" w:pos="438"/>
        </w:tabs>
        <w:spacing w:after="0" w:before="0" w:lineRule="auto"/>
        <w:ind w:left="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Estaciones de Subte — BA Data</w:t>
        <w:br w:type="textWrapping"/>
      </w:r>
      <w:hyperlink r:id="rId9">
        <w:r w:rsidDel="00000000" w:rsidR="00000000" w:rsidRPr="00000000">
          <w:rPr>
            <w:rFonts w:ascii="Times New Roman" w:cs="Times New Roman" w:eastAsia="Times New Roman" w:hAnsi="Times New Roman"/>
            <w:color w:val="1155cc"/>
            <w:u w:val="single"/>
            <w:rtl w:val="0"/>
          </w:rPr>
          <w:t xml:space="preserve">https://data.buenosaires.gob.ar/dataset/subte-estaciones/resource/juqdkmgo-1994-resource</w:t>
        </w:r>
      </w:hyperlink>
      <w:r w:rsidDel="00000000" w:rsidR="00000000" w:rsidRPr="00000000">
        <w:rPr>
          <w:rtl w:val="0"/>
        </w:rPr>
      </w:r>
    </w:p>
    <w:p w:rsidR="00000000" w:rsidDel="00000000" w:rsidP="00000000" w:rsidRDefault="00000000" w:rsidRPr="00000000" w14:paraId="000000F4">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Se utilizarán para calcular la distancia entre cada propiedad y la estación de subte más cercana, con el objetivo de analizar si la cercanía al transporte público está asociada con diferencias en el precio por m².</w:t>
      </w:r>
    </w:p>
    <w:p w:rsidR="00000000" w:rsidDel="00000000" w:rsidP="00000000" w:rsidRDefault="00000000" w:rsidRPr="00000000" w14:paraId="000000F6">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tabs>
          <w:tab w:val="left" w:leader="none" w:pos="438"/>
        </w:tabs>
        <w:spacing w:after="0" w:before="0" w:lineRule="auto"/>
        <w:ind w:left="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Estaciones de Ferrocarril — BA Data</w:t>
        <w:br w:type="textWrapping"/>
      </w:r>
      <w:hyperlink r:id="rId10">
        <w:r w:rsidDel="00000000" w:rsidR="00000000" w:rsidRPr="00000000">
          <w:rPr>
            <w:rFonts w:ascii="Times New Roman" w:cs="Times New Roman" w:eastAsia="Times New Roman" w:hAnsi="Times New Roman"/>
            <w:color w:val="1155cc"/>
            <w:u w:val="single"/>
            <w:rtl w:val="0"/>
          </w:rPr>
          <w:t xml:space="preserve">https://data.buenosaires.gob.ar/dataset/estaciones-ferrocarril</w:t>
        </w:r>
      </w:hyperlink>
      <w:r w:rsidDel="00000000" w:rsidR="00000000" w:rsidRPr="00000000">
        <w:rPr>
          <w:rtl w:val="0"/>
        </w:rPr>
      </w:r>
    </w:p>
    <w:p w:rsidR="00000000" w:rsidDel="00000000" w:rsidP="00000000" w:rsidRDefault="00000000" w:rsidRPr="00000000" w14:paraId="000000F8">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Al igual que con las estaciones de subte, se calculará la distancia a la estación de tren más cercana para incorporar otra medida de accesibilidad y conectividad de cada propiedad.</w:t>
      </w:r>
    </w:p>
    <w:p w:rsidR="00000000" w:rsidDel="00000000" w:rsidP="00000000" w:rsidRDefault="00000000" w:rsidRPr="00000000" w14:paraId="000000FA">
      <w:pPr>
        <w:tabs>
          <w:tab w:val="left" w:leader="none" w:pos="438"/>
        </w:tabs>
        <w:spacing w:after="0" w:before="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B">
      <w:pPr>
        <w:tabs>
          <w:tab w:val="left" w:leader="none" w:pos="438"/>
        </w:tabs>
        <w:spacing w:after="0" w:before="0" w:lineRule="auto"/>
        <w:ind w:left="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Espacios Verdes — BA Data</w:t>
        <w:br w:type="textWrapping"/>
      </w:r>
      <w:hyperlink r:id="rId11">
        <w:r w:rsidDel="00000000" w:rsidR="00000000" w:rsidRPr="00000000">
          <w:rPr>
            <w:rFonts w:ascii="Times New Roman" w:cs="Times New Roman" w:eastAsia="Times New Roman" w:hAnsi="Times New Roman"/>
            <w:color w:val="1155cc"/>
            <w:u w:val="single"/>
            <w:rtl w:val="0"/>
          </w:rPr>
          <w:t xml:space="preserve">https://data.buenosaires.gob.ar/dataset/espacios-verdes</w:t>
        </w:r>
      </w:hyperlink>
      <w:r w:rsidDel="00000000" w:rsidR="00000000" w:rsidRPr="00000000">
        <w:rPr>
          <w:rtl w:val="0"/>
        </w:rPr>
      </w:r>
    </w:p>
    <w:p w:rsidR="00000000" w:rsidDel="00000000" w:rsidP="00000000" w:rsidRDefault="00000000" w:rsidRPr="00000000" w14:paraId="000000FC">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Se utilizarán para calcular la distancia de cada propiedad al espacio verde más cercano y analizar si la proximidad a plazas o parques tiene relación con el valor de las propiedades.</w:t>
      </w:r>
    </w:p>
    <w:p w:rsidR="00000000" w:rsidDel="00000000" w:rsidP="00000000" w:rsidRDefault="00000000" w:rsidRPr="00000000" w14:paraId="000000FE">
      <w:pPr>
        <w:tabs>
          <w:tab w:val="left" w:leader="none" w:pos="438"/>
        </w:tabs>
        <w:spacing w:after="0" w:before="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F">
      <w:pPr>
        <w:tabs>
          <w:tab w:val="left" w:leader="none" w:pos="438"/>
        </w:tabs>
        <w:spacing w:after="0" w:before="0" w:lineRule="auto"/>
        <w:ind w:left="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Índice del Costo de la Construcción — INDEC</w:t>
        <w:br w:type="textWrapping"/>
      </w:r>
      <w:hyperlink r:id="rId12">
        <w:r w:rsidDel="00000000" w:rsidR="00000000" w:rsidRPr="00000000">
          <w:rPr>
            <w:rFonts w:ascii="Times New Roman" w:cs="Times New Roman" w:eastAsia="Times New Roman" w:hAnsi="Times New Roman"/>
            <w:color w:val="1155cc"/>
            <w:u w:val="single"/>
            <w:rtl w:val="0"/>
          </w:rPr>
          <w:t xml:space="preserve">https://www.indec.gob.ar/indec/web/Nivel4-Tema-3-5-33</w:t>
        </w:r>
      </w:hyperlink>
      <w:r w:rsidDel="00000000" w:rsidR="00000000" w:rsidRPr="00000000">
        <w:rPr>
          <w:rtl w:val="0"/>
        </w:rPr>
      </w:r>
    </w:p>
    <w:p w:rsidR="00000000" w:rsidDel="00000000" w:rsidP="00000000" w:rsidRDefault="00000000" w:rsidRPr="00000000" w14:paraId="00000100">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Se utilizará como referencia para estimar y actualizar el costo de refacción. Como este índice se encuentra expresado en pesos y los precios de las propiedades se analizan principalmente en dólares, será necesario convertir los valores a una misma moneda.</w:t>
      </w:r>
    </w:p>
    <w:p w:rsidR="00000000" w:rsidDel="00000000" w:rsidP="00000000" w:rsidRDefault="00000000" w:rsidRPr="00000000" w14:paraId="00000102">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tabs>
          <w:tab w:val="left" w:leader="none" w:pos="438"/>
        </w:tabs>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Establecimientos educativos — BA Data</w:t>
      </w:r>
      <w:r w:rsidDel="00000000" w:rsidR="00000000" w:rsidRPr="00000000">
        <w:rPr>
          <w:rtl w:val="0"/>
        </w:rPr>
      </w:r>
    </w:p>
    <w:p w:rsidR="00000000" w:rsidDel="00000000" w:rsidP="00000000" w:rsidRDefault="00000000" w:rsidRPr="00000000" w14:paraId="00000104">
      <w:pPr>
        <w:ind w:firstLine="0"/>
        <w:jc w:val="left"/>
        <w:rPr>
          <w:rFonts w:ascii="Times New Roman" w:cs="Times New Roman" w:eastAsia="Times New Roman" w:hAnsi="Times New Roman"/>
          <w:b w:val="1"/>
          <w:bCs w:val="1"/>
        </w:rPr>
      </w:pPr>
      <w:hyperlink r:id="rId13">
        <w:r w:rsidDel="00000000" w:rsidR="00000000" w:rsidRPr="00000000">
          <w:rPr>
            <w:rFonts w:ascii="Times New Roman" w:cs="Times New Roman" w:eastAsia="Times New Roman" w:hAnsi="Times New Roman"/>
            <w:color w:val="1155cc"/>
            <w:u w:val="single"/>
            <w:rtl w:val="0"/>
          </w:rPr>
          <w:t xml:space="preserve">https://data.buenosaires.gob.ar/dataset/establecimientos-educativos</w:t>
        </w:r>
      </w:hyperlink>
      <w:r w:rsidDel="00000000" w:rsidR="00000000" w:rsidRPr="00000000">
        <w:rPr>
          <w:rtl w:val="0"/>
        </w:rPr>
      </w:r>
    </w:p>
    <w:p w:rsidR="00000000" w:rsidDel="00000000" w:rsidP="00000000" w:rsidRDefault="00000000" w:rsidRPr="00000000" w14:paraId="00000105">
      <w:pPr>
        <w:ind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utilizarán para calcular la distancia entre cada propiedad y los establecimientos educativos más cercanos, diferenciando según el tipo de institución cuando sea posible. Esto permitirá analizar si la proximidad a escuelas, colegios y otras instituciones educativas está asociada con diferencias en el precio por </w:t>
      </w:r>
      <w:r w:rsidDel="00000000" w:rsidR="00000000" w:rsidRPr="00000000">
        <w:rPr>
          <w:rFonts w:ascii="Times New Roman" w:cs="Times New Roman" w:eastAsia="Times New Roman" w:hAnsi="Times New Roman"/>
          <w:rtl w:val="0"/>
        </w:rPr>
        <w:t xml:space="preserve">m² de</w:t>
      </w:r>
      <w:r w:rsidDel="00000000" w:rsidR="00000000" w:rsidRPr="00000000">
        <w:rPr>
          <w:rFonts w:ascii="Times New Roman" w:cs="Times New Roman" w:eastAsia="Times New Roman" w:hAnsi="Times New Roman"/>
          <w:rtl w:val="0"/>
        </w:rPr>
        <w:t xml:space="preserve"> las propiedades.</w:t>
      </w:r>
    </w:p>
    <w:p w:rsidR="00000000" w:rsidDel="00000000" w:rsidP="00000000" w:rsidRDefault="00000000" w:rsidRPr="00000000" w14:paraId="00000107">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8">
      <w:pPr>
        <w:tabs>
          <w:tab w:val="left" w:leader="none" w:pos="438"/>
        </w:tabs>
        <w:spacing w:after="0" w:before="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de cambio histórico — fuente a definir</w:t>
      </w:r>
    </w:p>
    <w:p w:rsidR="00000000" w:rsidDel="00000000" w:rsidP="00000000" w:rsidRDefault="00000000" w:rsidRPr="00000000" w14:paraId="00000109">
      <w:pPr>
        <w:tabs>
          <w:tab w:val="left" w:leader="none" w:pos="438"/>
        </w:tabs>
        <w:spacing w:after="0" w:before="0" w:lineRule="auto"/>
        <w:ind w:left="0" w:firstLine="0"/>
        <w:rPr/>
      </w:pPr>
      <w:r w:rsidDel="00000000" w:rsidR="00000000" w:rsidRPr="00000000">
        <w:rPr>
          <w:rFonts w:ascii="Times New Roman" w:cs="Times New Roman" w:eastAsia="Times New Roman" w:hAnsi="Times New Roman"/>
          <w:rtl w:val="0"/>
        </w:rPr>
        <w:tab/>
        <w:t xml:space="preserve">Este dataset se cruzará con la información del Índice del Costo de la Construcción para convertir los costos expresados en pesos a dólares de forma consistente. La fuente definitiva de tipo de cambio se definirá al momento de realizar esta integración.</w:t>
      </w:r>
      <w:r w:rsidDel="00000000" w:rsidR="00000000" w:rsidRPr="00000000">
        <w:rPr>
          <w:rtl w:val="0"/>
        </w:rPr>
      </w:r>
    </w:p>
    <w:sectPr>
      <w:type w:val="nextPage"/>
      <w:pgSz w:h="16834" w:w="11909" w:orient="portrait"/>
      <w:pgMar w:bottom="860" w:top="1260" w:left="1080" w:right="1080" w:header="0" w:footer="668"/>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38" w:hanging="480"/>
      </w:pPr>
      <w:rPr>
        <w:u w:val="none"/>
      </w:rPr>
    </w:lvl>
    <w:lvl w:ilvl="1">
      <w:start w:val="0"/>
      <w:numFmt w:val="bullet"/>
      <w:lvlText w:val="•"/>
      <w:lvlJc w:val="left"/>
      <w:pPr>
        <w:ind w:left="1854" w:hanging="480"/>
      </w:pPr>
      <w:rPr>
        <w:u w:val="none"/>
      </w:rPr>
    </w:lvl>
    <w:lvl w:ilvl="2">
      <w:start w:val="0"/>
      <w:numFmt w:val="bullet"/>
      <w:lvlText w:val="•"/>
      <w:lvlJc w:val="left"/>
      <w:pPr>
        <w:ind w:left="2768" w:hanging="480"/>
      </w:pPr>
      <w:rPr>
        <w:u w:val="none"/>
      </w:rPr>
    </w:lvl>
    <w:lvl w:ilvl="3">
      <w:start w:val="0"/>
      <w:numFmt w:val="bullet"/>
      <w:lvlText w:val="•"/>
      <w:lvlJc w:val="left"/>
      <w:pPr>
        <w:ind w:left="3682" w:hanging="480"/>
      </w:pPr>
      <w:rPr>
        <w:u w:val="none"/>
      </w:rPr>
    </w:lvl>
    <w:lvl w:ilvl="4">
      <w:start w:val="0"/>
      <w:numFmt w:val="bullet"/>
      <w:lvlText w:val="•"/>
      <w:lvlJc w:val="left"/>
      <w:pPr>
        <w:ind w:left="4596" w:hanging="480"/>
      </w:pPr>
      <w:rPr>
        <w:u w:val="none"/>
      </w:rPr>
    </w:lvl>
    <w:lvl w:ilvl="5">
      <w:start w:val="0"/>
      <w:numFmt w:val="bullet"/>
      <w:lvlText w:val="•"/>
      <w:lvlJc w:val="left"/>
      <w:pPr>
        <w:ind w:left="5510" w:hanging="480"/>
      </w:pPr>
      <w:rPr>
        <w:u w:val="none"/>
      </w:rPr>
    </w:lvl>
    <w:lvl w:ilvl="6">
      <w:start w:val="0"/>
      <w:numFmt w:val="bullet"/>
      <w:lvlText w:val="•"/>
      <w:lvlJc w:val="left"/>
      <w:pPr>
        <w:ind w:left="6424" w:hanging="480"/>
      </w:pPr>
      <w:rPr>
        <w:u w:val="none"/>
      </w:rPr>
    </w:lvl>
    <w:lvl w:ilvl="7">
      <w:start w:val="0"/>
      <w:numFmt w:val="bullet"/>
      <w:lvlText w:val="•"/>
      <w:lvlJc w:val="left"/>
      <w:pPr>
        <w:ind w:left="7338" w:hanging="480"/>
      </w:pPr>
      <w:rPr>
        <w:u w:val="none"/>
      </w:rPr>
    </w:lvl>
    <w:lvl w:ilvl="8">
      <w:start w:val="0"/>
      <w:numFmt w:val="bullet"/>
      <w:lvlText w:val="•"/>
      <w:lvlJc w:val="left"/>
      <w:pPr>
        <w:ind w:left="8252" w:hanging="4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8" w:hanging="220.00000000000003"/>
      </w:pPr>
      <w:rPr>
        <w:u w:val="none"/>
      </w:rPr>
    </w:lvl>
    <w:lvl w:ilvl="1">
      <w:start w:val="1"/>
      <w:numFmt w:val="decimal"/>
      <w:lvlText w:val="%1.%2"/>
      <w:lvlJc w:val="left"/>
      <w:pPr>
        <w:ind w:left="548" w:hanging="330"/>
      </w:pPr>
      <w:rPr>
        <w:color w:val="000000"/>
        <w:u w:val="none"/>
      </w:rPr>
    </w:lvl>
    <w:lvl w:ilvl="2">
      <w:start w:val="0"/>
      <w:numFmt w:val="bullet"/>
      <w:lvlText w:val="•"/>
      <w:lvlJc w:val="left"/>
      <w:pPr>
        <w:ind w:left="938" w:hanging="480"/>
      </w:pPr>
      <w:rPr>
        <w:u w:val="none"/>
      </w:rPr>
    </w:lvl>
    <w:lvl w:ilvl="3">
      <w:start w:val="0"/>
      <w:numFmt w:val="bullet"/>
      <w:lvlText w:val="•"/>
      <w:lvlJc w:val="left"/>
      <w:pPr>
        <w:ind w:left="2082" w:hanging="480"/>
      </w:pPr>
      <w:rPr>
        <w:u w:val="none"/>
      </w:rPr>
    </w:lvl>
    <w:lvl w:ilvl="4">
      <w:start w:val="0"/>
      <w:numFmt w:val="bullet"/>
      <w:lvlText w:val="•"/>
      <w:lvlJc w:val="left"/>
      <w:pPr>
        <w:ind w:left="3225" w:hanging="480"/>
      </w:pPr>
      <w:rPr>
        <w:u w:val="none"/>
      </w:rPr>
    </w:lvl>
    <w:lvl w:ilvl="5">
      <w:start w:val="0"/>
      <w:numFmt w:val="bullet"/>
      <w:lvlText w:val="•"/>
      <w:lvlJc w:val="left"/>
      <w:pPr>
        <w:ind w:left="4367" w:hanging="480"/>
      </w:pPr>
      <w:rPr>
        <w:u w:val="none"/>
      </w:rPr>
    </w:lvl>
    <w:lvl w:ilvl="6">
      <w:start w:val="0"/>
      <w:numFmt w:val="bullet"/>
      <w:lvlText w:val="•"/>
      <w:lvlJc w:val="left"/>
      <w:pPr>
        <w:ind w:left="5510" w:hanging="480"/>
      </w:pPr>
      <w:rPr>
        <w:u w:val="none"/>
      </w:rPr>
    </w:lvl>
    <w:lvl w:ilvl="7">
      <w:start w:val="0"/>
      <w:numFmt w:val="bullet"/>
      <w:lvlText w:val="•"/>
      <w:lvlJc w:val="left"/>
      <w:pPr>
        <w:ind w:left="6652" w:hanging="480"/>
      </w:pPr>
      <w:rPr>
        <w:u w:val="none"/>
      </w:rPr>
    </w:lvl>
    <w:lvl w:ilvl="8">
      <w:start w:val="0"/>
      <w:numFmt w:val="bullet"/>
      <w:lvlText w:val="•"/>
      <w:lvlJc w:val="left"/>
      <w:pPr>
        <w:ind w:left="7795" w:hanging="4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938" w:hanging="480"/>
      </w:pPr>
      <w:rPr>
        <w:u w:val="none"/>
      </w:rPr>
    </w:lvl>
    <w:lvl w:ilvl="1">
      <w:start w:val="0"/>
      <w:numFmt w:val="bullet"/>
      <w:lvlText w:val="•"/>
      <w:lvlJc w:val="left"/>
      <w:pPr>
        <w:ind w:left="1854" w:hanging="480"/>
      </w:pPr>
      <w:rPr>
        <w:u w:val="none"/>
      </w:rPr>
    </w:lvl>
    <w:lvl w:ilvl="2">
      <w:start w:val="0"/>
      <w:numFmt w:val="bullet"/>
      <w:lvlText w:val="•"/>
      <w:lvlJc w:val="left"/>
      <w:pPr>
        <w:ind w:left="2768" w:hanging="480"/>
      </w:pPr>
      <w:rPr>
        <w:u w:val="none"/>
      </w:rPr>
    </w:lvl>
    <w:lvl w:ilvl="3">
      <w:start w:val="0"/>
      <w:numFmt w:val="bullet"/>
      <w:lvlText w:val="•"/>
      <w:lvlJc w:val="left"/>
      <w:pPr>
        <w:ind w:left="3682" w:hanging="480"/>
      </w:pPr>
      <w:rPr>
        <w:u w:val="none"/>
      </w:rPr>
    </w:lvl>
    <w:lvl w:ilvl="4">
      <w:start w:val="0"/>
      <w:numFmt w:val="bullet"/>
      <w:lvlText w:val="•"/>
      <w:lvlJc w:val="left"/>
      <w:pPr>
        <w:ind w:left="4596" w:hanging="480"/>
      </w:pPr>
      <w:rPr>
        <w:u w:val="none"/>
      </w:rPr>
    </w:lvl>
    <w:lvl w:ilvl="5">
      <w:start w:val="0"/>
      <w:numFmt w:val="bullet"/>
      <w:lvlText w:val="•"/>
      <w:lvlJc w:val="left"/>
      <w:pPr>
        <w:ind w:left="5510" w:hanging="480"/>
      </w:pPr>
      <w:rPr>
        <w:u w:val="none"/>
      </w:rPr>
    </w:lvl>
    <w:lvl w:ilvl="6">
      <w:start w:val="0"/>
      <w:numFmt w:val="bullet"/>
      <w:lvlText w:val="•"/>
      <w:lvlJc w:val="left"/>
      <w:pPr>
        <w:ind w:left="6424" w:hanging="480"/>
      </w:pPr>
      <w:rPr>
        <w:u w:val="none"/>
      </w:rPr>
    </w:lvl>
    <w:lvl w:ilvl="7">
      <w:start w:val="0"/>
      <w:numFmt w:val="bullet"/>
      <w:lvlText w:val="•"/>
      <w:lvlJc w:val="left"/>
      <w:pPr>
        <w:ind w:left="7338" w:hanging="480"/>
      </w:pPr>
      <w:rPr>
        <w:u w:val="none"/>
      </w:rPr>
    </w:lvl>
    <w:lvl w:ilvl="8">
      <w:start w:val="0"/>
      <w:numFmt w:val="bullet"/>
      <w:lvlText w:val="•"/>
      <w:lvlJc w:val="left"/>
      <w:pPr>
        <w:ind w:left="8252" w:hanging="48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
      </w:rPr>
    </w:rPrDefault>
    <w:pPrDefault>
      <w:pPr>
        <w:spacing w:line="276" w:lineRule="auto"/>
        <w:ind w:firstLine="566.929133858267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ind w:firstLine="0"/>
    </w:pPr>
    <w:rPr>
      <w:b w:val="1"/>
      <w:bCs w:val="1"/>
      <w:sz w:val="24"/>
      <w:szCs w:val="24"/>
      <w:u w:val="single"/>
    </w:rPr>
  </w:style>
  <w:style w:type="paragraph" w:styleId="Heading2">
    <w:name w:val="heading 2"/>
    <w:basedOn w:val="Normal"/>
    <w:next w:val="Normal"/>
    <w:pPr>
      <w:keepNext w:val="1"/>
      <w:keepLines w:val="1"/>
      <w:pageBreakBefore w:val="0"/>
      <w:ind w:firstLine="0"/>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ata.buenosaires.gob.ar/dataset/espacios-verdes" TargetMode="External"/><Relationship Id="rId10" Type="http://schemas.openxmlformats.org/officeDocument/2006/relationships/hyperlink" Target="https://data.buenosaires.gob.ar/dataset/estaciones-ferrocarril" TargetMode="External"/><Relationship Id="rId13" Type="http://schemas.openxmlformats.org/officeDocument/2006/relationships/hyperlink" Target="https://data.buenosaires.gob.ar/dataset/establecimientos-educativos" TargetMode="External"/><Relationship Id="rId12" Type="http://schemas.openxmlformats.org/officeDocument/2006/relationships/hyperlink" Target="https://www.indec.gob.ar/indec/web/Nivel4-Tema-3-5-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buenosaires.gob.ar/dataset/subte-estaciones/resource/juqdkmgo-1994-resourc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hyperlink" Target="https://data.buenosaires.gob.ar/dataset/barri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