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82" w:rsidRPr="00485828" w:rsidRDefault="00CA2A55" w:rsidP="00485828">
      <w:pPr>
        <w:jc w:val="center"/>
        <w:rPr>
          <w:b/>
        </w:rPr>
      </w:pPr>
      <w:r w:rsidRPr="00485828">
        <w:rPr>
          <w:b/>
        </w:rPr>
        <w:t>4. МОДЕЛЬ УГРОЗ БЕЗОПАСНОСТИ ПДН</w:t>
      </w:r>
    </w:p>
    <w:p w:rsidR="004B3B87" w:rsidRPr="004B3B87" w:rsidRDefault="004B3B87" w:rsidP="00CA2A55">
      <w:pPr>
        <w:rPr>
          <w:b/>
        </w:rPr>
      </w:pPr>
      <w:r w:rsidRPr="004B3B87">
        <w:rPr>
          <w:b/>
        </w:rPr>
        <w:t>Порядок определения актуальных угроз безопасности персональных данных в информационных системах персональных данных</w:t>
      </w:r>
    </w:p>
    <w:p w:rsidR="0068420F" w:rsidRDefault="00BD3BF0" w:rsidP="00485828">
      <w:r>
        <w:t xml:space="preserve">Актуальной считается угроза, которая может быть реализована в </w:t>
      </w:r>
      <w:proofErr w:type="spellStart"/>
      <w:r>
        <w:t>ИСПДн</w:t>
      </w:r>
      <w:proofErr w:type="spellEnd"/>
      <w:r>
        <w:t xml:space="preserve"> и представляет опасность для </w:t>
      </w:r>
      <w:proofErr w:type="spellStart"/>
      <w:r>
        <w:t>ПДн</w:t>
      </w:r>
      <w:proofErr w:type="spellEnd"/>
      <w:r>
        <w:t xml:space="preserve">. Подход к составлению перечня актуальных угроз состоит в следующем. </w:t>
      </w:r>
    </w:p>
    <w:p w:rsidR="0068420F" w:rsidRDefault="00BD3BF0" w:rsidP="00485828">
      <w:r>
        <w:t xml:space="preserve">Для оценки возможности реализации угрозы применяются два показателя: уровень исходной защищенности </w:t>
      </w:r>
      <w:proofErr w:type="spellStart"/>
      <w:r>
        <w:t>ИСПДн</w:t>
      </w:r>
      <w:proofErr w:type="spellEnd"/>
      <w:r>
        <w:t xml:space="preserve"> и частота (вероятность) реализации рассматриваемой угрозы. </w:t>
      </w:r>
    </w:p>
    <w:p w:rsidR="00BD3BF0" w:rsidRDefault="00BD3BF0" w:rsidP="00485828">
      <w:r>
        <w:t xml:space="preserve">Под уровнем исходной защищенности </w:t>
      </w:r>
      <w:proofErr w:type="spellStart"/>
      <w:r>
        <w:t>ИСПДн</w:t>
      </w:r>
      <w:proofErr w:type="spellEnd"/>
      <w:r>
        <w:t xml:space="preserve"> понимается обобщенный показатель, зависящий от технических и эксплуатационных характеристик </w:t>
      </w:r>
      <w:proofErr w:type="spellStart"/>
      <w:r>
        <w:t>ИСПДн</w:t>
      </w:r>
      <w:proofErr w:type="spellEnd"/>
    </w:p>
    <w:p w:rsidR="0068420F" w:rsidRDefault="0068420F" w:rsidP="0068420F">
      <w:r>
        <w:t xml:space="preserve">Исходная степень защищенности определяется следующим образом. </w:t>
      </w:r>
    </w:p>
    <w:p w:rsidR="0068420F" w:rsidRDefault="0068420F" w:rsidP="0068420F">
      <w:r>
        <w:t xml:space="preserve">1. </w:t>
      </w:r>
      <w:proofErr w:type="spellStart"/>
      <w:r>
        <w:t>ИСПДн</w:t>
      </w:r>
      <w:proofErr w:type="spellEnd"/>
      <w:r>
        <w:t xml:space="preserve"> имеет </w:t>
      </w:r>
      <w:r w:rsidRPr="00485828">
        <w:rPr>
          <w:b/>
          <w:i/>
        </w:rPr>
        <w:t>высокий</w:t>
      </w:r>
      <w:r>
        <w:t xml:space="preserve"> уровень исходной защищенности, если не менее 70% характеристик </w:t>
      </w:r>
      <w:proofErr w:type="spellStart"/>
      <w:r>
        <w:t>ИСПДн</w:t>
      </w:r>
      <w:proofErr w:type="spellEnd"/>
      <w:r>
        <w:t xml:space="preserve">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столбцу). </w:t>
      </w:r>
    </w:p>
    <w:p w:rsidR="0068420F" w:rsidRDefault="0068420F" w:rsidP="0068420F">
      <w:r>
        <w:t xml:space="preserve">2. </w:t>
      </w:r>
      <w:proofErr w:type="spellStart"/>
      <w:r>
        <w:t>ИСПДн</w:t>
      </w:r>
      <w:proofErr w:type="spellEnd"/>
      <w:r>
        <w:t xml:space="preserve"> имеет </w:t>
      </w:r>
      <w:r w:rsidRPr="00485828">
        <w:rPr>
          <w:b/>
          <w:i/>
        </w:rPr>
        <w:t>средний</w:t>
      </w:r>
      <w:r>
        <w:t xml:space="preserve"> уровень исходной защищенности, если не выполняются условия по пункту 1 и не менее 70% характеристик </w:t>
      </w:r>
      <w:proofErr w:type="spellStart"/>
      <w:r>
        <w:t>ИСПДн</w:t>
      </w:r>
      <w:proofErr w:type="spellEnd"/>
      <w:r>
        <w:t xml:space="preserve"> соответствуют уровню не ниже «средний» (берется отношение суммы положительные решений по второму столбцу, соответствующему среднему уровню защищенности, к общему количеству решений), а остальные – низкому уровню защищенности. </w:t>
      </w:r>
    </w:p>
    <w:p w:rsidR="0068420F" w:rsidRDefault="0068420F" w:rsidP="0068420F">
      <w:r>
        <w:t xml:space="preserve">3. </w:t>
      </w:r>
      <w:proofErr w:type="spellStart"/>
      <w:r>
        <w:t>ИСПДн</w:t>
      </w:r>
      <w:proofErr w:type="spellEnd"/>
      <w:r>
        <w:t xml:space="preserve"> имеет </w:t>
      </w:r>
      <w:r w:rsidRPr="00485828">
        <w:rPr>
          <w:b/>
          <w:i/>
        </w:rPr>
        <w:t>низкую</w:t>
      </w:r>
      <w:r>
        <w:t xml:space="preserve"> степень исходной защищенности, если не выполняются условия по пунктам 1 и 2. </w:t>
      </w:r>
    </w:p>
    <w:p w:rsidR="0068420F" w:rsidRDefault="0068420F" w:rsidP="0068420F">
      <w:r>
        <w:t xml:space="preserve">При составлении перечня актуальных угроз безопасности </w:t>
      </w:r>
      <w:proofErr w:type="spellStart"/>
      <w:r>
        <w:t>ПДн</w:t>
      </w:r>
      <w:proofErr w:type="spellEnd"/>
      <w:r>
        <w:t xml:space="preserve"> каждой</w:t>
      </w:r>
      <w:r>
        <w:t xml:space="preserve"> </w:t>
      </w:r>
      <w:r>
        <w:t>степени исходной защищенности ставится в соответствие числовой коэффициент Y</w:t>
      </w:r>
      <w:proofErr w:type="gramStart"/>
      <w:r>
        <w:t>1 ,</w:t>
      </w:r>
      <w:proofErr w:type="gramEnd"/>
      <w:r>
        <w:t xml:space="preserve"> а именно: </w:t>
      </w:r>
    </w:p>
    <w:p w:rsidR="0068420F" w:rsidRDefault="0068420F" w:rsidP="0068420F">
      <w:r>
        <w:t xml:space="preserve">0 – для высокой степени исходной защищенности; </w:t>
      </w:r>
    </w:p>
    <w:p w:rsidR="0068420F" w:rsidRDefault="0068420F" w:rsidP="0068420F">
      <w:r>
        <w:t xml:space="preserve">5 – для средней степени исходной защищенности; </w:t>
      </w:r>
    </w:p>
    <w:p w:rsidR="0068420F" w:rsidRDefault="0068420F" w:rsidP="0068420F">
      <w:r>
        <w:t xml:space="preserve">10 – для низкой степени исходной защищенности. </w:t>
      </w:r>
    </w:p>
    <w:p w:rsidR="0068420F" w:rsidRDefault="0068420F" w:rsidP="0068420F">
      <w:r>
        <w:t xml:space="preserve">Под частотой (вероятностью) реализации угрозы понимается определяемый экспертным </w:t>
      </w:r>
      <w:r w:rsidR="00485828">
        <w:t>путем показателя</w:t>
      </w:r>
      <w:r>
        <w:t xml:space="preserve">, характеризующий, насколько вероятным является реализация конкретной угрозы безопасности </w:t>
      </w:r>
      <w:proofErr w:type="spellStart"/>
      <w:r>
        <w:t>ПДн</w:t>
      </w:r>
      <w:proofErr w:type="spellEnd"/>
      <w:r>
        <w:t xml:space="preserve"> для данной </w:t>
      </w:r>
      <w:proofErr w:type="spellStart"/>
      <w:r>
        <w:t>ИСПДн</w:t>
      </w:r>
      <w:proofErr w:type="spellEnd"/>
      <w:r>
        <w:t xml:space="preserve"> в складывающихся условиях обстановки. Вводятся четыре вербальных градации этого показателя: </w:t>
      </w:r>
    </w:p>
    <w:p w:rsidR="0068420F" w:rsidRDefault="0068420F" w:rsidP="0068420F">
      <w:r w:rsidRPr="00485828">
        <w:rPr>
          <w:b/>
          <w:i/>
        </w:rPr>
        <w:t>маловероятно</w:t>
      </w:r>
      <w: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 </w:t>
      </w:r>
    </w:p>
    <w:p w:rsidR="0068420F" w:rsidRDefault="0068420F" w:rsidP="0068420F">
      <w:r w:rsidRPr="00485828">
        <w:rPr>
          <w:b/>
          <w:i/>
        </w:rPr>
        <w:t>низкая вероятность</w:t>
      </w:r>
      <w:r>
        <w:t xml:space="preserve">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 </w:t>
      </w:r>
    </w:p>
    <w:p w:rsidR="0068420F" w:rsidRDefault="0068420F" w:rsidP="0068420F">
      <w:r w:rsidRPr="00485828">
        <w:rPr>
          <w:b/>
          <w:i/>
        </w:rPr>
        <w:t>средняя вероятность</w:t>
      </w:r>
      <w:r>
        <w:t xml:space="preserve"> - объективные предпосылки для реализации угрозы существуют, но принятые меры обеспечения безопасности </w:t>
      </w:r>
      <w:proofErr w:type="spellStart"/>
      <w:r>
        <w:t>ПДн</w:t>
      </w:r>
      <w:proofErr w:type="spellEnd"/>
      <w:r>
        <w:t xml:space="preserve"> недостаточны; </w:t>
      </w:r>
    </w:p>
    <w:p w:rsidR="0068420F" w:rsidRDefault="0068420F" w:rsidP="0068420F">
      <w:r w:rsidRPr="00485828">
        <w:rPr>
          <w:b/>
          <w:i/>
        </w:rPr>
        <w:t>высокая вероятность</w:t>
      </w:r>
      <w:r>
        <w:t xml:space="preserve"> - объективные предпосылки для реализации угрозы существуют и меры по обеспечению безопасности </w:t>
      </w:r>
      <w:proofErr w:type="spellStart"/>
      <w:r>
        <w:t>ПДн</w:t>
      </w:r>
      <w:proofErr w:type="spellEnd"/>
      <w:r>
        <w:t xml:space="preserve"> не приняты. </w:t>
      </w:r>
    </w:p>
    <w:p w:rsidR="0068420F" w:rsidRDefault="0068420F" w:rsidP="0068420F">
      <w:r>
        <w:lastRenderedPageBreak/>
        <w:t xml:space="preserve">При составлении перечня актуальных угроз безопасности </w:t>
      </w:r>
      <w:proofErr w:type="spellStart"/>
      <w:r>
        <w:t>ПДн</w:t>
      </w:r>
      <w:proofErr w:type="spellEnd"/>
      <w:r>
        <w:t xml:space="preserve"> каждой градации вероятности возникновения угрозы ставится в соответствие числовой коэффициент Y</w:t>
      </w:r>
      <w:proofErr w:type="gramStart"/>
      <w:r>
        <w:t>2 ,</w:t>
      </w:r>
      <w:proofErr w:type="gramEnd"/>
      <w:r>
        <w:t xml:space="preserve"> а именно: </w:t>
      </w:r>
    </w:p>
    <w:p w:rsidR="0068420F" w:rsidRDefault="0068420F" w:rsidP="0068420F">
      <w:r>
        <w:t xml:space="preserve">0 – для маловероятной угрозы; </w:t>
      </w:r>
    </w:p>
    <w:p w:rsidR="0068420F" w:rsidRDefault="0068420F" w:rsidP="0068420F">
      <w:r>
        <w:t xml:space="preserve">2 – для низкой вероятности угрозы; </w:t>
      </w:r>
    </w:p>
    <w:p w:rsidR="0068420F" w:rsidRDefault="0068420F" w:rsidP="0068420F">
      <w:r>
        <w:t xml:space="preserve">5 – для средней вероятности угрозы; </w:t>
      </w:r>
    </w:p>
    <w:p w:rsidR="0068420F" w:rsidRDefault="0068420F" w:rsidP="0068420F">
      <w:r>
        <w:t xml:space="preserve">10 – для высокой вероятности угрозы. </w:t>
      </w:r>
    </w:p>
    <w:p w:rsidR="0068420F" w:rsidRDefault="0068420F" w:rsidP="0068420F">
      <w:r>
        <w:t xml:space="preserve">С учетом изложенного коэффициент реализуемости угрозы Y будет определяться соотношением </w:t>
      </w:r>
    </w:p>
    <w:p w:rsidR="0068420F" w:rsidRPr="00485828" w:rsidRDefault="0068420F" w:rsidP="00485828">
      <w:pPr>
        <w:jc w:val="center"/>
        <w:rPr>
          <w:i/>
        </w:rPr>
      </w:pPr>
      <w:r w:rsidRPr="00485828">
        <w:rPr>
          <w:i/>
        </w:rPr>
        <w:t xml:space="preserve">Y </w:t>
      </w:r>
      <w:r w:rsidRPr="00485828">
        <w:rPr>
          <w:i/>
        </w:rPr>
        <w:sym w:font="Symbol" w:char="F03D"/>
      </w:r>
      <w:r w:rsidRPr="00485828">
        <w:rPr>
          <w:i/>
        </w:rPr>
        <w:t xml:space="preserve"> (Y1 </w:t>
      </w:r>
      <w:r w:rsidRPr="00485828">
        <w:rPr>
          <w:i/>
        </w:rPr>
        <w:sym w:font="Symbol" w:char="F02B"/>
      </w:r>
      <w:r w:rsidR="00485828" w:rsidRPr="00485828">
        <w:rPr>
          <w:i/>
        </w:rPr>
        <w:t>Y2 )/ 20</w:t>
      </w:r>
    </w:p>
    <w:p w:rsidR="0068420F" w:rsidRDefault="0068420F" w:rsidP="0068420F">
      <w:r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:rsidR="0068420F" w:rsidRDefault="0068420F" w:rsidP="0068420F">
      <w:r>
        <w:t xml:space="preserve">если </w:t>
      </w:r>
      <w:r w:rsidRPr="00485828">
        <w:rPr>
          <w:i/>
        </w:rPr>
        <w:t xml:space="preserve">0 </w:t>
      </w:r>
      <w:r w:rsidRPr="00485828">
        <w:rPr>
          <w:i/>
        </w:rPr>
        <w:sym w:font="Symbol" w:char="F0A3"/>
      </w:r>
      <w:r w:rsidRPr="00485828">
        <w:rPr>
          <w:i/>
        </w:rPr>
        <w:t xml:space="preserve"> Y </w:t>
      </w:r>
      <w:r w:rsidRPr="00485828">
        <w:rPr>
          <w:i/>
        </w:rPr>
        <w:sym w:font="Symbol" w:char="F0A3"/>
      </w:r>
      <w:r w:rsidRPr="00485828">
        <w:rPr>
          <w:i/>
        </w:rPr>
        <w:t xml:space="preserve"> 0,3</w:t>
      </w:r>
      <w:r>
        <w:t xml:space="preserve"> , то возможность реализации угрозы признается низкой; </w:t>
      </w:r>
    </w:p>
    <w:p w:rsidR="0068420F" w:rsidRDefault="0068420F" w:rsidP="0068420F">
      <w:r>
        <w:t xml:space="preserve">если </w:t>
      </w:r>
      <w:r w:rsidRPr="00485828">
        <w:rPr>
          <w:i/>
        </w:rPr>
        <w:t xml:space="preserve">0,3 </w:t>
      </w:r>
      <w:r w:rsidRPr="00485828">
        <w:rPr>
          <w:i/>
        </w:rPr>
        <w:sym w:font="Symbol" w:char="F03C"/>
      </w:r>
      <w:r w:rsidRPr="00485828">
        <w:rPr>
          <w:i/>
        </w:rPr>
        <w:t xml:space="preserve"> Y </w:t>
      </w:r>
      <w:r w:rsidRPr="00485828">
        <w:rPr>
          <w:i/>
        </w:rPr>
        <w:sym w:font="Symbol" w:char="F0A3"/>
      </w:r>
      <w:r w:rsidRPr="00485828">
        <w:rPr>
          <w:i/>
        </w:rPr>
        <w:t xml:space="preserve"> 0,6</w:t>
      </w:r>
      <w:r>
        <w:t xml:space="preserve"> , то возможность реализации угрозы признается средней; </w:t>
      </w:r>
    </w:p>
    <w:p w:rsidR="0068420F" w:rsidRDefault="0068420F" w:rsidP="0068420F">
      <w:r>
        <w:t xml:space="preserve">если </w:t>
      </w:r>
      <w:r w:rsidRPr="00485828">
        <w:rPr>
          <w:i/>
        </w:rPr>
        <w:t xml:space="preserve">0,6 </w:t>
      </w:r>
      <w:r w:rsidRPr="00485828">
        <w:rPr>
          <w:i/>
        </w:rPr>
        <w:sym w:font="Symbol" w:char="F03C"/>
      </w:r>
      <w:r w:rsidRPr="00485828">
        <w:rPr>
          <w:i/>
        </w:rPr>
        <w:t xml:space="preserve"> Y </w:t>
      </w:r>
      <w:r w:rsidRPr="00485828">
        <w:rPr>
          <w:i/>
        </w:rPr>
        <w:sym w:font="Symbol" w:char="F0A3"/>
      </w:r>
      <w:r w:rsidRPr="00485828">
        <w:rPr>
          <w:i/>
        </w:rPr>
        <w:t xml:space="preserve"> 0,8</w:t>
      </w:r>
      <w:r>
        <w:t xml:space="preserve"> , то возможность реализации угрозы признается высокой; </w:t>
      </w:r>
    </w:p>
    <w:p w:rsidR="0068420F" w:rsidRDefault="0068420F" w:rsidP="0068420F">
      <w:r>
        <w:t xml:space="preserve">если </w:t>
      </w:r>
      <w:r w:rsidRPr="00485828">
        <w:rPr>
          <w:i/>
        </w:rPr>
        <w:t xml:space="preserve">Y </w:t>
      </w:r>
      <w:r w:rsidRPr="00485828">
        <w:rPr>
          <w:i/>
        </w:rPr>
        <w:sym w:font="Symbol" w:char="F03E"/>
      </w:r>
      <w:r w:rsidRPr="00485828">
        <w:rPr>
          <w:i/>
        </w:rPr>
        <w:t xml:space="preserve"> 0,8</w:t>
      </w:r>
      <w:r>
        <w:t xml:space="preserve"> , то возможность реализации угрозы признается очень высокой. </w:t>
      </w:r>
    </w:p>
    <w:p w:rsidR="0068420F" w:rsidRDefault="0068420F" w:rsidP="0068420F">
      <w:r>
        <w:t xml:space="preserve">Далее оценивается опасность каждой угрозы. При оценке опасности на основе опроса экспертов (специалистов в области защиты информации) определяется вербальный показатель опасности для рассматриваемой </w:t>
      </w:r>
      <w:proofErr w:type="spellStart"/>
      <w:r>
        <w:t>ИСПДн</w:t>
      </w:r>
      <w:proofErr w:type="spellEnd"/>
      <w:r>
        <w:t xml:space="preserve">. </w:t>
      </w:r>
    </w:p>
    <w:p w:rsidR="0068420F" w:rsidRDefault="0068420F" w:rsidP="0068420F">
      <w:r>
        <w:t xml:space="preserve">Этот показатель имеет три значения: </w:t>
      </w:r>
    </w:p>
    <w:p w:rsidR="0068420F" w:rsidRDefault="0068420F" w:rsidP="0068420F">
      <w:r>
        <w:t xml:space="preserve">низкая опасность – если реализация угрозы может привести к незначительным негативным последствиям для субъектов персональных данных; </w:t>
      </w:r>
    </w:p>
    <w:p w:rsidR="0068420F" w:rsidRDefault="0068420F" w:rsidP="0068420F">
      <w:r>
        <w:t>средняя опасность – если реализация угрозы может привести к негативным последствиям для субъектов персональных данных;</w:t>
      </w:r>
    </w:p>
    <w:p w:rsidR="0068420F" w:rsidRDefault="0068420F" w:rsidP="0068420F">
      <w:r>
        <w:t xml:space="preserve">высокая опасность – если реализация угрозы может привести к значительным негативным последствиям для субъектов персональных данных. </w:t>
      </w:r>
    </w:p>
    <w:p w:rsidR="0068420F" w:rsidRDefault="0068420F" w:rsidP="0068420F">
      <w:r>
        <w:t>Затем осуществляется выбор из общего (предварительного) перечня угроз безопасности тех, которые относятс</w:t>
      </w:r>
      <w:r>
        <w:t xml:space="preserve">я к актуальным для данной </w:t>
      </w:r>
      <w:proofErr w:type="spellStart"/>
      <w:r>
        <w:t>ИСПДн</w:t>
      </w:r>
      <w:proofErr w:type="spellEnd"/>
      <w:r>
        <w:t>.</w:t>
      </w:r>
    </w:p>
    <w:p w:rsidR="0068420F" w:rsidRPr="00485828" w:rsidRDefault="0068420F" w:rsidP="00485828">
      <w:pPr>
        <w:jc w:val="center"/>
        <w:rPr>
          <w:b/>
        </w:rPr>
      </w:pPr>
      <w:r w:rsidRPr="00485828">
        <w:rPr>
          <w:b/>
        </w:rPr>
        <w:t xml:space="preserve">4.1. Модель угроз безопасности </w:t>
      </w:r>
      <w:proofErr w:type="spellStart"/>
      <w:r w:rsidRPr="00485828">
        <w:rPr>
          <w:b/>
        </w:rPr>
        <w:t>ПДн</w:t>
      </w:r>
      <w:proofErr w:type="spellEnd"/>
      <w:r w:rsidRPr="00485828">
        <w:rPr>
          <w:b/>
        </w:rPr>
        <w:t xml:space="preserve">, обрабатываемых в </w:t>
      </w:r>
      <w:proofErr w:type="spellStart"/>
      <w:r w:rsidRPr="00485828">
        <w:rPr>
          <w:b/>
        </w:rPr>
        <w:t>ИСПДн</w:t>
      </w:r>
      <w:proofErr w:type="spellEnd"/>
      <w:r w:rsidRPr="00485828">
        <w:rPr>
          <w:b/>
        </w:rPr>
        <w:t xml:space="preserve"> «</w:t>
      </w:r>
      <w:proofErr w:type="spellStart"/>
      <w:r w:rsidRPr="00485828">
        <w:rPr>
          <w:b/>
        </w:rPr>
        <w:t>Active</w:t>
      </w:r>
      <w:proofErr w:type="spellEnd"/>
      <w:r w:rsidRPr="00485828">
        <w:rPr>
          <w:b/>
        </w:rPr>
        <w:t xml:space="preserve"> </w:t>
      </w:r>
      <w:proofErr w:type="spellStart"/>
      <w:r w:rsidRPr="00485828">
        <w:rPr>
          <w:b/>
        </w:rPr>
        <w:t>Directory</w:t>
      </w:r>
      <w:proofErr w:type="spellEnd"/>
      <w:r w:rsidRPr="00485828">
        <w:rPr>
          <w:b/>
        </w:rPr>
        <w:t>»</w:t>
      </w:r>
    </w:p>
    <w:p w:rsidR="0068420F" w:rsidRPr="00485828" w:rsidRDefault="0068420F" w:rsidP="00485828">
      <w:pPr>
        <w:jc w:val="center"/>
        <w:rPr>
          <w:b/>
        </w:rPr>
      </w:pPr>
      <w:r w:rsidRPr="00485828">
        <w:rPr>
          <w:b/>
        </w:rPr>
        <w:t xml:space="preserve">4.1.1. Уровень исходной защищённости </w:t>
      </w:r>
      <w:proofErr w:type="spellStart"/>
      <w:r w:rsidRPr="00485828">
        <w:rPr>
          <w:b/>
        </w:rPr>
        <w:t>ИСПДн</w:t>
      </w:r>
      <w:proofErr w:type="spellEnd"/>
    </w:p>
    <w:p w:rsidR="00857546" w:rsidRDefault="00857546" w:rsidP="00857546">
      <w:r>
        <w:t xml:space="preserve">Документом ФСТЭК России «Методика актуализации угроз </w:t>
      </w:r>
      <w:proofErr w:type="spellStart"/>
      <w:r>
        <w:t>ПДн</w:t>
      </w:r>
      <w:proofErr w:type="spellEnd"/>
      <w:r>
        <w:t xml:space="preserve">» вводится обобщенный показатель уровня исходной защищенности </w:t>
      </w:r>
      <w:proofErr w:type="spellStart"/>
      <w:r>
        <w:t>ИСПДн</w:t>
      </w:r>
      <w:proofErr w:type="spellEnd"/>
      <w:r>
        <w:t xml:space="preserve">, зависящий от технических и эксплуатационных характеристик </w:t>
      </w:r>
      <w:proofErr w:type="spellStart"/>
      <w:r>
        <w:t>ИСПДн</w:t>
      </w:r>
      <w:proofErr w:type="spellEnd"/>
      <w:r>
        <w:t xml:space="preserve">. (коэффициент Y1). </w:t>
      </w:r>
    </w:p>
    <w:p w:rsidR="0068420F" w:rsidRDefault="00857546" w:rsidP="00857546">
      <w:r>
        <w:t xml:space="preserve">В соответствии с заданными критериями оценки определяется уровень исходной защищенности </w:t>
      </w:r>
      <w:proofErr w:type="spellStart"/>
      <w:r>
        <w:t>ИСПДн</w:t>
      </w:r>
      <w:proofErr w:type="spellEnd"/>
      <w:r>
        <w:t xml:space="preserve"> «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7546" w:rsidTr="0003765A">
        <w:tc>
          <w:tcPr>
            <w:tcW w:w="6230" w:type="dxa"/>
            <w:gridSpan w:val="2"/>
          </w:tcPr>
          <w:p w:rsidR="00857546" w:rsidRDefault="00E73168" w:rsidP="00857546">
            <w:r>
              <w:t xml:space="preserve">Технические и эксплуатационные характеристики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3115" w:type="dxa"/>
          </w:tcPr>
          <w:p w:rsidR="00857546" w:rsidRDefault="00E73168" w:rsidP="00857546">
            <w:r>
              <w:t>Уровень защищённости</w:t>
            </w:r>
          </w:p>
        </w:tc>
      </w:tr>
      <w:tr w:rsidR="00857546" w:rsidTr="00857546">
        <w:tc>
          <w:tcPr>
            <w:tcW w:w="3115" w:type="dxa"/>
          </w:tcPr>
          <w:p w:rsidR="00857546" w:rsidRDefault="00E73168" w:rsidP="00857546">
            <w:r>
              <w:t>1. По территориальному размещению</w:t>
            </w:r>
          </w:p>
        </w:tc>
        <w:tc>
          <w:tcPr>
            <w:tcW w:w="3115" w:type="dxa"/>
          </w:tcPr>
          <w:p w:rsidR="00857546" w:rsidRDefault="00E73168" w:rsidP="00857546">
            <w:r>
              <w:t xml:space="preserve">корпоративная распределенная </w:t>
            </w:r>
            <w:proofErr w:type="spellStart"/>
            <w:r>
              <w:t>ИСПДн</w:t>
            </w:r>
            <w:proofErr w:type="spellEnd"/>
            <w:r>
              <w:t xml:space="preserve">, охватывающая многие </w:t>
            </w:r>
            <w:r>
              <w:lastRenderedPageBreak/>
              <w:t>подразделения одной организации</w:t>
            </w:r>
          </w:p>
        </w:tc>
        <w:tc>
          <w:tcPr>
            <w:tcW w:w="3115" w:type="dxa"/>
          </w:tcPr>
          <w:p w:rsidR="00857546" w:rsidRDefault="00E73168" w:rsidP="00857546">
            <w:r>
              <w:lastRenderedPageBreak/>
              <w:t>Средний</w:t>
            </w:r>
          </w:p>
        </w:tc>
      </w:tr>
      <w:tr w:rsidR="00857546" w:rsidTr="00857546">
        <w:tc>
          <w:tcPr>
            <w:tcW w:w="3115" w:type="dxa"/>
          </w:tcPr>
          <w:p w:rsidR="00857546" w:rsidRDefault="00E73168" w:rsidP="00857546">
            <w:r>
              <w:lastRenderedPageBreak/>
              <w:t>2. По наличию соединения с сетями общего пользования</w:t>
            </w:r>
          </w:p>
        </w:tc>
        <w:tc>
          <w:tcPr>
            <w:tcW w:w="3115" w:type="dxa"/>
          </w:tcPr>
          <w:p w:rsidR="00857546" w:rsidRDefault="00E73168" w:rsidP="00857546">
            <w:proofErr w:type="spellStart"/>
            <w:r>
              <w:t>ИСПДн</w:t>
            </w:r>
            <w:proofErr w:type="spellEnd"/>
            <w:r>
              <w:t>, имеющая многоточечный выход в сеть общего пользования</w:t>
            </w:r>
          </w:p>
        </w:tc>
        <w:tc>
          <w:tcPr>
            <w:tcW w:w="3115" w:type="dxa"/>
          </w:tcPr>
          <w:p w:rsidR="00857546" w:rsidRDefault="00E73168" w:rsidP="00857546">
            <w:r>
              <w:t>Низкий</w:t>
            </w:r>
          </w:p>
        </w:tc>
      </w:tr>
      <w:tr w:rsidR="00857546" w:rsidTr="00857546">
        <w:tc>
          <w:tcPr>
            <w:tcW w:w="3115" w:type="dxa"/>
          </w:tcPr>
          <w:p w:rsidR="00857546" w:rsidRDefault="00E73168" w:rsidP="00857546">
            <w:r>
              <w:t>3. По встроенным (легальным) операциям с з</w:t>
            </w:r>
            <w:r>
              <w:t>аписями баз персональных данных</w:t>
            </w:r>
          </w:p>
        </w:tc>
        <w:tc>
          <w:tcPr>
            <w:tcW w:w="3115" w:type="dxa"/>
          </w:tcPr>
          <w:p w:rsidR="00857546" w:rsidRDefault="00E73168" w:rsidP="00857546">
            <w:r>
              <w:t>чтение, поиск</w:t>
            </w:r>
          </w:p>
        </w:tc>
        <w:tc>
          <w:tcPr>
            <w:tcW w:w="3115" w:type="dxa"/>
          </w:tcPr>
          <w:p w:rsidR="00857546" w:rsidRDefault="00E73168" w:rsidP="00857546">
            <w:r>
              <w:t>Высокий</w:t>
            </w:r>
          </w:p>
        </w:tc>
      </w:tr>
      <w:tr w:rsidR="00857546" w:rsidTr="00857546">
        <w:tc>
          <w:tcPr>
            <w:tcW w:w="3115" w:type="dxa"/>
          </w:tcPr>
          <w:p w:rsidR="00857546" w:rsidRDefault="00E73168" w:rsidP="00857546">
            <w:r>
              <w:t>4. По разграничению доступа к персональным данным</w:t>
            </w:r>
          </w:p>
        </w:tc>
        <w:tc>
          <w:tcPr>
            <w:tcW w:w="3115" w:type="dxa"/>
          </w:tcPr>
          <w:p w:rsidR="00857546" w:rsidRDefault="00E73168" w:rsidP="00857546">
            <w:proofErr w:type="spellStart"/>
            <w:r>
              <w:t>ИСПДн</w:t>
            </w:r>
            <w:proofErr w:type="spellEnd"/>
            <w:r>
              <w:t xml:space="preserve">, к которой имеет доступ определенный перечень сотрудников организации, являющейся владельцем </w:t>
            </w:r>
            <w:proofErr w:type="spellStart"/>
            <w:r>
              <w:t>ИСПДн</w:t>
            </w:r>
            <w:proofErr w:type="spellEnd"/>
            <w:r>
              <w:t xml:space="preserve">, либо субъект </w:t>
            </w:r>
            <w:proofErr w:type="spellStart"/>
            <w:r>
              <w:t>ПДн</w:t>
            </w:r>
            <w:proofErr w:type="spellEnd"/>
          </w:p>
        </w:tc>
        <w:tc>
          <w:tcPr>
            <w:tcW w:w="3115" w:type="dxa"/>
          </w:tcPr>
          <w:p w:rsidR="00857546" w:rsidRDefault="00E73168" w:rsidP="00857546">
            <w:r>
              <w:t>Средний</w:t>
            </w:r>
          </w:p>
        </w:tc>
      </w:tr>
      <w:tr w:rsidR="00857546" w:rsidTr="00857546">
        <w:tc>
          <w:tcPr>
            <w:tcW w:w="3115" w:type="dxa"/>
          </w:tcPr>
          <w:p w:rsidR="00857546" w:rsidRDefault="00E73168" w:rsidP="00857546">
            <w:r>
              <w:t xml:space="preserve">5. По наличию соединений с другими базами </w:t>
            </w:r>
            <w:proofErr w:type="spellStart"/>
            <w:r>
              <w:t>ПДн</w:t>
            </w:r>
            <w:proofErr w:type="spellEnd"/>
            <w:r>
              <w:t xml:space="preserve"> иных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3115" w:type="dxa"/>
          </w:tcPr>
          <w:p w:rsidR="00857546" w:rsidRDefault="00E73168" w:rsidP="00857546">
            <w:proofErr w:type="spellStart"/>
            <w:r>
              <w:t>ИСПДн</w:t>
            </w:r>
            <w:proofErr w:type="spellEnd"/>
            <w:r>
              <w:t xml:space="preserve">, в которой используется одна база </w:t>
            </w:r>
            <w:proofErr w:type="spellStart"/>
            <w:r>
              <w:t>ПДн</w:t>
            </w:r>
            <w:proofErr w:type="spellEnd"/>
            <w:r>
              <w:t xml:space="preserve">, принадлежащая организации-владельцу данной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3115" w:type="dxa"/>
          </w:tcPr>
          <w:p w:rsidR="00857546" w:rsidRDefault="00E73168" w:rsidP="00857546">
            <w:r>
              <w:t>Высокий</w:t>
            </w:r>
          </w:p>
        </w:tc>
      </w:tr>
      <w:tr w:rsidR="00857546" w:rsidTr="00857546">
        <w:tc>
          <w:tcPr>
            <w:tcW w:w="3115" w:type="dxa"/>
          </w:tcPr>
          <w:p w:rsidR="00857546" w:rsidRDefault="00E73168" w:rsidP="00857546">
            <w:r>
              <w:t xml:space="preserve">6. По уровню обобщения (обезличивания) </w:t>
            </w:r>
            <w:proofErr w:type="spellStart"/>
            <w:r>
              <w:t>ПДн</w:t>
            </w:r>
            <w:proofErr w:type="spellEnd"/>
          </w:p>
        </w:tc>
        <w:tc>
          <w:tcPr>
            <w:tcW w:w="3115" w:type="dxa"/>
          </w:tcPr>
          <w:p w:rsidR="00857546" w:rsidRDefault="00E73168" w:rsidP="00857546">
            <w:proofErr w:type="spellStart"/>
            <w:r>
              <w:t>ИСПДн</w:t>
            </w:r>
            <w:proofErr w:type="spellEnd"/>
            <w:r>
              <w:t>, в которой данные обезличиваются только при передаче в другие организации и не обезличены при предоставлении пользователю в организации</w:t>
            </w:r>
          </w:p>
        </w:tc>
        <w:tc>
          <w:tcPr>
            <w:tcW w:w="3115" w:type="dxa"/>
          </w:tcPr>
          <w:p w:rsidR="00857546" w:rsidRDefault="00E73168" w:rsidP="00857546">
            <w:r>
              <w:t>Средний</w:t>
            </w:r>
          </w:p>
        </w:tc>
      </w:tr>
      <w:tr w:rsidR="00857546" w:rsidTr="00857546">
        <w:tc>
          <w:tcPr>
            <w:tcW w:w="3115" w:type="dxa"/>
          </w:tcPr>
          <w:p w:rsidR="00857546" w:rsidRDefault="00E73168" w:rsidP="00857546">
            <w:r>
              <w:t xml:space="preserve">7. По объему </w:t>
            </w:r>
            <w:proofErr w:type="spellStart"/>
            <w:r>
              <w:t>ПДн</w:t>
            </w:r>
            <w:proofErr w:type="spellEnd"/>
            <w:r>
              <w:t xml:space="preserve">, которые предоставляются сторонним пользователям </w:t>
            </w:r>
            <w:proofErr w:type="spellStart"/>
            <w:r>
              <w:t>ИСПДн</w:t>
            </w:r>
            <w:proofErr w:type="spellEnd"/>
            <w:r>
              <w:t xml:space="preserve"> без предварительной</w:t>
            </w:r>
            <w:r>
              <w:t xml:space="preserve"> </w:t>
            </w:r>
            <w:r>
              <w:t>обработки</w:t>
            </w:r>
          </w:p>
        </w:tc>
        <w:tc>
          <w:tcPr>
            <w:tcW w:w="3115" w:type="dxa"/>
          </w:tcPr>
          <w:p w:rsidR="00857546" w:rsidRDefault="00E73168" w:rsidP="00857546">
            <w:proofErr w:type="spellStart"/>
            <w:r>
              <w:t>ИСПДн</w:t>
            </w:r>
            <w:proofErr w:type="spellEnd"/>
            <w:r>
              <w:t>, не предоставляющая никакой информации</w:t>
            </w:r>
          </w:p>
        </w:tc>
        <w:tc>
          <w:tcPr>
            <w:tcW w:w="3115" w:type="dxa"/>
          </w:tcPr>
          <w:p w:rsidR="00857546" w:rsidRDefault="00E73168" w:rsidP="00857546">
            <w:r>
              <w:t>Высокий</w:t>
            </w:r>
          </w:p>
        </w:tc>
      </w:tr>
    </w:tbl>
    <w:p w:rsidR="00857546" w:rsidRDefault="00857546" w:rsidP="00857546"/>
    <w:p w:rsidR="00EC36D8" w:rsidRDefault="00EC36D8" w:rsidP="00857546">
      <w:r>
        <w:t xml:space="preserve">По совокупности полученных результатов уровень исходной защищенности </w:t>
      </w:r>
      <w:proofErr w:type="spellStart"/>
      <w:r>
        <w:t>ИСПДн</w:t>
      </w:r>
      <w:proofErr w:type="spellEnd"/>
      <w:r>
        <w:t xml:space="preserve"> «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» оценивается как средний, поскольку не менее 70% характеристик </w:t>
      </w:r>
      <w:proofErr w:type="spellStart"/>
      <w:r>
        <w:t>ИСПДн</w:t>
      </w:r>
      <w:proofErr w:type="spellEnd"/>
      <w:r>
        <w:t xml:space="preserve"> (86%) соответствуют уровню «средний» или «высокий». </w:t>
      </w:r>
    </w:p>
    <w:p w:rsidR="00EC36D8" w:rsidRDefault="00EC36D8" w:rsidP="00857546">
      <w:r>
        <w:t xml:space="preserve">Согласно «Методики актуализации угроз </w:t>
      </w:r>
      <w:proofErr w:type="spellStart"/>
      <w:r>
        <w:t>ПДн</w:t>
      </w:r>
      <w:proofErr w:type="spellEnd"/>
      <w:r>
        <w:t xml:space="preserve">» ФСТЭК России, коэффициент исходной защищенности </w:t>
      </w:r>
      <w:proofErr w:type="spellStart"/>
      <w:r>
        <w:t>ИСПДн</w:t>
      </w:r>
      <w:proofErr w:type="spellEnd"/>
      <w:r>
        <w:t xml:space="preserve"> «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» и Y1=5</w:t>
      </w:r>
      <w:r>
        <w:t>.</w:t>
      </w:r>
      <w:bookmarkStart w:id="0" w:name="_GoBack"/>
      <w:bookmarkEnd w:id="0"/>
    </w:p>
    <w:sectPr w:rsidR="00EC3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55"/>
    <w:rsid w:val="00485828"/>
    <w:rsid w:val="004B3B87"/>
    <w:rsid w:val="0068420F"/>
    <w:rsid w:val="00857546"/>
    <w:rsid w:val="00B2665E"/>
    <w:rsid w:val="00BD3BF0"/>
    <w:rsid w:val="00CA2A55"/>
    <w:rsid w:val="00DA4F82"/>
    <w:rsid w:val="00E73168"/>
    <w:rsid w:val="00EC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6E56"/>
  <w15:chartTrackingRefBased/>
  <w15:docId w15:val="{4B3A7661-3A2D-4451-A2C8-35C76831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 И</dc:creator>
  <cp:keywords/>
  <dc:description/>
  <cp:lastModifiedBy>Н И</cp:lastModifiedBy>
  <cp:revision>1</cp:revision>
  <dcterms:created xsi:type="dcterms:W3CDTF">2020-05-29T18:43:00Z</dcterms:created>
  <dcterms:modified xsi:type="dcterms:W3CDTF">2020-05-29T20:45:00Z</dcterms:modified>
</cp:coreProperties>
</file>