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720" w:line="276" w:lineRule="auto"/>
        <w:jc w:val="center"/>
      </w:pPr>
      <w:r>
        <w:rPr>
          <w:b/>
          <w:i w:val="0"/>
        </w:rPr>
        <w:t xml:space="preserve">Desarrollo de una aplicación web para el análisis de imágenes satelitales para </w:t>
      </w:r>
      <w:r>
        <w:rPr>
          <w:b/>
          <w:i w:val="0"/>
          <w:highlight w:val="yellow"/>
        </w:rPr>
        <w:t xml:space="preserve">la </w:t>
      </w:r>
      <w:r>
        <w:rPr>
          <w:b/>
          <w:i w:val="0"/>
        </w:rPr>
        <w:t xml:space="preserve">identificación y visualización de zonas forestales con riesgo por deforestación </w:t>
      </w:r>
      <w:r>
        <w:rPr>
          <w:b/>
          <w:i w:val="0"/>
          <w:highlight w:val="yellow"/>
        </w:rPr>
        <w:t xml:space="preserve">o </w:t>
      </w:r>
      <w:r>
        <w:rPr>
          <w:b/>
          <w:i w:val="0"/>
        </w:rPr>
        <w:t xml:space="preserve">degradación utilizando </w:t>
      </w:r>
      <w:r>
        <w:rPr>
          <w:b/>
          <w:i/>
          <w:highlight w:val="yellow"/>
        </w:rPr>
        <w:t>machine learning</w:t>
      </w:r>
    </w:p>
    <w:p>
      <w:pPr>
        <w:spacing w:before="0" w:after="360" w:line="276" w:lineRule="auto"/>
        <w:jc w:val="center"/>
      </w:pPr>
      <w:r>
        <w:rPr>
          <w:b w:val="0"/>
          <w:i w:val="0"/>
        </w:rPr>
        <w:t>Modalidad: Auxiliares de proyecto de investigación</w:t>
      </w:r>
    </w:p>
    <w:p>
      <w:pPr>
        <w:spacing w:before="0" w:after="720" w:line="276" w:lineRule="auto"/>
        <w:jc w:val="center"/>
      </w:pPr>
      <w:r>
        <w:rPr>
          <w:b/>
          <w:i w:val="0"/>
        </w:rPr>
        <w:t>Brayan Steeven Grimaldo Escobar</w:t>
        <w:br/>
      </w:r>
      <w:r>
        <w:rPr>
          <w:b/>
          <w:i w:val="0"/>
        </w:rPr>
        <w:t>Dylan Tunjano Garzón</w:t>
      </w:r>
    </w:p>
    <w:p>
      <w:pPr>
        <w:spacing w:before="0" w:after="1440" w:line="276" w:lineRule="auto"/>
        <w:jc w:val="center"/>
      </w:pPr>
      <w:r>
        <w:rPr>
          <w:b/>
          <w:i w:val="0"/>
        </w:rPr>
        <w:t>Universidad Cooperativa de Colombia</w:t>
        <w:br/>
      </w:r>
      <w:r>
        <w:rPr>
          <w:b w:val="0"/>
          <w:i w:val="0"/>
        </w:rPr>
        <w:t>Facultad de Ingeniería</w:t>
        <w:br/>
      </w:r>
      <w:r>
        <w:rPr>
          <w:b w:val="0"/>
          <w:i w:val="0"/>
        </w:rPr>
        <w:t>Programa de Ingeniería de Sistemas</w:t>
        <w:br/>
      </w:r>
      <w:r>
        <w:rPr>
          <w:b w:val="0"/>
          <w:i w:val="0"/>
        </w:rPr>
        <w:t>Villavicencio, Meta</w:t>
        <w:br/>
      </w:r>
      <w:r>
        <w:rPr>
          <w:b w:val="0"/>
          <w:i w:val="0"/>
        </w:rPr>
        <w:t>2026</w:t>
      </w:r>
    </w:p>
    <w:p>
      <w:r>
        <w:br w:type="page"/>
      </w:r>
    </w:p>
    <w:p>
      <w:pPr>
        <w:spacing w:before="480" w:after="480" w:line="276" w:lineRule="auto"/>
        <w:jc w:val="center"/>
      </w:pPr>
      <w:r>
        <w:rPr>
          <w:b/>
          <w:i w:val="0"/>
        </w:rPr>
        <w:t xml:space="preserve">Desarrollo de una aplicación web para el análisis de imágenes satelitales para </w:t>
      </w:r>
      <w:r>
        <w:rPr>
          <w:b/>
          <w:i w:val="0"/>
          <w:highlight w:val="yellow"/>
        </w:rPr>
        <w:t xml:space="preserve">la </w:t>
      </w:r>
      <w:r>
        <w:rPr>
          <w:b/>
          <w:i w:val="0"/>
        </w:rPr>
        <w:t xml:space="preserve">identificación y visualización de zonas forestales con riesgo por deforestación </w:t>
      </w:r>
      <w:r>
        <w:rPr>
          <w:b/>
          <w:i w:val="0"/>
          <w:highlight w:val="yellow"/>
        </w:rPr>
        <w:t xml:space="preserve">o </w:t>
      </w:r>
      <w:r>
        <w:rPr>
          <w:b/>
          <w:i w:val="0"/>
        </w:rPr>
        <w:t xml:space="preserve">degradación utilizando </w:t>
      </w:r>
      <w:r>
        <w:rPr>
          <w:b/>
          <w:i/>
          <w:highlight w:val="yellow"/>
        </w:rPr>
        <w:t>machine learning</w:t>
      </w:r>
    </w:p>
    <w:p>
      <w:pPr>
        <w:spacing w:before="0" w:after="400" w:line="276" w:lineRule="auto"/>
        <w:jc w:val="center"/>
      </w:pPr>
      <w:r>
        <w:rPr>
          <w:b/>
          <w:i w:val="0"/>
        </w:rPr>
        <w:t>Brayan Steeven Grimaldo Escobar</w:t>
        <w:br/>
      </w:r>
      <w:r>
        <w:rPr>
          <w:b/>
          <w:i w:val="0"/>
        </w:rPr>
        <w:t>Dylan Tunjano Garzón</w:t>
      </w:r>
    </w:p>
    <w:p>
      <w:pPr>
        <w:spacing w:before="0" w:after="400" w:line="276" w:lineRule="auto"/>
        <w:jc w:val="center"/>
      </w:pPr>
      <w:r>
        <w:rPr>
          <w:b/>
          <w:i w:val="0"/>
        </w:rPr>
        <w:t>Asesor:</w:t>
        <w:br/>
      </w:r>
      <w:r>
        <w:rPr>
          <w:b w:val="0"/>
          <w:i w:val="0"/>
        </w:rPr>
        <w:t>Carlos Ignacio Torres Londoño</w:t>
      </w:r>
    </w:p>
    <w:p>
      <w:pPr>
        <w:spacing w:before="0" w:after="720" w:line="276" w:lineRule="auto"/>
        <w:jc w:val="center"/>
      </w:pPr>
      <w:r>
        <w:rPr>
          <w:b w:val="0"/>
          <w:i/>
        </w:rPr>
        <w:t>Trabajo de grado para optar al título de Ingeniero de Sistemas</w:t>
      </w:r>
    </w:p>
    <w:p>
      <w:pPr>
        <w:spacing w:before="0" w:after="720" w:line="276" w:lineRule="auto"/>
        <w:jc w:val="center"/>
      </w:pPr>
      <w:r>
        <w:rPr>
          <w:b/>
          <w:i w:val="0"/>
        </w:rPr>
        <w:t>Universidad Cooperativa de Colombia</w:t>
        <w:br/>
      </w:r>
      <w:r>
        <w:rPr>
          <w:b w:val="0"/>
          <w:i w:val="0"/>
        </w:rPr>
        <w:t>Facultad de Ingeniería</w:t>
        <w:br/>
      </w:r>
      <w:r>
        <w:rPr>
          <w:b w:val="0"/>
          <w:i w:val="0"/>
        </w:rPr>
        <w:t>Programa de Ingeniería de Sistemas</w:t>
        <w:br/>
      </w:r>
      <w:r>
        <w:rPr>
          <w:b w:val="0"/>
          <w:i w:val="0"/>
        </w:rPr>
        <w:t>Villavicencio, Meta</w:t>
        <w:br/>
      </w:r>
      <w:r>
        <w:rPr>
          <w:b w:val="0"/>
          <w:i w:val="0"/>
        </w:rPr>
        <w:t>2026</w:t>
      </w:r>
    </w:p>
    <w:p>
      <w:r>
        <w:br w:type="page"/>
      </w:r>
    </w:p>
    <w:p>
      <w:pPr>
        <w:spacing w:before="240" w:after="120" w:line="276" w:lineRule="auto"/>
        <w:jc w:val="left"/>
      </w:pPr>
      <w:r>
        <w:rPr>
          <w:b/>
          <w:i w:val="0"/>
        </w:rPr>
        <w:t>Autoridades académicas Universidad Cooperativa de Colombia</w:t>
      </w:r>
    </w:p>
    <w:p>
      <w:pPr>
        <w:spacing w:before="0" w:after="120" w:line="276" w:lineRule="auto"/>
        <w:jc w:val="both"/>
      </w:pPr>
      <w:r>
        <w:rPr>
          <w:b w:val="0"/>
          <w:i w:val="0"/>
        </w:rPr>
        <w:t>Dra. Maritza Rondón Rangel – Rectora Nacional</w:t>
        <w:br/>
        <w:t>Dr. César Augusto Pérez Londoño – Director Campus Villavicencio</w:t>
        <w:br/>
        <w:t>Dr. Fabian Ignacio Ojeda Linares – Subdirector Académico y de Proyección Institucional</w:t>
        <w:br/>
        <w:t>Dra. Adriana Carolina Urrea Ortiz – Subdirectora de Desarrollo Institucional y Financiero</w:t>
        <w:br/>
        <w:t>Ing. María Lucrecia Ramírez Suárez – Decana (E) Facultad de Ingeniería</w:t>
        <w:br/>
        <w:t>Ing. Pedro Alexander Gutiérrez Aguilera – Coordinador de Investigación de la Facultad de Ingeniería</w:t>
      </w:r>
    </w:p>
    <w:p>
      <w:pPr>
        <w:spacing w:before="240" w:after="120" w:line="276" w:lineRule="auto"/>
        <w:jc w:val="left"/>
      </w:pPr>
      <w:r>
        <w:rPr>
          <w:b/>
          <w:i w:val="0"/>
        </w:rPr>
        <w:t>Advertencia</w:t>
      </w:r>
    </w:p>
    <w:p>
      <w:pPr>
        <w:spacing w:before="0" w:after="120" w:line="276" w:lineRule="auto"/>
        <w:jc w:val="both"/>
      </w:pPr>
      <w:r>
        <w:rPr>
          <w:b w:val="0"/>
          <w:i/>
        </w:rPr>
        <w:t>La Universidad Cooperativa de Colombia, sede Villavicencio, no se hace responsable por los conceptos emitidos por los autores.</w:t>
      </w:r>
    </w:p>
    <w:p>
      <w:r>
        <w:br w:type="page"/>
      </w:r>
    </w:p>
    <w:p>
      <w:pPr>
        <w:spacing w:before="320" w:after="160" w:line="276" w:lineRule="auto"/>
        <w:jc w:val="left"/>
      </w:pPr>
      <w:r>
        <w:rPr>
          <w:b/>
          <w:i w:val="0"/>
        </w:rPr>
        <w:t>Dedicatoria</w:t>
      </w:r>
    </w:p>
    <w:p>
      <w:pPr>
        <w:spacing w:before="120" w:after="80" w:line="276" w:lineRule="auto"/>
        <w:jc w:val="both"/>
      </w:pPr>
      <w:r>
        <w:rPr>
          <w:b/>
          <w:i w:val="0"/>
          <w:highlight w:val="yellow"/>
        </w:rPr>
        <w:t>Dylan Tunjano Garzón:</w:t>
      </w:r>
    </w:p>
    <w:p>
      <w:pPr>
        <w:spacing w:before="0" w:after="120" w:line="276" w:lineRule="auto"/>
        <w:jc w:val="both"/>
      </w:pPr>
      <w:r>
        <w:rPr>
          <w:b w:val="0"/>
          <w:i w:val="0"/>
        </w:rPr>
        <w:t>Dedico este trabajo de grado a mi papá, Fabio, y a mi mamá, Lucy, por su amor, sus enseñanzas y su apoyo constante a lo largo de mi vida. Gracias por ser mi mayor motivación y por brindarme el apoyo necesario para superar cada dificultad y alcanzar mis metas. A mi novia, Angely, por su amor, compañía y comprensión durante este proceso, por creer en mí y motivarme a seguir adelante incluso en los momentos más difíciles.</w:t>
      </w:r>
    </w:p>
    <w:p>
      <w:pPr>
        <w:spacing w:before="200" w:after="80" w:line="276" w:lineRule="auto"/>
        <w:jc w:val="both"/>
      </w:pPr>
      <w:r>
        <w:rPr>
          <w:b/>
          <w:i w:val="0"/>
          <w:highlight w:val="yellow"/>
        </w:rPr>
        <w:t>Brayan Steeven Grimaldo Escobar:</w:t>
      </w:r>
    </w:p>
    <w:p>
      <w:pPr>
        <w:spacing w:before="0" w:after="120" w:line="276" w:lineRule="auto"/>
        <w:jc w:val="both"/>
      </w:pPr>
      <w:r>
        <w:rPr>
          <w:b w:val="0"/>
          <w:i w:val="0"/>
          <w:highlight w:val="yellow"/>
        </w:rPr>
        <w:t>Dedico este logro académico a mis padres y a mi familia, quienes con su esfuerzo, paciencia y consejos me impulsaron a perseverar durante cada etapa de mi formación profesional. A todas las personas cercanas que compartieron palabras de aliento y confiaron en nuestras capacidades para culminar con éxito este trabajo de grado.</w:t>
      </w:r>
    </w:p>
    <w:p>
      <w:r>
        <w:br w:type="page"/>
      </w:r>
    </w:p>
    <w:p>
      <w:pPr>
        <w:spacing w:before="320" w:after="160" w:line="276" w:lineRule="auto"/>
        <w:jc w:val="left"/>
      </w:pPr>
      <w:r>
        <w:rPr>
          <w:b/>
          <w:i w:val="0"/>
        </w:rPr>
        <w:t>Agradecimientos</w:t>
      </w:r>
    </w:p>
    <w:p>
      <w:pPr>
        <w:spacing w:before="120" w:after="80" w:line="276" w:lineRule="auto"/>
        <w:jc w:val="both"/>
      </w:pPr>
      <w:r>
        <w:rPr>
          <w:b/>
          <w:i w:val="0"/>
          <w:highlight w:val="yellow"/>
        </w:rPr>
        <w:t>Dylan Tunjano Garzón:</w:t>
      </w:r>
    </w:p>
    <w:p>
      <w:pPr>
        <w:spacing w:before="0" w:after="120" w:line="276" w:lineRule="auto"/>
        <w:jc w:val="both"/>
      </w:pPr>
      <w:r>
        <w:rPr>
          <w:b w:val="0"/>
          <w:i w:val="0"/>
        </w:rPr>
        <w:t>A mis padres, Fabio y Lucy, les expreso mi más sincero agradecimiento por su amor, esfuerzo y apoyo incondicional. Gracias por acompañarme durante este camino, por confiar en mis capacidades y por brindarme los valores y las enseñanzas que me han permitido crecer tanto personal como profesionalmente. A mi novia, Angely, le agradezco por su amor, paciencia y compañía durante este proceso. Gracias por motivarme a seguir adelante, por creer en mí y por estar presente en los momentos de dificultad, convirtiéndose en un apoyo fundamental para alcanzar esta meta. Finalmente, agradezco a todas las personas que, de una u otra manera, contribuyeron a mi formación y a la culminación de este trabajo de grado.</w:t>
      </w:r>
    </w:p>
    <w:p>
      <w:pPr>
        <w:spacing w:before="200" w:after="80" w:line="276" w:lineRule="auto"/>
        <w:jc w:val="both"/>
      </w:pPr>
      <w:r>
        <w:rPr>
          <w:b/>
          <w:i w:val="0"/>
          <w:highlight w:val="yellow"/>
        </w:rPr>
        <w:t>Brayan Steeven Grimaldo Escobar:</w:t>
      </w:r>
    </w:p>
    <w:p>
      <w:pPr>
        <w:spacing w:before="0" w:after="120" w:line="276" w:lineRule="auto"/>
        <w:jc w:val="both"/>
      </w:pPr>
      <w:r>
        <w:rPr>
          <w:b w:val="0"/>
          <w:i w:val="0"/>
          <w:highlight w:val="yellow"/>
        </w:rPr>
        <w:t>Agradezco a Dios y a mi familia por brindarme la fortaleza y el respaldo incondicional durante todo mi proceso formativo. De igual manera, expreso mi gratitud a la Universidad Cooperativa de Colombia, a los docentes del programa de Ingeniería de Sistemas y a nuestro asesor de trabajo de grado, Carlos Ignacio Torres Londoño, por su valiosa guía, dedicación y aportes conceptuales para el desarrollo de esta investigación.</w:t>
      </w:r>
    </w:p>
    <w:p>
      <w:r>
        <w:br w:type="page"/>
      </w:r>
    </w:p>
    <w:p>
      <w:pPr>
        <w:spacing w:before="320" w:after="160" w:line="276" w:lineRule="auto"/>
        <w:jc w:val="left"/>
      </w:pPr>
      <w:r>
        <w:rPr>
          <w:b/>
          <w:i w:val="0"/>
        </w:rPr>
        <w:t>Resumen</w:t>
      </w:r>
    </w:p>
    <w:p>
      <w:pPr>
        <w:spacing w:before="0" w:after="120" w:line="276" w:lineRule="auto"/>
        <w:jc w:val="both"/>
      </w:pPr>
      <w:r>
        <w:rPr>
          <w:b w:val="0"/>
          <w:i w:val="0"/>
        </w:rPr>
        <w:t xml:space="preserve">La deforestación y la degradación forestal representan problemáticas ambientales que requieren herramientas tecnológicas para identificar y visualizar los cambios en la cobertura vegetal. En este contexto, la investigación respondió a la pregunta: ¿Cómo desarrollar una aplicación web que integre el análisis de imágenes satelitales y algoritmos de aprendizaje automático para la identificación y visualización automatizada de zonas de riesgo asociadas a la deforestación </w:t>
      </w:r>
      <w:r>
        <w:rPr>
          <w:b w:val="0"/>
          <w:i w:val="0"/>
          <w:highlight w:val="yellow"/>
        </w:rPr>
        <w:t xml:space="preserve">o </w:t>
      </w:r>
      <w:r>
        <w:rPr>
          <w:b w:val="0"/>
          <w:i w:val="0"/>
        </w:rPr>
        <w:t>degradación de los ecosistemas forestales? Para ello, se desarrolló ForestGuard, una aplicación web orientada al procesamiento y análisis de imágenes satelitales en formato GeoTIFF (.tif), con el propósito de identificar cambios en las condiciones de los ecosistemas forestales. La metodología empleada tuvo un enfoque cuantitativo y aplicado, estructurado en seis fases que comprenden la selección y adquisición de imágenes, el preprocesamiento de datos, la extracción de características, el análisis de cambios mediante índices espectrales, la implementación de la aplicación web y la validación del sistema. La solución utilizó tecnologías como React, Django y PostgreSQL, e integró herramientas de procesamiento de imágenes geoespaciales mediante Python. Asimismo, generó resultados raster que permiten visualizar y cuantificar las áreas clasificadas según los cambios detectados. Las pruebas iniciales realizadas con imágenes correspondientes al periodo 2020–2026 en una zona de estudio ubicada en Guamo, Tolima, evidenciaron variaciones temporales en la cobertura vegetal, identificando áreas clasificadas como sin cambio, deforestación y degradación. Se concluye que ForestGuard constituye una herramienta de apoyo para el análisis y la visualización de cambios forestales a partir de imágenes satelitales, aunque sus resultados exploratorios requieren validación adicional para determinar su precisión en campo.</w:t>
      </w:r>
    </w:p>
    <w:p>
      <w:pPr>
        <w:spacing w:before="160" w:after="120" w:line="276" w:lineRule="auto"/>
        <w:jc w:val="both"/>
      </w:pPr>
      <w:r>
        <w:rPr>
          <w:b/>
          <w:i w:val="0"/>
        </w:rPr>
        <w:t xml:space="preserve">Palabras clave: </w:t>
      </w:r>
      <w:r>
        <w:rPr>
          <w:b w:val="0"/>
          <w:i w:val="0"/>
        </w:rPr>
        <w:t xml:space="preserve">imágenes satelitales, deforestación, degradación forestal, </w:t>
      </w:r>
      <w:r>
        <w:rPr>
          <w:b w:val="0"/>
          <w:i/>
          <w:highlight w:val="yellow"/>
        </w:rPr>
        <w:t>machine learning</w:t>
      </w:r>
      <w:r>
        <w:rPr>
          <w:b w:val="0"/>
          <w:i w:val="0"/>
        </w:rPr>
        <w:t>, procesamiento de imágenes, aplicación web.</w:t>
      </w:r>
    </w:p>
    <w:p>
      <w:r>
        <w:br w:type="page"/>
      </w:r>
    </w:p>
    <w:p>
      <w:pPr>
        <w:spacing w:before="320" w:after="160" w:line="276" w:lineRule="auto"/>
        <w:jc w:val="left"/>
      </w:pPr>
      <w:r>
        <w:rPr>
          <w:b/>
          <w:i w:val="0"/>
        </w:rPr>
        <w:t>Abstract</w:t>
      </w:r>
    </w:p>
    <w:p>
      <w:pPr>
        <w:spacing w:before="0" w:after="120" w:line="276" w:lineRule="auto"/>
        <w:jc w:val="both"/>
      </w:pPr>
      <w:r>
        <w:rPr>
          <w:b w:val="0"/>
          <w:i w:val="0"/>
        </w:rPr>
        <w:t xml:space="preserve">Deforestation and forest degradation are environmental issues that require technological tools to identify and visualize changes in vegetation cover. In this context, this research addressed the following question: How can a web application be developed that integrates satellite image analysis and machine learning algorithms to automatically identify and visualize high-risk areas associated with the deforestation </w:t>
      </w:r>
      <w:r>
        <w:rPr>
          <w:b w:val="0"/>
          <w:i w:val="0"/>
          <w:highlight w:val="yellow"/>
        </w:rPr>
        <w:t xml:space="preserve">or </w:t>
      </w:r>
      <w:r>
        <w:rPr>
          <w:b w:val="0"/>
          <w:i w:val="0"/>
        </w:rPr>
        <w:t>degradation of forest ecosystems? To this end, ForestGuard was developed—a web application designed for processing and analyzing satellite imagery in GeoTIFF (.tif) format in order to identify changes in forest ecosystem conditions. The methodology followed a quantitative and applied approach, structured into six phases including image selection and acquisition, data preprocessing, feature extraction, change analysis using spectral indices, web application implementation, and system validation. The solution implemented technologies such as React, Django, and PostgreSQL, and integrated geospatial image processing tools via Python. Furthermore, it generated raster outputs that allow for the visualization and quantification of areas classified based on detected changes. Initial tests conducted using imagery from the 2020–2026 period for a study area in Guamo, Tolima, revealed temporal variations in vegetation cover, identifying areas categorized as no change, deforestation, and degradation. It is concluded that ForestGuard serves as a decision-support tool for the analysis and visualization of forest changes using satellite imagery, although its results require further field validation to determine their definitive accuracy.</w:t>
      </w:r>
    </w:p>
    <w:p>
      <w:pPr>
        <w:spacing w:before="160" w:after="120" w:line="276" w:lineRule="auto"/>
        <w:jc w:val="both"/>
      </w:pPr>
      <w:r>
        <w:rPr>
          <w:b/>
          <w:i w:val="0"/>
        </w:rPr>
        <w:t xml:space="preserve">Keywords: </w:t>
      </w:r>
      <w:r>
        <w:rPr>
          <w:b w:val="0"/>
          <w:i w:val="0"/>
        </w:rPr>
        <w:t>satellite imagery, deforestation, forest degradation, machine learning, image processing, web application.</w:t>
      </w:r>
    </w:p>
    <w:p>
      <w:r>
        <w:br w:type="page"/>
      </w:r>
    </w:p>
    <w:p>
      <w:pPr>
        <w:spacing w:before="320" w:after="160" w:line="276" w:lineRule="auto"/>
        <w:jc w:val="left"/>
      </w:pPr>
      <w:r>
        <w:rPr>
          <w:b/>
          <w:i w:val="0"/>
        </w:rPr>
        <w:t>Tabla de contenido</w:t>
      </w:r>
    </w:p>
    <w:p>
      <w:pPr>
        <w:spacing w:before="20" w:after="40" w:line="240" w:lineRule="auto"/>
        <w:jc w:val="both"/>
      </w:pPr>
      <w:r>
        <w:rPr>
          <w:b w:val="0"/>
          <w:i w:val="0"/>
        </w:rPr>
        <w:t>1. Introducción</w:t>
      </w:r>
    </w:p>
    <w:p>
      <w:pPr>
        <w:spacing w:before="20" w:after="40" w:line="240" w:lineRule="auto"/>
        <w:jc w:val="both"/>
      </w:pPr>
      <w:r>
        <w:rPr>
          <w:b w:val="0"/>
          <w:i w:val="0"/>
        </w:rPr>
        <w:t>2. Planteamiento del problema</w:t>
      </w:r>
    </w:p>
    <w:p>
      <w:pPr>
        <w:spacing w:before="20" w:after="40" w:line="240" w:lineRule="auto"/>
        <w:jc w:val="both"/>
      </w:pPr>
      <w:r>
        <w:rPr>
          <w:b w:val="0"/>
          <w:i w:val="0"/>
        </w:rPr>
        <w:t xml:space="preserve">   2.1. Pregunta de investigación</w:t>
      </w:r>
    </w:p>
    <w:p>
      <w:pPr>
        <w:spacing w:before="20" w:after="40" w:line="240" w:lineRule="auto"/>
        <w:jc w:val="both"/>
      </w:pPr>
      <w:r>
        <w:rPr>
          <w:b w:val="0"/>
          <w:i w:val="0"/>
        </w:rPr>
        <w:t>3. Justificación</w:t>
      </w:r>
    </w:p>
    <w:p>
      <w:pPr>
        <w:spacing w:before="20" w:after="40" w:line="240" w:lineRule="auto"/>
        <w:jc w:val="both"/>
      </w:pPr>
      <w:r>
        <w:rPr>
          <w:b w:val="0"/>
          <w:i w:val="0"/>
        </w:rPr>
        <w:t>4. Objetivos</w:t>
      </w:r>
    </w:p>
    <w:p>
      <w:pPr>
        <w:spacing w:before="20" w:after="40" w:line="240" w:lineRule="auto"/>
        <w:jc w:val="both"/>
      </w:pPr>
      <w:r>
        <w:rPr>
          <w:b w:val="0"/>
          <w:i w:val="0"/>
        </w:rPr>
        <w:t xml:space="preserve">   4.1. Objetivo general</w:t>
      </w:r>
    </w:p>
    <w:p>
      <w:pPr>
        <w:spacing w:before="20" w:after="40" w:line="240" w:lineRule="auto"/>
        <w:jc w:val="both"/>
      </w:pPr>
      <w:r>
        <w:rPr>
          <w:b w:val="0"/>
          <w:i w:val="0"/>
        </w:rPr>
        <w:t xml:space="preserve">   4.2. Objetivos específicos</w:t>
      </w:r>
    </w:p>
    <w:p>
      <w:pPr>
        <w:spacing w:before="20" w:after="40" w:line="240" w:lineRule="auto"/>
        <w:jc w:val="both"/>
      </w:pPr>
      <w:r>
        <w:rPr>
          <w:b w:val="0"/>
          <w:i w:val="0"/>
        </w:rPr>
        <w:t>5. Marcos de referencia</w:t>
      </w:r>
    </w:p>
    <w:p>
      <w:pPr>
        <w:spacing w:before="20" w:after="40" w:line="240" w:lineRule="auto"/>
        <w:jc w:val="both"/>
      </w:pPr>
      <w:r>
        <w:rPr>
          <w:b w:val="0"/>
          <w:i w:val="0"/>
        </w:rPr>
        <w:t xml:space="preserve">   5.1. Marco teórico</w:t>
      </w:r>
    </w:p>
    <w:p>
      <w:pPr>
        <w:spacing w:before="20" w:after="40" w:line="240" w:lineRule="auto"/>
        <w:jc w:val="both"/>
      </w:pPr>
      <w:r>
        <w:rPr>
          <w:b w:val="0"/>
          <w:i w:val="0"/>
        </w:rPr>
        <w:t xml:space="preserve">   5.2. Marco conceptual</w:t>
      </w:r>
    </w:p>
    <w:p>
      <w:pPr>
        <w:spacing w:before="20" w:after="40" w:line="240" w:lineRule="auto"/>
        <w:jc w:val="both"/>
      </w:pPr>
      <w:r>
        <w:rPr>
          <w:b w:val="0"/>
          <w:i w:val="0"/>
        </w:rPr>
        <w:t xml:space="preserve">   5.3. Estado del arte</w:t>
      </w:r>
    </w:p>
    <w:p>
      <w:pPr>
        <w:spacing w:before="20" w:after="40" w:line="240" w:lineRule="auto"/>
        <w:jc w:val="both"/>
      </w:pPr>
      <w:r>
        <w:rPr>
          <w:b w:val="0"/>
          <w:i w:val="0"/>
        </w:rPr>
        <w:t>6. Metodología</w:t>
      </w:r>
    </w:p>
    <w:p>
      <w:pPr>
        <w:spacing w:before="20" w:after="40" w:line="240" w:lineRule="auto"/>
        <w:jc w:val="both"/>
      </w:pPr>
      <w:r>
        <w:rPr>
          <w:b w:val="0"/>
          <w:i w:val="0"/>
          <w:highlight w:val="yellow"/>
        </w:rPr>
        <w:t xml:space="preserve">   6.1. Fase 1. Adquisición y selección de datos</w:t>
      </w:r>
    </w:p>
    <w:p>
      <w:pPr>
        <w:spacing w:before="20" w:after="40" w:line="240" w:lineRule="auto"/>
        <w:jc w:val="both"/>
      </w:pPr>
      <w:r>
        <w:rPr>
          <w:b w:val="0"/>
          <w:i w:val="0"/>
          <w:highlight w:val="yellow"/>
        </w:rPr>
        <w:t xml:space="preserve">   6.2. Fase 2. Preprocesamiento de imágenes satelitales</w:t>
      </w:r>
    </w:p>
    <w:p>
      <w:pPr>
        <w:spacing w:before="20" w:after="40" w:line="240" w:lineRule="auto"/>
        <w:jc w:val="both"/>
      </w:pPr>
      <w:r>
        <w:rPr>
          <w:b w:val="0"/>
          <w:i w:val="0"/>
          <w:highlight w:val="yellow"/>
        </w:rPr>
        <w:t xml:space="preserve">   6.3. Fase 3. Construcción del conjunto de datos y definición de características</w:t>
      </w:r>
    </w:p>
    <w:p>
      <w:pPr>
        <w:spacing w:before="20" w:after="40" w:line="240" w:lineRule="auto"/>
        <w:jc w:val="both"/>
      </w:pPr>
      <w:r>
        <w:rPr>
          <w:b w:val="0"/>
          <w:i w:val="0"/>
          <w:highlight w:val="yellow"/>
        </w:rPr>
        <w:t xml:space="preserve">   6.4. Fase 4. Entrenamiento y evaluación de modelos de aprendizaje automático</w:t>
      </w:r>
    </w:p>
    <w:p>
      <w:pPr>
        <w:spacing w:before="20" w:after="40" w:line="240" w:lineRule="auto"/>
        <w:jc w:val="both"/>
      </w:pPr>
      <w:r>
        <w:rPr>
          <w:b w:val="0"/>
          <w:i w:val="0"/>
          <w:highlight w:val="yellow"/>
        </w:rPr>
        <w:t xml:space="preserve">   6.5. Fase 5. Diseño e implementación de la aplicación web</w:t>
      </w:r>
    </w:p>
    <w:p>
      <w:pPr>
        <w:spacing w:before="20" w:after="40" w:line="240" w:lineRule="auto"/>
        <w:jc w:val="both"/>
      </w:pPr>
      <w:r>
        <w:rPr>
          <w:b w:val="0"/>
          <w:i w:val="0"/>
          <w:highlight w:val="yellow"/>
        </w:rPr>
        <w:t xml:space="preserve">   6.6. Fase 6. Integración, pruebas y validación del sistema</w:t>
      </w:r>
    </w:p>
    <w:p>
      <w:pPr>
        <w:spacing w:before="20" w:after="40" w:line="240" w:lineRule="auto"/>
        <w:jc w:val="both"/>
      </w:pPr>
      <w:r>
        <w:rPr>
          <w:b w:val="0"/>
          <w:i w:val="0"/>
          <w:highlight w:val="yellow"/>
        </w:rPr>
        <w:t>7. Desarrollo ingenieril</w:t>
      </w:r>
    </w:p>
    <w:p>
      <w:pPr>
        <w:spacing w:before="20" w:after="40" w:line="240" w:lineRule="auto"/>
        <w:jc w:val="both"/>
      </w:pPr>
      <w:r>
        <w:rPr>
          <w:b w:val="0"/>
          <w:i w:val="0"/>
        </w:rPr>
        <w:t xml:space="preserve">   7.1. Requisitos</w:t>
      </w:r>
    </w:p>
    <w:p>
      <w:pPr>
        <w:spacing w:before="20" w:after="40" w:line="240" w:lineRule="auto"/>
        <w:jc w:val="both"/>
      </w:pPr>
      <w:r>
        <w:rPr>
          <w:b w:val="0"/>
          <w:i w:val="0"/>
        </w:rPr>
        <w:t xml:space="preserve">      7.1.1. Requisitos funcionales</w:t>
      </w:r>
    </w:p>
    <w:p>
      <w:pPr>
        <w:spacing w:before="20" w:after="40" w:line="240" w:lineRule="auto"/>
        <w:jc w:val="both"/>
      </w:pPr>
      <w:r>
        <w:rPr>
          <w:b w:val="0"/>
          <w:i w:val="0"/>
        </w:rPr>
        <w:t xml:space="preserve">      7.1.2. Requisitos no funcionales</w:t>
      </w:r>
    </w:p>
    <w:p>
      <w:pPr>
        <w:spacing w:before="20" w:after="40" w:line="240" w:lineRule="auto"/>
        <w:jc w:val="both"/>
      </w:pPr>
      <w:r>
        <w:rPr>
          <w:b w:val="0"/>
          <w:i w:val="0"/>
        </w:rPr>
        <w:t xml:space="preserve">   7.2. Modelados</w:t>
      </w:r>
    </w:p>
    <w:p>
      <w:pPr>
        <w:spacing w:before="20" w:after="40" w:line="240" w:lineRule="auto"/>
        <w:jc w:val="both"/>
      </w:pPr>
      <w:r>
        <w:rPr>
          <w:b w:val="0"/>
          <w:i w:val="0"/>
        </w:rPr>
        <w:t xml:space="preserve">      7.2.1. Diagrama de casos de uso</w:t>
      </w:r>
    </w:p>
    <w:p>
      <w:pPr>
        <w:spacing w:before="20" w:after="40" w:line="240" w:lineRule="auto"/>
        <w:jc w:val="both"/>
      </w:pPr>
      <w:r>
        <w:rPr>
          <w:b w:val="0"/>
          <w:i w:val="0"/>
        </w:rPr>
        <w:t xml:space="preserve">      7.2.2. Descripción de los casos de uso</w:t>
      </w:r>
    </w:p>
    <w:p>
      <w:pPr>
        <w:spacing w:before="20" w:after="40" w:line="240" w:lineRule="auto"/>
        <w:jc w:val="both"/>
      </w:pPr>
      <w:r>
        <w:rPr>
          <w:b w:val="0"/>
          <w:i w:val="0"/>
        </w:rPr>
        <w:t xml:space="preserve">      7.2.3. Modelo relacional</w:t>
      </w:r>
    </w:p>
    <w:p>
      <w:pPr>
        <w:spacing w:before="20" w:after="40" w:line="240" w:lineRule="auto"/>
        <w:jc w:val="both"/>
      </w:pPr>
      <w:r>
        <w:rPr>
          <w:b w:val="0"/>
          <w:i w:val="0"/>
        </w:rPr>
        <w:t xml:space="preserve">      7.2.4. Diagramas de secuencia</w:t>
      </w:r>
    </w:p>
    <w:p>
      <w:pPr>
        <w:spacing w:before="20" w:after="40" w:line="240" w:lineRule="auto"/>
        <w:jc w:val="both"/>
      </w:pPr>
      <w:r>
        <w:rPr>
          <w:b w:val="0"/>
          <w:i w:val="0"/>
        </w:rPr>
        <w:t xml:space="preserve">      7.2.5. Diagrama de componentes</w:t>
      </w:r>
    </w:p>
    <w:p>
      <w:pPr>
        <w:spacing w:before="20" w:after="40" w:line="240" w:lineRule="auto"/>
        <w:jc w:val="both"/>
      </w:pPr>
      <w:r>
        <w:rPr>
          <w:b w:val="0"/>
          <w:i w:val="0"/>
        </w:rPr>
        <w:t xml:space="preserve">   7.3. Descripción técnica del sistema</w:t>
      </w:r>
    </w:p>
    <w:p>
      <w:pPr>
        <w:spacing w:before="20" w:after="40" w:line="240" w:lineRule="auto"/>
        <w:jc w:val="both"/>
      </w:pPr>
      <w:r>
        <w:rPr>
          <w:b w:val="0"/>
          <w:i w:val="0"/>
        </w:rPr>
        <w:t xml:space="preserve">   7.4. Diseño de interfaces</w:t>
      </w:r>
    </w:p>
    <w:p>
      <w:pPr>
        <w:spacing w:before="20" w:after="40" w:line="240" w:lineRule="auto"/>
        <w:jc w:val="both"/>
      </w:pPr>
      <w:r>
        <w:rPr>
          <w:b w:val="0"/>
          <w:i w:val="0"/>
        </w:rPr>
        <w:t>8. Resultados y análisis</w:t>
      </w:r>
    </w:p>
    <w:p>
      <w:pPr>
        <w:spacing w:before="20" w:after="40" w:line="240" w:lineRule="auto"/>
        <w:jc w:val="both"/>
      </w:pPr>
      <w:r>
        <w:rPr>
          <w:b w:val="0"/>
          <w:i w:val="0"/>
          <w:highlight w:val="yellow"/>
        </w:rPr>
        <w:t xml:space="preserve">   8.1. Evaluación del modelo de aprendizaje automático</w:t>
      </w:r>
    </w:p>
    <w:p>
      <w:pPr>
        <w:spacing w:before="20" w:after="40" w:line="240" w:lineRule="auto"/>
        <w:jc w:val="both"/>
      </w:pPr>
      <w:r>
        <w:rPr>
          <w:b w:val="0"/>
          <w:i w:val="0"/>
          <w:highlight w:val="yellow"/>
        </w:rPr>
        <w:t xml:space="preserve">   8.2. Resultados basados en el entrenamiento del modelo y análisis espectral</w:t>
      </w:r>
    </w:p>
    <w:p>
      <w:pPr>
        <w:spacing w:before="20" w:after="40" w:line="240" w:lineRule="auto"/>
        <w:jc w:val="both"/>
      </w:pPr>
      <w:r>
        <w:rPr>
          <w:b w:val="0"/>
          <w:i w:val="0"/>
          <w:highlight w:val="yellow"/>
        </w:rPr>
        <w:t xml:space="preserve">   8.3. Integración del modelo de aprendizaje automático y ForestGuard (aplicación web)</w:t>
      </w:r>
    </w:p>
    <w:p>
      <w:pPr>
        <w:spacing w:before="20" w:after="40" w:line="240" w:lineRule="auto"/>
        <w:jc w:val="both"/>
      </w:pPr>
      <w:r>
        <w:rPr>
          <w:b w:val="0"/>
          <w:i w:val="0"/>
        </w:rPr>
        <w:t>9. Conclusiones</w:t>
      </w:r>
    </w:p>
    <w:p>
      <w:pPr>
        <w:spacing w:before="20" w:after="40" w:line="240" w:lineRule="auto"/>
        <w:jc w:val="both"/>
      </w:pPr>
      <w:r>
        <w:rPr>
          <w:b w:val="0"/>
          <w:i w:val="0"/>
        </w:rPr>
        <w:t>10. Recomendaciones</w:t>
      </w:r>
    </w:p>
    <w:p>
      <w:pPr>
        <w:spacing w:before="20" w:after="40" w:line="240" w:lineRule="auto"/>
        <w:jc w:val="both"/>
      </w:pPr>
      <w:r>
        <w:rPr>
          <w:b w:val="0"/>
          <w:i w:val="0"/>
        </w:rPr>
        <w:t>Referencias</w:t>
      </w:r>
    </w:p>
    <w:p>
      <w:pPr>
        <w:spacing w:before="20" w:after="40" w:line="240" w:lineRule="auto"/>
        <w:jc w:val="both"/>
      </w:pPr>
      <w:r>
        <w:rPr>
          <w:b w:val="0"/>
          <w:i w:val="0"/>
        </w:rPr>
        <w:t>Anexos</w:t>
      </w:r>
    </w:p>
    <w:p>
      <w:pPr>
        <w:spacing w:before="20" w:after="40" w:line="240" w:lineRule="auto"/>
        <w:jc w:val="both"/>
      </w:pPr>
      <w:r>
        <w:rPr>
          <w:b w:val="0"/>
          <w:i w:val="0"/>
          <w:highlight w:val="yellow"/>
        </w:rPr>
        <w:t xml:space="preserve">   Anexo A. Lista de requisitos funcionales</w:t>
      </w:r>
    </w:p>
    <w:p>
      <w:pPr>
        <w:spacing w:before="20" w:after="40" w:line="240" w:lineRule="auto"/>
        <w:jc w:val="both"/>
      </w:pPr>
      <w:r>
        <w:rPr>
          <w:b w:val="0"/>
          <w:i w:val="0"/>
        </w:rPr>
        <w:t xml:space="preserve">   Anexo B. Lista de descripciones de los casos de uso</w:t>
      </w:r>
    </w:p>
    <w:p>
      <w:pPr>
        <w:spacing w:before="20" w:after="40" w:line="240" w:lineRule="auto"/>
        <w:jc w:val="both"/>
      </w:pPr>
      <w:r>
        <w:rPr>
          <w:b w:val="0"/>
          <w:i w:val="0"/>
        </w:rPr>
        <w:t xml:space="preserve">   Anexo C. Lista de diagramas de secuencia</w:t>
      </w:r>
    </w:p>
    <w:p>
      <w:r>
        <w:br w:type="page"/>
      </w:r>
    </w:p>
    <w:p>
      <w:pPr>
        <w:spacing w:before="320" w:after="160" w:line="276" w:lineRule="auto"/>
        <w:jc w:val="left"/>
      </w:pPr>
      <w:r>
        <w:rPr>
          <w:b/>
          <w:i w:val="0"/>
        </w:rPr>
        <w:t>Lista de tablas</w:t>
      </w:r>
    </w:p>
    <w:p>
      <w:pPr>
        <w:spacing w:before="20" w:after="40" w:line="240" w:lineRule="auto"/>
        <w:jc w:val="both"/>
      </w:pPr>
      <w:r>
        <w:rPr>
          <w:b w:val="0"/>
          <w:i w:val="0"/>
        </w:rPr>
        <w:t>Tabla 1. Lista de índices espectrales de teledetección</w:t>
      </w:r>
    </w:p>
    <w:p>
      <w:pPr>
        <w:spacing w:before="20" w:after="40" w:line="240" w:lineRule="auto"/>
        <w:jc w:val="both"/>
      </w:pPr>
      <w:r>
        <w:rPr>
          <w:b w:val="0"/>
          <w:i w:val="0"/>
          <w:highlight w:val="yellow"/>
        </w:rPr>
        <w:t>Tabla 2. Codificación de clases para el entrenamiento supervisado</w:t>
      </w:r>
    </w:p>
    <w:p>
      <w:pPr>
        <w:spacing w:before="20" w:after="40" w:line="240" w:lineRule="auto"/>
        <w:jc w:val="both"/>
      </w:pPr>
      <w:r>
        <w:rPr>
          <w:b w:val="0"/>
          <w:i w:val="0"/>
        </w:rPr>
        <w:t>Tabla 3. Variables predictoras utilizadas en la construcción del conjunto de datos</w:t>
      </w:r>
    </w:p>
    <w:p>
      <w:pPr>
        <w:spacing w:before="20" w:after="40" w:line="240" w:lineRule="auto"/>
        <w:jc w:val="both"/>
      </w:pPr>
      <w:r>
        <w:rPr>
          <w:b w:val="0"/>
          <w:i w:val="0"/>
        </w:rPr>
        <w:t>Tabla 4. RF-01. Detección de deforestación y degradación forestal mediante imágenes satelitales</w:t>
      </w:r>
    </w:p>
    <w:p>
      <w:pPr>
        <w:spacing w:before="20" w:after="40" w:line="240" w:lineRule="auto"/>
        <w:jc w:val="both"/>
      </w:pPr>
      <w:r>
        <w:rPr>
          <w:b w:val="0"/>
          <w:i w:val="0"/>
        </w:rPr>
        <w:t>Tabla 5. Lista de requisitos no funcionales</w:t>
      </w:r>
    </w:p>
    <w:p>
      <w:pPr>
        <w:spacing w:before="20" w:after="40" w:line="240" w:lineRule="auto"/>
        <w:jc w:val="both"/>
      </w:pPr>
      <w:r>
        <w:rPr>
          <w:b w:val="0"/>
          <w:i w:val="0"/>
        </w:rPr>
        <w:t>Tabla 6. CU-01. Visualizar zonas en riesgo</w:t>
      </w:r>
    </w:p>
    <w:p>
      <w:pPr>
        <w:spacing w:before="20" w:after="40" w:line="240" w:lineRule="auto"/>
        <w:jc w:val="both"/>
      </w:pPr>
      <w:r>
        <w:rPr>
          <w:b w:val="0"/>
          <w:i w:val="0"/>
          <w:highlight w:val="yellow"/>
        </w:rPr>
        <w:t>Tabla 7. Herramientas y tecnologías utilizadas en el desarrollo del sistema</w:t>
      </w:r>
    </w:p>
    <w:p>
      <w:pPr>
        <w:spacing w:before="20" w:after="40" w:line="240" w:lineRule="auto"/>
        <w:jc w:val="both"/>
      </w:pPr>
      <w:r>
        <w:rPr>
          <w:b w:val="0"/>
          <w:i w:val="0"/>
          <w:highlight w:val="yellow"/>
        </w:rPr>
        <w:t>Tabla A1. RF-02. Cargar imagen satelital</w:t>
      </w:r>
    </w:p>
    <w:p>
      <w:pPr>
        <w:spacing w:before="20" w:after="40" w:line="240" w:lineRule="auto"/>
        <w:jc w:val="both"/>
      </w:pPr>
      <w:r>
        <w:rPr>
          <w:b w:val="0"/>
          <w:i w:val="0"/>
          <w:highlight w:val="yellow"/>
        </w:rPr>
        <w:t>Tabla A2. RF-03. Visualizar imagen satelital</w:t>
      </w:r>
    </w:p>
    <w:p>
      <w:pPr>
        <w:spacing w:before="20" w:after="40" w:line="240" w:lineRule="auto"/>
        <w:jc w:val="both"/>
      </w:pPr>
      <w:r>
        <w:rPr>
          <w:b w:val="0"/>
          <w:i w:val="0"/>
          <w:highlight w:val="yellow"/>
        </w:rPr>
        <w:t>Tabla A3. RF-04. Eliminar imagen satelital</w:t>
      </w:r>
    </w:p>
    <w:p>
      <w:pPr>
        <w:spacing w:before="20" w:after="40" w:line="240" w:lineRule="auto"/>
        <w:jc w:val="both"/>
      </w:pPr>
      <w:r>
        <w:rPr>
          <w:b w:val="0"/>
          <w:i w:val="0"/>
          <w:highlight w:val="yellow"/>
        </w:rPr>
        <w:t>Tabla A4. RF-05. Iniciar análisis de la imagen satelital</w:t>
      </w:r>
    </w:p>
    <w:p>
      <w:pPr>
        <w:spacing w:before="20" w:after="40" w:line="240" w:lineRule="auto"/>
        <w:jc w:val="both"/>
      </w:pPr>
      <w:r>
        <w:rPr>
          <w:b w:val="0"/>
          <w:i w:val="0"/>
          <w:highlight w:val="yellow"/>
        </w:rPr>
        <w:t>Tabla A5. RF-06. Clasificar zonas forestales</w:t>
      </w:r>
    </w:p>
    <w:p>
      <w:pPr>
        <w:spacing w:before="20" w:after="40" w:line="240" w:lineRule="auto"/>
        <w:jc w:val="both"/>
      </w:pPr>
      <w:r>
        <w:rPr>
          <w:b w:val="0"/>
          <w:i w:val="0"/>
          <w:highlight w:val="yellow"/>
        </w:rPr>
        <w:t>Tabla A6. RF-07. Calcular las métricas del análisis</w:t>
      </w:r>
    </w:p>
    <w:p>
      <w:pPr>
        <w:spacing w:before="20" w:after="40" w:line="240" w:lineRule="auto"/>
        <w:jc w:val="both"/>
      </w:pPr>
      <w:r>
        <w:rPr>
          <w:b w:val="0"/>
          <w:i w:val="0"/>
          <w:highlight w:val="yellow"/>
        </w:rPr>
        <w:t>Tabla A7. RF-08. Visualizar imagen procesada</w:t>
      </w:r>
    </w:p>
    <w:p>
      <w:pPr>
        <w:spacing w:before="20" w:after="40" w:line="240" w:lineRule="auto"/>
        <w:jc w:val="both"/>
      </w:pPr>
      <w:r>
        <w:rPr>
          <w:b w:val="0"/>
          <w:i w:val="0"/>
          <w:highlight w:val="yellow"/>
        </w:rPr>
        <w:t>Tabla A8. RF-09. Comparar imágenes (original vs procesada)</w:t>
      </w:r>
    </w:p>
    <w:p>
      <w:pPr>
        <w:spacing w:before="20" w:after="40" w:line="240" w:lineRule="auto"/>
        <w:jc w:val="both"/>
      </w:pPr>
      <w:r>
        <w:rPr>
          <w:b w:val="0"/>
          <w:i w:val="0"/>
          <w:highlight w:val="yellow"/>
        </w:rPr>
        <w:t>Tabla A9. RF-10. Seleccionar área de análisis</w:t>
      </w:r>
    </w:p>
    <w:p>
      <w:pPr>
        <w:spacing w:before="20" w:after="40" w:line="240" w:lineRule="auto"/>
        <w:jc w:val="both"/>
      </w:pPr>
      <w:r>
        <w:rPr>
          <w:b w:val="0"/>
          <w:i w:val="0"/>
          <w:highlight w:val="yellow"/>
        </w:rPr>
        <w:t>Tabla A10. RF-11. Calcular áreas por categoría</w:t>
      </w:r>
    </w:p>
    <w:p>
      <w:pPr>
        <w:spacing w:before="20" w:after="40" w:line="240" w:lineRule="auto"/>
        <w:jc w:val="both"/>
      </w:pPr>
      <w:r>
        <w:rPr>
          <w:b w:val="0"/>
          <w:i w:val="0"/>
          <w:highlight w:val="yellow"/>
        </w:rPr>
        <w:t>Tabla A11. RF-12. Calcular porcentajes de clasificación</w:t>
      </w:r>
    </w:p>
    <w:p>
      <w:pPr>
        <w:spacing w:before="20" w:after="40" w:line="240" w:lineRule="auto"/>
        <w:jc w:val="both"/>
      </w:pPr>
      <w:r>
        <w:rPr>
          <w:b w:val="0"/>
          <w:i w:val="0"/>
          <w:highlight w:val="yellow"/>
        </w:rPr>
        <w:t>Tabla A12. RF-13. Visualizar métricas del análisis</w:t>
      </w:r>
    </w:p>
    <w:p>
      <w:pPr>
        <w:spacing w:before="20" w:after="40" w:line="240" w:lineRule="auto"/>
        <w:jc w:val="both"/>
      </w:pPr>
      <w:r>
        <w:rPr>
          <w:b w:val="0"/>
          <w:i w:val="0"/>
          <w:highlight w:val="yellow"/>
        </w:rPr>
        <w:t>Tabla A13. RF-14. Registrar análisis realizado</w:t>
      </w:r>
    </w:p>
    <w:p>
      <w:pPr>
        <w:spacing w:before="20" w:after="40" w:line="240" w:lineRule="auto"/>
        <w:jc w:val="both"/>
      </w:pPr>
      <w:r>
        <w:rPr>
          <w:b w:val="0"/>
          <w:i w:val="0"/>
          <w:highlight w:val="yellow"/>
        </w:rPr>
        <w:t>Tabla A14. RF-15. Consultar historial de análisis</w:t>
      </w:r>
    </w:p>
    <w:p>
      <w:pPr>
        <w:spacing w:before="20" w:after="40" w:line="240" w:lineRule="auto"/>
        <w:jc w:val="both"/>
      </w:pPr>
      <w:r>
        <w:rPr>
          <w:b w:val="0"/>
          <w:i w:val="0"/>
          <w:highlight w:val="yellow"/>
        </w:rPr>
        <w:t>Tabla A15. RF-16. Visualizar análisis previo</w:t>
      </w:r>
    </w:p>
    <w:p>
      <w:pPr>
        <w:spacing w:before="20" w:after="40" w:line="240" w:lineRule="auto"/>
        <w:jc w:val="both"/>
      </w:pPr>
      <w:r>
        <w:rPr>
          <w:b w:val="0"/>
          <w:i w:val="0"/>
          <w:highlight w:val="yellow"/>
        </w:rPr>
        <w:t>Tabla A16. RF-17. Generar reporte de análisis</w:t>
      </w:r>
    </w:p>
    <w:p>
      <w:pPr>
        <w:spacing w:before="20" w:after="40" w:line="240" w:lineRule="auto"/>
        <w:jc w:val="both"/>
      </w:pPr>
      <w:r>
        <w:rPr>
          <w:b w:val="0"/>
          <w:i w:val="0"/>
          <w:highlight w:val="yellow"/>
        </w:rPr>
        <w:t>Tabla A17. RF-18. Descargar reporte</w:t>
      </w:r>
    </w:p>
    <w:p>
      <w:pPr>
        <w:spacing w:before="20" w:after="40" w:line="240" w:lineRule="auto"/>
        <w:jc w:val="both"/>
      </w:pPr>
      <w:r>
        <w:rPr>
          <w:b w:val="0"/>
          <w:i w:val="0"/>
          <w:highlight w:val="yellow"/>
        </w:rPr>
        <w:t>Tabla A18. RF-19. Descargar imagen procesada</w:t>
      </w:r>
    </w:p>
    <w:p>
      <w:pPr>
        <w:spacing w:before="20" w:after="40" w:line="240" w:lineRule="auto"/>
        <w:jc w:val="both"/>
      </w:pPr>
      <w:r>
        <w:rPr>
          <w:b w:val="0"/>
          <w:i w:val="0"/>
          <w:highlight w:val="yellow"/>
        </w:rPr>
        <w:t>Tabla B1. CU-02. Registrarse</w:t>
      </w:r>
    </w:p>
    <w:p>
      <w:pPr>
        <w:spacing w:before="20" w:after="40" w:line="240" w:lineRule="auto"/>
        <w:jc w:val="both"/>
      </w:pPr>
      <w:r>
        <w:rPr>
          <w:b w:val="0"/>
          <w:i w:val="0"/>
          <w:highlight w:val="yellow"/>
        </w:rPr>
        <w:t>Tabla B2. CU-03. Iniciar sesión</w:t>
      </w:r>
    </w:p>
    <w:p>
      <w:pPr>
        <w:spacing w:before="20" w:after="40" w:line="240" w:lineRule="auto"/>
        <w:jc w:val="both"/>
      </w:pPr>
      <w:r>
        <w:rPr>
          <w:b w:val="0"/>
          <w:i w:val="0"/>
          <w:highlight w:val="yellow"/>
        </w:rPr>
        <w:t>Tabla B3. CU-04. Cerrar sesión</w:t>
      </w:r>
    </w:p>
    <w:p>
      <w:pPr>
        <w:spacing w:before="20" w:after="40" w:line="240" w:lineRule="auto"/>
        <w:jc w:val="both"/>
      </w:pPr>
      <w:r>
        <w:rPr>
          <w:b w:val="0"/>
          <w:i w:val="0"/>
          <w:highlight w:val="yellow"/>
        </w:rPr>
        <w:t>Tabla B4. CU-05. Gestionar perfil de usuario</w:t>
      </w:r>
    </w:p>
    <w:p>
      <w:pPr>
        <w:spacing w:before="20" w:after="40" w:line="240" w:lineRule="auto"/>
        <w:jc w:val="both"/>
      </w:pPr>
      <w:r>
        <w:rPr>
          <w:b w:val="0"/>
          <w:i w:val="0"/>
          <w:highlight w:val="yellow"/>
        </w:rPr>
        <w:t>Tabla B5. CU-06. Cargar imágenes satelitales</w:t>
      </w:r>
    </w:p>
    <w:p>
      <w:pPr>
        <w:spacing w:before="20" w:after="40" w:line="240" w:lineRule="auto"/>
        <w:jc w:val="both"/>
      </w:pPr>
      <w:r>
        <w:rPr>
          <w:b w:val="0"/>
          <w:i w:val="0"/>
          <w:highlight w:val="yellow"/>
        </w:rPr>
        <w:t>Tabla B6. CU-07. Consultar imágenes cargadas</w:t>
      </w:r>
    </w:p>
    <w:p>
      <w:pPr>
        <w:spacing w:before="20" w:after="40" w:line="240" w:lineRule="auto"/>
        <w:jc w:val="both"/>
      </w:pPr>
      <w:r>
        <w:rPr>
          <w:b w:val="0"/>
          <w:i w:val="0"/>
          <w:highlight w:val="yellow"/>
        </w:rPr>
        <w:t>Tabla B7. CU-08. Eliminar imágenes cargadas</w:t>
      </w:r>
    </w:p>
    <w:p>
      <w:pPr>
        <w:spacing w:before="20" w:after="40" w:line="240" w:lineRule="auto"/>
        <w:jc w:val="both"/>
      </w:pPr>
      <w:r>
        <w:rPr>
          <w:b w:val="0"/>
          <w:i w:val="0"/>
          <w:highlight w:val="yellow"/>
        </w:rPr>
        <w:t>Tabla B8. CU-09. Seleccionar imágenes para análisis</w:t>
      </w:r>
    </w:p>
    <w:p>
      <w:pPr>
        <w:spacing w:before="20" w:after="40" w:line="240" w:lineRule="auto"/>
        <w:jc w:val="both"/>
      </w:pPr>
      <w:r>
        <w:rPr>
          <w:b w:val="0"/>
          <w:i w:val="0"/>
          <w:highlight w:val="yellow"/>
        </w:rPr>
        <w:t>Tabla B9. CU-10. Consultar historial de análisis</w:t>
      </w:r>
    </w:p>
    <w:p>
      <w:pPr>
        <w:spacing w:before="20" w:after="40" w:line="240" w:lineRule="auto"/>
        <w:jc w:val="both"/>
      </w:pPr>
      <w:r>
        <w:rPr>
          <w:b w:val="0"/>
          <w:i w:val="0"/>
          <w:highlight w:val="yellow"/>
        </w:rPr>
        <w:t>Tabla B10. CU-11. Eliminar análisis del historial</w:t>
      </w:r>
    </w:p>
    <w:p>
      <w:pPr>
        <w:spacing w:before="20" w:after="40" w:line="240" w:lineRule="auto"/>
        <w:jc w:val="both"/>
      </w:pPr>
      <w:r>
        <w:rPr>
          <w:b w:val="0"/>
          <w:i w:val="0"/>
          <w:highlight w:val="yellow"/>
        </w:rPr>
        <w:t>Tabla B11. CU-12. Consultar detalle de análisis</w:t>
      </w:r>
    </w:p>
    <w:p>
      <w:pPr>
        <w:spacing w:before="20" w:after="40" w:line="240" w:lineRule="auto"/>
        <w:jc w:val="both"/>
      </w:pPr>
      <w:r>
        <w:rPr>
          <w:b w:val="0"/>
          <w:i w:val="0"/>
          <w:highlight w:val="yellow"/>
        </w:rPr>
        <w:t>Tabla B12. CU-13. Descargar reporte de análisis</w:t>
      </w:r>
    </w:p>
    <w:p>
      <w:pPr>
        <w:spacing w:before="20" w:after="40" w:line="240" w:lineRule="auto"/>
        <w:jc w:val="both"/>
      </w:pPr>
      <w:r>
        <w:rPr>
          <w:b w:val="0"/>
          <w:i w:val="0"/>
          <w:highlight w:val="yellow"/>
        </w:rPr>
        <w:t>Tabla B13. CU-14. Agregar modelo de aprendizaje automático</w:t>
      </w:r>
    </w:p>
    <w:p>
      <w:pPr>
        <w:spacing w:before="20" w:after="40" w:line="240" w:lineRule="auto"/>
        <w:jc w:val="both"/>
      </w:pPr>
      <w:r>
        <w:rPr>
          <w:b w:val="0"/>
          <w:i w:val="0"/>
          <w:highlight w:val="yellow"/>
        </w:rPr>
        <w:t>Tabla B14. CU-15. Gestionar usuarios</w:t>
      </w:r>
    </w:p>
    <w:p>
      <w:r>
        <w:br w:type="page"/>
      </w:r>
    </w:p>
    <w:p>
      <w:pPr>
        <w:spacing w:before="320" w:after="160" w:line="276" w:lineRule="auto"/>
        <w:jc w:val="left"/>
      </w:pPr>
      <w:r>
        <w:rPr>
          <w:b/>
          <w:i w:val="0"/>
        </w:rPr>
        <w:t>Lista de figuras</w:t>
      </w:r>
    </w:p>
    <w:p>
      <w:pPr>
        <w:spacing w:before="20" w:after="40" w:line="240" w:lineRule="auto"/>
        <w:jc w:val="both"/>
      </w:pPr>
      <w:r>
        <w:rPr>
          <w:b w:val="0"/>
          <w:i w:val="0"/>
        </w:rPr>
        <w:t>Figura 1. Exportación de una escena en formato GeoTIFF con bandas y máscaras de calidad</w:t>
      </w:r>
    </w:p>
    <w:p>
      <w:pPr>
        <w:spacing w:before="20" w:after="40" w:line="240" w:lineRule="auto"/>
        <w:jc w:val="both"/>
      </w:pPr>
      <w:r>
        <w:rPr>
          <w:b w:val="0"/>
          <w:i w:val="0"/>
        </w:rPr>
        <w:t>Figura 2. Cambios en la cobertura boscosa durante el año 2025 según datos oficiales del IDEAM</w:t>
      </w:r>
    </w:p>
    <w:p>
      <w:pPr>
        <w:spacing w:before="20" w:after="40" w:line="240" w:lineRule="auto"/>
        <w:jc w:val="both"/>
      </w:pPr>
      <w:r>
        <w:rPr>
          <w:b w:val="0"/>
          <w:i w:val="0"/>
        </w:rPr>
        <w:t>Figura 3. Distribución espacial del índice NDVI en el municipio de Guamo, Tolima (2020)</w:t>
      </w:r>
    </w:p>
    <w:p>
      <w:pPr>
        <w:spacing w:before="20" w:after="40" w:line="240" w:lineRule="auto"/>
        <w:jc w:val="both"/>
      </w:pPr>
      <w:r>
        <w:rPr>
          <w:b w:val="0"/>
          <w:i w:val="0"/>
        </w:rPr>
        <w:t>Figura 4. Distribución espacial del índice NDMI en el municipio de Guamo, Tolima (2020)</w:t>
      </w:r>
    </w:p>
    <w:p>
      <w:pPr>
        <w:spacing w:before="20" w:after="40" w:line="240" w:lineRule="auto"/>
        <w:jc w:val="both"/>
      </w:pPr>
      <w:r>
        <w:rPr>
          <w:b w:val="0"/>
          <w:i w:val="0"/>
        </w:rPr>
        <w:t>Figura 5. Distribución espacial del índice NBR en el municipio de Guamo, Tolima (2020)</w:t>
      </w:r>
    </w:p>
    <w:p>
      <w:pPr>
        <w:spacing w:before="20" w:after="40" w:line="240" w:lineRule="auto"/>
        <w:jc w:val="both"/>
      </w:pPr>
      <w:r>
        <w:rPr>
          <w:b w:val="0"/>
          <w:i w:val="0"/>
        </w:rPr>
        <w:t>Figura 6. Diferencia temporal del índice NDVI entre los años 2020 y 2021</w:t>
      </w:r>
    </w:p>
    <w:p>
      <w:pPr>
        <w:spacing w:before="20" w:after="40" w:line="240" w:lineRule="auto"/>
        <w:jc w:val="both"/>
      </w:pPr>
      <w:r>
        <w:rPr>
          <w:b w:val="0"/>
          <w:i w:val="0"/>
        </w:rPr>
        <w:t>Figura 7. Diferencia temporal del índice NDMI entre los años 2020 y 2021</w:t>
      </w:r>
    </w:p>
    <w:p>
      <w:pPr>
        <w:spacing w:before="20" w:after="40" w:line="240" w:lineRule="auto"/>
        <w:jc w:val="both"/>
      </w:pPr>
      <w:r>
        <w:rPr>
          <w:b w:val="0"/>
          <w:i w:val="0"/>
        </w:rPr>
        <w:t>Figura 8. Diferencia temporal del índice NBR entre los años 2020 y 2021</w:t>
      </w:r>
    </w:p>
    <w:p>
      <w:pPr>
        <w:spacing w:before="20" w:after="40" w:line="240" w:lineRule="auto"/>
        <w:jc w:val="both"/>
      </w:pPr>
      <w:r>
        <w:rPr>
          <w:b w:val="0"/>
          <w:i w:val="0"/>
          <w:highlight w:val="yellow"/>
        </w:rPr>
        <w:t>Figura 9. Estructura tabular del conjunto de datos con 59.182 registros supervisados</w:t>
      </w:r>
    </w:p>
    <w:p>
      <w:pPr>
        <w:spacing w:before="20" w:after="40" w:line="240" w:lineRule="auto"/>
        <w:jc w:val="both"/>
      </w:pPr>
      <w:r>
        <w:rPr>
          <w:b w:val="0"/>
          <w:i w:val="0"/>
        </w:rPr>
        <w:t>Figura 10. Diagrama de casos de uso de ForestGuard</w:t>
      </w:r>
    </w:p>
    <w:p>
      <w:pPr>
        <w:spacing w:before="20" w:after="40" w:line="240" w:lineRule="auto"/>
        <w:jc w:val="both"/>
      </w:pPr>
      <w:r>
        <w:rPr>
          <w:b w:val="0"/>
          <w:i w:val="0"/>
        </w:rPr>
        <w:t>Figura 11. Modelo entidad-relación de la base de datos</w:t>
      </w:r>
    </w:p>
    <w:p>
      <w:pPr>
        <w:spacing w:before="20" w:after="40" w:line="240" w:lineRule="auto"/>
        <w:jc w:val="both"/>
      </w:pPr>
      <w:r>
        <w:rPr>
          <w:b w:val="0"/>
          <w:i w:val="0"/>
        </w:rPr>
        <w:t>Figura 12. DS-01. Ejecución del análisis de una imagen satelital</w:t>
      </w:r>
    </w:p>
    <w:p>
      <w:pPr>
        <w:spacing w:before="20" w:after="40" w:line="240" w:lineRule="auto"/>
        <w:jc w:val="both"/>
      </w:pPr>
      <w:r>
        <w:rPr>
          <w:b w:val="0"/>
          <w:i w:val="0"/>
        </w:rPr>
        <w:t>Figura 13. Diagrama de componentes</w:t>
      </w:r>
    </w:p>
    <w:p>
      <w:pPr>
        <w:spacing w:before="20" w:after="40" w:line="240" w:lineRule="auto"/>
        <w:jc w:val="both"/>
      </w:pPr>
      <w:r>
        <w:rPr>
          <w:b w:val="0"/>
          <w:i w:val="0"/>
          <w:highlight w:val="yellow"/>
        </w:rPr>
        <w:t>Figura 14. Maqueta (mockup) de la vista de análisis</w:t>
      </w:r>
    </w:p>
    <w:p>
      <w:pPr>
        <w:spacing w:before="20" w:after="40" w:line="240" w:lineRule="auto"/>
        <w:jc w:val="both"/>
      </w:pPr>
      <w:r>
        <w:rPr>
          <w:b w:val="0"/>
          <w:i w:val="0"/>
          <w:highlight w:val="yellow"/>
        </w:rPr>
        <w:t>Figura 15. Maqueta (mockup) del proceso de análisis (estado de procesamiento)</w:t>
      </w:r>
    </w:p>
    <w:p>
      <w:pPr>
        <w:spacing w:before="20" w:after="40" w:line="240" w:lineRule="auto"/>
        <w:jc w:val="both"/>
      </w:pPr>
      <w:r>
        <w:rPr>
          <w:b w:val="0"/>
          <w:i w:val="0"/>
          <w:highlight w:val="yellow"/>
        </w:rPr>
        <w:t>Figura 16. Maqueta (mockup) del historial de imágenes analizadas</w:t>
      </w:r>
    </w:p>
    <w:p>
      <w:pPr>
        <w:spacing w:before="20" w:after="40" w:line="240" w:lineRule="auto"/>
        <w:jc w:val="both"/>
      </w:pPr>
      <w:r>
        <w:rPr>
          <w:b w:val="0"/>
          <w:i w:val="0"/>
          <w:highlight w:val="yellow"/>
        </w:rPr>
        <w:t>Figura 17. Maqueta (mockup) del detalle del análisis de la imagen</w:t>
      </w:r>
    </w:p>
    <w:p>
      <w:pPr>
        <w:spacing w:before="20" w:after="40" w:line="240" w:lineRule="auto"/>
        <w:jc w:val="both"/>
      </w:pPr>
      <w:r>
        <w:rPr>
          <w:b w:val="0"/>
          <w:i w:val="0"/>
        </w:rPr>
        <w:t>Figura 18. Escenas satelitales y etiquetas supervisadas para la evaluación geográfica del modelo Random Forest v9</w:t>
      </w:r>
    </w:p>
    <w:p>
      <w:pPr>
        <w:spacing w:before="20" w:after="40" w:line="240" w:lineRule="auto"/>
        <w:jc w:val="both"/>
      </w:pPr>
      <w:r>
        <w:rPr>
          <w:b w:val="0"/>
          <w:i w:val="0"/>
        </w:rPr>
        <w:t>Figura 19. Matriz de confusión y métricas de desempeño del modelo Random Forest v9</w:t>
      </w:r>
    </w:p>
    <w:p>
      <w:pPr>
        <w:spacing w:before="20" w:after="40" w:line="240" w:lineRule="auto"/>
        <w:jc w:val="both"/>
      </w:pPr>
      <w:r>
        <w:rPr>
          <w:b w:val="0"/>
          <w:i w:val="0"/>
        </w:rPr>
        <w:t>Figura 20. Visualización de índices espectrales y estadísticas descriptivas en ForestGuard</w:t>
      </w:r>
    </w:p>
    <w:p>
      <w:pPr>
        <w:spacing w:before="20" w:after="40" w:line="240" w:lineRule="auto"/>
        <w:jc w:val="both"/>
      </w:pPr>
      <w:r>
        <w:rPr>
          <w:b w:val="0"/>
          <w:i w:val="0"/>
        </w:rPr>
        <w:t>Figura 21. Comparación multitemporal del NDVI entre 2019 y 2026 e indicios espectrales</w:t>
      </w:r>
    </w:p>
    <w:p>
      <w:pPr>
        <w:spacing w:before="20" w:after="40" w:line="240" w:lineRule="auto"/>
        <w:jc w:val="both"/>
      </w:pPr>
      <w:r>
        <w:rPr>
          <w:b w:val="0"/>
          <w:i w:val="0"/>
        </w:rPr>
        <w:t>Figura 22. Comparación multitemporal del NDVI en cinco intervalos consecutivos</w:t>
      </w:r>
    </w:p>
    <w:p>
      <w:pPr>
        <w:spacing w:before="20" w:after="40" w:line="240" w:lineRule="auto"/>
        <w:jc w:val="both"/>
      </w:pPr>
      <w:r>
        <w:rPr>
          <w:b w:val="0"/>
          <w:i w:val="0"/>
          <w:highlight w:val="yellow"/>
        </w:rPr>
        <w:t>Figura C1. DS-02. Inicio de sesión</w:t>
      </w:r>
    </w:p>
    <w:p>
      <w:pPr>
        <w:spacing w:before="20" w:after="40" w:line="240" w:lineRule="auto"/>
        <w:jc w:val="both"/>
      </w:pPr>
      <w:r>
        <w:rPr>
          <w:b w:val="0"/>
          <w:i w:val="0"/>
          <w:highlight w:val="yellow"/>
        </w:rPr>
        <w:t>Figura C2. DS-03. Subir/cargar una imagen satelital</w:t>
      </w:r>
    </w:p>
    <w:p>
      <w:pPr>
        <w:spacing w:before="20" w:after="40" w:line="240" w:lineRule="auto"/>
        <w:jc w:val="both"/>
      </w:pPr>
      <w:r>
        <w:rPr>
          <w:b w:val="0"/>
          <w:i w:val="0"/>
          <w:highlight w:val="yellow"/>
        </w:rPr>
        <w:t>Figura C3. DS-04. Comparar imágenes de diferentes periodos</w:t>
      </w:r>
    </w:p>
    <w:p>
      <w:pPr>
        <w:spacing w:before="20" w:after="40" w:line="240" w:lineRule="auto"/>
        <w:jc w:val="both"/>
      </w:pPr>
      <w:r>
        <w:rPr>
          <w:b w:val="0"/>
          <w:i w:val="0"/>
          <w:highlight w:val="yellow"/>
        </w:rPr>
        <w:t>Figura C4. DS-05. Visualización de los resultados del análisis de imágenes satelitales</w:t>
      </w:r>
    </w:p>
    <w:p>
      <w:pPr>
        <w:spacing w:before="20" w:after="40" w:line="240" w:lineRule="auto"/>
        <w:jc w:val="both"/>
      </w:pPr>
      <w:r>
        <w:rPr>
          <w:b w:val="0"/>
          <w:i w:val="0"/>
          <w:highlight w:val="yellow"/>
        </w:rPr>
        <w:t>Figura C5. DS-06. Generar y visualizar un reporte en formato PDF</w:t>
      </w:r>
    </w:p>
    <w:p>
      <w:r>
        <w:br w:type="page"/>
      </w:r>
    </w:p>
    <w:p>
      <w:pPr>
        <w:spacing w:before="320" w:after="160" w:line="276" w:lineRule="auto"/>
        <w:jc w:val="left"/>
      </w:pPr>
      <w:r>
        <w:rPr>
          <w:b/>
          <w:i w:val="0"/>
        </w:rPr>
        <w:t>1. Introducción</w:t>
      </w:r>
    </w:p>
    <w:p>
      <w:pPr>
        <w:spacing w:before="0" w:after="120" w:line="276" w:lineRule="auto"/>
        <w:jc w:val="both"/>
      </w:pPr>
      <w:r>
        <w:rPr>
          <w:b w:val="0"/>
          <w:i w:val="0"/>
        </w:rPr>
        <w:t>Los ecosistemas forestales desempeñan un papel fundamental en el equilibrio ambiental, debido a su contribución a la conservación de la biodiversidad, la regulación climática, el almacenamiento de carbono, la protección de los recursos hídricos y la prestación de diversos servicios ecosistémicos. Sin embargo, estos ecosistemas se encuentran expuestos a procesos de deforestación y degradación asociados a diferentes dinámicas naturales y actividades humanas, generando transformaciones que pueden afectar la estabilidad y sostenibilidad de los territorios. Ante esta situación, el monitoreo continuo de las áreas forestales constituye un elemento importante para identificar oportunamente cambios en la cobertura vegetal y apoyar los procesos relacionados con la gestión y conservación ambiental.</w:t>
      </w:r>
    </w:p>
    <w:p>
      <w:pPr>
        <w:spacing w:before="0" w:after="120" w:line="276" w:lineRule="auto"/>
        <w:jc w:val="both"/>
      </w:pPr>
      <w:r>
        <w:rPr>
          <w:b w:val="0"/>
          <w:i w:val="0"/>
        </w:rPr>
        <w:t>El desarrollo de tecnologías de observación de la Tierra ha permitido disponer de grandes volúmenes de información mediante imágenes obtenidas por sensores satelitales. Estas imágenes proporcionan información espacial y temporal que puede ser utilizada para caracterizar la cobertura terrestre, identificar modificaciones en la vegetación y analizar la evolución de los ecosistemas. No obstante, el procesamiento e interpretación de estos datos puede representar un desafío debido al volumen de información disponible, la dimensionalidad de las bandas geoespaciales y la necesidad de emplear procedimientos computacionales especializados para transformar datos crudos en información temática interpretable.</w:t>
      </w:r>
    </w:p>
    <w:p>
      <w:pPr>
        <w:spacing w:before="0" w:after="120" w:line="276" w:lineRule="auto"/>
        <w:jc w:val="both"/>
      </w:pPr>
      <w:r>
        <w:rPr>
          <w:b w:val="0"/>
          <w:i w:val="0"/>
        </w:rPr>
        <w:t xml:space="preserve">En este contexto, las técnicas de </w:t>
      </w:r>
      <w:r>
        <w:rPr>
          <w:b w:val="0"/>
          <w:i/>
          <w:highlight w:val="yellow"/>
        </w:rPr>
        <w:t>machine learning</w:t>
      </w:r>
      <w:r>
        <w:rPr>
          <w:b w:val="0"/>
          <w:i w:val="0"/>
        </w:rPr>
        <w:t xml:space="preserve"> o aprendizaje automático ofrecen alternativas para automatizar el análisis de información geoespacial mediante modelos capaces de reconocer patrones espaciales y temporales en conjuntos de datos complejos. La integración de estas técnicas con imágenes satelitales permite optimizar la clasificación de coberturas, la detección de cambios y la caracterización de áreas asociadas a perturbaciones forestales. Sin embargo, la utilidad de estos modelos se ve limitada si sus resultados permanecen aislados de plataformas accesibles que faciliten su consulta e interpretación.</w:t>
      </w:r>
    </w:p>
    <w:p>
      <w:pPr>
        <w:spacing w:before="0" w:after="120" w:line="276" w:lineRule="auto"/>
        <w:jc w:val="both"/>
      </w:pPr>
      <w:r>
        <w:rPr>
          <w:b w:val="0"/>
          <w:i w:val="0"/>
        </w:rPr>
        <w:t xml:space="preserve">Por lo tanto, el presente trabajo de grado </w:t>
      </w:r>
      <w:r>
        <w:rPr>
          <w:b w:val="0"/>
          <w:i w:val="0"/>
          <w:highlight w:val="yellow"/>
        </w:rPr>
        <w:t xml:space="preserve">desarrolló </w:t>
      </w:r>
      <w:r>
        <w:rPr>
          <w:b w:val="0"/>
          <w:i w:val="0"/>
        </w:rPr>
        <w:t xml:space="preserve">una aplicación web para la identificación y visualización de ecosistemas forestales asociados a riesgos de deforestación </w:t>
      </w:r>
      <w:r>
        <w:rPr>
          <w:b w:val="0"/>
          <w:i w:val="0"/>
          <w:highlight w:val="yellow"/>
        </w:rPr>
        <w:t xml:space="preserve">o </w:t>
      </w:r>
      <w:r>
        <w:rPr>
          <w:b w:val="0"/>
          <w:i w:val="0"/>
        </w:rPr>
        <w:t xml:space="preserve">degradación mediante el análisis de imágenes satelitales utilizando </w:t>
      </w:r>
      <w:r>
        <w:rPr>
          <w:b w:val="0"/>
          <w:i/>
          <w:highlight w:val="yellow"/>
        </w:rPr>
        <w:t>machine learning</w:t>
      </w:r>
      <w:r>
        <w:rPr>
          <w:b w:val="0"/>
          <w:i w:val="0"/>
        </w:rPr>
        <w:t xml:space="preserve">. La propuesta </w:t>
      </w:r>
      <w:r>
        <w:rPr>
          <w:b w:val="0"/>
          <w:i w:val="0"/>
          <w:highlight w:val="yellow"/>
        </w:rPr>
        <w:t xml:space="preserve">articuló </w:t>
      </w:r>
      <w:r>
        <w:rPr>
          <w:b w:val="0"/>
          <w:i w:val="0"/>
        </w:rPr>
        <w:t>el procesamiento de información satelital, el análisis mediante modelos de aprendizaje automático y la representación geoespacial de los resultados dentro de una solución informática accesible a través de la web, transformando datos satelitales complejos en capas geográficas interpretables.</w:t>
      </w:r>
    </w:p>
    <w:p>
      <w:pPr>
        <w:spacing w:before="0" w:after="120" w:line="276" w:lineRule="auto"/>
        <w:jc w:val="both"/>
      </w:pPr>
      <w:r>
        <w:rPr>
          <w:b w:val="0"/>
          <w:i w:val="0"/>
        </w:rPr>
        <w:t>El desarrollo de esta solución se inscribió en la línea de investigación de Desarrollo de Software y la sublínea de Inteligencia Artificial de la Universidad Cooperativa de Colombia. El proyecto comprendió la adquisición de escenas Sentinel-2, el preprocesamiento de bandas espectrales y máscaras de calidad, el entrenamiento y evaluación de un clasificador supervisado, y el desarrollo de una arquitectura cliente-servidor para la consulta de métricas e informes técnicos.</w:t>
      </w:r>
    </w:p>
    <w:p>
      <w:pPr>
        <w:spacing w:before="320" w:after="160" w:line="276" w:lineRule="auto"/>
        <w:jc w:val="left"/>
      </w:pPr>
      <w:r>
        <w:rPr>
          <w:b/>
          <w:i w:val="0"/>
        </w:rPr>
        <w:t>2. Planteamiento del problema</w:t>
      </w:r>
    </w:p>
    <w:p>
      <w:pPr>
        <w:spacing w:before="0" w:after="120" w:line="276" w:lineRule="auto"/>
        <w:jc w:val="both"/>
      </w:pPr>
      <w:r>
        <w:rPr>
          <w:b w:val="0"/>
          <w:i w:val="0"/>
        </w:rPr>
        <w:t>Los ecosistemas forestales cumplen funciones fundamentales para el equilibrio ambiental, debido a su relación con la conservación de la biodiversidad, la regulación climática, la protección del suelo y del recurso hídrico y la provisión de diferentes servicios ecosistémicos. Sin embargo, estos ecosistemas se encuentran sometidos a procesos de deforestación, degradación y transformación del uso del suelo, asociados, entre otros factores, a la expansión agrícola, las actividades humanas y diferentes perturbaciones ambientales. La literatura reciente evidencia que estos procesos continúan representando un desafío para la gestión y conservación de los recursos forestales, haciendo necesario fortalecer los mecanismos de monitoreo y análisis espacial. Forkuo et al. (2026), mediante una revisión sistemática de investigaciones sobre inteligencia artificial aplicada al sector forestal, identifican el crecimiento del uso de técnicas de aprendizaje automático combinadas con datos provenientes de sensores remotos para automatizar procesos de evaluación, clasificación, monitoreo y gestión forestal.</w:t>
      </w:r>
    </w:p>
    <w:p>
      <w:pPr>
        <w:spacing w:before="0" w:after="120" w:line="276" w:lineRule="auto"/>
        <w:jc w:val="both"/>
      </w:pPr>
      <w:r>
        <w:rPr>
          <w:b w:val="0"/>
          <w:i w:val="0"/>
        </w:rPr>
        <w:t>En este contexto, las imágenes satelitales constituyen una fuente relevante de información para analizar la dinámica espacial y temporal de los ecosistemas forestales. Su capacidad para proporcionar información sobre grandes extensiones territoriales permite identificar modificaciones en la cobertura vegetal y estudiar procesos relacionados con el cambio de uso del suelo. Un ejemplo de ello es el estudio desarrollado en el bosque Wof-Washa y sus alrededores, donde Hake et al. (2026) utilizaron imágenes Landsat, índices de vegetación y técnicas de Sistemas de Información Geográfica, incorporando el algoritmo Random Forest para analizar cambios de cobertura y uso del suelo durante varias décadas. Los resultados permitieron identificar variaciones en la cobertura forestal y relacionarlas con factores como el crecimiento poblacional, la demanda de leña, la expansión agrícola y cambios institucionales.</w:t>
      </w:r>
    </w:p>
    <w:p>
      <w:pPr>
        <w:spacing w:before="0" w:after="120" w:line="276" w:lineRule="auto"/>
        <w:jc w:val="both"/>
      </w:pPr>
      <w:r>
        <w:rPr>
          <w:b w:val="0"/>
          <w:i w:val="0"/>
        </w:rPr>
        <w:t>No obstante, la disponibilidad de imágenes satelitales no implica por sí misma que la información pueda ser utilizada de manera sencilla, oportuna y accesible para la identificación de ecosistemas forestales susceptibles a procesos de deforestación o degradación. El análisis de grandes volúmenes de información geoespacial requiere conocimientos especializados en teledetección, procesamiento de imágenes, Sistemas de Información Geográfica y aprendizaje automático. Adicionalmente, los modelos de inteligencia artificial pueden presentar dificultades relacionadas con la generalización hacia diferentes ecosistemas, la cantidad de datos requerida y los recursos computacionales necesarios para su implementación.</w:t>
      </w:r>
    </w:p>
    <w:p>
      <w:pPr>
        <w:spacing w:before="0" w:after="120" w:line="276" w:lineRule="auto"/>
        <w:jc w:val="both"/>
      </w:pPr>
      <w:r>
        <w:rPr>
          <w:b w:val="0"/>
          <w:i w:val="0"/>
        </w:rPr>
        <w:t>Otro aspecto relevante corresponde a la necesidad de transformar los resultados del análisis geoespacial en información que pueda ser interpretada y utilizada por diferentes usuarios. Arvor et al. (2026), mediante la plataforma CHOVE-CHUVA, evidencian el potencial de las plataformas de observación terrestre para integrar información geoespacial y apoyar el monitoreo de dinámicas socioambientales. Este tipo de soluciones demuestra la importancia de no limitar el procesamiento a modelos o análisis independientes, sino de integrar los resultados dentro de herramientas que permitan consultar y visualizar la información espacialmente. De igual manera, Kushwaha et al. (2026) señalan que la integración de información forestal, tecnologías de percepción remota, Sistemas de Información Geográfica y diferentes mecanismos de visualización permite mejorar la exploración y comprensión de los datos forestales.</w:t>
      </w:r>
    </w:p>
    <w:p>
      <w:pPr>
        <w:spacing w:before="0" w:after="120" w:line="276" w:lineRule="auto"/>
        <w:jc w:val="both"/>
      </w:pPr>
      <w:r>
        <w:rPr>
          <w:b w:val="0"/>
          <w:i w:val="0"/>
        </w:rPr>
        <w:t xml:space="preserve">Por lo anterior, se identificó una brecha entre la generación de información mediante sensores remotos y algoritmos de aprendizaje automático, y su integración en una solución de software que permita identificar y visualizar de manera accesible los ecosistemas forestales asociados a riesgos de deforestación </w:t>
      </w:r>
      <w:r>
        <w:rPr>
          <w:b w:val="0"/>
          <w:i w:val="0"/>
          <w:highlight w:val="yellow"/>
        </w:rPr>
        <w:t xml:space="preserve">o </w:t>
      </w:r>
      <w:r>
        <w:rPr>
          <w:b w:val="0"/>
          <w:i w:val="0"/>
        </w:rPr>
        <w:t xml:space="preserve">degradación. Aunque existen investigaciones que demuestran la efectividad de diferentes técnicas de </w:t>
      </w:r>
      <w:r>
        <w:rPr>
          <w:b w:val="0"/>
          <w:i/>
          <w:highlight w:val="yellow"/>
        </w:rPr>
        <w:t>machine learning</w:t>
      </w:r>
      <w:r>
        <w:rPr>
          <w:b w:val="0"/>
          <w:i w:val="0"/>
        </w:rPr>
        <w:t xml:space="preserve"> para clasificar coberturas, estos enfoques suelen concentrarse en el modelo analítico sin abordar su integración en una aplicación web interactiva.</w:t>
      </w:r>
    </w:p>
    <w:p>
      <w:pPr>
        <w:spacing w:before="240" w:after="120" w:line="276" w:lineRule="auto"/>
        <w:jc w:val="left"/>
      </w:pPr>
      <w:r>
        <w:rPr>
          <w:b/>
          <w:i w:val="0"/>
        </w:rPr>
        <w:t>2.1. Pregunta de investigación</w:t>
      </w:r>
    </w:p>
    <w:p>
      <w:pPr>
        <w:spacing w:before="0" w:after="240" w:line="276" w:lineRule="auto"/>
        <w:jc w:val="both"/>
      </w:pPr>
      <w:r>
        <w:rPr>
          <w:b w:val="0"/>
          <w:i w:val="0"/>
        </w:rPr>
        <w:t xml:space="preserve">¿Cómo desarrollar una aplicación web que integre el análisis de imágenes satelitales y algoritmos de aprendizaje automático para la identificación y visualización automatizada de zonas de riesgo asociadas a la deforestación </w:t>
      </w:r>
      <w:r>
        <w:rPr>
          <w:b w:val="0"/>
          <w:i w:val="0"/>
          <w:highlight w:val="yellow"/>
        </w:rPr>
        <w:t xml:space="preserve">o </w:t>
      </w:r>
      <w:r>
        <w:rPr>
          <w:b w:val="0"/>
          <w:i w:val="0"/>
        </w:rPr>
        <w:t>degradación de los ecosistemas forestales?</w:t>
      </w:r>
    </w:p>
    <w:p>
      <w:pPr>
        <w:spacing w:before="320" w:after="160" w:line="276" w:lineRule="auto"/>
        <w:jc w:val="left"/>
      </w:pPr>
      <w:r>
        <w:rPr>
          <w:b/>
          <w:i w:val="0"/>
        </w:rPr>
        <w:t>3. Justificación</w:t>
      </w:r>
    </w:p>
    <w:p>
      <w:pPr>
        <w:spacing w:before="0" w:after="120" w:line="276" w:lineRule="auto"/>
        <w:jc w:val="both"/>
      </w:pPr>
      <w:r>
        <w:rPr>
          <w:b w:val="0"/>
          <w:i w:val="0"/>
        </w:rPr>
        <w:t>La presente investigación se justificó por la necesidad de fortalecer las herramientas tecnológicas destinadas al análisis y monitoreo de los ecosistemas forestales frente a procesos de deforestación y degradación. La literatura reciente demuestra que la integración de inteligencia artificial, aprendizaje automático y tecnologías de percepción remota constituye una línea de investigación en crecimiento para el análisis de información forestal (Forkuo et al., 2026).</w:t>
      </w:r>
    </w:p>
    <w:p>
      <w:pPr>
        <w:spacing w:before="0" w:after="120" w:line="276" w:lineRule="auto"/>
        <w:jc w:val="both"/>
      </w:pPr>
      <w:r>
        <w:rPr>
          <w:b w:val="0"/>
          <w:i w:val="0"/>
        </w:rPr>
        <w:t>Desde la perspectiva ambiental, el proyecto contribuye al fortalecimiento del monitoreo de los ecosistemas forestales mediante el procesamiento sistemático de imágenes satelitales. La posibilidad de identificar espacialmente áreas asociadas a indicios de deforestación o degradación permite disponer de información oportuna que complementa los procesos tradicionales de observación y análisis territorial.</w:t>
      </w:r>
    </w:p>
    <w:p>
      <w:pPr>
        <w:spacing w:before="0" w:after="120" w:line="276" w:lineRule="auto"/>
        <w:jc w:val="both"/>
      </w:pPr>
      <w:r>
        <w:rPr>
          <w:b w:val="0"/>
          <w:i w:val="0"/>
        </w:rPr>
        <w:t>Desde la perspectiva social, el proyecto facilita el acceso y comprensión de información técnica sobre el estado de los ecosistemas forestales. La presentación de los resultados mediante una aplicación web reduce la dependencia respecto a programas de escritorio especializados para consultar información espacial, permitiendo que diversos actores (investigadores, comunidades y entidades ambientales) visualicen los resultados de manera interactiva.</w:t>
      </w:r>
    </w:p>
    <w:p>
      <w:pPr>
        <w:spacing w:before="0" w:after="120" w:line="276" w:lineRule="auto"/>
        <w:jc w:val="both"/>
      </w:pPr>
      <w:r>
        <w:rPr>
          <w:b w:val="0"/>
          <w:i w:val="0"/>
        </w:rPr>
        <w:t xml:space="preserve">Desde la perspectiva tecnológica, la propuesta representó una aplicación de ingeniería de software e inteligencia artificial. El proyecto articuló tres componentes tecnológicos principales: el procesamiento de imágenes satelitales con librerías geoespaciales (*rasterio*, *numpy*), la aplicación de modelos de </w:t>
      </w:r>
      <w:r>
        <w:rPr>
          <w:b w:val="0"/>
          <w:i/>
          <w:highlight w:val="yellow"/>
        </w:rPr>
        <w:t>machine learning</w:t>
      </w:r>
      <w:r>
        <w:rPr>
          <w:b w:val="0"/>
          <w:i w:val="0"/>
        </w:rPr>
        <w:t xml:space="preserve"> supervisados (*scikit-learn*), y la visualización de resultados mediante una aplicación web desacoplada desarrollada con React y Django REST Framework.</w:t>
      </w:r>
    </w:p>
    <w:p>
      <w:pPr>
        <w:spacing w:before="0" w:after="120" w:line="276" w:lineRule="auto"/>
        <w:jc w:val="both"/>
      </w:pPr>
      <w:r>
        <w:rPr>
          <w:b w:val="0"/>
          <w:i w:val="0"/>
        </w:rPr>
        <w:t>Desde la perspectiva académica, el proyecto integró conocimientos de ingeniería de software, bases de datos relacionales, procesamiento de imágenes y análisis geoespacial en una solución tecnológica concreta, aplicando competencias de la Ingeniería de Sistemas a una problemática ambiental real.</w:t>
      </w:r>
    </w:p>
    <w:p>
      <w:pPr>
        <w:spacing w:before="320" w:after="160" w:line="276" w:lineRule="auto"/>
        <w:jc w:val="left"/>
      </w:pPr>
      <w:r>
        <w:rPr>
          <w:b/>
          <w:i w:val="0"/>
        </w:rPr>
        <w:t>4. Objetivos</w:t>
      </w:r>
    </w:p>
    <w:p>
      <w:pPr>
        <w:spacing w:before="240" w:after="120" w:line="276" w:lineRule="auto"/>
        <w:jc w:val="left"/>
      </w:pPr>
      <w:r>
        <w:rPr>
          <w:b/>
          <w:i w:val="0"/>
        </w:rPr>
        <w:t>4.1. Objetivo general</w:t>
      </w:r>
    </w:p>
    <w:p>
      <w:pPr>
        <w:spacing w:before="0" w:after="200" w:line="276" w:lineRule="auto"/>
        <w:jc w:val="both"/>
      </w:pPr>
      <w:r>
        <w:rPr>
          <w:b w:val="0"/>
          <w:i w:val="0"/>
        </w:rPr>
        <w:t xml:space="preserve">Desarrollar una aplicación web para la identificación y visualización de ecosistemas forestales </w:t>
      </w:r>
      <w:r>
        <w:rPr>
          <w:b/>
          <w:i w:val="0"/>
          <w:highlight w:val="yellow"/>
        </w:rPr>
        <w:t xml:space="preserve">asociados </w:t>
      </w:r>
      <w:r>
        <w:rPr>
          <w:b w:val="0"/>
          <w:i w:val="0"/>
        </w:rPr>
        <w:t xml:space="preserve">a riesgos de deforestación </w:t>
      </w:r>
      <w:r>
        <w:rPr>
          <w:b/>
          <w:i w:val="0"/>
          <w:highlight w:val="yellow"/>
        </w:rPr>
        <w:t xml:space="preserve">o </w:t>
      </w:r>
      <w:r>
        <w:rPr>
          <w:b w:val="0"/>
          <w:i w:val="0"/>
        </w:rPr>
        <w:t xml:space="preserve">degradación mediante el análisis de imágenes satelitales utilizando </w:t>
      </w:r>
      <w:r>
        <w:rPr>
          <w:b/>
          <w:i/>
          <w:highlight w:val="yellow"/>
        </w:rPr>
        <w:t>machine learning</w:t>
      </w:r>
    </w:p>
    <w:p>
      <w:pPr>
        <w:spacing w:before="240" w:after="120" w:line="276" w:lineRule="auto"/>
        <w:jc w:val="left"/>
      </w:pPr>
      <w:r>
        <w:rPr>
          <w:b/>
          <w:i w:val="0"/>
        </w:rPr>
        <w:t>4.2. Objetivos específicos</w:t>
      </w:r>
    </w:p>
    <w:p>
      <w:pPr>
        <w:spacing w:before="0" w:after="120" w:line="276" w:lineRule="auto"/>
        <w:jc w:val="both"/>
      </w:pPr>
      <w:r>
        <w:rPr>
          <w:b w:val="0"/>
          <w:i w:val="0"/>
        </w:rPr>
        <w:t>• Recolectar información geoespacial, imágenes satelitales y variables ambientales necesarias para el análisis y definición de los requerimientos del sistema.</w:t>
      </w:r>
    </w:p>
    <w:p>
      <w:pPr>
        <w:spacing w:before="0" w:after="120" w:line="276" w:lineRule="auto"/>
        <w:jc w:val="both"/>
      </w:pPr>
      <w:r>
        <w:rPr>
          <w:b w:val="0"/>
          <w:i w:val="0"/>
        </w:rPr>
        <w:t>• Diseñar la arquitectura y los modelos de análisis del sistema, definiendo los algoritmos de aprendizaje automático y el flujo de procesamiento de imágenes satelitales para la delimitación de zonas identificadas.</w:t>
      </w:r>
    </w:p>
    <w:p>
      <w:pPr>
        <w:spacing w:before="0" w:after="120" w:line="276" w:lineRule="auto"/>
        <w:jc w:val="both"/>
      </w:pPr>
      <w:r>
        <w:rPr>
          <w:b w:val="0"/>
          <w:i w:val="0"/>
        </w:rPr>
        <w:t>• Construir la aplicación web implementando algoritmos de procesamiento de imágenes y modelos de aprendizaje automático para la generación y visualización de resultados temáticos.</w:t>
      </w:r>
    </w:p>
    <w:p>
      <w:pPr>
        <w:spacing w:before="320" w:after="160" w:line="276" w:lineRule="auto"/>
        <w:jc w:val="left"/>
      </w:pPr>
      <w:r>
        <w:rPr>
          <w:b/>
          <w:i w:val="0"/>
        </w:rPr>
        <w:t>5. Marcos de referencia</w:t>
      </w:r>
    </w:p>
    <w:p>
      <w:pPr>
        <w:spacing w:before="240" w:after="120" w:line="276" w:lineRule="auto"/>
        <w:jc w:val="left"/>
      </w:pPr>
      <w:r>
        <w:rPr>
          <w:b/>
          <w:i w:val="0"/>
        </w:rPr>
        <w:t>5.1. Marco teórico</w:t>
      </w:r>
    </w:p>
    <w:p>
      <w:pPr>
        <w:spacing w:before="160" w:after="80" w:line="276" w:lineRule="auto"/>
        <w:jc w:val="left"/>
      </w:pPr>
      <w:r>
        <w:rPr>
          <w:b/>
          <w:i/>
          <w:highlight w:val="yellow"/>
        </w:rPr>
        <w:t>Teledetección e imágenes satelitales</w:t>
      </w:r>
    </w:p>
    <w:p>
      <w:pPr>
        <w:spacing w:before="0" w:after="120" w:line="276" w:lineRule="auto"/>
        <w:jc w:val="both"/>
      </w:pPr>
      <w:r>
        <w:rPr>
          <w:b w:val="0"/>
          <w:i w:val="0"/>
        </w:rPr>
        <w:t>La teledetección es una disciplina científica que permite adquirir información sobre la superficie terrestre mediante sensores remotos que captan la radiación electromagnética reflejada o emitida por los objetos sin establecer contacto físico directo con ellos. Las imágenes satelitales multiespectrales representan matricialmente dicha radiación en distintas bandas del espectro electromagnético. Su análisis depende de cuatro resoluciones fundamentales: espacial (tamaño de celda o píxel en el terreno), espectral (cantidad y longitud de onda de las bandas registradas), radiométrica (sensibilidad en niveles digitales) y temporal (frecuencia de sobrevuelo del satélite). En estudios de monitoreo ambiental, sensores como Sentinel-2 proporcionan una resolución espacial de 10 a 20 metros con trece bandas ópticas e infrarrojas, permitiendo distinguir estados fenológicos del dosel arbóreo (Enoh et al., 2026; Donle et al., 2027).</w:t>
      </w:r>
    </w:p>
    <w:p>
      <w:pPr>
        <w:spacing w:before="160" w:after="80" w:line="276" w:lineRule="auto"/>
        <w:jc w:val="left"/>
      </w:pPr>
      <w:r>
        <w:rPr>
          <w:b/>
          <w:i/>
          <w:highlight w:val="yellow"/>
        </w:rPr>
        <w:t>Ecosistemas forestales, deforestación y degradación</w:t>
      </w:r>
    </w:p>
    <w:p>
      <w:pPr>
        <w:spacing w:before="0" w:after="120" w:line="276" w:lineRule="auto"/>
        <w:jc w:val="both"/>
      </w:pPr>
      <w:r>
        <w:rPr>
          <w:b w:val="0"/>
          <w:i w:val="0"/>
        </w:rPr>
        <w:t>Los ecosistemas forestales se caracterizan por el predominio de vegetación arbórea y cumplen funciones insustituibles en la regulación hídrica, la captura de carbono y la preservación de la biodiversidad. Sin embargo, estos biomas enfrentan perturbaciones severas clasificadas en dos dinámicas primarias: la deforestación y la degradación forestal. La deforestación implica la pérdida permanente o de largo plazo de la cobertura forestal, usualmente debida a su conversión a actividades agropecuarias, mineras o de infraestructura. Por su parte, la degradación forestal corresponde a la disminución progresiva del dosel, la biomasa o la calidad estructural del bosque sin que ocurra una conversión total a otro uso del suelo. La diferenciación de ambos procesos exige un análisis multitemporal riguroso para no confundir variaciones estacionales con pérdidas efectivas de masa vegetal.</w:t>
      </w:r>
    </w:p>
    <w:p>
      <w:pPr>
        <w:spacing w:before="160" w:after="80" w:line="276" w:lineRule="auto"/>
        <w:jc w:val="left"/>
      </w:pPr>
      <w:r>
        <w:rPr>
          <w:b/>
          <w:i/>
          <w:highlight w:val="yellow"/>
        </w:rPr>
        <w:t>Sistemas de Información Geográfica y procesamiento raster</w:t>
      </w:r>
    </w:p>
    <w:p>
      <w:pPr>
        <w:spacing w:before="0" w:after="120" w:line="276" w:lineRule="auto"/>
        <w:jc w:val="both"/>
      </w:pPr>
      <w:r>
        <w:rPr>
          <w:b w:val="0"/>
          <w:i w:val="0"/>
        </w:rPr>
        <w:t>Los Sistemas de Información Geográfica (SIG) suministran los entornos conceptuales y computacionales para almacenar, manipular, analizar y proyectar datos espaciales georreferenciados. En el procesamiento de imágenes satelitales en formato raster, los SIG y las librerías matriciales aplican técnicas de álgebra de mapas para normalizar sistemas de referencia de coordenadas (SRC), alinear cuadrículas de píxeles y calcular variables derivadas como índices espectrales de vegetación (Enoh et al., 2026).</w:t>
      </w:r>
    </w:p>
    <w:p>
      <w:pPr>
        <w:spacing w:before="160" w:after="80" w:line="276" w:lineRule="auto"/>
        <w:jc w:val="left"/>
      </w:pPr>
      <w:r>
        <w:rPr>
          <w:b/>
          <w:i/>
          <w:highlight w:val="yellow"/>
        </w:rPr>
        <w:t>Inteligencia artificial y aprendizaje automático</w:t>
      </w:r>
    </w:p>
    <w:p>
      <w:pPr>
        <w:spacing w:before="0" w:after="120" w:line="276" w:lineRule="auto"/>
        <w:jc w:val="both"/>
      </w:pPr>
      <w:r>
        <w:rPr>
          <w:b w:val="0"/>
          <w:i w:val="0"/>
        </w:rPr>
        <w:t xml:space="preserve">La inteligencia artificial comprende métodos computacionales orientados al reconocimiento de patrones y la toma de decisiones automatizada. Dentro de esta disciplina, el </w:t>
      </w:r>
      <w:r>
        <w:rPr>
          <w:b w:val="0"/>
          <w:i/>
          <w:highlight w:val="yellow"/>
        </w:rPr>
        <w:t>machine learning</w:t>
      </w:r>
      <w:r>
        <w:rPr>
          <w:b w:val="0"/>
          <w:i w:val="0"/>
        </w:rPr>
        <w:t xml:space="preserve"> o aprendizaje automático permite construir modelos que aprenden relaciones estadísticas a partir de datos empíricos. En el aprendizaje supervisado, clasificadores como Random Forest se entrenan con conjuntos de píxeles previamente catalogados para generalizar la asignación de clases temáticas en escenas completas, combinando reflectancias y variaciones temporales (Odunsi et al., 2026).</w:t>
      </w:r>
    </w:p>
    <w:p>
      <w:pPr>
        <w:spacing w:before="160" w:after="80" w:line="276" w:lineRule="auto"/>
        <w:jc w:val="left"/>
      </w:pPr>
      <w:r>
        <w:rPr>
          <w:b/>
          <w:i/>
          <w:highlight w:val="yellow"/>
        </w:rPr>
        <w:t>Clasificación y segmentación de imágenes satelitales</w:t>
      </w:r>
    </w:p>
    <w:p>
      <w:pPr>
        <w:spacing w:before="0" w:after="120" w:line="276" w:lineRule="auto"/>
        <w:jc w:val="both"/>
      </w:pPr>
      <w:r>
        <w:rPr>
          <w:b w:val="0"/>
          <w:i w:val="0"/>
        </w:rPr>
        <w:t>La clasificación de imágenes satelitales consiste en asignar etiquetas temáticas a cada píxel en función de sus propiedades espectrales. A su vez, la segmentación espacial agrupa píxeles contiguos con características homogéneas para delimitar polígonos correspondientes a masas boscosas continuas o áreas degradadas, facilitando la cuantificación precisa de superficies intervenidas.</w:t>
      </w:r>
    </w:p>
    <w:p>
      <w:pPr>
        <w:spacing w:before="240" w:after="120" w:line="276" w:lineRule="auto"/>
        <w:jc w:val="left"/>
      </w:pPr>
      <w:r>
        <w:rPr>
          <w:b/>
          <w:i w:val="0"/>
        </w:rPr>
        <w:t>5.2. Marco conceptual</w:t>
      </w:r>
    </w:p>
    <w:p>
      <w:pPr>
        <w:spacing w:before="160" w:after="80" w:line="276" w:lineRule="auto"/>
        <w:jc w:val="left"/>
      </w:pPr>
      <w:r>
        <w:rPr>
          <w:b/>
          <w:i/>
          <w:highlight w:val="yellow"/>
        </w:rPr>
        <w:t>Índices espectrales aplicados al monitoreo forestal</w:t>
      </w:r>
    </w:p>
    <w:p>
      <w:pPr>
        <w:spacing w:before="0" w:after="120" w:line="276" w:lineRule="auto"/>
        <w:jc w:val="both"/>
      </w:pPr>
      <w:r>
        <w:rPr>
          <w:b w:val="0"/>
          <w:i w:val="0"/>
        </w:rPr>
        <w:t>Son transformaciones matemáticas de las bandas radiométricas que realzan propiedades biofísicas de la vegetación y atenúan ruidos provocados por el sustrato del suelo y la atmósfera. En teledetección forestal, el NDVI cuantifica el verdor y vigor foliar; el NDMI mide el contenido hídrico del dosel; el NBR detecta quemas y perturbaciones severas; y el NDRE explora el borde rojo para evaluar variaciones sutiles de clorofila (Lu et al., 2027).</w:t>
      </w:r>
    </w:p>
    <w:p>
      <w:pPr>
        <w:spacing w:before="160" w:after="80" w:line="276" w:lineRule="auto"/>
        <w:jc w:val="left"/>
      </w:pPr>
      <w:r>
        <w:rPr>
          <w:b/>
          <w:i/>
          <w:highlight w:val="yellow"/>
        </w:rPr>
        <w:t>Análisis multitemporal de imágenes satelitales</w:t>
      </w:r>
    </w:p>
    <w:p>
      <w:pPr>
        <w:spacing w:before="0" w:after="120" w:line="276" w:lineRule="auto"/>
        <w:jc w:val="both"/>
      </w:pPr>
      <w:r>
        <w:rPr>
          <w:b w:val="0"/>
          <w:i w:val="0"/>
        </w:rPr>
        <w:t>Consiste en la comparación sistemática de escenas adquiridas en momentos sucesivos sobre un mismo ámbito espacial. Al calcular diferencias espectrales entre dos fechas, este método permite detectar de manera objetiva aumentos o descensos en el dosel arbóreo atribuibles a procesos de cambio territorial (Odunsi et al., 2026).</w:t>
      </w:r>
    </w:p>
    <w:p>
      <w:pPr>
        <w:spacing w:before="160" w:after="80" w:line="276" w:lineRule="auto"/>
        <w:jc w:val="left"/>
      </w:pPr>
      <w:r>
        <w:rPr>
          <w:b/>
          <w:i/>
          <w:highlight w:val="yellow"/>
        </w:rPr>
        <w:t>Clasificación supervisada de cobertura terrestre</w:t>
      </w:r>
    </w:p>
    <w:p>
      <w:pPr>
        <w:spacing w:before="0" w:after="120" w:line="276" w:lineRule="auto"/>
        <w:jc w:val="both"/>
      </w:pPr>
      <w:r>
        <w:rPr>
          <w:b w:val="0"/>
          <w:i w:val="0"/>
          <w:highlight w:val="yellow"/>
        </w:rPr>
        <w:t xml:space="preserve">Permite </w:t>
      </w:r>
      <w:r>
        <w:rPr>
          <w:b w:val="0"/>
          <w:i w:val="0"/>
        </w:rPr>
        <w:t>asignar categorías a diferentes unidades espaciales utilizando datos previamente etiquetados como referencia. En imágenes satelitales, este procedimiento evalúa características espectrales, índices derivados y variables temporales para discriminar clases como bosque estable y deforestación (Baser et al., 2026).</w:t>
      </w:r>
    </w:p>
    <w:p>
      <w:pPr>
        <w:spacing w:before="160" w:after="80" w:line="276" w:lineRule="auto"/>
        <w:jc w:val="left"/>
      </w:pPr>
      <w:r>
        <w:rPr>
          <w:b/>
          <w:i/>
          <w:highlight w:val="yellow"/>
        </w:rPr>
        <w:t>Modelos de aprendizaje automático para clasificación forestal</w:t>
      </w:r>
    </w:p>
    <w:p>
      <w:pPr>
        <w:spacing w:before="0" w:after="120" w:line="276" w:lineRule="auto"/>
        <w:jc w:val="both"/>
      </w:pPr>
      <w:r>
        <w:rPr>
          <w:b w:val="0"/>
          <w:i w:val="0"/>
        </w:rPr>
        <w:t>Algoritmos multivariados que aprovechan relaciones no lineales entre bandas e índices para clasificar coberturas. Modelos basados en ensambles de árboles de decisión, como Random Forest, destacan por su robustez frente al sobreajuste y su capacidad para manejar variables correlacionadas en teledetección (Das et al., 2025).</w:t>
      </w:r>
    </w:p>
    <w:p>
      <w:pPr>
        <w:spacing w:before="160" w:after="80" w:line="276" w:lineRule="auto"/>
        <w:jc w:val="left"/>
      </w:pPr>
      <w:r>
        <w:rPr>
          <w:b/>
          <w:i/>
          <w:highlight w:val="yellow"/>
        </w:rPr>
        <w:t>Variables geoespaciales para la estimación de riesgo</w:t>
      </w:r>
    </w:p>
    <w:p>
      <w:pPr>
        <w:spacing w:before="0" w:after="120" w:line="276" w:lineRule="auto"/>
        <w:jc w:val="both"/>
      </w:pPr>
      <w:r>
        <w:rPr>
          <w:b w:val="0"/>
          <w:i w:val="0"/>
        </w:rPr>
        <w:t>Factores espaciales y ambientales que condicionan la vulnerabilidad del bosque, tales como pendiente, altitud, proximidad a la red vial o centros poblados, y fragmentación del dosel vegetal.</w:t>
      </w:r>
    </w:p>
    <w:p>
      <w:pPr>
        <w:spacing w:before="160" w:after="80" w:line="276" w:lineRule="auto"/>
        <w:jc w:val="left"/>
      </w:pPr>
      <w:r>
        <w:rPr>
          <w:b/>
          <w:i/>
          <w:highlight w:val="yellow"/>
        </w:rPr>
        <w:t>Segmentación semántica de coberturas</w:t>
      </w:r>
    </w:p>
    <w:p>
      <w:pPr>
        <w:spacing w:before="0" w:after="120" w:line="276" w:lineRule="auto"/>
        <w:jc w:val="both"/>
      </w:pPr>
      <w:r>
        <w:rPr>
          <w:b w:val="0"/>
          <w:i w:val="0"/>
        </w:rPr>
        <w:t>Asignación de categorías semánticas a nivel de píxel que preserva la coherencia espacial de las fronteras boscosas, diferenciando claros abiertos de coberturas arbóreas continuas.</w:t>
      </w:r>
    </w:p>
    <w:p>
      <w:pPr>
        <w:spacing w:before="160" w:after="80" w:line="276" w:lineRule="auto"/>
        <w:jc w:val="left"/>
      </w:pPr>
      <w:r>
        <w:rPr>
          <w:b/>
          <w:i/>
          <w:highlight w:val="yellow"/>
        </w:rPr>
        <w:t>Visualización geoespacial mediante aplicaciones web</w:t>
      </w:r>
    </w:p>
    <w:p>
      <w:pPr>
        <w:spacing w:before="0" w:after="120" w:line="276" w:lineRule="auto"/>
        <w:jc w:val="both"/>
      </w:pPr>
      <w:r>
        <w:rPr>
          <w:b w:val="0"/>
          <w:i w:val="0"/>
        </w:rPr>
        <w:t>Representación interactiva de capas raster y estadísticas territoriales a través del navegador, permitiendo al usuario final explorar mapas de cambio, filtrar periodos y consultar métricas sin requerir software especializado de escritorio (Jayalakshmi et al., 2026).</w:t>
      </w:r>
    </w:p>
    <w:p>
      <w:pPr>
        <w:spacing w:before="240" w:after="120" w:line="276" w:lineRule="auto"/>
        <w:jc w:val="left"/>
      </w:pPr>
      <w:r>
        <w:rPr>
          <w:b/>
          <w:i w:val="0"/>
        </w:rPr>
        <w:t>5.3. Estado del arte</w:t>
      </w:r>
    </w:p>
    <w:p>
      <w:pPr>
        <w:spacing w:before="0" w:after="120" w:line="276" w:lineRule="auto"/>
        <w:jc w:val="both"/>
      </w:pPr>
      <w:r>
        <w:rPr>
          <w:b w:val="0"/>
          <w:i w:val="0"/>
          <w:highlight w:val="yellow"/>
        </w:rPr>
        <w:t>El estudio de los ecosistemas forestales a partir de sensores remotos ha convergido hacia metodologías computacionales que procesan grandes volúmenes de datos espaciales. La literatura especializada reciente puede agruparse en cuatro enfoques principales según su alcance técnico y analítico:</w:t>
      </w:r>
    </w:p>
    <w:p>
      <w:pPr>
        <w:spacing w:before="160" w:after="80" w:line="276" w:lineRule="auto"/>
        <w:jc w:val="left"/>
      </w:pPr>
      <w:r>
        <w:rPr>
          <w:b/>
          <w:i/>
          <w:highlight w:val="yellow"/>
        </w:rPr>
        <w:t>Enfoques de clasificación supervisada de coberturas</w:t>
      </w:r>
    </w:p>
    <w:p>
      <w:pPr>
        <w:spacing w:before="0" w:after="120" w:line="276" w:lineRule="auto"/>
        <w:jc w:val="both"/>
      </w:pPr>
      <w:r>
        <w:rPr>
          <w:b w:val="0"/>
          <w:i w:val="0"/>
        </w:rPr>
        <w:t>Investigaciones como las de Baser et al. (2026) y Guo et al. (2026) evaluaron el desempeño de clasificadores avanzados sobre escenas Sentinel-2. Guo et al. introdujeron la arquitectura ForResANeXt alcanzando un mIoU de 95,31 % en la discriminación de bosque y no bosque mediante aprendizaje profundo, mientras que Baser et al. comprobaron las ventajas de la clasificación supervisada frente a métodos no supervisados en zonas áridas, advirtiendo no obstante sobre el riesgo de confusión espectral entre cultivos y vegetación natural.</w:t>
      </w:r>
    </w:p>
    <w:p>
      <w:pPr>
        <w:spacing w:before="160" w:after="80" w:line="276" w:lineRule="auto"/>
        <w:jc w:val="left"/>
      </w:pPr>
      <w:r>
        <w:rPr>
          <w:b/>
          <w:i/>
          <w:highlight w:val="yellow"/>
        </w:rPr>
        <w:t>Enfoques de detección de cambios multitemporales</w:t>
      </w:r>
    </w:p>
    <w:p>
      <w:pPr>
        <w:spacing w:before="0" w:after="120" w:line="276" w:lineRule="auto"/>
        <w:jc w:val="both"/>
      </w:pPr>
      <w:r>
        <w:rPr>
          <w:b w:val="0"/>
          <w:i w:val="0"/>
        </w:rPr>
        <w:t>Neupane et al. (2026) en Nepal y Majhi et al. (2026) en la India emplearon series temporales multiespectrales junto con Random Forest en Google Earth Engine para cuantificar la dinámica histórica de pérdida de cobertura, alcanzando precisiones superiores al 95 % en periodos prolongados. Asimismo, Odunsi et al. (2026) demostraron la efectividad de Random Forest y Gradient Boosted Trees frente a clasificadores convencionales para detectar transformaciones del suelo en series temporales.</w:t>
      </w:r>
    </w:p>
    <w:p>
      <w:pPr>
        <w:spacing w:before="160" w:after="80" w:line="276" w:lineRule="auto"/>
        <w:jc w:val="left"/>
      </w:pPr>
      <w:r>
        <w:rPr>
          <w:b/>
          <w:i/>
          <w:highlight w:val="yellow"/>
        </w:rPr>
        <w:t>Enfoques de estimación de riesgo y susceptibilidad ambiental</w:t>
      </w:r>
    </w:p>
    <w:p>
      <w:pPr>
        <w:spacing w:before="0" w:after="120" w:line="276" w:lineRule="auto"/>
        <w:jc w:val="both"/>
      </w:pPr>
      <w:r>
        <w:rPr>
          <w:b w:val="0"/>
          <w:i w:val="0"/>
        </w:rPr>
        <w:t>Trabajos como los de Das et al. (2025) y Ma et al. (2026) integraron variables topográficas, climáticas y de proximidad antropogénica para modelar la probabilidad espacial de ocurrencia de perturbaciones ecológicas e incendios. Estos estudios concluyeron que la cercanía a vías y la expansión de la frontera agropecuaria se asocian consistentemente con una mayor probabilidad de pérdida boscosa.</w:t>
      </w:r>
    </w:p>
    <w:p>
      <w:pPr>
        <w:spacing w:before="160" w:after="80" w:line="276" w:lineRule="auto"/>
        <w:jc w:val="left"/>
      </w:pPr>
      <w:r>
        <w:rPr>
          <w:b/>
          <w:i/>
          <w:highlight w:val="yellow"/>
        </w:rPr>
        <w:t>Enfoques de plataformas web y visualización geoespacial</w:t>
      </w:r>
    </w:p>
    <w:p>
      <w:pPr>
        <w:spacing w:before="0" w:after="120" w:line="276" w:lineRule="auto"/>
        <w:jc w:val="both"/>
      </w:pPr>
      <w:r>
        <w:rPr>
          <w:b w:val="0"/>
          <w:i w:val="0"/>
        </w:rPr>
        <w:t>Plataformas contemporáneas como CHOVE-CHUVA (Arvor et al., 2026) y el sistema propuesto por Jayalakshmi et al. (2026) enfatizaron la necesidad de trasladar las salidas predictivas a tableros dinámicos en la web. Estos autores evidenciaron que el valor de las estimaciones analíticas se potencia cuando usuarios no programadores pueden filtrar escenas, contrastar periodos y descargar reportes cartográficos.</w:t>
      </w:r>
    </w:p>
    <w:p>
      <w:pPr>
        <w:spacing w:before="320" w:after="160" w:line="276" w:lineRule="auto"/>
        <w:jc w:val="left"/>
      </w:pPr>
      <w:r>
        <w:rPr>
          <w:b/>
          <w:i w:val="0"/>
        </w:rPr>
        <w:t>6. Metodología</w:t>
      </w:r>
    </w:p>
    <w:p>
      <w:pPr>
        <w:spacing w:before="0" w:after="120" w:line="276" w:lineRule="auto"/>
        <w:jc w:val="both"/>
      </w:pPr>
      <w:r>
        <w:rPr>
          <w:b w:val="0"/>
          <w:i w:val="0"/>
        </w:rPr>
        <w:t>La presente investigación adoptó un enfoque cuantitativo y aplicado, orientado al desarrollo de una solución tecnológica para la identificación y visualización de cambios en ecosistemas forestales mediante el análisis de imágenes satelitales y técnicas de aprendizaje automático. El enfoque cuantitativo se fundamentó en el procesamiento de información raster contenida en imágenes satelitales en formato GeoTIFF (.tif), la extracción de características espectrales y la evaluación objetiva del desempeño mediante métricas numéricas.</w:t>
      </w:r>
    </w:p>
    <w:p>
      <w:pPr>
        <w:spacing w:before="0" w:after="120" w:line="276" w:lineRule="auto"/>
        <w:jc w:val="both"/>
      </w:pPr>
      <w:r>
        <w:rPr>
          <w:b w:val="0"/>
          <w:i w:val="0"/>
        </w:rPr>
        <w:t xml:space="preserve">El alcance de la investigación </w:t>
      </w:r>
      <w:r>
        <w:rPr>
          <w:b w:val="0"/>
          <w:i w:val="0"/>
          <w:highlight w:val="yellow"/>
        </w:rPr>
        <w:t xml:space="preserve">fue </w:t>
      </w:r>
      <w:r>
        <w:rPr>
          <w:b w:val="0"/>
          <w:i w:val="0"/>
        </w:rPr>
        <w:t xml:space="preserve">principalmente descriptivo y aplicado, debido a que se analizaron las características espectrales de las imágenes satelitales, se identificaron espacialmente áreas con indicios de deforestación o degradación y se integraron los resultados dentro de una aplicación web para su consulta interactiva. </w:t>
      </w:r>
      <w:r>
        <w:rPr>
          <w:b w:val="0"/>
          <w:i w:val="0"/>
          <w:highlight w:val="yellow"/>
        </w:rPr>
        <w:t>El diseño de la investigación fue no experimental, debido a que no se manipularon las condiciones de los ecosistemas, sino que el estudio se realizó sobre datos satelitales previamente obtenidos, los cuales fueron procesados computacionalmente para identificar patrones asociados al cambio de cobertura. En consecuencia, el análisis estuvo condicionado por la calidad y resolución de las escenas analizadas. El proceso metodológico se desarrolló mediante seis fases principales:</w:t>
      </w:r>
    </w:p>
    <w:p>
      <w:pPr>
        <w:spacing w:before="240" w:after="120" w:line="276" w:lineRule="auto"/>
        <w:jc w:val="left"/>
      </w:pPr>
      <w:r>
        <w:rPr>
          <w:b/>
          <w:i w:val="0"/>
          <w:highlight w:val="yellow"/>
        </w:rPr>
        <w:t>6.1. Fase 1. Adquisición y selección de datos</w:t>
      </w:r>
    </w:p>
    <w:p>
      <w:pPr>
        <w:spacing w:before="0" w:after="120" w:line="276" w:lineRule="auto"/>
        <w:jc w:val="both"/>
      </w:pPr>
      <w:r>
        <w:rPr>
          <w:b w:val="0"/>
          <w:i w:val="0"/>
        </w:rPr>
        <w:t xml:space="preserve">En esta primera fase </w:t>
      </w:r>
      <w:r>
        <w:rPr>
          <w:b w:val="0"/>
          <w:i w:val="0"/>
          <w:highlight w:val="yellow"/>
        </w:rPr>
        <w:t xml:space="preserve">se realizó </w:t>
      </w:r>
      <w:r>
        <w:rPr>
          <w:b w:val="0"/>
          <w:i w:val="0"/>
        </w:rPr>
        <w:t xml:space="preserve">la recopilación de imágenes satelitales Sentinel-2 de nivel 2A (reflectancia de superficie corregida atmosféricamente) correspondientes a diferentes periodos temporales dentro del territorio colombiano durante el intervalo </w:t>
      </w:r>
      <w:r>
        <w:rPr>
          <w:b w:val="0"/>
          <w:i w:val="0"/>
          <w:highlight w:val="yellow"/>
        </w:rPr>
        <w:t>2020–2026</w:t>
      </w:r>
      <w:r>
        <w:rPr>
          <w:b w:val="0"/>
          <w:i w:val="0"/>
        </w:rPr>
        <w:t xml:space="preserve">. Para el análisis </w:t>
      </w:r>
      <w:r>
        <w:rPr>
          <w:b w:val="0"/>
          <w:i w:val="0"/>
          <w:highlight w:val="yellow"/>
        </w:rPr>
        <w:t xml:space="preserve">se utilizaron </w:t>
      </w:r>
      <w:r>
        <w:rPr>
          <w:b w:val="0"/>
          <w:i w:val="0"/>
        </w:rPr>
        <w:t>las bandas espectrales B2 (azul), B3 (verde), B4 (rojo), B5 (borde rojo), B8 (infrarrojo cercano), B11 (SWIR-1) y B12 (SWIR-2), además de la capa SCL (*Scene Classification Layer*) y la máscara MSK_CLDPRB de probabilidad de nubes, con el propósito de excluir observaciones afectadas por nubosidad y sombras.</w:t>
      </w:r>
    </w:p>
    <w:p>
      <w:pPr>
        <w:spacing w:before="200" w:after="40" w:line="276" w:lineRule="auto"/>
        <w:jc w:val="left"/>
      </w:pPr>
      <w:r>
        <w:rPr>
          <w:b/>
          <w:i w:val="0"/>
        </w:rPr>
        <w:t>Figura 1</w:t>
      </w:r>
    </w:p>
    <w:p>
      <w:pPr>
        <w:spacing w:before="0" w:after="80" w:line="276" w:lineRule="auto"/>
        <w:jc w:val="left"/>
      </w:pPr>
      <w:r>
        <w:rPr>
          <w:b w:val="0"/>
          <w:i/>
        </w:rPr>
        <w:t>Exportación de una escena en formato GeoTIFF con bandas y máscaras de calidad</w:t>
      </w:r>
    </w:p>
    <w:p>
      <w:pPr>
        <w:spacing w:before="40" w:after="160" w:line="276" w:lineRule="auto"/>
        <w:jc w:val="left"/>
      </w:pPr>
      <w:r>
        <w:rPr>
          <w:b w:val="0"/>
          <w:i/>
        </w:rPr>
        <w:t xml:space="preserve">Nota. </w:t>
      </w:r>
      <w:r>
        <w:rPr>
          <w:b w:val="0"/>
          <w:i w:val="0"/>
          <w:highlight w:val="yellow"/>
        </w:rPr>
        <w:t>Elaboración propia en entorno de Oráculo Terrasacha.</w:t>
      </w:r>
    </w:p>
    <w:p>
      <w:pPr>
        <w:spacing w:before="0" w:after="120" w:line="276" w:lineRule="auto"/>
        <w:jc w:val="both"/>
      </w:pPr>
      <w:r>
        <w:rPr>
          <w:b w:val="0"/>
          <w:i w:val="0"/>
        </w:rPr>
        <w:t xml:space="preserve">Además de las imágenes Sentinel-2, </w:t>
      </w:r>
      <w:r>
        <w:rPr>
          <w:b w:val="0"/>
          <w:i w:val="0"/>
          <w:highlight w:val="yellow"/>
        </w:rPr>
        <w:t xml:space="preserve">se incorporaron </w:t>
      </w:r>
      <w:r>
        <w:rPr>
          <w:b w:val="0"/>
          <w:i w:val="0"/>
        </w:rPr>
        <w:t>datos oficiales del Sistema de Monitoreo de Bosques y Carbono (SMByC) del IDEAM para establecer las referencias utilizadas en el entrenamiento supervisado, permitiendo relacionar espacialmente las observaciones satelitales con áreas donde se ha registrado pérdida de cobertura boscosa.</w:t>
      </w:r>
    </w:p>
    <w:p>
      <w:pPr>
        <w:spacing w:before="200" w:after="40" w:line="276" w:lineRule="auto"/>
        <w:jc w:val="left"/>
      </w:pPr>
      <w:r>
        <w:rPr>
          <w:b/>
          <w:i w:val="0"/>
        </w:rPr>
        <w:t>Figura 2</w:t>
      </w:r>
    </w:p>
    <w:p>
      <w:pPr>
        <w:spacing w:before="0" w:after="80" w:line="276" w:lineRule="auto"/>
        <w:jc w:val="left"/>
      </w:pPr>
      <w:r>
        <w:rPr>
          <w:b w:val="0"/>
          <w:i/>
        </w:rPr>
        <w:t>Cambios en la cobertura boscosa durante el año 2025 según datos oficiales del IDEAM</w:t>
      </w:r>
    </w:p>
    <w:p>
      <w:pPr>
        <w:spacing w:before="40" w:after="160" w:line="276" w:lineRule="auto"/>
        <w:jc w:val="left"/>
      </w:pPr>
      <w:r>
        <w:rPr>
          <w:b w:val="0"/>
          <w:i/>
        </w:rPr>
        <w:t xml:space="preserve">Nota. </w:t>
      </w:r>
      <w:r>
        <w:rPr>
          <w:b w:val="0"/>
          <w:i w:val="0"/>
          <w:highlight w:val="yellow"/>
        </w:rPr>
        <w:t>Tomado de Informe de Monitoreo del Bosque, por IDEAM (SMByC), 2025, Colombia (http://smbyc.ideam.gov.co/).</w:t>
      </w:r>
    </w:p>
    <w:p>
      <w:pPr>
        <w:spacing w:before="240" w:after="120" w:line="276" w:lineRule="auto"/>
        <w:jc w:val="left"/>
      </w:pPr>
      <w:r>
        <w:rPr>
          <w:b/>
          <w:i w:val="0"/>
          <w:highlight w:val="yellow"/>
        </w:rPr>
        <w:t>6.2. Fase 2. Preprocesamiento de imágenes satelitales</w:t>
      </w:r>
    </w:p>
    <w:p>
      <w:pPr>
        <w:spacing w:before="0" w:after="120" w:line="276" w:lineRule="auto"/>
        <w:jc w:val="both"/>
      </w:pPr>
      <w:r>
        <w:rPr>
          <w:b w:val="0"/>
          <w:i w:val="0"/>
        </w:rPr>
        <w:t xml:space="preserve">En esta fase </w:t>
      </w:r>
      <w:r>
        <w:rPr>
          <w:b w:val="0"/>
          <w:i w:val="0"/>
          <w:highlight w:val="yellow"/>
        </w:rPr>
        <w:t xml:space="preserve">se verificó </w:t>
      </w:r>
      <w:r>
        <w:rPr>
          <w:b w:val="0"/>
          <w:i w:val="0"/>
        </w:rPr>
        <w:t xml:space="preserve">la integridad de los archivos GeoTIFF mediante </w:t>
      </w:r>
      <w:r>
        <w:rPr>
          <w:b w:val="0"/>
          <w:i/>
        </w:rPr>
        <w:t>rasterio</w:t>
      </w:r>
      <w:r>
        <w:rPr>
          <w:b w:val="0"/>
          <w:i w:val="0"/>
        </w:rPr>
        <w:t xml:space="preserve">, comprobando proyecciones geográficas y dimensiones. Las bandas con resolución nativa de 20 metros (B5, B11, B12) fueron reescaladas a una cuadrícula común de 10 metros mediante interpolación bilineal para igualarlas con las bandas de 10 metros (B2, B3, B4, B8). Mediante la capa SCL y MSK_CLDPRB se enmascararon nubes, sombras de nubes y cuerpos de agua, excluyendo píxeles no confiables para evitar que anomalías atmosféricas fueran interpretadas como cambios en la cobertura forestal. Posteriormente </w:t>
      </w:r>
      <w:r>
        <w:rPr>
          <w:b w:val="0"/>
          <w:i w:val="0"/>
          <w:highlight w:val="yellow"/>
        </w:rPr>
        <w:t>se calcularon los cuatro índices espectrales de teledetección sistematizados en la Tabla 1.</w:t>
      </w:r>
    </w:p>
    <w:p>
      <w:pPr>
        <w:spacing w:before="200" w:after="40" w:line="276" w:lineRule="auto"/>
        <w:jc w:val="left"/>
      </w:pPr>
      <w:r>
        <w:rPr>
          <w:b/>
          <w:i w:val="0"/>
        </w:rPr>
        <w:t>Tabla 1</w:t>
      </w:r>
    </w:p>
    <w:p>
      <w:pPr>
        <w:spacing w:before="0" w:after="80" w:line="276" w:lineRule="auto"/>
        <w:jc w:val="left"/>
      </w:pPr>
      <w:r>
        <w:rPr>
          <w:b w:val="0"/>
          <w:i/>
        </w:rPr>
        <w:t>Lista de índices espectrales de teledetección</w:t>
      </w:r>
    </w:p>
    <w:tbl>
      <w:tblPr>
        <w:tblW w:type="auto" w:w="0"/>
        <w:jc w:val="center"/>
        <w:tblLook w:firstColumn="1" w:firstRow="1" w:lastColumn="0" w:lastRow="0" w:noHBand="0" w:noVBand="1" w:val="04A0"/>
      </w:tblPr>
      <w:tblGrid>
        <w:gridCol w:w="2340"/>
        <w:gridCol w:w="2340"/>
        <w:gridCol w:w="2340"/>
        <w:gridCol w:w="2340"/>
      </w:tblGrid>
      <w:tr>
        <w:tc>
          <w:tcPr>
            <w:tcW w:type="dxa" w:w="2340"/>
            <w:shd w:fill="EAEAEA"/>
            <w:tcBorders>
              <w:top w:val="single" w:sz="8" w:space="0" w:color="D3D3D3"/>
              <w:left w:val="none" w:sz="0" w:space="0" w:color="auto"/>
              <w:bottom w:val="single" w:sz="8" w:space="0" w:color="D3D3D3"/>
              <w:right w:val="none" w:sz="0" w:space="0" w:color="auto"/>
            </w:tcBorders>
          </w:tcPr>
          <w:p>
            <w:r>
              <w:rPr>
                <w:b/>
              </w:rPr>
              <w:t>Índice</w:t>
            </w:r>
          </w:p>
        </w:tc>
        <w:tc>
          <w:tcPr>
            <w:tcW w:type="dxa" w:w="2340"/>
            <w:shd w:fill="EAEAEA"/>
            <w:tcBorders>
              <w:top w:val="single" w:sz="8" w:space="0" w:color="D3D3D3"/>
              <w:left w:val="none" w:sz="0" w:space="0" w:color="auto"/>
              <w:bottom w:val="single" w:sz="8" w:space="0" w:color="D3D3D3"/>
              <w:right w:val="none" w:sz="0" w:space="0" w:color="auto"/>
            </w:tcBorders>
          </w:tcPr>
          <w:p>
            <w:r>
              <w:rPr>
                <w:b/>
              </w:rPr>
              <w:t>Descripción e interpretación</w:t>
            </w:r>
          </w:p>
        </w:tc>
        <w:tc>
          <w:tcPr>
            <w:tcW w:type="dxa" w:w="2340"/>
            <w:shd w:fill="EAEAEA"/>
            <w:tcBorders>
              <w:top w:val="single" w:sz="8" w:space="0" w:color="D3D3D3"/>
              <w:left w:val="none" w:sz="0" w:space="0" w:color="auto"/>
              <w:bottom w:val="single" w:sz="8" w:space="0" w:color="D3D3D3"/>
              <w:right w:val="none" w:sz="0" w:space="0" w:color="auto"/>
            </w:tcBorders>
          </w:tcPr>
          <w:p>
            <w:r>
              <w:rPr>
                <w:b/>
              </w:rPr>
              <w:t>Fórmula</w:t>
            </w:r>
          </w:p>
        </w:tc>
        <w:tc>
          <w:tcPr>
            <w:tcW w:type="dxa" w:w="2340"/>
            <w:shd w:fill="EAEAEA"/>
            <w:tcBorders>
              <w:top w:val="single" w:sz="8" w:space="0" w:color="D3D3D3"/>
              <w:left w:val="none" w:sz="0" w:space="0" w:color="auto"/>
              <w:bottom w:val="single" w:sz="8" w:space="0" w:color="D3D3D3"/>
              <w:right w:val="none" w:sz="0" w:space="0" w:color="auto"/>
            </w:tcBorders>
          </w:tcPr>
          <w:p>
            <w:r>
              <w:rPr>
                <w:b/>
              </w:rPr>
              <w:t>Fuente</w:t>
            </w:r>
          </w:p>
        </w:tc>
      </w:tr>
      <w:tr>
        <w:tc>
          <w:tcPr>
            <w:tcW w:type="dxa" w:w="2340"/>
            <w:tcBorders>
              <w:top w:val="single" w:sz="4" w:space="0" w:color="D3D3D3"/>
              <w:left w:val="none" w:sz="0" w:space="0" w:color="auto"/>
              <w:bottom w:val="single" w:sz="4" w:space="0" w:color="D3D3D3"/>
              <w:right w:val="none" w:sz="0" w:space="0" w:color="auto"/>
            </w:tcBorders>
          </w:tcPr>
          <w:p>
            <w:r>
              <w:t>NDVI (Vegetación de diferencia normalizada)</w:t>
            </w:r>
          </w:p>
        </w:tc>
        <w:tc>
          <w:tcPr>
            <w:tcW w:type="dxa" w:w="2340"/>
            <w:tcBorders>
              <w:top w:val="single" w:sz="4" w:space="0" w:color="D3D3D3"/>
              <w:left w:val="none" w:sz="0" w:space="0" w:color="auto"/>
              <w:bottom w:val="single" w:sz="4" w:space="0" w:color="D3D3D3"/>
              <w:right w:val="none" w:sz="0" w:space="0" w:color="auto"/>
            </w:tcBorders>
          </w:tcPr>
          <w:p>
            <w:r>
              <w:t>Evalúa la densidad fotosintética y vigor foliar.</w:t>
            </w:r>
          </w:p>
        </w:tc>
        <w:tc>
          <w:tcPr>
            <w:tcW w:type="dxa" w:w="2340"/>
            <w:tcBorders>
              <w:top w:val="single" w:sz="4" w:space="0" w:color="D3D3D3"/>
              <w:left w:val="none" w:sz="0" w:space="0" w:color="auto"/>
              <w:bottom w:val="single" w:sz="4" w:space="0" w:color="D3D3D3"/>
              <w:right w:val="none" w:sz="0" w:space="0" w:color="auto"/>
            </w:tcBorders>
          </w:tcPr>
          <w:p>
            <w:r>
              <w:rPr>
                <w:highlight w:val="yellow"/>
              </w:rPr>
              <w:t>NDVI = (B8 - B4) / (B8 + B4)</w:t>
            </w:r>
          </w:p>
        </w:tc>
        <w:tc>
          <w:tcPr>
            <w:tcW w:type="dxa" w:w="2340"/>
            <w:tcBorders>
              <w:top w:val="single" w:sz="4" w:space="0" w:color="D3D3D3"/>
              <w:left w:val="none" w:sz="0" w:space="0" w:color="auto"/>
              <w:bottom w:val="single" w:sz="4" w:space="0" w:color="D3D3D3"/>
              <w:right w:val="none" w:sz="0" w:space="0" w:color="auto"/>
            </w:tcBorders>
          </w:tcPr>
          <w:p>
            <w:r>
              <w:t>Rouse et al. (1974)</w:t>
            </w:r>
          </w:p>
        </w:tc>
      </w:tr>
      <w:tr>
        <w:tc>
          <w:tcPr>
            <w:tcW w:type="dxa" w:w="2340"/>
            <w:tcBorders>
              <w:top w:val="single" w:sz="4" w:space="0" w:color="D3D3D3"/>
              <w:left w:val="none" w:sz="0" w:space="0" w:color="auto"/>
              <w:bottom w:val="single" w:sz="4" w:space="0" w:color="D3D3D3"/>
              <w:right w:val="none" w:sz="0" w:space="0" w:color="auto"/>
            </w:tcBorders>
          </w:tcPr>
          <w:p>
            <w:r>
              <w:t>NDMI (Humedad de diferencia normalizada)</w:t>
            </w:r>
          </w:p>
        </w:tc>
        <w:tc>
          <w:tcPr>
            <w:tcW w:type="dxa" w:w="2340"/>
            <w:tcBorders>
              <w:top w:val="single" w:sz="4" w:space="0" w:color="D3D3D3"/>
              <w:left w:val="none" w:sz="0" w:space="0" w:color="auto"/>
              <w:bottom w:val="single" w:sz="4" w:space="0" w:color="D3D3D3"/>
              <w:right w:val="none" w:sz="0" w:space="0" w:color="auto"/>
            </w:tcBorders>
          </w:tcPr>
          <w:p>
            <w:r>
              <w:t>Estima el contenido hídrico foliar en el dosel.</w:t>
            </w:r>
          </w:p>
        </w:tc>
        <w:tc>
          <w:tcPr>
            <w:tcW w:type="dxa" w:w="2340"/>
            <w:tcBorders>
              <w:top w:val="single" w:sz="4" w:space="0" w:color="D3D3D3"/>
              <w:left w:val="none" w:sz="0" w:space="0" w:color="auto"/>
              <w:bottom w:val="single" w:sz="4" w:space="0" w:color="D3D3D3"/>
              <w:right w:val="none" w:sz="0" w:space="0" w:color="auto"/>
            </w:tcBorders>
          </w:tcPr>
          <w:p>
            <w:r>
              <w:rPr>
                <w:highlight w:val="yellow"/>
              </w:rPr>
              <w:t>NDMI = (B8 - B11) / (B8 + B11)</w:t>
            </w:r>
          </w:p>
        </w:tc>
        <w:tc>
          <w:tcPr>
            <w:tcW w:type="dxa" w:w="2340"/>
            <w:tcBorders>
              <w:top w:val="single" w:sz="4" w:space="0" w:color="D3D3D3"/>
              <w:left w:val="none" w:sz="0" w:space="0" w:color="auto"/>
              <w:bottom w:val="single" w:sz="4" w:space="0" w:color="D3D3D3"/>
              <w:right w:val="none" w:sz="0" w:space="0" w:color="auto"/>
            </w:tcBorders>
          </w:tcPr>
          <w:p>
            <w:r>
              <w:t>Gao (1996)</w:t>
            </w:r>
          </w:p>
        </w:tc>
      </w:tr>
      <w:tr>
        <w:tc>
          <w:tcPr>
            <w:tcW w:type="dxa" w:w="2340"/>
            <w:tcBorders>
              <w:top w:val="single" w:sz="4" w:space="0" w:color="D3D3D3"/>
              <w:left w:val="none" w:sz="0" w:space="0" w:color="auto"/>
              <w:bottom w:val="single" w:sz="4" w:space="0" w:color="D3D3D3"/>
              <w:right w:val="none" w:sz="0" w:space="0" w:color="auto"/>
            </w:tcBorders>
          </w:tcPr>
          <w:p>
            <w:r>
              <w:t>NBR (Quemado normalizado)</w:t>
            </w:r>
          </w:p>
        </w:tc>
        <w:tc>
          <w:tcPr>
            <w:tcW w:type="dxa" w:w="2340"/>
            <w:tcBorders>
              <w:top w:val="single" w:sz="4" w:space="0" w:color="D3D3D3"/>
              <w:left w:val="none" w:sz="0" w:space="0" w:color="auto"/>
              <w:bottom w:val="single" w:sz="4" w:space="0" w:color="D3D3D3"/>
              <w:right w:val="none" w:sz="0" w:space="0" w:color="auto"/>
            </w:tcBorders>
          </w:tcPr>
          <w:p>
            <w:r>
              <w:t>Discrimina áreas afectadas por fuegos o disturbios.</w:t>
            </w:r>
          </w:p>
        </w:tc>
        <w:tc>
          <w:tcPr>
            <w:tcW w:type="dxa" w:w="2340"/>
            <w:tcBorders>
              <w:top w:val="single" w:sz="4" w:space="0" w:color="D3D3D3"/>
              <w:left w:val="none" w:sz="0" w:space="0" w:color="auto"/>
              <w:bottom w:val="single" w:sz="4" w:space="0" w:color="D3D3D3"/>
              <w:right w:val="none" w:sz="0" w:space="0" w:color="auto"/>
            </w:tcBorders>
          </w:tcPr>
          <w:p>
            <w:r>
              <w:rPr>
                <w:highlight w:val="yellow"/>
              </w:rPr>
              <w:t>NBR = (B8 - B12) / (B8 + B12)</w:t>
            </w:r>
          </w:p>
        </w:tc>
        <w:tc>
          <w:tcPr>
            <w:tcW w:type="dxa" w:w="2340"/>
            <w:tcBorders>
              <w:top w:val="single" w:sz="4" w:space="0" w:color="D3D3D3"/>
              <w:left w:val="none" w:sz="0" w:space="0" w:color="auto"/>
              <w:bottom w:val="single" w:sz="4" w:space="0" w:color="D3D3D3"/>
              <w:right w:val="none" w:sz="0" w:space="0" w:color="auto"/>
            </w:tcBorders>
          </w:tcPr>
          <w:p>
            <w:r>
              <w:t>Key &amp; Benson (2006)</w:t>
            </w:r>
          </w:p>
        </w:tc>
      </w:tr>
      <w:tr>
        <w:tc>
          <w:tcPr>
            <w:tcW w:type="dxa" w:w="2340"/>
            <w:tcBorders>
              <w:top w:val="single" w:sz="4" w:space="0" w:color="D3D3D3"/>
              <w:left w:val="none" w:sz="0" w:space="0" w:color="auto"/>
              <w:bottom w:val="single" w:sz="4" w:space="0" w:color="D3D3D3"/>
              <w:right w:val="none" w:sz="0" w:space="0" w:color="auto"/>
            </w:tcBorders>
          </w:tcPr>
          <w:p>
            <w:r>
              <w:t>NDRE (Borde rojo de diferencia normalizada)</w:t>
            </w:r>
          </w:p>
        </w:tc>
        <w:tc>
          <w:tcPr>
            <w:tcW w:type="dxa" w:w="2340"/>
            <w:tcBorders>
              <w:top w:val="single" w:sz="4" w:space="0" w:color="D3D3D3"/>
              <w:left w:val="none" w:sz="0" w:space="0" w:color="auto"/>
              <w:bottom w:val="single" w:sz="4" w:space="0" w:color="D3D3D3"/>
              <w:right w:val="none" w:sz="0" w:space="0" w:color="auto"/>
            </w:tcBorders>
          </w:tcPr>
          <w:p>
            <w:r>
              <w:t>Evalúa concentración de clorofila evitando saturación.</w:t>
            </w:r>
          </w:p>
        </w:tc>
        <w:tc>
          <w:tcPr>
            <w:tcW w:type="dxa" w:w="2340"/>
            <w:tcBorders>
              <w:top w:val="single" w:sz="4" w:space="0" w:color="D3D3D3"/>
              <w:left w:val="none" w:sz="0" w:space="0" w:color="auto"/>
              <w:bottom w:val="single" w:sz="4" w:space="0" w:color="D3D3D3"/>
              <w:right w:val="none" w:sz="0" w:space="0" w:color="auto"/>
            </w:tcBorders>
          </w:tcPr>
          <w:p>
            <w:r>
              <w:rPr>
                <w:highlight w:val="yellow"/>
              </w:rPr>
              <w:t>NDRE = (B8 - B5) / (B8 + B5)</w:t>
            </w:r>
          </w:p>
        </w:tc>
        <w:tc>
          <w:tcPr>
            <w:tcW w:type="dxa" w:w="2340"/>
            <w:tcBorders>
              <w:top w:val="single" w:sz="4" w:space="0" w:color="D3D3D3"/>
              <w:left w:val="none" w:sz="0" w:space="0" w:color="auto"/>
              <w:bottom w:val="single" w:sz="4" w:space="0" w:color="D3D3D3"/>
              <w:right w:val="none" w:sz="0" w:space="0" w:color="auto"/>
            </w:tcBorders>
          </w:tcPr>
          <w:p>
            <w:r>
              <w:t>Gitelson &amp; Merzlyak (1994)</w:t>
            </w:r>
          </w:p>
        </w:tc>
      </w:tr>
    </w:tbl>
    <w:p>
      <w:pPr>
        <w:spacing w:before="40" w:after="160" w:line="276" w:lineRule="auto"/>
        <w:jc w:val="left"/>
      </w:pPr>
      <w:r>
        <w:rPr>
          <w:b w:val="0"/>
          <w:i/>
        </w:rPr>
        <w:t xml:space="preserve">Nota. </w:t>
      </w:r>
      <w:r>
        <w:rPr>
          <w:b w:val="0"/>
          <w:i w:val="0"/>
          <w:highlight w:val="yellow"/>
        </w:rPr>
        <w:t>Formulación matemática calculada sobre bandas de reflectancia Sentinel-2 L2A.</w:t>
      </w:r>
    </w:p>
    <w:p>
      <w:pPr>
        <w:spacing w:before="200" w:after="40" w:line="276" w:lineRule="auto"/>
        <w:jc w:val="left"/>
      </w:pPr>
      <w:r>
        <w:rPr>
          <w:b/>
          <w:i w:val="0"/>
        </w:rPr>
        <w:t>Figura 3</w:t>
      </w:r>
    </w:p>
    <w:p>
      <w:pPr>
        <w:spacing w:before="0" w:after="80" w:line="276" w:lineRule="auto"/>
        <w:jc w:val="left"/>
      </w:pPr>
      <w:r>
        <w:rPr>
          <w:b w:val="0"/>
          <w:i/>
        </w:rPr>
        <w:t>Distribución espacial del índice NDVI en el municipio de Guamo, Tolima (2020)</w:t>
      </w:r>
    </w:p>
    <w:p>
      <w:pPr>
        <w:spacing w:before="40" w:after="160" w:line="276" w:lineRule="auto"/>
        <w:jc w:val="left"/>
      </w:pPr>
      <w:r>
        <w:rPr>
          <w:b w:val="0"/>
          <w:i/>
        </w:rPr>
        <w:t xml:space="preserve">Nota. </w:t>
      </w:r>
      <w:r>
        <w:rPr>
          <w:b w:val="0"/>
          <w:i w:val="0"/>
          <w:highlight w:val="yellow"/>
        </w:rPr>
        <w:t>Elaboración propia.</w:t>
      </w:r>
    </w:p>
    <w:p>
      <w:pPr>
        <w:spacing w:before="200" w:after="40" w:line="276" w:lineRule="auto"/>
        <w:jc w:val="left"/>
      </w:pPr>
      <w:r>
        <w:rPr>
          <w:b/>
          <w:i w:val="0"/>
        </w:rPr>
        <w:t>Figura 4</w:t>
      </w:r>
    </w:p>
    <w:p>
      <w:pPr>
        <w:spacing w:before="0" w:after="80" w:line="276" w:lineRule="auto"/>
        <w:jc w:val="left"/>
      </w:pPr>
      <w:r>
        <w:rPr>
          <w:b w:val="0"/>
          <w:i/>
        </w:rPr>
        <w:t>Distribución espacial del índice NDMI en el municipio de Guamo, Tolima (2020)</w:t>
      </w:r>
    </w:p>
    <w:p>
      <w:pPr>
        <w:spacing w:before="40" w:after="160" w:line="276" w:lineRule="auto"/>
        <w:jc w:val="left"/>
      </w:pPr>
      <w:r>
        <w:rPr>
          <w:b w:val="0"/>
          <w:i/>
        </w:rPr>
        <w:t xml:space="preserve">Nota. </w:t>
      </w:r>
      <w:r>
        <w:rPr>
          <w:b w:val="0"/>
          <w:i w:val="0"/>
          <w:highlight w:val="yellow"/>
        </w:rPr>
        <w:t>Elaboración propia.</w:t>
      </w:r>
    </w:p>
    <w:p>
      <w:pPr>
        <w:spacing w:before="200" w:after="40" w:line="276" w:lineRule="auto"/>
        <w:jc w:val="left"/>
      </w:pPr>
      <w:r>
        <w:rPr>
          <w:b/>
          <w:i w:val="0"/>
        </w:rPr>
        <w:t>Figura 5</w:t>
      </w:r>
    </w:p>
    <w:p>
      <w:pPr>
        <w:spacing w:before="0" w:after="80" w:line="276" w:lineRule="auto"/>
        <w:jc w:val="left"/>
      </w:pPr>
      <w:r>
        <w:rPr>
          <w:b w:val="0"/>
          <w:i/>
        </w:rPr>
        <w:t>Distribución espacial del índice NBR en el municipio de Guamo, Tolima (2020)</w:t>
      </w:r>
    </w:p>
    <w:p>
      <w:pPr>
        <w:spacing w:before="40" w:after="160" w:line="276" w:lineRule="auto"/>
        <w:jc w:val="left"/>
      </w:pPr>
      <w:r>
        <w:rPr>
          <w:b w:val="0"/>
          <w:i/>
        </w:rPr>
        <w:t xml:space="preserve">Nota. </w:t>
      </w:r>
      <w:r>
        <w:rPr>
          <w:b w:val="0"/>
          <w:i w:val="0"/>
          <w:highlight w:val="yellow"/>
        </w:rPr>
        <w:t>Elaboración propia.</w:t>
      </w:r>
    </w:p>
    <w:p>
      <w:pPr>
        <w:spacing w:before="240" w:after="120" w:line="276" w:lineRule="auto"/>
        <w:jc w:val="left"/>
      </w:pPr>
      <w:r>
        <w:rPr>
          <w:b/>
          <w:i w:val="0"/>
          <w:highlight w:val="yellow"/>
        </w:rPr>
        <w:t>6.3. Fase 3. Construcción del conjunto de datos y definición de características</w:t>
      </w:r>
    </w:p>
    <w:p>
      <w:pPr>
        <w:spacing w:before="0" w:after="120" w:line="276" w:lineRule="auto"/>
        <w:jc w:val="both"/>
      </w:pPr>
      <w:r>
        <w:rPr>
          <w:b w:val="0"/>
          <w:i w:val="0"/>
        </w:rPr>
        <w:t>Se formaron pares temporales ordenados cronológicamente (t1 y t2) para una misma región espacial. Para cada píxel válido se computaron las variaciones espectrales entre fechas:</w:t>
        <w:br/>
        <w:t>• ΔNDVI = NDVIt2 - NDVIt1</w:t>
        <w:br/>
        <w:t>• ΔNDMI = NDMIt2 - NDMIt1</w:t>
        <w:br/>
        <w:t>• ΔNBR = NBRt2 - NBRt1</w:t>
        <w:br/>
        <w:t>• ΔNDRE = NDREt2 - NDREt1</w:t>
      </w:r>
    </w:p>
    <w:p>
      <w:pPr>
        <w:spacing w:before="200" w:after="40" w:line="276" w:lineRule="auto"/>
        <w:jc w:val="left"/>
      </w:pPr>
      <w:r>
        <w:rPr>
          <w:b/>
          <w:i w:val="0"/>
        </w:rPr>
        <w:t>Figura 6</w:t>
      </w:r>
    </w:p>
    <w:p>
      <w:pPr>
        <w:spacing w:before="0" w:after="80" w:line="276" w:lineRule="auto"/>
        <w:jc w:val="left"/>
      </w:pPr>
      <w:r>
        <w:rPr>
          <w:b w:val="0"/>
          <w:i/>
        </w:rPr>
        <w:t>Diferencia temporal del índice NDVI entre los años 2020 y 2021</w:t>
      </w:r>
    </w:p>
    <w:p>
      <w:pPr>
        <w:spacing w:before="40" w:after="160" w:line="276" w:lineRule="auto"/>
        <w:jc w:val="left"/>
      </w:pPr>
      <w:r>
        <w:rPr>
          <w:b w:val="0"/>
          <w:i/>
        </w:rPr>
        <w:t xml:space="preserve">Nota. </w:t>
      </w:r>
      <w:r>
        <w:rPr>
          <w:b w:val="0"/>
          <w:i w:val="0"/>
          <w:highlight w:val="yellow"/>
        </w:rPr>
        <w:t>Elaboración propia.</w:t>
      </w:r>
    </w:p>
    <w:p>
      <w:pPr>
        <w:spacing w:before="200" w:after="40" w:line="276" w:lineRule="auto"/>
        <w:jc w:val="left"/>
      </w:pPr>
      <w:r>
        <w:rPr>
          <w:b/>
          <w:i w:val="0"/>
        </w:rPr>
        <w:t>Figura 7</w:t>
      </w:r>
    </w:p>
    <w:p>
      <w:pPr>
        <w:spacing w:before="0" w:after="80" w:line="276" w:lineRule="auto"/>
        <w:jc w:val="left"/>
      </w:pPr>
      <w:r>
        <w:rPr>
          <w:b w:val="0"/>
          <w:i/>
        </w:rPr>
        <w:t>Diferencia temporal del índice NDMI entre los años 2020 y 2021</w:t>
      </w:r>
    </w:p>
    <w:p>
      <w:pPr>
        <w:spacing w:before="40" w:after="160" w:line="276" w:lineRule="auto"/>
        <w:jc w:val="left"/>
      </w:pPr>
      <w:r>
        <w:rPr>
          <w:b w:val="0"/>
          <w:i/>
        </w:rPr>
        <w:t xml:space="preserve">Nota. </w:t>
      </w:r>
      <w:r>
        <w:rPr>
          <w:b w:val="0"/>
          <w:i w:val="0"/>
          <w:highlight w:val="yellow"/>
        </w:rPr>
        <w:t>Elaboración propia.</w:t>
      </w:r>
    </w:p>
    <w:p>
      <w:pPr>
        <w:spacing w:before="200" w:after="40" w:line="276" w:lineRule="auto"/>
        <w:jc w:val="left"/>
      </w:pPr>
      <w:r>
        <w:rPr>
          <w:b/>
          <w:i w:val="0"/>
        </w:rPr>
        <w:t>Figura 8</w:t>
      </w:r>
    </w:p>
    <w:p>
      <w:pPr>
        <w:spacing w:before="0" w:after="80" w:line="276" w:lineRule="auto"/>
        <w:jc w:val="left"/>
      </w:pPr>
      <w:r>
        <w:rPr>
          <w:b w:val="0"/>
          <w:i/>
        </w:rPr>
        <w:t>Diferencia temporal del índice NBR entre los años 2020 y 2021</w:t>
      </w:r>
    </w:p>
    <w:p>
      <w:pPr>
        <w:spacing w:before="40" w:after="160" w:line="276" w:lineRule="auto"/>
        <w:jc w:val="left"/>
      </w:pPr>
      <w:r>
        <w:rPr>
          <w:b w:val="0"/>
          <w:i/>
        </w:rPr>
        <w:t xml:space="preserve">Nota. </w:t>
      </w:r>
      <w:r>
        <w:rPr>
          <w:b w:val="0"/>
          <w:i w:val="0"/>
          <w:highlight w:val="yellow"/>
        </w:rPr>
        <w:t>Elaboración propia.</w:t>
      </w:r>
    </w:p>
    <w:p>
      <w:pPr>
        <w:spacing w:before="0" w:after="120" w:line="276" w:lineRule="auto"/>
        <w:jc w:val="both"/>
      </w:pPr>
      <w:r>
        <w:rPr>
          <w:b w:val="0"/>
          <w:i w:val="0"/>
        </w:rPr>
        <w:t>Cada observación se relacionó espacialmente con la cartografía del IDEAM transformando las coordenadas de los píxeles Sentinel-2 para asociar las etiquetas de referencia oficial detalladas en la Tabla 2.</w:t>
      </w:r>
    </w:p>
    <w:p>
      <w:pPr>
        <w:spacing w:before="200" w:after="40" w:line="276" w:lineRule="auto"/>
        <w:jc w:val="left"/>
      </w:pPr>
      <w:r>
        <w:rPr>
          <w:b/>
          <w:i w:val="0"/>
        </w:rPr>
        <w:t>Tabla 2</w:t>
      </w:r>
    </w:p>
    <w:p>
      <w:pPr>
        <w:spacing w:before="0" w:after="80" w:line="276" w:lineRule="auto"/>
        <w:jc w:val="left"/>
      </w:pPr>
      <w:r>
        <w:rPr>
          <w:b w:val="0"/>
          <w:i/>
          <w:highlight w:val="yellow"/>
        </w:rPr>
        <w:t>Codificación de clases para el entrenamiento supervisado</w:t>
      </w:r>
    </w:p>
    <w:tbl>
      <w:tblPr>
        <w:tblW w:type="auto" w:w="0"/>
        <w:jc w:val="center"/>
        <w:tblLook w:firstColumn="1" w:firstRow="1" w:lastColumn="0" w:lastRow="0" w:noHBand="0" w:noVBand="1" w:val="04A0"/>
      </w:tblPr>
      <w:tblGrid>
        <w:gridCol w:w="3120"/>
        <w:gridCol w:w="3120"/>
        <w:gridCol w:w="3120"/>
      </w:tblGrid>
      <w:tr>
        <w:tc>
          <w:tcPr>
            <w:tcW w:type="dxa" w:w="3120"/>
            <w:shd w:fill="EAEAEA"/>
            <w:tcBorders>
              <w:top w:val="single" w:sz="8" w:space="0" w:color="D3D3D3"/>
              <w:left w:val="none" w:sz="0" w:space="0" w:color="auto"/>
              <w:bottom w:val="single" w:sz="8" w:space="0" w:color="D3D3D3"/>
              <w:right w:val="none" w:sz="0" w:space="0" w:color="auto"/>
            </w:tcBorders>
          </w:tcPr>
          <w:p>
            <w:r>
              <w:rPr>
                <w:b/>
              </w:rPr>
              <w:t>Clasificación temática</w:t>
            </w:r>
          </w:p>
        </w:tc>
        <w:tc>
          <w:tcPr>
            <w:tcW w:type="dxa" w:w="3120"/>
            <w:shd w:fill="EAEAEA"/>
            <w:tcBorders>
              <w:top w:val="single" w:sz="8" w:space="0" w:color="D3D3D3"/>
              <w:left w:val="none" w:sz="0" w:space="0" w:color="auto"/>
              <w:bottom w:val="single" w:sz="8" w:space="0" w:color="D3D3D3"/>
              <w:right w:val="none" w:sz="0" w:space="0" w:color="auto"/>
            </w:tcBorders>
          </w:tcPr>
          <w:p>
            <w:r>
              <w:rPr>
                <w:b/>
              </w:rPr>
              <w:t>Valor asignado</w:t>
            </w:r>
          </w:p>
        </w:tc>
        <w:tc>
          <w:tcPr>
            <w:tcW w:type="dxa" w:w="3120"/>
            <w:shd w:fill="EAEAEA"/>
            <w:tcBorders>
              <w:top w:val="single" w:sz="8" w:space="0" w:color="D3D3D3"/>
              <w:left w:val="none" w:sz="0" w:space="0" w:color="auto"/>
              <w:bottom w:val="single" w:sz="8" w:space="0" w:color="D3D3D3"/>
              <w:right w:val="none" w:sz="0" w:space="0" w:color="auto"/>
            </w:tcBorders>
          </w:tcPr>
          <w:p>
            <w:r>
              <w:rPr>
                <w:b/>
              </w:rPr>
              <w:t>Descripción de la referencia</w:t>
            </w:r>
          </w:p>
        </w:tc>
      </w:tr>
      <w:tr>
        <w:tc>
          <w:tcPr>
            <w:tcW w:type="dxa" w:w="3120"/>
            <w:tcBorders>
              <w:top w:val="single" w:sz="4" w:space="0" w:color="D3D3D3"/>
              <w:left w:val="none" w:sz="0" w:space="0" w:color="auto"/>
              <w:bottom w:val="single" w:sz="4" w:space="0" w:color="D3D3D3"/>
              <w:right w:val="none" w:sz="0" w:space="0" w:color="auto"/>
            </w:tcBorders>
          </w:tcPr>
          <w:p>
            <w:r>
              <w:t>Bosque estable</w:t>
            </w:r>
          </w:p>
        </w:tc>
        <w:tc>
          <w:tcPr>
            <w:tcW w:type="dxa" w:w="3120"/>
            <w:tcBorders>
              <w:top w:val="single" w:sz="4" w:space="0" w:color="D3D3D3"/>
              <w:left w:val="none" w:sz="0" w:space="0" w:color="auto"/>
              <w:bottom w:val="single" w:sz="4" w:space="0" w:color="D3D3D3"/>
              <w:right w:val="none" w:sz="0" w:space="0" w:color="auto"/>
            </w:tcBorders>
          </w:tcPr>
          <w:p>
            <w:r>
              <w:t>0</w:t>
            </w:r>
          </w:p>
        </w:tc>
        <w:tc>
          <w:tcPr>
            <w:tcW w:type="dxa" w:w="3120"/>
            <w:tcBorders>
              <w:top w:val="single" w:sz="4" w:space="0" w:color="D3D3D3"/>
              <w:left w:val="none" w:sz="0" w:space="0" w:color="auto"/>
              <w:bottom w:val="single" w:sz="4" w:space="0" w:color="D3D3D3"/>
              <w:right w:val="none" w:sz="0" w:space="0" w:color="auto"/>
            </w:tcBorders>
          </w:tcPr>
          <w:p>
            <w:r>
              <w:t>Cobertura boscosa continua sin alteración en el periodo</w:t>
            </w:r>
          </w:p>
        </w:tc>
      </w:tr>
      <w:tr>
        <w:tc>
          <w:tcPr>
            <w:tcW w:type="dxa" w:w="3120"/>
            <w:tcBorders>
              <w:top w:val="single" w:sz="4" w:space="0" w:color="D3D3D3"/>
              <w:left w:val="none" w:sz="0" w:space="0" w:color="auto"/>
              <w:bottom w:val="single" w:sz="4" w:space="0" w:color="D3D3D3"/>
              <w:right w:val="none" w:sz="0" w:space="0" w:color="auto"/>
            </w:tcBorders>
          </w:tcPr>
          <w:p>
            <w:r>
              <w:t>Deforestación</w:t>
            </w:r>
          </w:p>
        </w:tc>
        <w:tc>
          <w:tcPr>
            <w:tcW w:type="dxa" w:w="3120"/>
            <w:tcBorders>
              <w:top w:val="single" w:sz="4" w:space="0" w:color="D3D3D3"/>
              <w:left w:val="none" w:sz="0" w:space="0" w:color="auto"/>
              <w:bottom w:val="single" w:sz="4" w:space="0" w:color="D3D3D3"/>
              <w:right w:val="none" w:sz="0" w:space="0" w:color="auto"/>
            </w:tcBorders>
          </w:tcPr>
          <w:p>
            <w:r>
              <w:t>1</w:t>
            </w:r>
          </w:p>
        </w:tc>
        <w:tc>
          <w:tcPr>
            <w:tcW w:type="dxa" w:w="3120"/>
            <w:tcBorders>
              <w:top w:val="single" w:sz="4" w:space="0" w:color="D3D3D3"/>
              <w:left w:val="none" w:sz="0" w:space="0" w:color="auto"/>
              <w:bottom w:val="single" w:sz="4" w:space="0" w:color="D3D3D3"/>
              <w:right w:val="none" w:sz="0" w:space="0" w:color="auto"/>
            </w:tcBorders>
          </w:tcPr>
          <w:p>
            <w:r>
              <w:t>Pérdida de bosque registrada oficialmente entre fechas</w:t>
            </w:r>
          </w:p>
        </w:tc>
      </w:tr>
    </w:tbl>
    <w:p>
      <w:pPr>
        <w:spacing w:before="40" w:after="160" w:line="276" w:lineRule="auto"/>
        <w:jc w:val="left"/>
      </w:pPr>
      <w:r>
        <w:rPr>
          <w:b w:val="0"/>
          <w:i/>
        </w:rPr>
        <w:t xml:space="preserve">Nota. </w:t>
      </w:r>
      <w:r>
        <w:rPr>
          <w:b w:val="0"/>
          <w:i w:val="0"/>
        </w:rPr>
        <w:t>Basado en las capas oficiales de cambio de bosque del IDEAM (SMByC).</w:t>
      </w:r>
    </w:p>
    <w:p>
      <w:pPr>
        <w:spacing w:before="0" w:after="120" w:line="276" w:lineRule="auto"/>
        <w:jc w:val="both"/>
      </w:pPr>
      <w:r>
        <w:rPr>
          <w:b w:val="0"/>
          <w:i w:val="0"/>
        </w:rPr>
        <w:t xml:space="preserve">El conjunto de entrenamiento consolidó 26 variables numéricas predictoras independientes (Tabla 3), reuniendo un total de </w:t>
      </w:r>
      <w:r>
        <w:rPr>
          <w:b w:val="0"/>
          <w:i w:val="0"/>
          <w:highlight w:val="yellow"/>
        </w:rPr>
        <w:t xml:space="preserve">59.182 registros </w:t>
      </w:r>
      <w:r>
        <w:rPr>
          <w:b w:val="0"/>
          <w:i w:val="0"/>
        </w:rPr>
        <w:t>etiquetados.</w:t>
      </w:r>
    </w:p>
    <w:p>
      <w:pPr>
        <w:spacing w:before="200" w:after="40" w:line="276" w:lineRule="auto"/>
        <w:jc w:val="left"/>
      </w:pPr>
      <w:r>
        <w:rPr>
          <w:b/>
          <w:i w:val="0"/>
        </w:rPr>
        <w:t>Tabla 3</w:t>
      </w:r>
    </w:p>
    <w:p>
      <w:pPr>
        <w:spacing w:before="0" w:after="80" w:line="276" w:lineRule="auto"/>
        <w:jc w:val="left"/>
      </w:pPr>
      <w:r>
        <w:rPr>
          <w:b w:val="0"/>
          <w:i/>
        </w:rPr>
        <w:t>Variables predictoras utilizadas en la construcción del conjunto de datos</w:t>
      </w:r>
    </w:p>
    <w:tbl>
      <w:tblPr>
        <w:tblW w:type="auto" w:w="0"/>
        <w:jc w:val="center"/>
        <w:tblLook w:firstColumn="1" w:firstRow="1" w:lastColumn="0" w:lastRow="0" w:noHBand="0" w:noVBand="1" w:val="04A0"/>
      </w:tblPr>
      <w:tblGrid>
        <w:gridCol w:w="3120"/>
        <w:gridCol w:w="3120"/>
        <w:gridCol w:w="3120"/>
      </w:tblGrid>
      <w:tr>
        <w:tc>
          <w:tcPr>
            <w:tcW w:type="dxa" w:w="3120"/>
            <w:shd w:fill="EAEAEA"/>
            <w:tcBorders>
              <w:top w:val="single" w:sz="8" w:space="0" w:color="D3D3D3"/>
              <w:left w:val="none" w:sz="0" w:space="0" w:color="auto"/>
              <w:bottom w:val="single" w:sz="8" w:space="0" w:color="D3D3D3"/>
              <w:right w:val="none" w:sz="0" w:space="0" w:color="auto"/>
            </w:tcBorders>
          </w:tcPr>
          <w:p>
            <w:r>
              <w:rPr>
                <w:b/>
              </w:rPr>
              <w:t>Variable</w:t>
            </w:r>
          </w:p>
        </w:tc>
        <w:tc>
          <w:tcPr>
            <w:tcW w:type="dxa" w:w="3120"/>
            <w:shd w:fill="EAEAEA"/>
            <w:tcBorders>
              <w:top w:val="single" w:sz="8" w:space="0" w:color="D3D3D3"/>
              <w:left w:val="none" w:sz="0" w:space="0" w:color="auto"/>
              <w:bottom w:val="single" w:sz="8" w:space="0" w:color="D3D3D3"/>
              <w:right w:val="none" w:sz="0" w:space="0" w:color="auto"/>
            </w:tcBorders>
          </w:tcPr>
          <w:p>
            <w:r>
              <w:rPr>
                <w:b/>
              </w:rPr>
              <w:t>Tipo de variable</w:t>
            </w:r>
          </w:p>
        </w:tc>
        <w:tc>
          <w:tcPr>
            <w:tcW w:type="dxa" w:w="3120"/>
            <w:shd w:fill="EAEAEA"/>
            <w:tcBorders>
              <w:top w:val="single" w:sz="8" w:space="0" w:color="D3D3D3"/>
              <w:left w:val="none" w:sz="0" w:space="0" w:color="auto"/>
              <w:bottom w:val="single" w:sz="8" w:space="0" w:color="D3D3D3"/>
              <w:right w:val="none" w:sz="0" w:space="0" w:color="auto"/>
            </w:tcBorders>
          </w:tcPr>
          <w:p>
            <w:r>
              <w:rPr>
                <w:b/>
              </w:rPr>
              <w:t>Descripción técnica</w:t>
            </w:r>
          </w:p>
        </w:tc>
      </w:tr>
      <w:tr>
        <w:tc>
          <w:tcPr>
            <w:tcW w:type="dxa" w:w="3120"/>
            <w:tcBorders>
              <w:top w:val="single" w:sz="4" w:space="0" w:color="D3D3D3"/>
              <w:left w:val="none" w:sz="0" w:space="0" w:color="auto"/>
              <w:bottom w:val="single" w:sz="4" w:space="0" w:color="D3D3D3"/>
              <w:right w:val="none" w:sz="0" w:space="0" w:color="auto"/>
            </w:tcBorders>
          </w:tcPr>
          <w:p>
            <w:r>
              <w:t>B2_t1, B2_t2</w:t>
            </w:r>
          </w:p>
        </w:tc>
        <w:tc>
          <w:tcPr>
            <w:tcW w:type="dxa" w:w="3120"/>
            <w:tcBorders>
              <w:top w:val="single" w:sz="4" w:space="0" w:color="D3D3D3"/>
              <w:left w:val="none" w:sz="0" w:space="0" w:color="auto"/>
              <w:bottom w:val="single" w:sz="4" w:space="0" w:color="D3D3D3"/>
              <w:right w:val="none" w:sz="0" w:space="0" w:color="auto"/>
            </w:tcBorders>
          </w:tcPr>
          <w:p>
            <w:r>
              <w:t>Reflectancia espectral</w:t>
            </w:r>
          </w:p>
        </w:tc>
        <w:tc>
          <w:tcPr>
            <w:tcW w:type="dxa" w:w="3120"/>
            <w:tcBorders>
              <w:top w:val="single" w:sz="4" w:space="0" w:color="D3D3D3"/>
              <w:left w:val="none" w:sz="0" w:space="0" w:color="auto"/>
              <w:bottom w:val="single" w:sz="4" w:space="0" w:color="D3D3D3"/>
              <w:right w:val="none" w:sz="0" w:space="0" w:color="auto"/>
            </w:tcBorders>
          </w:tcPr>
          <w:p>
            <w:r>
              <w:t>Banda azul (490 nm) en t1 y t2</w:t>
            </w:r>
          </w:p>
        </w:tc>
      </w:tr>
      <w:tr>
        <w:tc>
          <w:tcPr>
            <w:tcW w:type="dxa" w:w="3120"/>
            <w:tcBorders>
              <w:top w:val="single" w:sz="4" w:space="0" w:color="D3D3D3"/>
              <w:left w:val="none" w:sz="0" w:space="0" w:color="auto"/>
              <w:bottom w:val="single" w:sz="4" w:space="0" w:color="D3D3D3"/>
              <w:right w:val="none" w:sz="0" w:space="0" w:color="auto"/>
            </w:tcBorders>
          </w:tcPr>
          <w:p>
            <w:r>
              <w:t>B3_t1, B3_t2</w:t>
            </w:r>
          </w:p>
        </w:tc>
        <w:tc>
          <w:tcPr>
            <w:tcW w:type="dxa" w:w="3120"/>
            <w:tcBorders>
              <w:top w:val="single" w:sz="4" w:space="0" w:color="D3D3D3"/>
              <w:left w:val="none" w:sz="0" w:space="0" w:color="auto"/>
              <w:bottom w:val="single" w:sz="4" w:space="0" w:color="D3D3D3"/>
              <w:right w:val="none" w:sz="0" w:space="0" w:color="auto"/>
            </w:tcBorders>
          </w:tcPr>
          <w:p>
            <w:r>
              <w:t>Reflectancia espectral</w:t>
            </w:r>
          </w:p>
        </w:tc>
        <w:tc>
          <w:tcPr>
            <w:tcW w:type="dxa" w:w="3120"/>
            <w:tcBorders>
              <w:top w:val="single" w:sz="4" w:space="0" w:color="D3D3D3"/>
              <w:left w:val="none" w:sz="0" w:space="0" w:color="auto"/>
              <w:bottom w:val="single" w:sz="4" w:space="0" w:color="D3D3D3"/>
              <w:right w:val="none" w:sz="0" w:space="0" w:color="auto"/>
            </w:tcBorders>
          </w:tcPr>
          <w:p>
            <w:r>
              <w:t>Banda verde (560 nm) en t1 y t2</w:t>
            </w:r>
          </w:p>
        </w:tc>
      </w:tr>
      <w:tr>
        <w:tc>
          <w:tcPr>
            <w:tcW w:type="dxa" w:w="3120"/>
            <w:tcBorders>
              <w:top w:val="single" w:sz="4" w:space="0" w:color="D3D3D3"/>
              <w:left w:val="none" w:sz="0" w:space="0" w:color="auto"/>
              <w:bottom w:val="single" w:sz="4" w:space="0" w:color="D3D3D3"/>
              <w:right w:val="none" w:sz="0" w:space="0" w:color="auto"/>
            </w:tcBorders>
          </w:tcPr>
          <w:p>
            <w:r>
              <w:t>B4_t1, B4_t2</w:t>
            </w:r>
          </w:p>
        </w:tc>
        <w:tc>
          <w:tcPr>
            <w:tcW w:type="dxa" w:w="3120"/>
            <w:tcBorders>
              <w:top w:val="single" w:sz="4" w:space="0" w:color="D3D3D3"/>
              <w:left w:val="none" w:sz="0" w:space="0" w:color="auto"/>
              <w:bottom w:val="single" w:sz="4" w:space="0" w:color="D3D3D3"/>
              <w:right w:val="none" w:sz="0" w:space="0" w:color="auto"/>
            </w:tcBorders>
          </w:tcPr>
          <w:p>
            <w:r>
              <w:t>Reflectancia espectral</w:t>
            </w:r>
          </w:p>
        </w:tc>
        <w:tc>
          <w:tcPr>
            <w:tcW w:type="dxa" w:w="3120"/>
            <w:tcBorders>
              <w:top w:val="single" w:sz="4" w:space="0" w:color="D3D3D3"/>
              <w:left w:val="none" w:sz="0" w:space="0" w:color="auto"/>
              <w:bottom w:val="single" w:sz="4" w:space="0" w:color="D3D3D3"/>
              <w:right w:val="none" w:sz="0" w:space="0" w:color="auto"/>
            </w:tcBorders>
          </w:tcPr>
          <w:p>
            <w:r>
              <w:t>Banda roja (665 nm) en t1 y t2</w:t>
            </w:r>
          </w:p>
        </w:tc>
      </w:tr>
      <w:tr>
        <w:tc>
          <w:tcPr>
            <w:tcW w:type="dxa" w:w="3120"/>
            <w:tcBorders>
              <w:top w:val="single" w:sz="4" w:space="0" w:color="D3D3D3"/>
              <w:left w:val="none" w:sz="0" w:space="0" w:color="auto"/>
              <w:bottom w:val="single" w:sz="4" w:space="0" w:color="D3D3D3"/>
              <w:right w:val="none" w:sz="0" w:space="0" w:color="auto"/>
            </w:tcBorders>
          </w:tcPr>
          <w:p>
            <w:r>
              <w:t>B5_t1, B5_t2</w:t>
            </w:r>
          </w:p>
        </w:tc>
        <w:tc>
          <w:tcPr>
            <w:tcW w:type="dxa" w:w="3120"/>
            <w:tcBorders>
              <w:top w:val="single" w:sz="4" w:space="0" w:color="D3D3D3"/>
              <w:left w:val="none" w:sz="0" w:space="0" w:color="auto"/>
              <w:bottom w:val="single" w:sz="4" w:space="0" w:color="D3D3D3"/>
              <w:right w:val="none" w:sz="0" w:space="0" w:color="auto"/>
            </w:tcBorders>
          </w:tcPr>
          <w:p>
            <w:r>
              <w:t>Reflectancia espectral</w:t>
            </w:r>
          </w:p>
        </w:tc>
        <w:tc>
          <w:tcPr>
            <w:tcW w:type="dxa" w:w="3120"/>
            <w:tcBorders>
              <w:top w:val="single" w:sz="4" w:space="0" w:color="D3D3D3"/>
              <w:left w:val="none" w:sz="0" w:space="0" w:color="auto"/>
              <w:bottom w:val="single" w:sz="4" w:space="0" w:color="D3D3D3"/>
              <w:right w:val="none" w:sz="0" w:space="0" w:color="auto"/>
            </w:tcBorders>
          </w:tcPr>
          <w:p>
            <w:r>
              <w:t>Banda borde rojo (705 nm) en t1 y t2</w:t>
            </w:r>
          </w:p>
        </w:tc>
      </w:tr>
      <w:tr>
        <w:tc>
          <w:tcPr>
            <w:tcW w:type="dxa" w:w="3120"/>
            <w:tcBorders>
              <w:top w:val="single" w:sz="4" w:space="0" w:color="D3D3D3"/>
              <w:left w:val="none" w:sz="0" w:space="0" w:color="auto"/>
              <w:bottom w:val="single" w:sz="4" w:space="0" w:color="D3D3D3"/>
              <w:right w:val="none" w:sz="0" w:space="0" w:color="auto"/>
            </w:tcBorders>
          </w:tcPr>
          <w:p>
            <w:r>
              <w:t>B8_t1, B8_t2</w:t>
            </w:r>
          </w:p>
        </w:tc>
        <w:tc>
          <w:tcPr>
            <w:tcW w:type="dxa" w:w="3120"/>
            <w:tcBorders>
              <w:top w:val="single" w:sz="4" w:space="0" w:color="D3D3D3"/>
              <w:left w:val="none" w:sz="0" w:space="0" w:color="auto"/>
              <w:bottom w:val="single" w:sz="4" w:space="0" w:color="D3D3D3"/>
              <w:right w:val="none" w:sz="0" w:space="0" w:color="auto"/>
            </w:tcBorders>
          </w:tcPr>
          <w:p>
            <w:r>
              <w:t>Reflectancia espectral</w:t>
            </w:r>
          </w:p>
        </w:tc>
        <w:tc>
          <w:tcPr>
            <w:tcW w:type="dxa" w:w="3120"/>
            <w:tcBorders>
              <w:top w:val="single" w:sz="4" w:space="0" w:color="D3D3D3"/>
              <w:left w:val="none" w:sz="0" w:space="0" w:color="auto"/>
              <w:bottom w:val="single" w:sz="4" w:space="0" w:color="D3D3D3"/>
              <w:right w:val="none" w:sz="0" w:space="0" w:color="auto"/>
            </w:tcBorders>
          </w:tcPr>
          <w:p>
            <w:r>
              <w:t>Banda infrarrojo cercano (842 nm) en t1 y t2</w:t>
            </w:r>
          </w:p>
        </w:tc>
      </w:tr>
      <w:tr>
        <w:tc>
          <w:tcPr>
            <w:tcW w:type="dxa" w:w="3120"/>
            <w:tcBorders>
              <w:top w:val="single" w:sz="4" w:space="0" w:color="D3D3D3"/>
              <w:left w:val="none" w:sz="0" w:space="0" w:color="auto"/>
              <w:bottom w:val="single" w:sz="4" w:space="0" w:color="D3D3D3"/>
              <w:right w:val="none" w:sz="0" w:space="0" w:color="auto"/>
            </w:tcBorders>
          </w:tcPr>
          <w:p>
            <w:r>
              <w:t>B11_t1, B11_t2</w:t>
            </w:r>
          </w:p>
        </w:tc>
        <w:tc>
          <w:tcPr>
            <w:tcW w:type="dxa" w:w="3120"/>
            <w:tcBorders>
              <w:top w:val="single" w:sz="4" w:space="0" w:color="D3D3D3"/>
              <w:left w:val="none" w:sz="0" w:space="0" w:color="auto"/>
              <w:bottom w:val="single" w:sz="4" w:space="0" w:color="D3D3D3"/>
              <w:right w:val="none" w:sz="0" w:space="0" w:color="auto"/>
            </w:tcBorders>
          </w:tcPr>
          <w:p>
            <w:r>
              <w:t>Reflectancia espectral</w:t>
            </w:r>
          </w:p>
        </w:tc>
        <w:tc>
          <w:tcPr>
            <w:tcW w:type="dxa" w:w="3120"/>
            <w:tcBorders>
              <w:top w:val="single" w:sz="4" w:space="0" w:color="D3D3D3"/>
              <w:left w:val="none" w:sz="0" w:space="0" w:color="auto"/>
              <w:bottom w:val="single" w:sz="4" w:space="0" w:color="D3D3D3"/>
              <w:right w:val="none" w:sz="0" w:space="0" w:color="auto"/>
            </w:tcBorders>
          </w:tcPr>
          <w:p>
            <w:r>
              <w:t>Banda SWIR-1 (1610 nm) en t1 y t2</w:t>
            </w:r>
          </w:p>
        </w:tc>
      </w:tr>
      <w:tr>
        <w:tc>
          <w:tcPr>
            <w:tcW w:type="dxa" w:w="3120"/>
            <w:tcBorders>
              <w:top w:val="single" w:sz="4" w:space="0" w:color="D3D3D3"/>
              <w:left w:val="none" w:sz="0" w:space="0" w:color="auto"/>
              <w:bottom w:val="single" w:sz="4" w:space="0" w:color="D3D3D3"/>
              <w:right w:val="none" w:sz="0" w:space="0" w:color="auto"/>
            </w:tcBorders>
          </w:tcPr>
          <w:p>
            <w:r>
              <w:t>B12_t1, B12_t2</w:t>
            </w:r>
          </w:p>
        </w:tc>
        <w:tc>
          <w:tcPr>
            <w:tcW w:type="dxa" w:w="3120"/>
            <w:tcBorders>
              <w:top w:val="single" w:sz="4" w:space="0" w:color="D3D3D3"/>
              <w:left w:val="none" w:sz="0" w:space="0" w:color="auto"/>
              <w:bottom w:val="single" w:sz="4" w:space="0" w:color="D3D3D3"/>
              <w:right w:val="none" w:sz="0" w:space="0" w:color="auto"/>
            </w:tcBorders>
          </w:tcPr>
          <w:p>
            <w:r>
              <w:t>Reflectancia espectral</w:t>
            </w:r>
          </w:p>
        </w:tc>
        <w:tc>
          <w:tcPr>
            <w:tcW w:type="dxa" w:w="3120"/>
            <w:tcBorders>
              <w:top w:val="single" w:sz="4" w:space="0" w:color="D3D3D3"/>
              <w:left w:val="none" w:sz="0" w:space="0" w:color="auto"/>
              <w:bottom w:val="single" w:sz="4" w:space="0" w:color="D3D3D3"/>
              <w:right w:val="none" w:sz="0" w:space="0" w:color="auto"/>
            </w:tcBorders>
          </w:tcPr>
          <w:p>
            <w:r>
              <w:t>Banda SWIR-2 (2190 nm) en t1 y t2</w:t>
            </w:r>
          </w:p>
        </w:tc>
      </w:tr>
      <w:tr>
        <w:tc>
          <w:tcPr>
            <w:tcW w:type="dxa" w:w="3120"/>
            <w:tcBorders>
              <w:top w:val="single" w:sz="4" w:space="0" w:color="D3D3D3"/>
              <w:left w:val="none" w:sz="0" w:space="0" w:color="auto"/>
              <w:bottom w:val="single" w:sz="4" w:space="0" w:color="D3D3D3"/>
              <w:right w:val="none" w:sz="0" w:space="0" w:color="auto"/>
            </w:tcBorders>
          </w:tcPr>
          <w:p>
            <w:r>
              <w:t>NDVI_t1, NDVI_t2</w:t>
            </w:r>
          </w:p>
        </w:tc>
        <w:tc>
          <w:tcPr>
            <w:tcW w:type="dxa" w:w="3120"/>
            <w:tcBorders>
              <w:top w:val="single" w:sz="4" w:space="0" w:color="D3D3D3"/>
              <w:left w:val="none" w:sz="0" w:space="0" w:color="auto"/>
              <w:bottom w:val="single" w:sz="4" w:space="0" w:color="D3D3D3"/>
              <w:right w:val="none" w:sz="0" w:space="0" w:color="auto"/>
            </w:tcBorders>
          </w:tcPr>
          <w:p>
            <w:r>
              <w:t>Índice de vegetación</w:t>
            </w:r>
          </w:p>
        </w:tc>
        <w:tc>
          <w:tcPr>
            <w:tcW w:type="dxa" w:w="3120"/>
            <w:tcBorders>
              <w:top w:val="single" w:sz="4" w:space="0" w:color="D3D3D3"/>
              <w:left w:val="none" w:sz="0" w:space="0" w:color="auto"/>
              <w:bottom w:val="single" w:sz="4" w:space="0" w:color="D3D3D3"/>
              <w:right w:val="none" w:sz="0" w:space="0" w:color="auto"/>
            </w:tcBorders>
          </w:tcPr>
          <w:p>
            <w:r>
              <w:t>Vigor de vegetación en t1 y t2</w:t>
            </w:r>
          </w:p>
        </w:tc>
      </w:tr>
      <w:tr>
        <w:tc>
          <w:tcPr>
            <w:tcW w:type="dxa" w:w="3120"/>
            <w:tcBorders>
              <w:top w:val="single" w:sz="4" w:space="0" w:color="D3D3D3"/>
              <w:left w:val="none" w:sz="0" w:space="0" w:color="auto"/>
              <w:bottom w:val="single" w:sz="4" w:space="0" w:color="D3D3D3"/>
              <w:right w:val="none" w:sz="0" w:space="0" w:color="auto"/>
            </w:tcBorders>
          </w:tcPr>
          <w:p>
            <w:r>
              <w:t>NDMI_t1, NDMI_t2</w:t>
            </w:r>
          </w:p>
        </w:tc>
        <w:tc>
          <w:tcPr>
            <w:tcW w:type="dxa" w:w="3120"/>
            <w:tcBorders>
              <w:top w:val="single" w:sz="4" w:space="0" w:color="D3D3D3"/>
              <w:left w:val="none" w:sz="0" w:space="0" w:color="auto"/>
              <w:bottom w:val="single" w:sz="4" w:space="0" w:color="D3D3D3"/>
              <w:right w:val="none" w:sz="0" w:space="0" w:color="auto"/>
            </w:tcBorders>
          </w:tcPr>
          <w:p>
            <w:r>
              <w:t>Índice de humedad</w:t>
            </w:r>
          </w:p>
        </w:tc>
        <w:tc>
          <w:tcPr>
            <w:tcW w:type="dxa" w:w="3120"/>
            <w:tcBorders>
              <w:top w:val="single" w:sz="4" w:space="0" w:color="D3D3D3"/>
              <w:left w:val="none" w:sz="0" w:space="0" w:color="auto"/>
              <w:bottom w:val="single" w:sz="4" w:space="0" w:color="D3D3D3"/>
              <w:right w:val="none" w:sz="0" w:space="0" w:color="auto"/>
            </w:tcBorders>
          </w:tcPr>
          <w:p>
            <w:r>
              <w:t>Humedad del follaje en t1 y t2</w:t>
            </w:r>
          </w:p>
        </w:tc>
      </w:tr>
      <w:tr>
        <w:tc>
          <w:tcPr>
            <w:tcW w:type="dxa" w:w="3120"/>
            <w:tcBorders>
              <w:top w:val="single" w:sz="4" w:space="0" w:color="D3D3D3"/>
              <w:left w:val="none" w:sz="0" w:space="0" w:color="auto"/>
              <w:bottom w:val="single" w:sz="4" w:space="0" w:color="D3D3D3"/>
              <w:right w:val="none" w:sz="0" w:space="0" w:color="auto"/>
            </w:tcBorders>
          </w:tcPr>
          <w:p>
            <w:r>
              <w:t>NBR_t1, NBR_t2</w:t>
            </w:r>
          </w:p>
        </w:tc>
        <w:tc>
          <w:tcPr>
            <w:tcW w:type="dxa" w:w="3120"/>
            <w:tcBorders>
              <w:top w:val="single" w:sz="4" w:space="0" w:color="D3D3D3"/>
              <w:left w:val="none" w:sz="0" w:space="0" w:color="auto"/>
              <w:bottom w:val="single" w:sz="4" w:space="0" w:color="D3D3D3"/>
              <w:right w:val="none" w:sz="0" w:space="0" w:color="auto"/>
            </w:tcBorders>
          </w:tcPr>
          <w:p>
            <w:r>
              <w:t>Índice de perturbación</w:t>
            </w:r>
          </w:p>
        </w:tc>
        <w:tc>
          <w:tcPr>
            <w:tcW w:type="dxa" w:w="3120"/>
            <w:tcBorders>
              <w:top w:val="single" w:sz="4" w:space="0" w:color="D3D3D3"/>
              <w:left w:val="none" w:sz="0" w:space="0" w:color="auto"/>
              <w:bottom w:val="single" w:sz="4" w:space="0" w:color="D3D3D3"/>
              <w:right w:val="none" w:sz="0" w:space="0" w:color="auto"/>
            </w:tcBorders>
          </w:tcPr>
          <w:p>
            <w:r>
              <w:t>Estado de quemado en t1 y t2</w:t>
            </w:r>
          </w:p>
        </w:tc>
      </w:tr>
      <w:tr>
        <w:tc>
          <w:tcPr>
            <w:tcW w:type="dxa" w:w="3120"/>
            <w:tcBorders>
              <w:top w:val="single" w:sz="4" w:space="0" w:color="D3D3D3"/>
              <w:left w:val="none" w:sz="0" w:space="0" w:color="auto"/>
              <w:bottom w:val="single" w:sz="4" w:space="0" w:color="D3D3D3"/>
              <w:right w:val="none" w:sz="0" w:space="0" w:color="auto"/>
            </w:tcBorders>
          </w:tcPr>
          <w:p>
            <w:r>
              <w:t>NDRE_t1, NDRE_t2</w:t>
            </w:r>
          </w:p>
        </w:tc>
        <w:tc>
          <w:tcPr>
            <w:tcW w:type="dxa" w:w="3120"/>
            <w:tcBorders>
              <w:top w:val="single" w:sz="4" w:space="0" w:color="D3D3D3"/>
              <w:left w:val="none" w:sz="0" w:space="0" w:color="auto"/>
              <w:bottom w:val="single" w:sz="4" w:space="0" w:color="D3D3D3"/>
              <w:right w:val="none" w:sz="0" w:space="0" w:color="auto"/>
            </w:tcBorders>
          </w:tcPr>
          <w:p>
            <w:r>
              <w:t>Índice de borde rojo</w:t>
            </w:r>
          </w:p>
        </w:tc>
        <w:tc>
          <w:tcPr>
            <w:tcW w:type="dxa" w:w="3120"/>
            <w:tcBorders>
              <w:top w:val="single" w:sz="4" w:space="0" w:color="D3D3D3"/>
              <w:left w:val="none" w:sz="0" w:space="0" w:color="auto"/>
              <w:bottom w:val="single" w:sz="4" w:space="0" w:color="D3D3D3"/>
              <w:right w:val="none" w:sz="0" w:space="0" w:color="auto"/>
            </w:tcBorders>
          </w:tcPr>
          <w:p>
            <w:r>
              <w:t>Clorofila en el dosel en t1 y t2</w:t>
            </w:r>
          </w:p>
        </w:tc>
      </w:tr>
      <w:tr>
        <w:tc>
          <w:tcPr>
            <w:tcW w:type="dxa" w:w="3120"/>
            <w:tcBorders>
              <w:top w:val="single" w:sz="4" w:space="0" w:color="D3D3D3"/>
              <w:left w:val="none" w:sz="0" w:space="0" w:color="auto"/>
              <w:bottom w:val="single" w:sz="4" w:space="0" w:color="D3D3D3"/>
              <w:right w:val="none" w:sz="0" w:space="0" w:color="auto"/>
            </w:tcBorders>
          </w:tcPr>
          <w:p>
            <w:r>
              <w:t>dNDVI</w:t>
            </w:r>
          </w:p>
        </w:tc>
        <w:tc>
          <w:tcPr>
            <w:tcW w:type="dxa" w:w="3120"/>
            <w:tcBorders>
              <w:top w:val="single" w:sz="4" w:space="0" w:color="D3D3D3"/>
              <w:left w:val="none" w:sz="0" w:space="0" w:color="auto"/>
              <w:bottom w:val="single" w:sz="4" w:space="0" w:color="D3D3D3"/>
              <w:right w:val="none" w:sz="0" w:space="0" w:color="auto"/>
            </w:tcBorders>
          </w:tcPr>
          <w:p>
            <w:r>
              <w:t>Diferencia temporal</w:t>
            </w:r>
          </w:p>
        </w:tc>
        <w:tc>
          <w:tcPr>
            <w:tcW w:type="dxa" w:w="3120"/>
            <w:tcBorders>
              <w:top w:val="single" w:sz="4" w:space="0" w:color="D3D3D3"/>
              <w:left w:val="none" w:sz="0" w:space="0" w:color="auto"/>
              <w:bottom w:val="single" w:sz="4" w:space="0" w:color="D3D3D3"/>
              <w:right w:val="none" w:sz="0" w:space="0" w:color="auto"/>
            </w:tcBorders>
          </w:tcPr>
          <w:p>
            <w:r>
              <w:t>Cambio absoluto de verdor (NDVIt2 - NDVIt1)</w:t>
            </w:r>
          </w:p>
        </w:tc>
      </w:tr>
      <w:tr>
        <w:tc>
          <w:tcPr>
            <w:tcW w:type="dxa" w:w="3120"/>
            <w:tcBorders>
              <w:top w:val="single" w:sz="4" w:space="0" w:color="D3D3D3"/>
              <w:left w:val="none" w:sz="0" w:space="0" w:color="auto"/>
              <w:bottom w:val="single" w:sz="4" w:space="0" w:color="D3D3D3"/>
              <w:right w:val="none" w:sz="0" w:space="0" w:color="auto"/>
            </w:tcBorders>
          </w:tcPr>
          <w:p>
            <w:r>
              <w:t>dNDMI</w:t>
            </w:r>
          </w:p>
        </w:tc>
        <w:tc>
          <w:tcPr>
            <w:tcW w:type="dxa" w:w="3120"/>
            <w:tcBorders>
              <w:top w:val="single" w:sz="4" w:space="0" w:color="D3D3D3"/>
              <w:left w:val="none" w:sz="0" w:space="0" w:color="auto"/>
              <w:bottom w:val="single" w:sz="4" w:space="0" w:color="D3D3D3"/>
              <w:right w:val="none" w:sz="0" w:space="0" w:color="auto"/>
            </w:tcBorders>
          </w:tcPr>
          <w:p>
            <w:r>
              <w:t>Diferencia temporal</w:t>
            </w:r>
          </w:p>
        </w:tc>
        <w:tc>
          <w:tcPr>
            <w:tcW w:type="dxa" w:w="3120"/>
            <w:tcBorders>
              <w:top w:val="single" w:sz="4" w:space="0" w:color="D3D3D3"/>
              <w:left w:val="none" w:sz="0" w:space="0" w:color="auto"/>
              <w:bottom w:val="single" w:sz="4" w:space="0" w:color="D3D3D3"/>
              <w:right w:val="none" w:sz="0" w:space="0" w:color="auto"/>
            </w:tcBorders>
          </w:tcPr>
          <w:p>
            <w:r>
              <w:rPr>
                <w:highlight w:val="yellow"/>
              </w:rPr>
              <w:t>Cambio en contenido de humedad (NDMIt2 - NDMIt1)</w:t>
            </w:r>
          </w:p>
        </w:tc>
      </w:tr>
      <w:tr>
        <w:tc>
          <w:tcPr>
            <w:tcW w:type="dxa" w:w="3120"/>
            <w:tcBorders>
              <w:top w:val="single" w:sz="4" w:space="0" w:color="D3D3D3"/>
              <w:left w:val="none" w:sz="0" w:space="0" w:color="auto"/>
              <w:bottom w:val="single" w:sz="4" w:space="0" w:color="D3D3D3"/>
              <w:right w:val="none" w:sz="0" w:space="0" w:color="auto"/>
            </w:tcBorders>
          </w:tcPr>
          <w:p>
            <w:r>
              <w:t>dNBR</w:t>
            </w:r>
          </w:p>
        </w:tc>
        <w:tc>
          <w:tcPr>
            <w:tcW w:type="dxa" w:w="3120"/>
            <w:tcBorders>
              <w:top w:val="single" w:sz="4" w:space="0" w:color="D3D3D3"/>
              <w:left w:val="none" w:sz="0" w:space="0" w:color="auto"/>
              <w:bottom w:val="single" w:sz="4" w:space="0" w:color="D3D3D3"/>
              <w:right w:val="none" w:sz="0" w:space="0" w:color="auto"/>
            </w:tcBorders>
          </w:tcPr>
          <w:p>
            <w:r>
              <w:t>Diferencia temporal</w:t>
            </w:r>
          </w:p>
        </w:tc>
        <w:tc>
          <w:tcPr>
            <w:tcW w:type="dxa" w:w="3120"/>
            <w:tcBorders>
              <w:top w:val="single" w:sz="4" w:space="0" w:color="D3D3D3"/>
              <w:left w:val="none" w:sz="0" w:space="0" w:color="auto"/>
              <w:bottom w:val="single" w:sz="4" w:space="0" w:color="D3D3D3"/>
              <w:right w:val="none" w:sz="0" w:space="0" w:color="auto"/>
            </w:tcBorders>
          </w:tcPr>
          <w:p>
            <w:r>
              <w:t>Variación de perturbación (NBRt2 - NBRt1)</w:t>
            </w:r>
          </w:p>
        </w:tc>
      </w:tr>
      <w:tr>
        <w:tc>
          <w:tcPr>
            <w:tcW w:type="dxa" w:w="3120"/>
            <w:tcBorders>
              <w:top w:val="single" w:sz="4" w:space="0" w:color="D3D3D3"/>
              <w:left w:val="none" w:sz="0" w:space="0" w:color="auto"/>
              <w:bottom w:val="single" w:sz="4" w:space="0" w:color="D3D3D3"/>
              <w:right w:val="none" w:sz="0" w:space="0" w:color="auto"/>
            </w:tcBorders>
          </w:tcPr>
          <w:p>
            <w:r>
              <w:t>dNDRE</w:t>
            </w:r>
          </w:p>
        </w:tc>
        <w:tc>
          <w:tcPr>
            <w:tcW w:type="dxa" w:w="3120"/>
            <w:tcBorders>
              <w:top w:val="single" w:sz="4" w:space="0" w:color="D3D3D3"/>
              <w:left w:val="none" w:sz="0" w:space="0" w:color="auto"/>
              <w:bottom w:val="single" w:sz="4" w:space="0" w:color="D3D3D3"/>
              <w:right w:val="none" w:sz="0" w:space="0" w:color="auto"/>
            </w:tcBorders>
          </w:tcPr>
          <w:p>
            <w:r>
              <w:t>Diferencia temporal</w:t>
            </w:r>
          </w:p>
        </w:tc>
        <w:tc>
          <w:tcPr>
            <w:tcW w:type="dxa" w:w="3120"/>
            <w:tcBorders>
              <w:top w:val="single" w:sz="4" w:space="0" w:color="D3D3D3"/>
              <w:left w:val="none" w:sz="0" w:space="0" w:color="auto"/>
              <w:bottom w:val="single" w:sz="4" w:space="0" w:color="D3D3D3"/>
              <w:right w:val="none" w:sz="0" w:space="0" w:color="auto"/>
            </w:tcBorders>
          </w:tcPr>
          <w:p>
            <w:r>
              <w:t>Variación de borde rojo (NDREt2 - NDREt1)</w:t>
            </w:r>
          </w:p>
        </w:tc>
      </w:tr>
    </w:tbl>
    <w:p>
      <w:pPr>
        <w:spacing w:before="40" w:after="160" w:line="276" w:lineRule="auto"/>
        <w:jc w:val="left"/>
      </w:pPr>
      <w:r>
        <w:rPr>
          <w:b w:val="0"/>
          <w:i/>
        </w:rPr>
        <w:t xml:space="preserve">Nota. </w:t>
      </w:r>
      <w:r>
        <w:rPr>
          <w:b w:val="0"/>
          <w:i w:val="0"/>
        </w:rPr>
        <w:t>Las coordenadas y fechas se preservaron como metadatos de partición y no ingresaron al clasificador para evitar sesgos espaciales.</w:t>
      </w:r>
    </w:p>
    <w:p>
      <w:pPr>
        <w:spacing w:before="200" w:after="40" w:line="276" w:lineRule="auto"/>
        <w:jc w:val="left"/>
      </w:pPr>
      <w:r>
        <w:rPr>
          <w:b/>
          <w:i w:val="0"/>
          <w:highlight w:val="yellow"/>
        </w:rPr>
        <w:t>Figura 9</w:t>
      </w:r>
    </w:p>
    <w:p>
      <w:pPr>
        <w:spacing w:before="0" w:after="80" w:line="276" w:lineRule="auto"/>
        <w:jc w:val="left"/>
      </w:pPr>
      <w:r>
        <w:rPr>
          <w:b w:val="0"/>
          <w:i/>
          <w:highlight w:val="yellow"/>
        </w:rPr>
        <w:t>Estructura tabular del conjunto de datos con 59.182 registros supervisados</w:t>
      </w:r>
    </w:p>
    <w:p>
      <w:pPr>
        <w:spacing w:before="40" w:after="160" w:line="276" w:lineRule="auto"/>
        <w:jc w:val="left"/>
      </w:pPr>
      <w:r>
        <w:rPr>
          <w:b w:val="0"/>
          <w:i/>
        </w:rPr>
        <w:t xml:space="preserve">Nota. </w:t>
      </w:r>
      <w:r>
        <w:rPr>
          <w:b w:val="0"/>
          <w:i w:val="0"/>
          <w:highlight w:val="yellow"/>
        </w:rPr>
        <w:t>Elaboración propia. Registros exportados para el entrenamiento del clasificador.</w:t>
      </w:r>
    </w:p>
    <w:p>
      <w:pPr>
        <w:spacing w:before="240" w:after="120" w:line="276" w:lineRule="auto"/>
        <w:jc w:val="left"/>
      </w:pPr>
      <w:r>
        <w:rPr>
          <w:b/>
          <w:i w:val="0"/>
          <w:highlight w:val="yellow"/>
        </w:rPr>
        <w:t>6.4. Fase 4. Entrenamiento y evaluación de modelos de aprendizaje automático</w:t>
      </w:r>
    </w:p>
    <w:p>
      <w:pPr>
        <w:spacing w:before="0" w:after="120" w:line="276" w:lineRule="auto"/>
        <w:jc w:val="both"/>
      </w:pPr>
      <w:r>
        <w:rPr>
          <w:b w:val="0"/>
          <w:i w:val="0"/>
        </w:rPr>
        <w:t>Se entrenó un modelo Random Forest piloto (versión v9) empleando scikit-learn. Para evaluar su capacidad de generalización espacial, se implementó una estrategia de validación por exclusión de bloques geográficos completos (Leave-One-Group-Out): en cada iteración se reservó una zona geográfica independiente para prueba mientras el ajuste se efectuó con las dos restantes. Esta estrategia redujo la sobreestimación del desempeño generada por la autocorrelación espacial entre píxeles vecinos.</w:t>
      </w:r>
    </w:p>
    <w:p>
      <w:pPr>
        <w:spacing w:before="240" w:after="120" w:line="276" w:lineRule="auto"/>
        <w:jc w:val="left"/>
      </w:pPr>
      <w:r>
        <w:rPr>
          <w:b/>
          <w:i w:val="0"/>
          <w:highlight w:val="yellow"/>
        </w:rPr>
        <w:t>6.5. Fase 5. Diseño e implementación de la aplicación web</w:t>
      </w:r>
    </w:p>
    <w:p>
      <w:pPr>
        <w:spacing w:before="0" w:after="120" w:line="276" w:lineRule="auto"/>
        <w:jc w:val="both"/>
      </w:pPr>
      <w:r>
        <w:rPr>
          <w:b w:val="0"/>
          <w:i w:val="0"/>
        </w:rPr>
        <w:t>La arquitectura de software se diseñó desacoplando el frontend (React 19) del backend (Django 5). En el servidor se implementaron endpoints RESTful para la autenticación JWT, la subida controlada de escenas GeoTIFF, el cálculo asíncrono de índices y la exportación de reportes PDF técnicos. Las matrices raster resultantes se generaron en el disco del servidor bajo permisos estrictos y se expusieron hacia el cliente mediante capas cartográficas.</w:t>
      </w:r>
    </w:p>
    <w:p>
      <w:pPr>
        <w:spacing w:before="240" w:after="120" w:line="276" w:lineRule="auto"/>
        <w:jc w:val="left"/>
      </w:pPr>
      <w:r>
        <w:rPr>
          <w:b/>
          <w:i w:val="0"/>
          <w:highlight w:val="yellow"/>
        </w:rPr>
        <w:t>6.6. Fase 6. Integración, pruebas y validación del sistema</w:t>
      </w:r>
    </w:p>
    <w:p>
      <w:pPr>
        <w:spacing w:before="0" w:after="120" w:line="276" w:lineRule="auto"/>
        <w:jc w:val="both"/>
      </w:pPr>
      <w:r>
        <w:rPr>
          <w:b w:val="0"/>
          <w:i w:val="0"/>
        </w:rPr>
        <w:t>En la última fase se integraron los componentes desarrollados. Se realizaron pruebas funcionales de extremo a extremo para verificar que el sistema pudiera recibir imágenes válidas, procesarlas matricialmente y desplegar los mapas de cambio. La validación del sistema consideró tanto el comportamiento cuantitativo del modelo como la coherencia espacial de las representaciones visuales.</w:t>
      </w:r>
    </w:p>
    <w:p>
      <w:pPr>
        <w:spacing w:before="320" w:after="160" w:line="276" w:lineRule="auto"/>
        <w:jc w:val="left"/>
      </w:pPr>
      <w:r>
        <w:rPr>
          <w:b/>
          <w:i w:val="0"/>
          <w:highlight w:val="yellow"/>
        </w:rPr>
        <w:t>7. Desarrollo ingenieril</w:t>
      </w:r>
    </w:p>
    <w:p>
      <w:pPr>
        <w:spacing w:before="240" w:after="120" w:line="276" w:lineRule="auto"/>
        <w:jc w:val="left"/>
      </w:pPr>
      <w:r>
        <w:rPr>
          <w:b/>
          <w:i w:val="0"/>
        </w:rPr>
        <w:t>7.1. Requisitos</w:t>
      </w:r>
    </w:p>
    <w:p>
      <w:pPr>
        <w:spacing w:before="160" w:after="80" w:line="276" w:lineRule="auto"/>
        <w:jc w:val="left"/>
      </w:pPr>
      <w:r>
        <w:rPr>
          <w:b/>
          <w:i/>
        </w:rPr>
        <w:t>7.1.1. Requisitos funcionales</w:t>
      </w:r>
    </w:p>
    <w:p>
      <w:pPr>
        <w:spacing w:before="0" w:after="120" w:line="276" w:lineRule="auto"/>
        <w:jc w:val="both"/>
      </w:pPr>
      <w:r>
        <w:rPr>
          <w:b w:val="0"/>
          <w:i w:val="0"/>
        </w:rPr>
        <w:t>Los requisitos funcionales detallan las operaciones provistas por la aplicación ForestGuard. La Tabla 4 formaliza el requisito principal RF-01; los requisitos complementarios RF-02 a RF-19 se detallan exhaustivamente en el Anexo A.</w:t>
      </w:r>
    </w:p>
    <w:p>
      <w:pPr>
        <w:spacing w:before="200" w:after="40" w:line="276" w:lineRule="auto"/>
        <w:jc w:val="left"/>
      </w:pPr>
      <w:r>
        <w:rPr>
          <w:b/>
          <w:i w:val="0"/>
        </w:rPr>
        <w:t>Tabla 4</w:t>
      </w:r>
    </w:p>
    <w:p>
      <w:pPr>
        <w:spacing w:before="0" w:after="80" w:line="276" w:lineRule="auto"/>
        <w:jc w:val="left"/>
      </w:pPr>
      <w:r>
        <w:rPr>
          <w:b w:val="0"/>
          <w:i/>
        </w:rPr>
        <w:t>RF-01. Detección de deforestación y degradación forestal mediante imágenes satelitales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analizar imágenes satelitales para identificar y clasificar zonas con cambios asociados a deforestación o degradación forestal mediante un modelo de machine learning.</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Imagen satelital en formato .tif que contenga las bandas espectrales necesarias para el análisis.</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El sistema procesa la imagen, calcula los índices espectrales y aplica el modelo de machine learning para categorizar cambios en la cobertura.</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Capa raster clasificada con estadísticas porcentuales y representación en la interfaz web.</w:t>
            </w:r>
          </w:p>
        </w:tc>
      </w:tr>
    </w:tbl>
    <w:p>
      <w:pPr>
        <w:spacing w:before="160" w:after="80" w:line="276" w:lineRule="auto"/>
        <w:jc w:val="left"/>
      </w:pPr>
      <w:r>
        <w:rPr>
          <w:b/>
          <w:i/>
        </w:rPr>
        <w:t>7.1.2. Requisitos no funcionales</w:t>
      </w:r>
    </w:p>
    <w:p>
      <w:pPr>
        <w:spacing w:before="200" w:after="40" w:line="276" w:lineRule="auto"/>
        <w:jc w:val="left"/>
      </w:pPr>
      <w:r>
        <w:rPr>
          <w:b/>
          <w:i w:val="0"/>
        </w:rPr>
        <w:t>Tabla 5</w:t>
      </w:r>
    </w:p>
    <w:p>
      <w:pPr>
        <w:spacing w:before="0" w:after="80" w:line="276" w:lineRule="auto"/>
        <w:jc w:val="left"/>
      </w:pPr>
      <w:r>
        <w:rPr>
          <w:b w:val="0"/>
          <w:i/>
        </w:rPr>
        <w:t>Lista de requisitos no funcionales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ID</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RNF-01</w:t>
            </w:r>
          </w:p>
        </w:tc>
        <w:tc>
          <w:tcPr>
            <w:tcW w:type="dxa" w:w="4680"/>
            <w:tcBorders>
              <w:top w:val="single" w:sz="4" w:space="0" w:color="D3D3D3"/>
              <w:left w:val="none" w:sz="0" w:space="0" w:color="auto"/>
              <w:bottom w:val="single" w:sz="4" w:space="0" w:color="D3D3D3"/>
              <w:right w:val="none" w:sz="0" w:space="0" w:color="auto"/>
            </w:tcBorders>
          </w:tcPr>
          <w:p>
            <w:r>
              <w:t>La interfaz debe presentar un flujo de trabajo claro y guiado para la carga, comparación y análisis de escenas.</w:t>
            </w:r>
          </w:p>
        </w:tc>
      </w:tr>
      <w:tr>
        <w:tc>
          <w:tcPr>
            <w:tcW w:type="dxa" w:w="4680"/>
            <w:tcBorders>
              <w:top w:val="single" w:sz="4" w:space="0" w:color="D3D3D3"/>
              <w:left w:val="none" w:sz="0" w:space="0" w:color="auto"/>
              <w:bottom w:val="single" w:sz="4" w:space="0" w:color="D3D3D3"/>
              <w:right w:val="none" w:sz="0" w:space="0" w:color="auto"/>
            </w:tcBorders>
          </w:tcPr>
          <w:p>
            <w:r>
              <w:t>RNF-02</w:t>
            </w:r>
          </w:p>
        </w:tc>
        <w:tc>
          <w:tcPr>
            <w:tcW w:type="dxa" w:w="4680"/>
            <w:tcBorders>
              <w:top w:val="single" w:sz="4" w:space="0" w:color="D3D3D3"/>
              <w:left w:val="none" w:sz="0" w:space="0" w:color="auto"/>
              <w:bottom w:val="single" w:sz="4" w:space="0" w:color="D3D3D3"/>
              <w:right w:val="none" w:sz="0" w:space="0" w:color="auto"/>
            </w:tcBorders>
          </w:tcPr>
          <w:p>
            <w:r>
              <w:t>Los resultados se deben representar mediante elementos visuales interactivos (mapas, porcentajes e indicadores).</w:t>
            </w:r>
          </w:p>
        </w:tc>
      </w:tr>
      <w:tr>
        <w:tc>
          <w:tcPr>
            <w:tcW w:type="dxa" w:w="4680"/>
            <w:tcBorders>
              <w:top w:val="single" w:sz="4" w:space="0" w:color="D3D3D3"/>
              <w:left w:val="none" w:sz="0" w:space="0" w:color="auto"/>
              <w:bottom w:val="single" w:sz="4" w:space="0" w:color="D3D3D3"/>
              <w:right w:val="none" w:sz="0" w:space="0" w:color="auto"/>
            </w:tcBorders>
          </w:tcPr>
          <w:p>
            <w:r>
              <w:t>RNF-03</w:t>
            </w:r>
          </w:p>
        </w:tc>
        <w:tc>
          <w:tcPr>
            <w:tcW w:type="dxa" w:w="4680"/>
            <w:tcBorders>
              <w:top w:val="single" w:sz="4" w:space="0" w:color="D3D3D3"/>
              <w:left w:val="none" w:sz="0" w:space="0" w:color="auto"/>
              <w:bottom w:val="single" w:sz="4" w:space="0" w:color="D3D3D3"/>
              <w:right w:val="none" w:sz="0" w:space="0" w:color="auto"/>
            </w:tcBorders>
          </w:tcPr>
          <w:p>
            <w:r>
              <w:t>El sistema debe emitir mensajes de error claros ante formatos inválidos o fallos de conexión.</w:t>
            </w:r>
          </w:p>
        </w:tc>
      </w:tr>
      <w:tr>
        <w:tc>
          <w:tcPr>
            <w:tcW w:type="dxa" w:w="4680"/>
            <w:tcBorders>
              <w:top w:val="single" w:sz="4" w:space="0" w:color="D3D3D3"/>
              <w:left w:val="none" w:sz="0" w:space="0" w:color="auto"/>
              <w:bottom w:val="single" w:sz="4" w:space="0" w:color="D3D3D3"/>
              <w:right w:val="none" w:sz="0" w:space="0" w:color="auto"/>
            </w:tcBorders>
          </w:tcPr>
          <w:p>
            <w:r>
              <w:t>RNF-04</w:t>
            </w:r>
          </w:p>
        </w:tc>
        <w:tc>
          <w:tcPr>
            <w:tcW w:type="dxa" w:w="4680"/>
            <w:tcBorders>
              <w:top w:val="single" w:sz="4" w:space="0" w:color="D3D3D3"/>
              <w:left w:val="none" w:sz="0" w:space="0" w:color="auto"/>
              <w:bottom w:val="single" w:sz="4" w:space="0" w:color="D3D3D3"/>
              <w:right w:val="none" w:sz="0" w:space="0" w:color="auto"/>
            </w:tcBorders>
          </w:tcPr>
          <w:p>
            <w:r>
              <w:t>La aplicación web debe funcionar de manera compatible en navegadores modernos (Chrome, Firefox, Edge).</w:t>
            </w:r>
          </w:p>
        </w:tc>
      </w:tr>
      <w:tr>
        <w:tc>
          <w:tcPr>
            <w:tcW w:type="dxa" w:w="4680"/>
            <w:tcBorders>
              <w:top w:val="single" w:sz="4" w:space="0" w:color="D3D3D3"/>
              <w:left w:val="none" w:sz="0" w:space="0" w:color="auto"/>
              <w:bottom w:val="single" w:sz="4" w:space="0" w:color="D3D3D3"/>
              <w:right w:val="none" w:sz="0" w:space="0" w:color="auto"/>
            </w:tcBorders>
          </w:tcPr>
          <w:p>
            <w:r>
              <w:t>RNF-05</w:t>
            </w:r>
          </w:p>
        </w:tc>
        <w:tc>
          <w:tcPr>
            <w:tcW w:type="dxa" w:w="4680"/>
            <w:tcBorders>
              <w:top w:val="single" w:sz="4" w:space="0" w:color="D3D3D3"/>
              <w:left w:val="none" w:sz="0" w:space="0" w:color="auto"/>
              <w:bottom w:val="single" w:sz="4" w:space="0" w:color="D3D3D3"/>
              <w:right w:val="none" w:sz="0" w:space="0" w:color="auto"/>
            </w:tcBorders>
          </w:tcPr>
          <w:p>
            <w:r>
              <w:t>El procesamiento y cálculo de métricas debe efectuarse en tiempos razonables según el tamaño del raster.</w:t>
            </w:r>
          </w:p>
        </w:tc>
      </w:tr>
      <w:tr>
        <w:tc>
          <w:tcPr>
            <w:tcW w:type="dxa" w:w="4680"/>
            <w:tcBorders>
              <w:top w:val="single" w:sz="4" w:space="0" w:color="D3D3D3"/>
              <w:left w:val="none" w:sz="0" w:space="0" w:color="auto"/>
              <w:bottom w:val="single" w:sz="4" w:space="0" w:color="D3D3D3"/>
              <w:right w:val="none" w:sz="0" w:space="0" w:color="auto"/>
            </w:tcBorders>
          </w:tcPr>
          <w:p>
            <w:r>
              <w:t>RNF-06</w:t>
            </w:r>
          </w:p>
        </w:tc>
        <w:tc>
          <w:tcPr>
            <w:tcW w:type="dxa" w:w="4680"/>
            <w:tcBorders>
              <w:top w:val="single" w:sz="4" w:space="0" w:color="D3D3D3"/>
              <w:left w:val="none" w:sz="0" w:space="0" w:color="auto"/>
              <w:bottom w:val="single" w:sz="4" w:space="0" w:color="D3D3D3"/>
              <w:right w:val="none" w:sz="0" w:space="0" w:color="auto"/>
            </w:tcBorders>
          </w:tcPr>
          <w:p>
            <w:r>
              <w:t>Protección estricta de credenciales mediante hashing criptográfico y tokens JWT.</w:t>
            </w:r>
          </w:p>
        </w:tc>
      </w:tr>
      <w:tr>
        <w:tc>
          <w:tcPr>
            <w:tcW w:type="dxa" w:w="4680"/>
            <w:tcBorders>
              <w:top w:val="single" w:sz="4" w:space="0" w:color="D3D3D3"/>
              <w:left w:val="none" w:sz="0" w:space="0" w:color="auto"/>
              <w:bottom w:val="single" w:sz="4" w:space="0" w:color="D3D3D3"/>
              <w:right w:val="none" w:sz="0" w:space="0" w:color="auto"/>
            </w:tcBorders>
          </w:tcPr>
          <w:p>
            <w:r>
              <w:t>RNF-07</w:t>
            </w:r>
          </w:p>
        </w:tc>
        <w:tc>
          <w:tcPr>
            <w:tcW w:type="dxa" w:w="4680"/>
            <w:tcBorders>
              <w:top w:val="single" w:sz="4" w:space="0" w:color="D3D3D3"/>
              <w:left w:val="none" w:sz="0" w:space="0" w:color="auto"/>
              <w:bottom w:val="single" w:sz="4" w:space="0" w:color="D3D3D3"/>
              <w:right w:val="none" w:sz="0" w:space="0" w:color="auto"/>
            </w:tcBorders>
          </w:tcPr>
          <w:p>
            <w:r>
              <w:t>Control de acceso y aislamiento de recursos por usuario; las imágenes y análisis son estrictamente privados.</w:t>
            </w:r>
          </w:p>
        </w:tc>
      </w:tr>
      <w:tr>
        <w:tc>
          <w:tcPr>
            <w:tcW w:type="dxa" w:w="4680"/>
            <w:tcBorders>
              <w:top w:val="single" w:sz="4" w:space="0" w:color="D3D3D3"/>
              <w:left w:val="none" w:sz="0" w:space="0" w:color="auto"/>
              <w:bottom w:val="single" w:sz="4" w:space="0" w:color="D3D3D3"/>
              <w:right w:val="none" w:sz="0" w:space="0" w:color="auto"/>
            </w:tcBorders>
          </w:tcPr>
          <w:p>
            <w:r>
              <w:t>RNF-08</w:t>
            </w:r>
          </w:p>
        </w:tc>
        <w:tc>
          <w:tcPr>
            <w:tcW w:type="dxa" w:w="4680"/>
            <w:tcBorders>
              <w:top w:val="single" w:sz="4" w:space="0" w:color="D3D3D3"/>
              <w:left w:val="none" w:sz="0" w:space="0" w:color="auto"/>
              <w:bottom w:val="single" w:sz="4" w:space="0" w:color="D3D3D3"/>
              <w:right w:val="none" w:sz="0" w:space="0" w:color="auto"/>
            </w:tcBorders>
          </w:tcPr>
          <w:p>
            <w:r>
              <w:t>Validación rigurosa de archivos GeoTIFF antes de procesar (bandas, formato y proyección).</w:t>
            </w:r>
          </w:p>
        </w:tc>
      </w:tr>
    </w:tbl>
    <w:p>
      <w:pPr>
        <w:spacing w:before="240" w:after="120" w:line="276" w:lineRule="auto"/>
        <w:jc w:val="left"/>
      </w:pPr>
      <w:r>
        <w:rPr>
          <w:b/>
          <w:i w:val="0"/>
        </w:rPr>
        <w:t>7.2. Modelados</w:t>
      </w:r>
    </w:p>
    <w:p>
      <w:pPr>
        <w:spacing w:before="160" w:after="80" w:line="276" w:lineRule="auto"/>
        <w:jc w:val="left"/>
      </w:pPr>
      <w:r>
        <w:rPr>
          <w:b/>
          <w:i/>
        </w:rPr>
        <w:t>7.2.1. Diagrama de casos de uso</w:t>
      </w:r>
    </w:p>
    <w:p>
      <w:pPr>
        <w:spacing w:before="200" w:after="40" w:line="276" w:lineRule="auto"/>
        <w:jc w:val="left"/>
      </w:pPr>
      <w:r>
        <w:rPr>
          <w:b/>
          <w:i w:val="0"/>
        </w:rPr>
        <w:t>Figura 10</w:t>
      </w:r>
    </w:p>
    <w:p>
      <w:pPr>
        <w:spacing w:before="0" w:after="80" w:line="276" w:lineRule="auto"/>
        <w:jc w:val="left"/>
      </w:pPr>
      <w:r>
        <w:rPr>
          <w:b w:val="0"/>
          <w:i/>
        </w:rPr>
        <w:t>Diagrama de casos de uso de ForestGuard</w:t>
      </w:r>
    </w:p>
    <w:p>
      <w:pPr>
        <w:spacing w:before="40" w:after="160" w:line="276" w:lineRule="auto"/>
        <w:jc w:val="left"/>
      </w:pPr>
      <w:r>
        <w:rPr>
          <w:b w:val="0"/>
          <w:i/>
        </w:rPr>
        <w:t xml:space="preserve">Nota. </w:t>
      </w:r>
      <w:r>
        <w:rPr>
          <w:b w:val="0"/>
          <w:i w:val="0"/>
          <w:highlight w:val="yellow"/>
        </w:rPr>
        <w:t>Elaboración propia.</w:t>
      </w:r>
    </w:p>
    <w:p>
      <w:pPr>
        <w:spacing w:before="160" w:after="80" w:line="276" w:lineRule="auto"/>
        <w:jc w:val="left"/>
      </w:pPr>
      <w:r>
        <w:rPr>
          <w:b/>
          <w:i/>
        </w:rPr>
        <w:t>7.2.2. Descripción de los casos de uso</w:t>
      </w:r>
    </w:p>
    <w:p>
      <w:pPr>
        <w:spacing w:before="200" w:after="40" w:line="276" w:lineRule="auto"/>
        <w:jc w:val="left"/>
      </w:pPr>
      <w:r>
        <w:rPr>
          <w:b/>
          <w:i w:val="0"/>
        </w:rPr>
        <w:t>Tabla 6</w:t>
      </w:r>
    </w:p>
    <w:p>
      <w:pPr>
        <w:spacing w:before="0" w:after="80" w:line="276" w:lineRule="auto"/>
        <w:jc w:val="left"/>
      </w:pPr>
      <w:r>
        <w:rPr>
          <w:b w:val="0"/>
          <w:i/>
        </w:rPr>
        <w:t>CU-01. Visualizar zonas en riesgo</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visualizar espacialmente las zonas identificadas con indicios de deforestación o degradación a partir del análisis procesado.</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Sesión iniciada y existencia de un análisis completado exitosamente.</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selecciona un análisis. 2. El sistema carga los resultados. 3. Se despliegan las capas sobre el mapa. 4. El usuario consulta métricas en hectáreas y porcentajes.</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usuario puede visualizar e interpretar la distribución espacial de los cambios.</w:t>
            </w:r>
          </w:p>
        </w:tc>
      </w:tr>
    </w:tbl>
    <w:p>
      <w:pPr>
        <w:spacing w:before="160" w:after="80" w:line="276" w:lineRule="auto"/>
        <w:jc w:val="left"/>
      </w:pPr>
      <w:r>
        <w:rPr>
          <w:b/>
          <w:i/>
        </w:rPr>
        <w:t>7.2.3. Modelo relacional</w:t>
      </w:r>
    </w:p>
    <w:p>
      <w:pPr>
        <w:spacing w:before="200" w:after="40" w:line="276" w:lineRule="auto"/>
        <w:jc w:val="left"/>
      </w:pPr>
      <w:r>
        <w:rPr>
          <w:b/>
          <w:i w:val="0"/>
        </w:rPr>
        <w:t>Figura 11</w:t>
      </w:r>
    </w:p>
    <w:p>
      <w:pPr>
        <w:spacing w:before="0" w:after="80" w:line="276" w:lineRule="auto"/>
        <w:jc w:val="left"/>
      </w:pPr>
      <w:r>
        <w:rPr>
          <w:b w:val="0"/>
          <w:i/>
        </w:rPr>
        <w:t>Modelo entidad-relación de la base de datos</w:t>
      </w:r>
    </w:p>
    <w:p>
      <w:pPr>
        <w:spacing w:before="40" w:after="160" w:line="276" w:lineRule="auto"/>
        <w:jc w:val="left"/>
      </w:pPr>
      <w:r>
        <w:rPr>
          <w:b w:val="0"/>
          <w:i/>
        </w:rPr>
        <w:t xml:space="preserve">Nota. </w:t>
      </w:r>
      <w:r>
        <w:rPr>
          <w:b w:val="0"/>
          <w:i w:val="0"/>
          <w:highlight w:val="yellow"/>
        </w:rPr>
        <w:t>Elaboración propia.</w:t>
      </w:r>
    </w:p>
    <w:p>
      <w:pPr>
        <w:spacing w:before="160" w:after="80" w:line="276" w:lineRule="auto"/>
        <w:jc w:val="left"/>
      </w:pPr>
      <w:r>
        <w:rPr>
          <w:b/>
          <w:i/>
        </w:rPr>
        <w:t>7.2.4. Diagramas de secuencia</w:t>
      </w:r>
    </w:p>
    <w:p>
      <w:pPr>
        <w:spacing w:before="200" w:after="40" w:line="276" w:lineRule="auto"/>
        <w:jc w:val="left"/>
      </w:pPr>
      <w:r>
        <w:rPr>
          <w:b/>
          <w:i w:val="0"/>
        </w:rPr>
        <w:t>Figura 12</w:t>
      </w:r>
    </w:p>
    <w:p>
      <w:pPr>
        <w:spacing w:before="0" w:after="80" w:line="276" w:lineRule="auto"/>
        <w:jc w:val="left"/>
      </w:pPr>
      <w:r>
        <w:rPr>
          <w:b w:val="0"/>
          <w:i/>
        </w:rPr>
        <w:t>DS-01. Ejecución del análisis de una imagen satelital</w:t>
      </w:r>
    </w:p>
    <w:p>
      <w:pPr>
        <w:spacing w:before="40" w:after="160" w:line="276" w:lineRule="auto"/>
        <w:jc w:val="left"/>
      </w:pPr>
      <w:r>
        <w:rPr>
          <w:b w:val="0"/>
          <w:i/>
        </w:rPr>
        <w:t xml:space="preserve">Nota. </w:t>
      </w:r>
      <w:r>
        <w:rPr>
          <w:b w:val="0"/>
          <w:i w:val="0"/>
          <w:highlight w:val="yellow"/>
        </w:rPr>
        <w:t>Elaboración propia.</w:t>
      </w:r>
    </w:p>
    <w:p>
      <w:pPr>
        <w:spacing w:before="160" w:after="80" w:line="276" w:lineRule="auto"/>
        <w:jc w:val="left"/>
      </w:pPr>
      <w:r>
        <w:rPr>
          <w:b/>
          <w:i/>
        </w:rPr>
        <w:t>7.2.5. Diagrama de componentes</w:t>
      </w:r>
    </w:p>
    <w:p>
      <w:pPr>
        <w:spacing w:before="200" w:after="40" w:line="276" w:lineRule="auto"/>
        <w:jc w:val="left"/>
      </w:pPr>
      <w:r>
        <w:rPr>
          <w:b/>
          <w:i w:val="0"/>
        </w:rPr>
        <w:t>Figura 13</w:t>
      </w:r>
    </w:p>
    <w:p>
      <w:pPr>
        <w:spacing w:before="0" w:after="80" w:line="276" w:lineRule="auto"/>
        <w:jc w:val="left"/>
      </w:pPr>
      <w:r>
        <w:rPr>
          <w:b w:val="0"/>
          <w:i/>
        </w:rPr>
        <w:t>Diagrama de componentes</w:t>
      </w:r>
    </w:p>
    <w:p>
      <w:pPr>
        <w:spacing w:before="40" w:after="160" w:line="276" w:lineRule="auto"/>
        <w:jc w:val="left"/>
      </w:pPr>
      <w:r>
        <w:rPr>
          <w:b w:val="0"/>
          <w:i/>
        </w:rPr>
        <w:t xml:space="preserve">Nota. </w:t>
      </w:r>
      <w:r>
        <w:rPr>
          <w:b w:val="0"/>
          <w:i w:val="0"/>
          <w:highlight w:val="yellow"/>
        </w:rPr>
        <w:t>Elaboración propia.</w:t>
      </w:r>
    </w:p>
    <w:p>
      <w:pPr>
        <w:spacing w:before="240" w:after="120" w:line="276" w:lineRule="auto"/>
        <w:jc w:val="left"/>
      </w:pPr>
      <w:r>
        <w:rPr>
          <w:b/>
          <w:i w:val="0"/>
        </w:rPr>
        <w:t>7.3. Descripción técnica del sistema</w:t>
      </w:r>
    </w:p>
    <w:p>
      <w:pPr>
        <w:spacing w:before="200" w:after="40" w:line="276" w:lineRule="auto"/>
        <w:jc w:val="left"/>
      </w:pPr>
      <w:r>
        <w:rPr>
          <w:b/>
          <w:i w:val="0"/>
        </w:rPr>
        <w:t>Tabla 7</w:t>
      </w:r>
    </w:p>
    <w:p>
      <w:pPr>
        <w:spacing w:before="0" w:after="80" w:line="276" w:lineRule="auto"/>
        <w:jc w:val="left"/>
      </w:pPr>
      <w:r>
        <w:rPr>
          <w:b w:val="0"/>
          <w:i/>
          <w:highlight w:val="yellow"/>
        </w:rPr>
        <w:t>Herramientas y tecnologías utilizadas en el desarrollo del sistema</w:t>
      </w:r>
    </w:p>
    <w:tbl>
      <w:tblPr>
        <w:tblW w:type="auto" w:w="0"/>
        <w:jc w:val="center"/>
        <w:tblLook w:firstColumn="1" w:firstRow="1" w:lastColumn="0" w:lastRow="0" w:noHBand="0" w:noVBand="1" w:val="04A0"/>
      </w:tblPr>
      <w:tblGrid>
        <w:gridCol w:w="3120"/>
        <w:gridCol w:w="3120"/>
        <w:gridCol w:w="3120"/>
      </w:tblGrid>
      <w:tr>
        <w:tc>
          <w:tcPr>
            <w:tcW w:type="dxa" w:w="3120"/>
            <w:shd w:fill="EAEAEA"/>
            <w:tcBorders>
              <w:top w:val="single" w:sz="8" w:space="0" w:color="D3D3D3"/>
              <w:left w:val="none" w:sz="0" w:space="0" w:color="auto"/>
              <w:bottom w:val="single" w:sz="8" w:space="0" w:color="D3D3D3"/>
              <w:right w:val="none" w:sz="0" w:space="0" w:color="auto"/>
            </w:tcBorders>
          </w:tcPr>
          <w:p>
            <w:r>
              <w:rPr>
                <w:b/>
              </w:rPr>
              <w:t>Categoría</w:t>
            </w:r>
          </w:p>
        </w:tc>
        <w:tc>
          <w:tcPr>
            <w:tcW w:type="dxa" w:w="3120"/>
            <w:shd w:fill="EAEAEA"/>
            <w:tcBorders>
              <w:top w:val="single" w:sz="8" w:space="0" w:color="D3D3D3"/>
              <w:left w:val="none" w:sz="0" w:space="0" w:color="auto"/>
              <w:bottom w:val="single" w:sz="8" w:space="0" w:color="D3D3D3"/>
              <w:right w:val="none" w:sz="0" w:space="0" w:color="auto"/>
            </w:tcBorders>
          </w:tcPr>
          <w:p>
            <w:r>
              <w:rPr>
                <w:b/>
              </w:rPr>
              <w:t>Tecnología / Librería</w:t>
            </w:r>
          </w:p>
        </w:tc>
        <w:tc>
          <w:tcPr>
            <w:tcW w:type="dxa" w:w="312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3120"/>
            <w:tcBorders>
              <w:top w:val="single" w:sz="4" w:space="0" w:color="D3D3D3"/>
              <w:left w:val="none" w:sz="0" w:space="0" w:color="auto"/>
              <w:bottom w:val="single" w:sz="4" w:space="0" w:color="D3D3D3"/>
              <w:right w:val="none" w:sz="0" w:space="0" w:color="auto"/>
            </w:tcBorders>
          </w:tcPr>
          <w:p>
            <w:r>
              <w:t>Backend</w:t>
            </w:r>
          </w:p>
        </w:tc>
        <w:tc>
          <w:tcPr>
            <w:tcW w:type="dxa" w:w="3120"/>
            <w:tcBorders>
              <w:top w:val="single" w:sz="4" w:space="0" w:color="D3D3D3"/>
              <w:left w:val="none" w:sz="0" w:space="0" w:color="auto"/>
              <w:bottom w:val="single" w:sz="4" w:space="0" w:color="D3D3D3"/>
              <w:right w:val="none" w:sz="0" w:space="0" w:color="auto"/>
            </w:tcBorders>
          </w:tcPr>
          <w:p>
            <w:r>
              <w:t>Python / Django REST Framework</w:t>
            </w:r>
          </w:p>
        </w:tc>
        <w:tc>
          <w:tcPr>
            <w:tcW w:type="dxa" w:w="3120"/>
            <w:tcBorders>
              <w:top w:val="single" w:sz="4" w:space="0" w:color="D3D3D3"/>
              <w:left w:val="none" w:sz="0" w:space="0" w:color="auto"/>
              <w:bottom w:val="single" w:sz="4" w:space="0" w:color="D3D3D3"/>
              <w:right w:val="none" w:sz="0" w:space="0" w:color="auto"/>
            </w:tcBorders>
          </w:tcPr>
          <w:p>
            <w:r>
              <w:t>Lógica de servidor, exposición de API RESTful y orquestación.</w:t>
            </w:r>
          </w:p>
        </w:tc>
      </w:tr>
      <w:tr>
        <w:tc>
          <w:tcPr>
            <w:tcW w:type="dxa" w:w="3120"/>
            <w:tcBorders>
              <w:top w:val="single" w:sz="4" w:space="0" w:color="D3D3D3"/>
              <w:left w:val="none" w:sz="0" w:space="0" w:color="auto"/>
              <w:bottom w:val="single" w:sz="4" w:space="0" w:color="D3D3D3"/>
              <w:right w:val="none" w:sz="0" w:space="0" w:color="auto"/>
            </w:tcBorders>
          </w:tcPr>
          <w:p>
            <w:r>
              <w:t>Frontend</w:t>
            </w:r>
          </w:p>
        </w:tc>
        <w:tc>
          <w:tcPr>
            <w:tcW w:type="dxa" w:w="3120"/>
            <w:tcBorders>
              <w:top w:val="single" w:sz="4" w:space="0" w:color="D3D3D3"/>
              <w:left w:val="none" w:sz="0" w:space="0" w:color="auto"/>
              <w:bottom w:val="single" w:sz="4" w:space="0" w:color="D3D3D3"/>
              <w:right w:val="none" w:sz="0" w:space="0" w:color="auto"/>
            </w:tcBorders>
          </w:tcPr>
          <w:p>
            <w:r>
              <w:t>React / Tailwind CSS / Vite</w:t>
            </w:r>
          </w:p>
        </w:tc>
        <w:tc>
          <w:tcPr>
            <w:tcW w:type="dxa" w:w="3120"/>
            <w:tcBorders>
              <w:top w:val="single" w:sz="4" w:space="0" w:color="D3D3D3"/>
              <w:left w:val="none" w:sz="0" w:space="0" w:color="auto"/>
              <w:bottom w:val="single" w:sz="4" w:space="0" w:color="D3D3D3"/>
              <w:right w:val="none" w:sz="0" w:space="0" w:color="auto"/>
            </w:tcBorders>
          </w:tcPr>
          <w:p>
            <w:r>
              <w:t>Interfaz de usuario interactiva y visor cartográfico web.</w:t>
            </w:r>
          </w:p>
        </w:tc>
      </w:tr>
      <w:tr>
        <w:tc>
          <w:tcPr>
            <w:tcW w:type="dxa" w:w="3120"/>
            <w:tcBorders>
              <w:top w:val="single" w:sz="4" w:space="0" w:color="D3D3D3"/>
              <w:left w:val="none" w:sz="0" w:space="0" w:color="auto"/>
              <w:bottom w:val="single" w:sz="4" w:space="0" w:color="D3D3D3"/>
              <w:right w:val="none" w:sz="0" w:space="0" w:color="auto"/>
            </w:tcBorders>
          </w:tcPr>
          <w:p>
            <w:r>
              <w:t>Base de datos</w:t>
            </w:r>
          </w:p>
        </w:tc>
        <w:tc>
          <w:tcPr>
            <w:tcW w:type="dxa" w:w="3120"/>
            <w:tcBorders>
              <w:top w:val="single" w:sz="4" w:space="0" w:color="D3D3D3"/>
              <w:left w:val="none" w:sz="0" w:space="0" w:color="auto"/>
              <w:bottom w:val="single" w:sz="4" w:space="0" w:color="D3D3D3"/>
              <w:right w:val="none" w:sz="0" w:space="0" w:color="auto"/>
            </w:tcBorders>
          </w:tcPr>
          <w:p>
            <w:r>
              <w:t>PostgreSQL</w:t>
            </w:r>
          </w:p>
        </w:tc>
        <w:tc>
          <w:tcPr>
            <w:tcW w:type="dxa" w:w="3120"/>
            <w:tcBorders>
              <w:top w:val="single" w:sz="4" w:space="0" w:color="D3D3D3"/>
              <w:left w:val="none" w:sz="0" w:space="0" w:color="auto"/>
              <w:bottom w:val="single" w:sz="4" w:space="0" w:color="D3D3D3"/>
              <w:right w:val="none" w:sz="0" w:space="0" w:color="auto"/>
            </w:tcBorders>
          </w:tcPr>
          <w:p>
            <w:r>
              <w:t>Almacenamiento relacional de usuarios, metadatos y análisis.</w:t>
            </w:r>
          </w:p>
        </w:tc>
      </w:tr>
      <w:tr>
        <w:tc>
          <w:tcPr>
            <w:tcW w:type="dxa" w:w="3120"/>
            <w:tcBorders>
              <w:top w:val="single" w:sz="4" w:space="0" w:color="D3D3D3"/>
              <w:left w:val="none" w:sz="0" w:space="0" w:color="auto"/>
              <w:bottom w:val="single" w:sz="4" w:space="0" w:color="D3D3D3"/>
              <w:right w:val="none" w:sz="0" w:space="0" w:color="auto"/>
            </w:tcBorders>
          </w:tcPr>
          <w:p>
            <w:r>
              <w:t>Procesamiento raster</w:t>
            </w:r>
          </w:p>
        </w:tc>
        <w:tc>
          <w:tcPr>
            <w:tcW w:type="dxa" w:w="3120"/>
            <w:tcBorders>
              <w:top w:val="single" w:sz="4" w:space="0" w:color="D3D3D3"/>
              <w:left w:val="none" w:sz="0" w:space="0" w:color="auto"/>
              <w:bottom w:val="single" w:sz="4" w:space="0" w:color="D3D3D3"/>
              <w:right w:val="none" w:sz="0" w:space="0" w:color="auto"/>
            </w:tcBorders>
          </w:tcPr>
          <w:p>
            <w:r>
              <w:t>rasterio, numpy, Pillow</w:t>
            </w:r>
          </w:p>
        </w:tc>
        <w:tc>
          <w:tcPr>
            <w:tcW w:type="dxa" w:w="3120"/>
            <w:tcBorders>
              <w:top w:val="single" w:sz="4" w:space="0" w:color="D3D3D3"/>
              <w:left w:val="none" w:sz="0" w:space="0" w:color="auto"/>
              <w:bottom w:val="single" w:sz="4" w:space="0" w:color="D3D3D3"/>
              <w:right w:val="none" w:sz="0" w:space="0" w:color="auto"/>
            </w:tcBorders>
          </w:tcPr>
          <w:p>
            <w:r>
              <w:t>Manipulación matricial de GeoTIFF y cálculo de índices espectrales.</w:t>
            </w:r>
          </w:p>
        </w:tc>
      </w:tr>
      <w:tr>
        <w:tc>
          <w:tcPr>
            <w:tcW w:type="dxa" w:w="3120"/>
            <w:tcBorders>
              <w:top w:val="single" w:sz="4" w:space="0" w:color="D3D3D3"/>
              <w:left w:val="none" w:sz="0" w:space="0" w:color="auto"/>
              <w:bottom w:val="single" w:sz="4" w:space="0" w:color="D3D3D3"/>
              <w:right w:val="none" w:sz="0" w:space="0" w:color="auto"/>
            </w:tcBorders>
          </w:tcPr>
          <w:p>
            <w:r>
              <w:t>Machine Learning</w:t>
            </w:r>
          </w:p>
        </w:tc>
        <w:tc>
          <w:tcPr>
            <w:tcW w:type="dxa" w:w="3120"/>
            <w:tcBorders>
              <w:top w:val="single" w:sz="4" w:space="0" w:color="D3D3D3"/>
              <w:left w:val="none" w:sz="0" w:space="0" w:color="auto"/>
              <w:bottom w:val="single" w:sz="4" w:space="0" w:color="D3D3D3"/>
              <w:right w:val="none" w:sz="0" w:space="0" w:color="auto"/>
            </w:tcBorders>
          </w:tcPr>
          <w:p>
            <w:r>
              <w:t>scikit-learn, joblib</w:t>
            </w:r>
          </w:p>
        </w:tc>
        <w:tc>
          <w:tcPr>
            <w:tcW w:type="dxa" w:w="3120"/>
            <w:tcBorders>
              <w:top w:val="single" w:sz="4" w:space="0" w:color="D3D3D3"/>
              <w:left w:val="none" w:sz="0" w:space="0" w:color="auto"/>
              <w:bottom w:val="single" w:sz="4" w:space="0" w:color="D3D3D3"/>
              <w:right w:val="none" w:sz="0" w:space="0" w:color="auto"/>
            </w:tcBorders>
          </w:tcPr>
          <w:p>
            <w:r>
              <w:t>Entrenamiento, evaluación e inferencia del modelo Random Forest.</w:t>
            </w:r>
          </w:p>
        </w:tc>
      </w:tr>
      <w:tr>
        <w:tc>
          <w:tcPr>
            <w:tcW w:type="dxa" w:w="3120"/>
            <w:tcBorders>
              <w:top w:val="single" w:sz="4" w:space="0" w:color="D3D3D3"/>
              <w:left w:val="none" w:sz="0" w:space="0" w:color="auto"/>
              <w:bottom w:val="single" w:sz="4" w:space="0" w:color="D3D3D3"/>
              <w:right w:val="none" w:sz="0" w:space="0" w:color="auto"/>
            </w:tcBorders>
          </w:tcPr>
          <w:p>
            <w:r>
              <w:t>Fuente de datos</w:t>
            </w:r>
          </w:p>
        </w:tc>
        <w:tc>
          <w:tcPr>
            <w:tcW w:type="dxa" w:w="3120"/>
            <w:tcBorders>
              <w:top w:val="single" w:sz="4" w:space="0" w:color="D3D3D3"/>
              <w:left w:val="none" w:sz="0" w:space="0" w:color="auto"/>
              <w:bottom w:val="single" w:sz="4" w:space="0" w:color="D3D3D3"/>
              <w:right w:val="none" w:sz="0" w:space="0" w:color="auto"/>
            </w:tcBorders>
          </w:tcPr>
          <w:p>
            <w:r>
              <w:rPr>
                <w:highlight w:val="yellow"/>
              </w:rPr>
              <w:t>Oráculo Terrasacha</w:t>
            </w:r>
          </w:p>
        </w:tc>
        <w:tc>
          <w:tcPr>
            <w:tcW w:type="dxa" w:w="3120"/>
            <w:tcBorders>
              <w:top w:val="single" w:sz="4" w:space="0" w:color="D3D3D3"/>
              <w:left w:val="none" w:sz="0" w:space="0" w:color="auto"/>
              <w:bottom w:val="single" w:sz="4" w:space="0" w:color="D3D3D3"/>
              <w:right w:val="none" w:sz="0" w:space="0" w:color="auto"/>
            </w:tcBorders>
          </w:tcPr>
          <w:p>
            <w:r>
              <w:t>Plataforma para consulta y descarga de escenas Sentinel-2 L2A.</w:t>
            </w:r>
          </w:p>
        </w:tc>
      </w:tr>
      <w:tr>
        <w:tc>
          <w:tcPr>
            <w:tcW w:type="dxa" w:w="3120"/>
            <w:tcBorders>
              <w:top w:val="single" w:sz="4" w:space="0" w:color="D3D3D3"/>
              <w:left w:val="none" w:sz="0" w:space="0" w:color="auto"/>
              <w:bottom w:val="single" w:sz="4" w:space="0" w:color="D3D3D3"/>
              <w:right w:val="none" w:sz="0" w:space="0" w:color="auto"/>
            </w:tcBorders>
          </w:tcPr>
          <w:p>
            <w:r>
              <w:t>Seguridad</w:t>
            </w:r>
          </w:p>
        </w:tc>
        <w:tc>
          <w:tcPr>
            <w:tcW w:type="dxa" w:w="3120"/>
            <w:tcBorders>
              <w:top w:val="single" w:sz="4" w:space="0" w:color="D3D3D3"/>
              <w:left w:val="none" w:sz="0" w:space="0" w:color="auto"/>
              <w:bottom w:val="single" w:sz="4" w:space="0" w:color="D3D3D3"/>
              <w:right w:val="none" w:sz="0" w:space="0" w:color="auto"/>
            </w:tcBorders>
          </w:tcPr>
          <w:p>
            <w:r>
              <w:t>JSON Web Token (JWT)</w:t>
            </w:r>
          </w:p>
        </w:tc>
        <w:tc>
          <w:tcPr>
            <w:tcW w:type="dxa" w:w="3120"/>
            <w:tcBorders>
              <w:top w:val="single" w:sz="4" w:space="0" w:color="D3D3D3"/>
              <w:left w:val="none" w:sz="0" w:space="0" w:color="auto"/>
              <w:bottom w:val="single" w:sz="4" w:space="0" w:color="D3D3D3"/>
              <w:right w:val="none" w:sz="0" w:space="0" w:color="auto"/>
            </w:tcBorders>
          </w:tcPr>
          <w:p>
            <w:r>
              <w:t>Gestión de autenticación y autorización segura con rotación de tokens.</w:t>
            </w:r>
          </w:p>
        </w:tc>
      </w:tr>
    </w:tbl>
    <w:p>
      <w:pPr>
        <w:spacing w:before="40" w:after="160" w:line="276" w:lineRule="auto"/>
        <w:jc w:val="left"/>
      </w:pPr>
      <w:r>
        <w:rPr>
          <w:b w:val="0"/>
          <w:i/>
        </w:rPr>
        <w:t xml:space="preserve">Nota. </w:t>
      </w:r>
      <w:r>
        <w:rPr>
          <w:b w:val="0"/>
          <w:i w:val="0"/>
          <w:highlight w:val="yellow"/>
        </w:rPr>
        <w:t>Stack tecnológico implementado para ForestGuard.</w:t>
      </w:r>
    </w:p>
    <w:p>
      <w:pPr>
        <w:spacing w:before="240" w:after="120" w:line="276" w:lineRule="auto"/>
        <w:jc w:val="left"/>
      </w:pPr>
      <w:r>
        <w:rPr>
          <w:b/>
          <w:i w:val="0"/>
        </w:rPr>
        <w:t>7.4. Diseño de interfaces</w:t>
      </w:r>
    </w:p>
    <w:p>
      <w:pPr>
        <w:spacing w:before="200" w:after="40" w:line="276" w:lineRule="auto"/>
        <w:jc w:val="left"/>
      </w:pPr>
      <w:r>
        <w:rPr>
          <w:b/>
          <w:i w:val="0"/>
        </w:rPr>
        <w:t>Figura 14</w:t>
      </w:r>
    </w:p>
    <w:p>
      <w:pPr>
        <w:spacing w:before="0" w:after="80" w:line="276" w:lineRule="auto"/>
        <w:jc w:val="left"/>
      </w:pPr>
      <w:r>
        <w:rPr>
          <w:b w:val="0"/>
          <w:i/>
          <w:highlight w:val="yellow"/>
        </w:rPr>
        <w:t>Maqueta (mockup) de la vista de análisis</w:t>
      </w:r>
    </w:p>
    <w:p>
      <w:pPr>
        <w:spacing w:before="40" w:after="160" w:line="276" w:lineRule="auto"/>
        <w:jc w:val="left"/>
      </w:pPr>
      <w:r>
        <w:rPr>
          <w:b w:val="0"/>
          <w:i/>
        </w:rPr>
        <w:t xml:space="preserve">Nota. </w:t>
      </w:r>
      <w:r>
        <w:rPr>
          <w:b w:val="0"/>
          <w:i w:val="0"/>
          <w:highlight w:val="yellow"/>
        </w:rPr>
        <w:t>Elaboración propia. Diseño de la pantalla principal de análisis.</w:t>
      </w:r>
    </w:p>
    <w:p>
      <w:pPr>
        <w:spacing w:before="200" w:after="40" w:line="276" w:lineRule="auto"/>
        <w:jc w:val="left"/>
      </w:pPr>
      <w:r>
        <w:rPr>
          <w:b/>
          <w:i w:val="0"/>
        </w:rPr>
        <w:t>Figura 15</w:t>
      </w:r>
    </w:p>
    <w:p>
      <w:pPr>
        <w:spacing w:before="0" w:after="80" w:line="276" w:lineRule="auto"/>
        <w:jc w:val="left"/>
      </w:pPr>
      <w:r>
        <w:rPr>
          <w:b w:val="0"/>
          <w:i/>
          <w:highlight w:val="yellow"/>
        </w:rPr>
        <w:t>Maqueta (mockup) del proceso de análisis (estado de procesamiento)</w:t>
      </w:r>
    </w:p>
    <w:p>
      <w:pPr>
        <w:spacing w:before="40" w:after="160" w:line="276" w:lineRule="auto"/>
        <w:jc w:val="left"/>
      </w:pPr>
      <w:r>
        <w:rPr>
          <w:b w:val="0"/>
          <w:i/>
        </w:rPr>
        <w:t xml:space="preserve">Nota. </w:t>
      </w:r>
      <w:r>
        <w:rPr>
          <w:b w:val="0"/>
          <w:i w:val="0"/>
          <w:highlight w:val="yellow"/>
        </w:rPr>
        <w:t>Elaboración propia. Interfaz durante el cómputo matricial.</w:t>
      </w:r>
    </w:p>
    <w:p>
      <w:pPr>
        <w:spacing w:before="200" w:after="40" w:line="276" w:lineRule="auto"/>
        <w:jc w:val="left"/>
      </w:pPr>
      <w:r>
        <w:rPr>
          <w:b/>
          <w:i w:val="0"/>
        </w:rPr>
        <w:t>Figura 16</w:t>
      </w:r>
    </w:p>
    <w:p>
      <w:pPr>
        <w:spacing w:before="0" w:after="80" w:line="276" w:lineRule="auto"/>
        <w:jc w:val="left"/>
      </w:pPr>
      <w:r>
        <w:rPr>
          <w:b w:val="0"/>
          <w:i/>
          <w:highlight w:val="yellow"/>
        </w:rPr>
        <w:t>Maqueta (mockup) del historial de imágenes analizadas</w:t>
      </w:r>
    </w:p>
    <w:p>
      <w:pPr>
        <w:spacing w:before="40" w:after="160" w:line="276" w:lineRule="auto"/>
        <w:jc w:val="left"/>
      </w:pPr>
      <w:r>
        <w:rPr>
          <w:b w:val="0"/>
          <w:i/>
        </w:rPr>
        <w:t xml:space="preserve">Nota. </w:t>
      </w:r>
      <w:r>
        <w:rPr>
          <w:b w:val="0"/>
          <w:i w:val="0"/>
          <w:highlight w:val="yellow"/>
        </w:rPr>
        <w:t>Elaboración propia. Vista de consulta del historial de análisis.</w:t>
      </w:r>
    </w:p>
    <w:p>
      <w:pPr>
        <w:spacing w:before="200" w:after="40" w:line="276" w:lineRule="auto"/>
        <w:jc w:val="left"/>
      </w:pPr>
      <w:r>
        <w:rPr>
          <w:b/>
          <w:i w:val="0"/>
        </w:rPr>
        <w:t>Figura 17</w:t>
      </w:r>
    </w:p>
    <w:p>
      <w:pPr>
        <w:spacing w:before="0" w:after="80" w:line="276" w:lineRule="auto"/>
        <w:jc w:val="left"/>
      </w:pPr>
      <w:r>
        <w:rPr>
          <w:b w:val="0"/>
          <w:i/>
          <w:highlight w:val="yellow"/>
        </w:rPr>
        <w:t>Maqueta (mockup) del detalle del análisis de la imagen</w:t>
      </w:r>
    </w:p>
    <w:p>
      <w:pPr>
        <w:spacing w:before="40" w:after="160" w:line="276" w:lineRule="auto"/>
        <w:jc w:val="left"/>
      </w:pPr>
      <w:r>
        <w:rPr>
          <w:b w:val="0"/>
          <w:i/>
        </w:rPr>
        <w:t xml:space="preserve">Nota. </w:t>
      </w:r>
      <w:r>
        <w:rPr>
          <w:b w:val="0"/>
          <w:i w:val="0"/>
          <w:highlight w:val="yellow"/>
        </w:rPr>
        <w:t>Elaboración propia. Módulo de detalle e inspección por píxel.</w:t>
      </w:r>
    </w:p>
    <w:p>
      <w:pPr>
        <w:spacing w:before="320" w:after="160" w:line="276" w:lineRule="auto"/>
        <w:jc w:val="left"/>
      </w:pPr>
      <w:r>
        <w:rPr>
          <w:b/>
          <w:i w:val="0"/>
        </w:rPr>
        <w:t>8. Resultados y análisis</w:t>
      </w:r>
    </w:p>
    <w:p>
      <w:pPr>
        <w:spacing w:before="0" w:after="120" w:line="276" w:lineRule="auto"/>
        <w:jc w:val="both"/>
      </w:pPr>
      <w:r>
        <w:rPr>
          <w:b w:val="0"/>
          <w:i w:val="0"/>
        </w:rPr>
        <w:t>En este apartado se presentan los resultados y el análisis del desempeño del modelo de aprendizaje automático Random Forest, a partir de los datos utilizados durante su entrenamiento y evaluación. Asimismo, se exponen los resultados obtenidos mediante los endpoints implementados en Django, junto con la visualización de las imágenes satelitales y los productos generados durante su procesamiento. Finalmente, se presenta la integración de los componentes de ForestGuard, mostrando el funcionamiento de la aplicación web desarrollada con Django y React.</w:t>
      </w:r>
    </w:p>
    <w:p>
      <w:pPr>
        <w:spacing w:before="240" w:after="120" w:line="276" w:lineRule="auto"/>
        <w:jc w:val="left"/>
      </w:pPr>
      <w:r>
        <w:rPr>
          <w:b/>
          <w:i w:val="0"/>
          <w:highlight w:val="yellow"/>
        </w:rPr>
        <w:t>8.1. Evaluación del modelo de aprendizaje automático</w:t>
      </w:r>
    </w:p>
    <w:p>
      <w:pPr>
        <w:spacing w:before="0" w:after="120" w:line="276" w:lineRule="auto"/>
        <w:jc w:val="both"/>
      </w:pPr>
      <w:r>
        <w:rPr>
          <w:b w:val="0"/>
          <w:i w:val="0"/>
        </w:rPr>
        <w:t>La evaluación del modelo Random Forest piloto v9 se realizó mediante una estrategia de validación geográfica, en la cual se reservó una zona completa para evaluación mientras el entrenamiento se efectuó con las observaciones de las otras dos zonas. Este procedimiento se repitió hasta evaluar las tres zonas disponibles, con el propósito de analizar la capacidad del modelo para reconocer patrones de cambio histórico asociados a deforestación en áreas geográficas no utilizadas durante el ajuste.</w:t>
      </w:r>
    </w:p>
    <w:p>
      <w:pPr>
        <w:spacing w:before="200" w:after="40" w:line="276" w:lineRule="auto"/>
        <w:jc w:val="left"/>
      </w:pPr>
      <w:r>
        <w:rPr>
          <w:b/>
          <w:i w:val="0"/>
        </w:rPr>
        <w:t>Figura 18</w:t>
      </w:r>
    </w:p>
    <w:p>
      <w:pPr>
        <w:spacing w:before="0" w:after="80" w:line="276" w:lineRule="auto"/>
        <w:jc w:val="left"/>
      </w:pPr>
      <w:r>
        <w:rPr>
          <w:b w:val="0"/>
          <w:i/>
        </w:rPr>
        <w:t>Escenas satelitales y etiquetas supervisadas para la evaluación geográfica del modelo Random Forest v9</w:t>
      </w:r>
    </w:p>
    <w:p>
      <w:pPr>
        <w:spacing w:before="40" w:after="160" w:line="276" w:lineRule="auto"/>
        <w:jc w:val="left"/>
      </w:pPr>
      <w:r>
        <w:rPr>
          <w:b w:val="0"/>
          <w:i/>
        </w:rPr>
        <w:t xml:space="preserve">Nota. </w:t>
      </w:r>
      <w:r>
        <w:rPr>
          <w:b w:val="0"/>
          <w:i w:val="0"/>
        </w:rPr>
        <w:t>Elaboración propia. Muestras de validación en diferentes bloques territoriales.</w:t>
      </w:r>
    </w:p>
    <w:p>
      <w:pPr>
        <w:spacing w:before="0" w:after="120" w:line="276" w:lineRule="auto"/>
        <w:jc w:val="both"/>
      </w:pPr>
      <w:r>
        <w:rPr>
          <w:b w:val="0"/>
          <w:i w:val="0"/>
        </w:rPr>
        <w:t>Para evaluar el desempeño se utilizaron las métricas de precisión, sensibilidad y F1-score, con un umbral de clasificación de 0,5. Los resultados por zona mostraron variaciones: la precisión estuvo entre el 37,8 % y el 80,3 %, mientras que la sensibilidad osciló entre el 59,8 % y el 78,3 %. Al consolidar las predicciones de los tres pliegues geográficos, se obtuvo una precisión del 66,9 %, una sensibilidad del 67,9 % y un F1-score del 67,4 %.</w:t>
      </w:r>
    </w:p>
    <w:p>
      <w:pPr>
        <w:spacing w:before="200" w:after="40" w:line="276" w:lineRule="auto"/>
        <w:jc w:val="left"/>
      </w:pPr>
      <w:r>
        <w:rPr>
          <w:b/>
          <w:i w:val="0"/>
        </w:rPr>
        <w:t>Figura 19</w:t>
      </w:r>
    </w:p>
    <w:p>
      <w:pPr>
        <w:spacing w:before="0" w:after="80" w:line="276" w:lineRule="auto"/>
        <w:jc w:val="left"/>
      </w:pPr>
      <w:r>
        <w:rPr>
          <w:b w:val="0"/>
          <w:i/>
        </w:rPr>
        <w:t>Matriz de confusión y métricas de desempeño del modelo Random Forest v9</w:t>
      </w:r>
    </w:p>
    <w:p>
      <w:pPr>
        <w:spacing w:before="40" w:after="160" w:line="276" w:lineRule="auto"/>
        <w:jc w:val="left"/>
      </w:pPr>
      <w:r>
        <w:rPr>
          <w:b w:val="0"/>
          <w:i/>
        </w:rPr>
        <w:t xml:space="preserve">Nota. </w:t>
      </w:r>
      <w:r>
        <w:rPr>
          <w:b w:val="0"/>
          <w:i w:val="0"/>
        </w:rPr>
        <w:t>Elaboración propia. Evaluación con 59.182 píxeles independientes en tres zonas geográficas.</w:t>
      </w:r>
    </w:p>
    <w:p>
      <w:pPr>
        <w:spacing w:before="0" w:after="120" w:line="276" w:lineRule="auto"/>
        <w:jc w:val="both"/>
      </w:pPr>
      <w:r>
        <w:rPr>
          <w:b w:val="0"/>
          <w:i w:val="0"/>
        </w:rPr>
        <w:t>La matriz reúne 57.292 verdaderos negativos, 476 falsos positivos, 454 falsos negativos y 960 verdaderos positivos. La precisión es 66,9 %, la sensibilidad 67,9 % y F1 67,4 % con umbral 0,5. Estas cifras resumen predicciones de tres modelos distintos evaluados en zonas que no participaron en su respectivo ajuste.</w:t>
      </w:r>
    </w:p>
    <w:p>
      <w:pPr>
        <w:spacing w:before="240" w:after="120" w:line="276" w:lineRule="auto"/>
        <w:jc w:val="left"/>
      </w:pPr>
      <w:r>
        <w:rPr>
          <w:b/>
          <w:i w:val="0"/>
          <w:highlight w:val="yellow"/>
        </w:rPr>
        <w:t>8.2. Resultados basados en el entrenamiento del modelo y análisis espectral</w:t>
      </w:r>
    </w:p>
    <w:p>
      <w:pPr>
        <w:spacing w:before="0" w:after="120" w:line="276" w:lineRule="auto"/>
        <w:jc w:val="both"/>
      </w:pPr>
      <w:r>
        <w:rPr>
          <w:b w:val="0"/>
          <w:i w:val="0"/>
        </w:rPr>
        <w:t>La visualización individual de estos productos permite reconocer la distribución espacial de los valores de cada índice dentro del área analizada. En particular, el NDVI facilita la observación de diferencias en la respuesta de la vegetación, mientras que el NDMI aporta información relacionada con su contenido de humedad. Por su parte, el NBR permite examinar variaciones espectrales que pueden estar asociadas con alteraciones de la vegetación, incluidas aquellas relacionadas con incendios; el NDRE complementa el análisis mediante información obtenida de las bandas del borde rojo.</w:t>
      </w:r>
    </w:p>
    <w:p>
      <w:pPr>
        <w:spacing w:before="200" w:after="40" w:line="276" w:lineRule="auto"/>
        <w:jc w:val="left"/>
      </w:pPr>
      <w:r>
        <w:rPr>
          <w:b/>
          <w:i w:val="0"/>
        </w:rPr>
        <w:t>Figura 20</w:t>
      </w:r>
    </w:p>
    <w:p>
      <w:pPr>
        <w:spacing w:before="0" w:after="80" w:line="276" w:lineRule="auto"/>
        <w:jc w:val="left"/>
      </w:pPr>
      <w:r>
        <w:rPr>
          <w:b w:val="0"/>
          <w:i/>
        </w:rPr>
        <w:t>Visualización de índices espectrales y estadísticas descriptivas en ForestGuard</w:t>
      </w:r>
    </w:p>
    <w:p>
      <w:pPr>
        <w:spacing w:before="40" w:after="160" w:line="276" w:lineRule="auto"/>
        <w:jc w:val="left"/>
      </w:pPr>
      <w:r>
        <w:rPr>
          <w:b w:val="0"/>
          <w:i/>
        </w:rPr>
        <w:t xml:space="preserve">Nota. </w:t>
      </w:r>
      <w:r>
        <w:rPr>
          <w:b w:val="0"/>
          <w:i w:val="0"/>
        </w:rPr>
        <w:t>Elaboración propia. Salida gráfica de bandas derivadas generada por el backend.</w:t>
      </w:r>
    </w:p>
    <w:p>
      <w:pPr>
        <w:spacing w:before="0" w:after="120" w:line="276" w:lineRule="auto"/>
        <w:jc w:val="both"/>
      </w:pPr>
      <w:r>
        <w:rPr>
          <w:b w:val="0"/>
          <w:i w:val="0"/>
        </w:rPr>
        <w:t>Además de la visualización individual de los índices, ForestGuard permite comparar imágenes correspondientes a dos fechas diferentes. Este procedimiento facilita la observación de cambios en la respuesta espectral de una misma zona y permite calcular diferencias entre los valores de los índices seleccionados. Para el análisis temporal se emplea, entre otras variables, la diferencia del índice NDVI (ΔNDVI), obtenida mediante la resta del valor de la fecha inicial al valor de la fecha final.</w:t>
      </w:r>
    </w:p>
    <w:p>
      <w:pPr>
        <w:spacing w:before="200" w:after="40" w:line="276" w:lineRule="auto"/>
        <w:jc w:val="left"/>
      </w:pPr>
      <w:r>
        <w:rPr>
          <w:b/>
          <w:i w:val="0"/>
        </w:rPr>
        <w:t>Figura 21</w:t>
      </w:r>
    </w:p>
    <w:p>
      <w:pPr>
        <w:spacing w:before="0" w:after="80" w:line="276" w:lineRule="auto"/>
        <w:jc w:val="left"/>
      </w:pPr>
      <w:r>
        <w:rPr>
          <w:b w:val="0"/>
          <w:i/>
        </w:rPr>
        <w:t>Comparación multitemporal del NDVI entre 2019 y 2026 e indicios espectrales</w:t>
      </w:r>
    </w:p>
    <w:p>
      <w:pPr>
        <w:spacing w:before="40" w:after="160" w:line="276" w:lineRule="auto"/>
        <w:jc w:val="left"/>
      </w:pPr>
      <w:r>
        <w:rPr>
          <w:b w:val="0"/>
          <w:i/>
        </w:rPr>
        <w:t xml:space="preserve">Nota. </w:t>
      </w:r>
      <w:r>
        <w:rPr>
          <w:b w:val="0"/>
          <w:i w:val="0"/>
        </w:rPr>
        <w:t>Elaboración propia. Diferenciación multitemporal de largo plazo calculada sobre 2.630 días de intervalo.</w:t>
      </w:r>
    </w:p>
    <w:p>
      <w:pPr>
        <w:spacing w:before="0" w:after="120" w:line="276" w:lineRule="auto"/>
        <w:jc w:val="both"/>
      </w:pPr>
      <w:r>
        <w:rPr>
          <w:b w:val="0"/>
          <w:i w:val="0"/>
        </w:rPr>
        <w:t xml:space="preserve">En el caso de la comparación de largo plazo de </w:t>
      </w:r>
      <w:r>
        <w:rPr>
          <w:b/>
          <w:i w:val="0"/>
          <w:highlight w:val="yellow"/>
        </w:rPr>
        <w:t>la Figura 21</w:t>
      </w:r>
      <w:r>
        <w:rPr>
          <w:b w:val="0"/>
          <w:i w:val="0"/>
        </w:rPr>
        <w:t>, la visualización tiene un carácter descriptivo. Este resultado permite examinar las diferencias entre las dos observaciones y reconocer su distribución espacial indicando la zona donde hay una posible deforestación.</w:t>
      </w:r>
    </w:p>
    <w:p>
      <w:pPr>
        <w:spacing w:before="200" w:after="40" w:line="276" w:lineRule="auto"/>
        <w:jc w:val="left"/>
      </w:pPr>
      <w:r>
        <w:rPr>
          <w:b/>
          <w:i w:val="0"/>
        </w:rPr>
        <w:t>Figura 22</w:t>
      </w:r>
    </w:p>
    <w:p>
      <w:pPr>
        <w:spacing w:before="0" w:after="80" w:line="276" w:lineRule="auto"/>
        <w:jc w:val="left"/>
      </w:pPr>
      <w:r>
        <w:rPr>
          <w:b w:val="0"/>
          <w:i/>
        </w:rPr>
        <w:t>Comparación multitemporal del NDVI en cinco intervalos consecutivos</w:t>
      </w:r>
    </w:p>
    <w:p>
      <w:pPr>
        <w:spacing w:before="40" w:after="160" w:line="276" w:lineRule="auto"/>
        <w:jc w:val="left"/>
      </w:pPr>
      <w:r>
        <w:rPr>
          <w:b w:val="0"/>
          <w:i/>
        </w:rPr>
        <w:t xml:space="preserve">Nota. </w:t>
      </w:r>
      <w:r>
        <w:rPr>
          <w:b w:val="0"/>
          <w:i w:val="0"/>
        </w:rPr>
        <w:t>Elaboración propia. Serie temporal de diferencias espectrales de vegetación.</w:t>
      </w:r>
    </w:p>
    <w:p>
      <w:pPr>
        <w:spacing w:before="240" w:after="120" w:line="276" w:lineRule="auto"/>
        <w:jc w:val="left"/>
      </w:pPr>
      <w:r>
        <w:rPr>
          <w:b/>
          <w:i w:val="0"/>
          <w:highlight w:val="yellow"/>
        </w:rPr>
        <w:t>8.3. Integración del modelo de aprendizaje automático y ForestGuard (aplicación web)</w:t>
      </w:r>
    </w:p>
    <w:p>
      <w:pPr>
        <w:spacing w:before="0" w:after="120" w:line="276" w:lineRule="auto"/>
        <w:jc w:val="both"/>
      </w:pPr>
      <w:r>
        <w:rPr>
          <w:b w:val="0"/>
          <w:i w:val="0"/>
        </w:rPr>
        <w:t>La integración de React con Django REST Framework permitió procesar imágenes GeoTIFF y presentar las capas raster resultantes en la interfaz web de manera sincronizada. La aplicación implementó el aislamiento estricto de los datos por usuario mediante JWT, protegiendo las rutas de almacenamiento físico y asegurando que las escenas y reportes generados solo sean accesibles por sus propietarios legítimos.</w:t>
      </w:r>
    </w:p>
    <w:p>
      <w:pPr>
        <w:spacing w:before="320" w:after="160" w:line="276" w:lineRule="auto"/>
        <w:jc w:val="left"/>
      </w:pPr>
      <w:r>
        <w:rPr>
          <w:b/>
          <w:i w:val="0"/>
        </w:rPr>
        <w:t>9. Conclusiones</w:t>
      </w:r>
    </w:p>
    <w:p>
      <w:pPr>
        <w:spacing w:before="0" w:after="120" w:line="276" w:lineRule="auto"/>
        <w:jc w:val="both"/>
      </w:pPr>
      <w:r>
        <w:rPr>
          <w:b w:val="0"/>
          <w:i w:val="0"/>
        </w:rPr>
        <w:t>• Se desarrolló ForestGuard como una solución de software orientada al procesamiento y análisis de imágenes satelitales para la identificación y visualización de cambios en ecosistemas forestales. La propuesta integra React, Django y PostgreSQL con herramientas de procesamiento geoespacial en Python, permitiendo estructurar un flujo de trabajo para el manejo de imágenes en formato GeoTIFF y la generación de productos raster.</w:t>
      </w:r>
    </w:p>
    <w:p>
      <w:pPr>
        <w:spacing w:before="0" w:after="120" w:line="276" w:lineRule="auto"/>
        <w:jc w:val="both"/>
      </w:pPr>
      <w:r>
        <w:rPr>
          <w:b w:val="0"/>
          <w:i w:val="0"/>
        </w:rPr>
        <w:t>• El procesamiento de imágenes Sentinel-2 permitió calcular los índices espectrales NDVI, NDMI, NBR y NDRE, así como analizar sus variaciones entre diferentes periodos. Estos productos proporcionan información espacial para reconocer cambios en la respuesta espectral de la vegetación y seleccionar áreas que requieren una revisión más detallada. Sin embargo, las variaciones de los índices no constituyen por sí solas una confirmación de deforestación, degradación forestal o incendios.</w:t>
      </w:r>
    </w:p>
    <w:p>
      <w:pPr>
        <w:spacing w:before="0" w:after="120" w:line="276" w:lineRule="auto"/>
        <w:jc w:val="both"/>
      </w:pPr>
      <w:r>
        <w:rPr>
          <w:b w:val="0"/>
          <w:i w:val="0"/>
        </w:rPr>
        <w:t>• La construcción del conjunto de datos permitió organizar variables espectrales y temporales para entrenar un modelo Random Forest orientado a identificar patrones históricos asociados con cambios por deforestación. La utilización de información de referencia del IDEAM permitió relacionar las observaciones satelitales con registros de cambios en la cobertura boscosa. Este proceso constituye una base para continuar el desarrollo y la evaluación de modelos de aprendizaje automático aplicados al monitoreo forestal.</w:t>
      </w:r>
    </w:p>
    <w:p>
      <w:pPr>
        <w:spacing w:before="0" w:after="120" w:line="276" w:lineRule="auto"/>
        <w:jc w:val="both"/>
      </w:pPr>
      <w:r>
        <w:rPr>
          <w:b w:val="0"/>
          <w:i w:val="0"/>
        </w:rPr>
        <w:t>• La evaluación geográfica del modelo piloto Random Forest v9 obtuvo una precisión del 66,9 %, una sensibilidad del 67,9 % y un F1-score del 67,4 %, con un umbral de clasificación de 0,5. Aunque estos resultados muestran que el modelo identifica parte de los casos positivos de referencia, también evidencian limitaciones en la clasificación y diferencias de desempeño entre las zonas evaluadas. Por tanto, el modelo debe considerarse experimental y sus resultados no deben interpretarse como una confirmación automática de eventos de deforestación ni como una medida validada del riesgo futuro.</w:t>
      </w:r>
    </w:p>
    <w:p>
      <w:pPr>
        <w:spacing w:before="0" w:after="120" w:line="276" w:lineRule="auto"/>
        <w:jc w:val="both"/>
      </w:pPr>
      <w:r>
        <w:rPr>
          <w:b w:val="0"/>
          <w:i w:val="0"/>
        </w:rPr>
        <w:t>• El análisis multitemporal y la representación de los resultados raster permiten visualizar espacialmente los cambios detectados entre las imágenes comparadas. Esta capacidad constituye un aporte de ForestGuard, dado que facilita la interpretación de información geoespacial mediante representaciones visuales. No obstante, los resultados dependen de la calidad de las imágenes, de la compatibilidad entre las fechas analizadas, de las reglas de clasificación y de la validez de los datos de referencia utilizados.</w:t>
      </w:r>
    </w:p>
    <w:p>
      <w:pPr>
        <w:spacing w:before="0" w:after="120" w:line="276" w:lineRule="auto"/>
        <w:jc w:val="both"/>
      </w:pPr>
      <w:r>
        <w:rPr>
          <w:b w:val="0"/>
          <w:i w:val="0"/>
        </w:rPr>
        <w:t>• La identificación de posibles indicios de degradación mediante reglas basadas en índices espectrales constituye una aproximación exploratoria complementaria al modelo de deforestación. Debido a que estos criterios requieren validación independiente y pueden responder a otras variaciones ambientales, los resultados deben presentarse como indicios espectrales preliminares y no como casos confirmados de degradación forestal.</w:t>
      </w:r>
    </w:p>
    <w:p>
      <w:pPr>
        <w:spacing w:before="320" w:after="160" w:line="276" w:lineRule="auto"/>
        <w:jc w:val="left"/>
      </w:pPr>
      <w:r>
        <w:rPr>
          <w:b/>
          <w:i w:val="0"/>
        </w:rPr>
        <w:t>10. Recomendaciones</w:t>
      </w:r>
    </w:p>
    <w:p>
      <w:pPr>
        <w:spacing w:before="0" w:after="120" w:line="276" w:lineRule="auto"/>
        <w:jc w:val="both"/>
      </w:pPr>
      <w:r>
        <w:rPr>
          <w:b w:val="0"/>
          <w:i w:val="0"/>
        </w:rPr>
        <w:t>• Se recomienda configurar ForestGuard en un servidor o plataforma de alojamiento accesible a través de Internet, con dominio, HTTPS, variables de entorno protegidas, configuración segura de Django y mecanismos de autenticación y autorización. También se deben establecer procedimientos de respaldo y recuperación de la base de datos, las imágenes originales, los resultados raster y los reportes generados. El despliegue debe acompañarse de pruebas de funcionamiento, seguridad, rendimiento y recuperación ante fallos.</w:t>
      </w:r>
    </w:p>
    <w:p>
      <w:pPr>
        <w:spacing w:before="0" w:after="120" w:line="276" w:lineRule="auto"/>
        <w:jc w:val="both"/>
      </w:pPr>
      <w:r>
        <w:rPr>
          <w:b w:val="0"/>
          <w:i w:val="0"/>
        </w:rPr>
        <w:t>• Se recomienda incorporar más pares de imágenes satelitales, periodos temporales y zonas geográficas con eventos positivos confirmados. Esto permitiría evaluar mejor la capacidad del modelo para reconocer patrones en lugares que no participaron en el entrenamiento y reducir la dependencia de un conjunto limitado de escenas y eventos.</w:t>
      </w:r>
    </w:p>
    <w:p>
      <w:pPr>
        <w:spacing w:before="0" w:after="120" w:line="276" w:lineRule="auto"/>
        <w:jc w:val="both"/>
      </w:pPr>
      <w:r>
        <w:rPr>
          <w:b w:val="0"/>
          <w:i w:val="0"/>
        </w:rPr>
        <w:t>• Se recomienda analizar los falsos positivos y falsos negativos, revisar el desequilibrio entre las clases y evaluar diferentes umbrales de clasificación. También es conveniente realizar pruebas con zonas geográficas independientes adicionales y mantener separadas las observaciones de entrenamiento y evaluación. Los resultados de estas pruebas deben documentarse para determinar en qué condiciones el modelo presenta un desempeño aceptable.</w:t>
      </w:r>
    </w:p>
    <w:p>
      <w:pPr>
        <w:spacing w:before="0" w:after="120" w:line="276" w:lineRule="auto"/>
        <w:jc w:val="both"/>
      </w:pPr>
      <w:r>
        <w:rPr>
          <w:b w:val="0"/>
          <w:i w:val="0"/>
        </w:rPr>
        <w:t>• Se recomienda contrastar las reglas espectrales utilizadas con información de referencia independiente, datos de campo cuando estén disponibles y registros ambientales pertinentes. Asimismo, deben analizarse posibles causas alternativas de los cambios observados, como variaciones estacionales, sequías, cosechas u otras perturbaciones, antes de atribuirlos a degradación.</w:t>
      </w:r>
    </w:p>
    <w:p>
      <w:pPr>
        <w:spacing w:before="0" w:after="120" w:line="276" w:lineRule="auto"/>
        <w:jc w:val="both"/>
      </w:pPr>
      <w:r>
        <w:rPr>
          <w:b w:val="0"/>
          <w:i w:val="0"/>
        </w:rPr>
        <w:t>• Se recomienda medir los tiempos de carga, procesamiento, generación de resultados y descarga de reportes. En un entorno de producción, puede ser necesario incorporar procesamiento asíncrono de tareas, límites de tamaño de archivo y mecanismos de control para evitar que análisis simultáneos afecten la disponibilidad del sistema.</w:t>
      </w:r>
    </w:p>
    <w:p>
      <w:pPr>
        <w:spacing w:before="320" w:after="160" w:line="276" w:lineRule="auto"/>
        <w:jc w:val="left"/>
      </w:pPr>
      <w:r>
        <w:rPr>
          <w:b/>
          <w:i w:val="0"/>
        </w:rPr>
        <w:t>Referencias</w:t>
      </w:r>
    </w:p>
    <w:p>
      <w:pPr>
        <w:spacing w:before="40" w:after="80" w:line="240" w:lineRule="auto"/>
        <w:jc w:val="both"/>
      </w:pPr>
      <w:r>
        <w:rPr>
          <w:b w:val="0"/>
          <w:i w:val="0"/>
        </w:rPr>
        <w:t>Arvor, D., Denize, J., Rouxel, L., Dubreuil, V., Ribeiro, U. M., Funatsu, B. M., Betbeder, J., Bégué, A., Silgueiro, V., da Silva, C. A., Kuchler, P., &amp; Bellec, A. (2026). The CHOVE-CHUVA Earth observation platform to monitor socio-environmental dynamics in Mato Grosso, Brazil. Scientific Reports, 16(1). https://doi.org/10.1038/s41598-026-36640-w</w:t>
      </w:r>
    </w:p>
    <w:p>
      <w:pPr>
        <w:spacing w:before="40" w:after="80" w:line="240" w:lineRule="auto"/>
        <w:jc w:val="both"/>
      </w:pPr>
      <w:r>
        <w:rPr>
          <w:b w:val="0"/>
          <w:i w:val="0"/>
        </w:rPr>
        <w:t>Baser, S., Bilal, M., &amp; Koeshidayatullah, A. (2026). Uncertainties in supervised or unsupervised classification using sentinel-2 imagery for land use detection in the semi-arid region. Discover Geoscience, 4(1). https://doi.org/10.1007/s44288-026-00605-3</w:t>
      </w:r>
    </w:p>
    <w:p>
      <w:pPr>
        <w:spacing w:before="40" w:after="80" w:line="240" w:lineRule="auto"/>
        <w:jc w:val="both"/>
      </w:pPr>
      <w:r>
        <w:rPr>
          <w:b w:val="0"/>
          <w:i w:val="0"/>
        </w:rPr>
        <w:t>Cardenas-Martinez, A., Guisado-Pintado, E., &amp; Rodriguez-Galiano, V. (2026). Benchmarking Trends in Airborne LiDAR Pre-Processing Algorithms for Forestry Research. Current Forestry Reports, 12(1). https://doi.org/10.1007/s40725-026-00281-z</w:t>
      </w:r>
    </w:p>
    <w:p>
      <w:pPr>
        <w:spacing w:before="40" w:after="80" w:line="240" w:lineRule="auto"/>
        <w:jc w:val="both"/>
      </w:pPr>
      <w:r>
        <w:rPr>
          <w:b w:val="0"/>
          <w:i w:val="0"/>
        </w:rPr>
        <w:t>Coelho, R., Natário, I., &amp; Fraile, S. (2027). Bayesian Models to Predict Above Ground-Biomass. In Lecture Notes in Computer Science: 16767 LNCS. https://doi.org/10.1007/978-3-032-30491-9_41</w:t>
      </w:r>
    </w:p>
    <w:p>
      <w:pPr>
        <w:spacing w:before="40" w:after="80" w:line="240" w:lineRule="auto"/>
        <w:jc w:val="both"/>
      </w:pPr>
      <w:r>
        <w:rPr>
          <w:b w:val="0"/>
          <w:i w:val="0"/>
        </w:rPr>
        <w:t>Das, S., Ghosh, D., Sarkar, A., Chatterjee, U., Mandal, S., Malo, S. K., Rahaman, S., Das, M., Saha, S., &amp; Chouhan, P. (2025). Prediction of deforestation risk in north-east India: evaluating forest canopy density dynamics and spatial drivers through machine learning models. Environmental Sciences Europe, 37(1). https://doi.org/10.1186/s12302-025-01208-4</w:t>
      </w:r>
    </w:p>
    <w:p>
      <w:pPr>
        <w:spacing w:before="40" w:after="80" w:line="240" w:lineRule="auto"/>
        <w:jc w:val="both"/>
      </w:pPr>
      <w:r>
        <w:rPr>
          <w:b w:val="0"/>
          <w:i w:val="0"/>
        </w:rPr>
        <w:t>Donle, A., Velosa, C., Figueiredo, P., &amp; de Vasconcelos, J. B. (2027). A Data Science Software Approach for Burned Forest Land Cover Classification and CO2 Emissions Calculation. In Lecture Notes in Networks and Systems: 2093 LNNS. https://doi.org/10.1007/978-3-032-32026-1_29</w:t>
      </w:r>
    </w:p>
    <w:p>
      <w:pPr>
        <w:spacing w:before="40" w:after="80" w:line="240" w:lineRule="auto"/>
        <w:jc w:val="both"/>
      </w:pPr>
      <w:r>
        <w:rPr>
          <w:b w:val="0"/>
          <w:i w:val="0"/>
        </w:rPr>
        <w:t>Dwivedi, A., &amp; Sharma, A. (2027). Environmental Monitoring and Conservation: An Ethical AI Perspective. In Lecture Notes in Networks and Systems: 2097 LNNS. https://doi.org/10.1007/978-3-032-32476-4_38</w:t>
      </w:r>
    </w:p>
    <w:p>
      <w:pPr>
        <w:spacing w:before="40" w:after="80" w:line="240" w:lineRule="auto"/>
        <w:jc w:val="both"/>
      </w:pPr>
      <w:r>
        <w:rPr>
          <w:b w:val="0"/>
          <w:i w:val="0"/>
        </w:rPr>
        <w:t>Enoh, M. A., Ugwu, O. J., Nkechi, B. C., Ebere, N. R., &amp; Chibuzor, O. A. (2026). Machine learning and geospatial modeling of forest loss, drivers, and risk areas: advancing continuous cover forestry as a nature-based solution. Environmental Systems Research, 15(1). https://doi.org/10.1186/s40068-025-00444-0</w:t>
      </w:r>
    </w:p>
    <w:p>
      <w:pPr>
        <w:spacing w:before="40" w:after="80" w:line="240" w:lineRule="auto"/>
        <w:jc w:val="both"/>
      </w:pPr>
      <w:r>
        <w:rPr>
          <w:b w:val="0"/>
          <w:i w:val="0"/>
        </w:rPr>
        <w:t>Fayaz Hussain, G., Asritha, G., Sowmya, G., Charitha, C., &amp; Susmitha, D. (2026). Identifying Deforestation Using AI Enabled Satellite Image Processing. In Lecture Notes in Electrical Engineering: 1466 LNEE. https://doi.org/10.1007/978-981-95-0269-1_34</w:t>
      </w:r>
    </w:p>
    <w:p>
      <w:pPr>
        <w:spacing w:before="40" w:after="80" w:line="240" w:lineRule="auto"/>
        <w:jc w:val="both"/>
      </w:pPr>
      <w:r>
        <w:rPr>
          <w:b w:val="0"/>
          <w:i w:val="0"/>
        </w:rPr>
        <w:t>Forkuo, G. O., Picchio, R., Proto, A. R., &amp; Borz, S. A. (2026). Applications of Artificial Intelligence in Forest Operations Engineering Research: A Systematic Review. Current Forestry Reports, 12(1), 14. https://doi.org/10.1007/s40725-026-00275-x</w:t>
      </w:r>
    </w:p>
    <w:p>
      <w:pPr>
        <w:spacing w:before="40" w:after="80" w:line="240" w:lineRule="auto"/>
        <w:jc w:val="both"/>
      </w:pPr>
      <w:r>
        <w:rPr>
          <w:b w:val="0"/>
          <w:i w:val="0"/>
        </w:rPr>
        <w:t>Gao, B. C. (1996). NDWI—A normalized difference water index for remote sensing of vegetation liquid water from space. Remote Sensing of Environment, 58(3), 257–266.</w:t>
      </w:r>
    </w:p>
    <w:p>
      <w:pPr>
        <w:spacing w:before="40" w:after="80" w:line="240" w:lineRule="auto"/>
        <w:jc w:val="both"/>
      </w:pPr>
      <w:r>
        <w:rPr>
          <w:b w:val="0"/>
          <w:i w:val="0"/>
        </w:rPr>
        <w:t>Gitelson, A. A., &amp; Merzlyak, M. N. (1994). Quantitative estimation of chlorophyll-a content in plant leaves using reflectance spectra. Journal of Photochemistry and Photobiology B: Biology, 22(3), 247–252.</w:t>
      </w:r>
    </w:p>
    <w:p>
      <w:pPr>
        <w:spacing w:before="40" w:after="80" w:line="240" w:lineRule="auto"/>
        <w:jc w:val="both"/>
      </w:pPr>
      <w:r>
        <w:rPr>
          <w:b w:val="0"/>
          <w:i w:val="0"/>
        </w:rPr>
        <w:t>Goltas, M. (2026). Predicting forest fire probability under current conditions and future climate change scenarios in Türkiye. Forest Ecosystems, 17. https://doi.org/10.1016/j.fecs.2026.100525</w:t>
      </w:r>
    </w:p>
    <w:p>
      <w:pPr>
        <w:spacing w:before="40" w:after="80" w:line="240" w:lineRule="auto"/>
        <w:jc w:val="both"/>
      </w:pPr>
      <w:r>
        <w:rPr>
          <w:b w:val="0"/>
          <w:i w:val="0"/>
        </w:rPr>
        <w:t>Gudadhe, A., &amp; Reddy, K. T. V. (2027). Machine Learning-Based Prediction Model for Identification of Groundwater Zones. In Smart Innovation Systems and Technologies: 486 SIST. https://doi.org/10.1007/978-981-95-9101-5_30</w:t>
      </w:r>
    </w:p>
    <w:p>
      <w:pPr>
        <w:spacing w:before="40" w:after="80" w:line="240" w:lineRule="auto"/>
        <w:jc w:val="both"/>
      </w:pPr>
      <w:r>
        <w:rPr>
          <w:b w:val="0"/>
          <w:i w:val="0"/>
        </w:rPr>
        <w:t>Guo, Q., Li, L., &amp; Han, L. (2026). ForResANeXt: Forest/non-forest segmentation with aggregated residual attention network in satellite imagery. International Journal of Applied Earth Observation and Geoinformation, 146. https://doi.org/10.1016/j.jag.2026.105105</w:t>
      </w:r>
    </w:p>
    <w:p>
      <w:pPr>
        <w:spacing w:before="40" w:after="80" w:line="240" w:lineRule="auto"/>
        <w:jc w:val="both"/>
      </w:pPr>
      <w:r>
        <w:rPr>
          <w:b w:val="0"/>
          <w:i w:val="0"/>
        </w:rPr>
        <w:t>Haji Ahmadi, D., &amp; Amanollahi, J. (2027). LCM–MLP–CA simulation of land-use change and vegetation stress in Bijar Protected Area, Iran (1990–2050). Physics and Chemistry of the Earth, 145. https://doi.org/10.1016/j.pce.2026.104746</w:t>
      </w:r>
    </w:p>
    <w:p>
      <w:pPr>
        <w:spacing w:before="40" w:after="80" w:line="240" w:lineRule="auto"/>
        <w:jc w:val="both"/>
      </w:pPr>
      <w:r>
        <w:rPr>
          <w:b w:val="0"/>
          <w:i w:val="0"/>
        </w:rPr>
        <w:t>Hake, A. A., Damene, S., &amp; Deche, A. (2026). Drivers and implications of land use land cover change in Wof–Washa forest and its surroundings, Amhara region, Ethiopia. Discover Sustainability, 7(1). https://doi.org/10.1007/s43621-026-02744-6</w:t>
      </w:r>
    </w:p>
    <w:p>
      <w:pPr>
        <w:spacing w:before="40" w:after="80" w:line="240" w:lineRule="auto"/>
        <w:jc w:val="both"/>
      </w:pPr>
      <w:r>
        <w:rPr>
          <w:b w:val="0"/>
          <w:i w:val="0"/>
        </w:rPr>
        <w:t>Jayalakshmi, M., Sami, S. M., Vali, S. K. M., Vardhan, P. V., &amp; Chowdary, P. L. N. (2026). AI-Driven Monitoring and Predictive Analysis of Indian Forest Ecosystems. 2026 6th International Conference on Image Processing and Capsule Networks (ICIPCN), 537–543. https://doi.org/10.1109/ICIPCN67432.2026.11438563</w:t>
      </w:r>
    </w:p>
    <w:p>
      <w:pPr>
        <w:spacing w:before="40" w:after="80" w:line="240" w:lineRule="auto"/>
        <w:jc w:val="both"/>
      </w:pPr>
      <w:r>
        <w:rPr>
          <w:b w:val="0"/>
          <w:i w:val="0"/>
        </w:rPr>
        <w:t>Karadeniz, E., Sunbul, F., Yucedag, C., Adiguzel, F., &amp; Simovski, B. (2026). Disentangling sampling bias to generate early-warning surfaces of forest ecological sensitivity: An integrated MaxEnt–CatBoost framework. Forest Ecosystems, 17. https://doi.org/10.1016/j.fecs.2026.100516</w:t>
      </w:r>
    </w:p>
    <w:p>
      <w:pPr>
        <w:spacing w:before="40" w:after="80" w:line="240" w:lineRule="auto"/>
        <w:jc w:val="both"/>
      </w:pPr>
      <w:r>
        <w:rPr>
          <w:b w:val="0"/>
          <w:i w:val="0"/>
        </w:rPr>
        <w:t>Key, C. H., &amp; Benson, N. C. (2006). Landscape assessment (LA): Sampling and analysis methods. USDA Forest Service General Technical Report RMRS-GTR-164.</w:t>
      </w:r>
    </w:p>
    <w:p>
      <w:pPr>
        <w:spacing w:before="40" w:after="80" w:line="240" w:lineRule="auto"/>
        <w:jc w:val="both"/>
      </w:pPr>
      <w:r>
        <w:rPr>
          <w:b w:val="0"/>
          <w:i w:val="0"/>
        </w:rPr>
        <w:t>Khlifi, M. A., Elmunim, N. A., Aldawsari, M. A., Algarni, F., Albalawi, A., Qwaid, M. A., Ismail, A. M., Ismail, A., &amp; Hassan, B. M. (2026). Hybrid deep learning for satellite image classification: Integrating CNN and transformer architectures. Softwarex, 35. https://doi.org/10.1016/j.softx.2026.102754</w:t>
      </w:r>
    </w:p>
    <w:p>
      <w:pPr>
        <w:spacing w:before="40" w:after="80" w:line="240" w:lineRule="auto"/>
        <w:jc w:val="both"/>
      </w:pPr>
      <w:r>
        <w:rPr>
          <w:b w:val="0"/>
          <w:i w:val="0"/>
        </w:rPr>
        <w:t>Klai, E., Toujani, A., Jaouadi, W., &amp; Farah, I. R. (2026). Interpretable Spatiotemporal Pattern Mining of Forest-Loss Dynamics. Journal of Geovisualization and Spatial Analysis, 10(2). https://doi.org/10.1007/s41651-026-00284-1</w:t>
      </w:r>
    </w:p>
    <w:p>
      <w:pPr>
        <w:spacing w:before="40" w:after="80" w:line="240" w:lineRule="auto"/>
        <w:jc w:val="both"/>
      </w:pPr>
      <w:r>
        <w:rPr>
          <w:b w:val="0"/>
          <w:i w:val="0"/>
        </w:rPr>
        <w:t>Krumins, J., Klavins, M., Sima, M., Theodossiou, N., Stankevica, K., &amp; Vincevica-Gaile, Z. (2026). Forest change across the European Union: spatial patterns, drivers, and governance insights from a pan-European expert survey. Annals of Forest Science, 83(1). https://doi.org/10.1186/s13595-026-01335-9</w:t>
      </w:r>
    </w:p>
    <w:p>
      <w:pPr>
        <w:spacing w:before="40" w:after="80" w:line="240" w:lineRule="auto"/>
        <w:jc w:val="both"/>
      </w:pPr>
      <w:r>
        <w:rPr>
          <w:b w:val="0"/>
          <w:i w:val="0"/>
        </w:rPr>
        <w:t>Kushwaha, S. K. P., Hristova, H., Fol, C., Hands, T., Murtiyoso, A., Coltekin, A., Fedosov, A., Holm, S., Costa, M., Bugmann, H., Griess, V. C., &amp; Schweier, J. (2026). Trends and Developments in the Realm of Virtual Forest Visualization. Current Forestry Reports, 12(1). https://doi.org/10.1007/s40725-025-00265-5</w:t>
      </w:r>
    </w:p>
    <w:p>
      <w:pPr>
        <w:spacing w:before="40" w:after="80" w:line="240" w:lineRule="auto"/>
        <w:jc w:val="both"/>
      </w:pPr>
      <w:r>
        <w:rPr>
          <w:b w:val="0"/>
          <w:i w:val="0"/>
        </w:rPr>
        <w:t>Li, Y., Dang, X., Ouédraogo, W. C., Klein, J., &amp; Bissyandé, T. F. (2027). Test input prioritization for image segmentation: an empirical study. Empirical Software Engineering, 32(1). https://doi.org/10.1007/s10664-026-10932-1</w:t>
      </w:r>
    </w:p>
    <w:p>
      <w:pPr>
        <w:spacing w:before="40" w:after="80" w:line="240" w:lineRule="auto"/>
        <w:jc w:val="both"/>
      </w:pPr>
      <w:r>
        <w:rPr>
          <w:b w:val="0"/>
          <w:i w:val="0"/>
        </w:rPr>
        <w:t>Louzada, R. O., Vasconcelos, D. C., Silva, G. F. D., Vieira, F. V., Camargo, J. D. S., Sales, M. G. S., Hentschke, F., Leonardi, I. R., &amp; Ramires, T. G. (2026). Integrating SLAM LiDAR, UAV-LiDAR, and orbital remote sensing to quantify passive forest regeneration in the Brazilian Cerrado. Remote Sensing Applications Society and Environment, 43. https://doi.org/10.1016/j.rsase.2026.102132</w:t>
      </w:r>
    </w:p>
    <w:p>
      <w:pPr>
        <w:spacing w:before="40" w:after="80" w:line="240" w:lineRule="auto"/>
        <w:jc w:val="both"/>
      </w:pPr>
      <w:r>
        <w:rPr>
          <w:b w:val="0"/>
          <w:i w:val="0"/>
        </w:rPr>
        <w:t>Lu, Y., Li, K., Li, Z., Su, X., Wu, B., Huang, C., &amp; Liang, B. (2027). Transferring Physical Priors into Remote Sensing Segmentation via Large Language Models. In Lecture Notes in Computer Science: 16617 LNAI. https://doi.org/10.1007/978-981-92-1926-1_47</w:t>
      </w:r>
    </w:p>
    <w:p>
      <w:pPr>
        <w:spacing w:before="40" w:after="80" w:line="240" w:lineRule="auto"/>
        <w:jc w:val="both"/>
      </w:pPr>
      <w:r>
        <w:rPr>
          <w:b w:val="0"/>
          <w:i w:val="0"/>
        </w:rPr>
        <w:t>Ma, L., Huang, R., Liao, Q., Li, C., Chen, S., Li, D., Wang, W., Qiu, H., Dou, T., Wu, X., Huang, Y., &amp; Shen, S. (2026). Decoding Elevation-Mediated Wildfire Regimes in Mountain Forest Landscapes Using Hybrid Machine Learning. Forests, 17(7). https://doi.org/10.3390/f17070775</w:t>
      </w:r>
    </w:p>
    <w:p>
      <w:pPr>
        <w:spacing w:before="40" w:after="80" w:line="240" w:lineRule="auto"/>
        <w:jc w:val="both"/>
      </w:pPr>
      <w:r>
        <w:rPr>
          <w:b w:val="0"/>
          <w:i w:val="0"/>
        </w:rPr>
        <w:t>Majhi, A., Panda, M., &amp; Sethy, K. M. (2026). CHANGE DETECTION OF CHANDAKA FOREST AND ANALYSIS OF REMOTE SENSING DATA USING MACHINE LEARNING AND GEOGRAPHIC INFORMATION SYSTEM. Journal of Engineering and Technology for Industrial Applications, 12(59), 1999–2013. https://doi.org/10.5935/jetia.v12i59.3745</w:t>
      </w:r>
    </w:p>
    <w:p>
      <w:pPr>
        <w:spacing w:before="40" w:after="80" w:line="240" w:lineRule="auto"/>
        <w:jc w:val="both"/>
      </w:pPr>
      <w:r>
        <w:rPr>
          <w:b w:val="0"/>
          <w:i w:val="0"/>
        </w:rPr>
        <w:t>Natel, C., Molnar, C., Dalagnol, R., &amp; Nowack, P. (2026). Deep Learning for Satellite-Based Forest Disturbance Monitoring: Recent Advances and Challenges. Wiley Interdisciplinary Reviews Data Mining and Knowledge Discovery, 16(2). https://doi.org/10.1002/widm.70096</w:t>
      </w:r>
    </w:p>
    <w:p>
      <w:pPr>
        <w:spacing w:before="40" w:after="80" w:line="240" w:lineRule="auto"/>
        <w:jc w:val="both"/>
      </w:pPr>
      <w:r>
        <w:rPr>
          <w:b w:val="0"/>
          <w:i w:val="0"/>
        </w:rPr>
        <w:t>Neupane, D., Parajuli, M., &amp; Rijal, A. (2026). Multi-spectral Remote Sensing of Long-term Forest Cover Change in Kathmandu Valley Using an Improved Machine Learning Classifier. Earth Systems and Environment, 10(6), 7639–7655. https://doi.org/10.1007/s41748-025-00984-6</w:t>
      </w:r>
    </w:p>
    <w:p>
      <w:pPr>
        <w:spacing w:before="40" w:after="80" w:line="240" w:lineRule="auto"/>
        <w:jc w:val="both"/>
      </w:pPr>
      <w:r>
        <w:rPr>
          <w:b w:val="0"/>
          <w:i w:val="0"/>
        </w:rPr>
        <w:t>Odunsi, O. M., Obaitor, O. S., Odunsi, M. Y., Graw, V., &amp; Rienow, A. (2026). Machine Learning-Based Land Use Land Cover Change Detection Utilising the AlphaEarth Satellite Embedding Dataset in Lagos Nigeria (2017–2024). Sensing and Imaging, 27(1). https://doi.org/10.1007/s11220-026-00839-y</w:t>
      </w:r>
    </w:p>
    <w:p>
      <w:pPr>
        <w:spacing w:before="40" w:after="80" w:line="240" w:lineRule="auto"/>
        <w:jc w:val="both"/>
      </w:pPr>
      <w:r>
        <w:rPr>
          <w:b w:val="0"/>
          <w:i w:val="0"/>
        </w:rPr>
        <w:t>Patil, K., Pawar, R., Gangan, N., &amp; Kurmi, A. (2026). Google Earth Engine-enabled Mangrove Monitoring: A Systematic Review. Journal of Geovisualization and Spatial Analysis, 10(2). https://doi.org/10.1007/s41651-026-00270-7</w:t>
      </w:r>
    </w:p>
    <w:p>
      <w:pPr>
        <w:spacing w:before="40" w:after="80" w:line="240" w:lineRule="auto"/>
        <w:jc w:val="both"/>
      </w:pPr>
      <w:r>
        <w:rPr>
          <w:b w:val="0"/>
          <w:i w:val="0"/>
        </w:rPr>
        <w:t>Rouse, J. W., Haas, R. H., Schell, J. A., &amp; Deering, D. W. (1974). Monitoring vegetation systems in the Great Plains with ERTS. Third Earth Resources Technology Satellite-1 Symposium, NASA SP-351, 309–317.</w:t>
      </w:r>
    </w:p>
    <w:p>
      <w:pPr>
        <w:spacing w:before="40" w:after="80" w:line="240" w:lineRule="auto"/>
        <w:jc w:val="both"/>
      </w:pPr>
      <w:r>
        <w:rPr>
          <w:b w:val="0"/>
          <w:i w:val="0"/>
        </w:rPr>
        <w:t>Thakur, T. K., Patel, D. K., Eripogu, K. K., Maharathi, P., Thakur, A., Kumar, A., &amp; Kumar, R. (2026). Spatio-temporal variability of land cover dynamics and land degradation vulnerability using cellular automata and Artificial Neural Networks. Physics and Chemistry of the Earth, 144. https://doi.org/10.1016/j.pce.2026.104634</w:t>
      </w:r>
    </w:p>
    <w:p>
      <w:r>
        <w:br w:type="page"/>
      </w:r>
    </w:p>
    <w:p>
      <w:pPr>
        <w:spacing w:before="320" w:after="160" w:line="276" w:lineRule="auto"/>
        <w:jc w:val="left"/>
      </w:pPr>
      <w:r>
        <w:rPr>
          <w:b/>
          <w:i w:val="0"/>
        </w:rPr>
        <w:t>Anexos</w:t>
      </w:r>
    </w:p>
    <w:p>
      <w:pPr>
        <w:spacing w:before="240" w:after="120" w:line="276" w:lineRule="auto"/>
        <w:jc w:val="left"/>
      </w:pPr>
      <w:r>
        <w:rPr>
          <w:b/>
          <w:i w:val="0"/>
          <w:highlight w:val="yellow"/>
        </w:rPr>
        <w:t>Anexo A. Lista de requisitos funcionales</w:t>
      </w:r>
    </w:p>
    <w:p>
      <w:pPr>
        <w:spacing w:before="0" w:after="120" w:line="276" w:lineRule="auto"/>
        <w:jc w:val="both"/>
      </w:pPr>
      <w:r>
        <w:rPr>
          <w:b w:val="0"/>
          <w:i w:val="0"/>
        </w:rPr>
        <w:t>En este anexo se presentan las fichas de los requisitos funcionales de ForestGuard que complementan la sección 7.1.1.</w:t>
      </w:r>
    </w:p>
    <w:p>
      <w:pPr>
        <w:spacing w:before="200" w:after="40" w:line="276" w:lineRule="auto"/>
        <w:jc w:val="left"/>
      </w:pPr>
      <w:r>
        <w:rPr>
          <w:b/>
          <w:i w:val="0"/>
          <w:highlight w:val="yellow"/>
        </w:rPr>
        <w:t>Tabla A1</w:t>
      </w:r>
    </w:p>
    <w:p>
      <w:pPr>
        <w:spacing w:before="0" w:after="80" w:line="276" w:lineRule="auto"/>
        <w:jc w:val="left"/>
      </w:pPr>
      <w:r>
        <w:rPr>
          <w:b w:val="0"/>
          <w:i/>
          <w:highlight w:val="yellow"/>
        </w:rPr>
        <w:t>RF-02. Cargar imagen satelital</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al usuario subir una imagen para análisis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Archivo de imagen (TIFF, etc.)</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Validación de formato y almacenamiento</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Imagen registrada en el sistema</w:t>
            </w:r>
          </w:p>
        </w:tc>
      </w:tr>
    </w:tbl>
    <w:p>
      <w:pPr>
        <w:spacing w:after="40"/>
      </w:pPr>
    </w:p>
    <w:p>
      <w:pPr>
        <w:spacing w:before="200" w:after="40" w:line="276" w:lineRule="auto"/>
        <w:jc w:val="left"/>
      </w:pPr>
      <w:r>
        <w:rPr>
          <w:b/>
          <w:i w:val="0"/>
          <w:highlight w:val="yellow"/>
        </w:rPr>
        <w:t>Tabla A2</w:t>
      </w:r>
    </w:p>
    <w:p>
      <w:pPr>
        <w:spacing w:before="0" w:after="80" w:line="276" w:lineRule="auto"/>
        <w:jc w:val="left"/>
      </w:pPr>
      <w:r>
        <w:rPr>
          <w:b w:val="0"/>
          <w:i/>
          <w:highlight w:val="yellow"/>
        </w:rPr>
        <w:t>RF-03. Visualizar imagen satelital</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visualizar la imagen antes del análisis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Imagen cargada</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Renderizado en interfaz</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Imagen mostrada al usuario</w:t>
            </w:r>
          </w:p>
        </w:tc>
      </w:tr>
    </w:tbl>
    <w:p>
      <w:pPr>
        <w:spacing w:after="40"/>
      </w:pPr>
    </w:p>
    <w:p>
      <w:pPr>
        <w:spacing w:before="200" w:after="40" w:line="276" w:lineRule="auto"/>
        <w:jc w:val="left"/>
      </w:pPr>
      <w:r>
        <w:rPr>
          <w:b/>
          <w:i w:val="0"/>
          <w:highlight w:val="yellow"/>
        </w:rPr>
        <w:t>Tabla A3</w:t>
      </w:r>
    </w:p>
    <w:p>
      <w:pPr>
        <w:spacing w:before="0" w:after="80" w:line="276" w:lineRule="auto"/>
        <w:jc w:val="left"/>
      </w:pPr>
      <w:r>
        <w:rPr>
          <w:b w:val="0"/>
          <w:i/>
          <w:highlight w:val="yellow"/>
        </w:rPr>
        <w:t>RF-04. Eliminar imagen satelital</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eliminar imágenes del sistema</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ID de imagen</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Eliminación en base de datos/almacenamiento</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Confirmación de eliminación</w:t>
            </w:r>
          </w:p>
        </w:tc>
      </w:tr>
    </w:tbl>
    <w:p>
      <w:pPr>
        <w:spacing w:after="40"/>
      </w:pPr>
    </w:p>
    <w:p>
      <w:pPr>
        <w:spacing w:before="200" w:after="40" w:line="276" w:lineRule="auto"/>
        <w:jc w:val="left"/>
      </w:pPr>
      <w:r>
        <w:rPr>
          <w:b/>
          <w:i w:val="0"/>
          <w:highlight w:val="yellow"/>
        </w:rPr>
        <w:t>Tabla A4</w:t>
      </w:r>
    </w:p>
    <w:p>
      <w:pPr>
        <w:spacing w:before="0" w:after="80" w:line="276" w:lineRule="auto"/>
        <w:jc w:val="left"/>
      </w:pPr>
      <w:r>
        <w:rPr>
          <w:b w:val="0"/>
          <w:i/>
          <w:highlight w:val="yellow"/>
        </w:rPr>
        <w:t>RF-05. Iniciar análisis de la imagen satelital</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ejecutar el procesamiento de la imagen</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Imagen y configuración</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Envío al módulo de procesamiento</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Proceso iniciado</w:t>
            </w:r>
          </w:p>
        </w:tc>
      </w:tr>
    </w:tbl>
    <w:p>
      <w:pPr>
        <w:spacing w:after="40"/>
      </w:pPr>
    </w:p>
    <w:p>
      <w:pPr>
        <w:spacing w:before="200" w:after="40" w:line="276" w:lineRule="auto"/>
        <w:jc w:val="left"/>
      </w:pPr>
      <w:r>
        <w:rPr>
          <w:b/>
          <w:i w:val="0"/>
          <w:highlight w:val="yellow"/>
        </w:rPr>
        <w:t>Tabla A5</w:t>
      </w:r>
    </w:p>
    <w:p>
      <w:pPr>
        <w:spacing w:before="0" w:after="80" w:line="276" w:lineRule="auto"/>
        <w:jc w:val="left"/>
      </w:pPr>
      <w:r>
        <w:rPr>
          <w:b w:val="0"/>
          <w:i/>
          <w:highlight w:val="yellow"/>
        </w:rPr>
        <w:t>RF-06. Clasificar zonas forestales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Clasifica áreas según riesgo o cambio detectado</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Resultados del modelo</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Asignación de clases</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Mapa clasificado</w:t>
            </w:r>
          </w:p>
        </w:tc>
      </w:tr>
    </w:tbl>
    <w:p>
      <w:pPr>
        <w:spacing w:after="40"/>
      </w:pPr>
    </w:p>
    <w:p>
      <w:pPr>
        <w:spacing w:before="200" w:after="40" w:line="276" w:lineRule="auto"/>
        <w:jc w:val="left"/>
      </w:pPr>
      <w:r>
        <w:rPr>
          <w:b/>
          <w:i w:val="0"/>
          <w:highlight w:val="yellow"/>
        </w:rPr>
        <w:t>Tabla A6</w:t>
      </w:r>
    </w:p>
    <w:p>
      <w:pPr>
        <w:spacing w:before="0" w:after="80" w:line="276" w:lineRule="auto"/>
        <w:jc w:val="left"/>
      </w:pPr>
      <w:r>
        <w:rPr>
          <w:b w:val="0"/>
          <w:i/>
          <w:highlight w:val="yellow"/>
        </w:rPr>
        <w:t>RF-07. Calcular las métricas del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Genera estadísticas del análisis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Resultados de clasificación</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Cálculo de porcentajes y áreas</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Métricas del análisis</w:t>
            </w:r>
          </w:p>
        </w:tc>
      </w:tr>
    </w:tbl>
    <w:p>
      <w:pPr>
        <w:spacing w:after="40"/>
      </w:pPr>
    </w:p>
    <w:p>
      <w:pPr>
        <w:spacing w:before="200" w:after="40" w:line="276" w:lineRule="auto"/>
        <w:jc w:val="left"/>
      </w:pPr>
      <w:r>
        <w:rPr>
          <w:b/>
          <w:i w:val="0"/>
          <w:highlight w:val="yellow"/>
        </w:rPr>
        <w:t>Tabla A7</w:t>
      </w:r>
    </w:p>
    <w:p>
      <w:pPr>
        <w:spacing w:before="0" w:after="80" w:line="276" w:lineRule="auto"/>
        <w:jc w:val="left"/>
      </w:pPr>
      <w:r>
        <w:rPr>
          <w:b w:val="0"/>
          <w:i/>
          <w:highlight w:val="yellow"/>
        </w:rPr>
        <w:t>RF-08. Visualizar imagen procesada</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Muestra el resultado del análisis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Imagen y resultados</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Renderizado con capas</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Imagen con clasificación</w:t>
            </w:r>
          </w:p>
        </w:tc>
      </w:tr>
    </w:tbl>
    <w:p>
      <w:pPr>
        <w:spacing w:after="40"/>
      </w:pPr>
    </w:p>
    <w:p>
      <w:pPr>
        <w:spacing w:before="200" w:after="40" w:line="276" w:lineRule="auto"/>
        <w:jc w:val="left"/>
      </w:pPr>
      <w:r>
        <w:rPr>
          <w:b/>
          <w:i w:val="0"/>
          <w:highlight w:val="yellow"/>
        </w:rPr>
        <w:t>Tabla A8</w:t>
      </w:r>
    </w:p>
    <w:p>
      <w:pPr>
        <w:spacing w:before="0" w:after="80" w:line="276" w:lineRule="auto"/>
        <w:jc w:val="left"/>
      </w:pPr>
      <w:r>
        <w:rPr>
          <w:b w:val="0"/>
          <w:i/>
          <w:highlight w:val="yellow"/>
        </w:rPr>
        <w:t>RF-09. Comparar imágenes (original vs procesada)</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ver antes y después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Imagen original y procesada</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División o superposición</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Vista comparativa</w:t>
            </w:r>
          </w:p>
        </w:tc>
      </w:tr>
    </w:tbl>
    <w:p>
      <w:pPr>
        <w:spacing w:after="40"/>
      </w:pPr>
    </w:p>
    <w:p>
      <w:pPr>
        <w:spacing w:before="200" w:after="40" w:line="276" w:lineRule="auto"/>
        <w:jc w:val="left"/>
      </w:pPr>
      <w:r>
        <w:rPr>
          <w:b/>
          <w:i w:val="0"/>
          <w:highlight w:val="yellow"/>
        </w:rPr>
        <w:t>Tabla A9</w:t>
      </w:r>
    </w:p>
    <w:p>
      <w:pPr>
        <w:spacing w:before="0" w:after="80" w:line="276" w:lineRule="auto"/>
        <w:jc w:val="left"/>
      </w:pPr>
      <w:r>
        <w:rPr>
          <w:b w:val="0"/>
          <w:i/>
          <w:highlight w:val="yellow"/>
        </w:rPr>
        <w:t>RF-10. Seleccionar área de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delimitar zona de análisis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Área seleccionada</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Cálculo sobre región</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Estadísticas del área</w:t>
            </w:r>
          </w:p>
        </w:tc>
      </w:tr>
    </w:tbl>
    <w:p>
      <w:pPr>
        <w:spacing w:after="40"/>
      </w:pPr>
    </w:p>
    <w:p>
      <w:pPr>
        <w:spacing w:before="200" w:after="40" w:line="276" w:lineRule="auto"/>
        <w:jc w:val="left"/>
      </w:pPr>
      <w:r>
        <w:rPr>
          <w:b/>
          <w:i w:val="0"/>
          <w:highlight w:val="yellow"/>
        </w:rPr>
        <w:t>Tabla A10</w:t>
      </w:r>
    </w:p>
    <w:p>
      <w:pPr>
        <w:spacing w:before="0" w:after="80" w:line="276" w:lineRule="auto"/>
        <w:jc w:val="left"/>
      </w:pPr>
      <w:r>
        <w:rPr>
          <w:b w:val="0"/>
          <w:i/>
          <w:highlight w:val="yellow"/>
        </w:rPr>
        <w:t>RF-11. Calcular áreas por categoría</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Determina extensión de zonas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Resultados de clasificación</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Cálculo espacial</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Área por categoría</w:t>
            </w:r>
          </w:p>
        </w:tc>
      </w:tr>
    </w:tbl>
    <w:p>
      <w:pPr>
        <w:spacing w:after="40"/>
      </w:pPr>
    </w:p>
    <w:p>
      <w:pPr>
        <w:spacing w:before="200" w:after="40" w:line="276" w:lineRule="auto"/>
        <w:jc w:val="left"/>
      </w:pPr>
      <w:r>
        <w:rPr>
          <w:b/>
          <w:i w:val="0"/>
          <w:highlight w:val="yellow"/>
        </w:rPr>
        <w:t>Tabla A11</w:t>
      </w:r>
    </w:p>
    <w:p>
      <w:pPr>
        <w:spacing w:before="0" w:after="80" w:line="276" w:lineRule="auto"/>
        <w:jc w:val="left"/>
      </w:pPr>
      <w:r>
        <w:rPr>
          <w:b w:val="0"/>
          <w:i/>
          <w:highlight w:val="yellow"/>
        </w:rPr>
        <w:t>RF-12. Calcular porcentajes de clasificación</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Calcula proporciones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Datos clasificados</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Cálculo porcentual</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 por categoría</w:t>
            </w:r>
          </w:p>
        </w:tc>
      </w:tr>
    </w:tbl>
    <w:p>
      <w:pPr>
        <w:spacing w:after="40"/>
      </w:pPr>
    </w:p>
    <w:p>
      <w:pPr>
        <w:spacing w:before="200" w:after="40" w:line="276" w:lineRule="auto"/>
        <w:jc w:val="left"/>
      </w:pPr>
      <w:r>
        <w:rPr>
          <w:b/>
          <w:i w:val="0"/>
          <w:highlight w:val="yellow"/>
        </w:rPr>
        <w:t>Tabla A12</w:t>
      </w:r>
    </w:p>
    <w:p>
      <w:pPr>
        <w:spacing w:before="0" w:after="80" w:line="276" w:lineRule="auto"/>
        <w:jc w:val="left"/>
      </w:pPr>
      <w:r>
        <w:rPr>
          <w:b w:val="0"/>
          <w:i/>
          <w:highlight w:val="yellow"/>
        </w:rPr>
        <w:t>RF-13. Visualizar métricas del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Muestra resultados gráficos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Métricas calculadas</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Generación de gráficos</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Gráficas mostradas</w:t>
            </w:r>
          </w:p>
        </w:tc>
      </w:tr>
    </w:tbl>
    <w:p>
      <w:pPr>
        <w:spacing w:after="40"/>
      </w:pPr>
    </w:p>
    <w:p>
      <w:pPr>
        <w:spacing w:before="200" w:after="40" w:line="276" w:lineRule="auto"/>
        <w:jc w:val="left"/>
      </w:pPr>
      <w:r>
        <w:rPr>
          <w:b/>
          <w:i w:val="0"/>
          <w:highlight w:val="yellow"/>
        </w:rPr>
        <w:t>Tabla A13</w:t>
      </w:r>
    </w:p>
    <w:p>
      <w:pPr>
        <w:spacing w:before="0" w:after="80" w:line="276" w:lineRule="auto"/>
        <w:jc w:val="left"/>
      </w:pPr>
      <w:r>
        <w:rPr>
          <w:b w:val="0"/>
          <w:i/>
          <w:highlight w:val="yellow"/>
        </w:rPr>
        <w:t>RF-14. Registrar análisis realizado</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Guarda resultados realizados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Datos del análisis</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Almacenamiento</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Registro guardado</w:t>
            </w:r>
          </w:p>
        </w:tc>
      </w:tr>
    </w:tbl>
    <w:p>
      <w:pPr>
        <w:spacing w:after="40"/>
      </w:pPr>
    </w:p>
    <w:p>
      <w:pPr>
        <w:spacing w:before="200" w:after="40" w:line="276" w:lineRule="auto"/>
        <w:jc w:val="left"/>
      </w:pPr>
      <w:r>
        <w:rPr>
          <w:b/>
          <w:i w:val="0"/>
          <w:highlight w:val="yellow"/>
        </w:rPr>
        <w:t>Tabla A14</w:t>
      </w:r>
    </w:p>
    <w:p>
      <w:pPr>
        <w:spacing w:before="0" w:after="80" w:line="276" w:lineRule="auto"/>
        <w:jc w:val="left"/>
      </w:pPr>
      <w:r>
        <w:rPr>
          <w:b w:val="0"/>
          <w:i/>
          <w:highlight w:val="yellow"/>
        </w:rPr>
        <w:t>RF-15. Consultar historial de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ver análisis previos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Filtro o selección</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Consulta en base de datos</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Lista de análisis</w:t>
            </w:r>
          </w:p>
        </w:tc>
      </w:tr>
    </w:tbl>
    <w:p>
      <w:pPr>
        <w:spacing w:after="40"/>
      </w:pPr>
    </w:p>
    <w:p>
      <w:pPr>
        <w:spacing w:before="200" w:after="40" w:line="276" w:lineRule="auto"/>
        <w:jc w:val="left"/>
      </w:pPr>
      <w:r>
        <w:rPr>
          <w:b/>
          <w:i w:val="0"/>
          <w:highlight w:val="yellow"/>
        </w:rPr>
        <w:t>Tabla A15</w:t>
      </w:r>
    </w:p>
    <w:p>
      <w:pPr>
        <w:spacing w:before="0" w:after="80" w:line="276" w:lineRule="auto"/>
        <w:jc w:val="left"/>
      </w:pPr>
      <w:r>
        <w:rPr>
          <w:b w:val="0"/>
          <w:i/>
          <w:highlight w:val="yellow"/>
        </w:rPr>
        <w:t>RF-16. Visualizar análisis previo</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reutilizar resultados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ID de análisis</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Recuperación de datos</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Resultado mostrado</w:t>
            </w:r>
          </w:p>
        </w:tc>
      </w:tr>
    </w:tbl>
    <w:p>
      <w:pPr>
        <w:spacing w:after="40"/>
      </w:pPr>
    </w:p>
    <w:p>
      <w:pPr>
        <w:spacing w:before="200" w:after="40" w:line="276" w:lineRule="auto"/>
        <w:jc w:val="left"/>
      </w:pPr>
      <w:r>
        <w:rPr>
          <w:b/>
          <w:i w:val="0"/>
          <w:highlight w:val="yellow"/>
        </w:rPr>
        <w:t>Tabla A16</w:t>
      </w:r>
    </w:p>
    <w:p>
      <w:pPr>
        <w:spacing w:before="0" w:after="80" w:line="276" w:lineRule="auto"/>
        <w:jc w:val="left"/>
      </w:pPr>
      <w:r>
        <w:rPr>
          <w:b w:val="0"/>
          <w:i/>
          <w:highlight w:val="yellow"/>
        </w:rPr>
        <w:t>RF-17. Generar reporte de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Crea documento del análisis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Resultados del análisis</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Formateo de información</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Reporte generado</w:t>
            </w:r>
          </w:p>
        </w:tc>
      </w:tr>
    </w:tbl>
    <w:p>
      <w:pPr>
        <w:spacing w:after="40"/>
      </w:pPr>
    </w:p>
    <w:p>
      <w:pPr>
        <w:spacing w:before="200" w:after="40" w:line="276" w:lineRule="auto"/>
        <w:jc w:val="left"/>
      </w:pPr>
      <w:r>
        <w:rPr>
          <w:b/>
          <w:i w:val="0"/>
          <w:highlight w:val="yellow"/>
        </w:rPr>
        <w:t>Tabla A17</w:t>
      </w:r>
    </w:p>
    <w:p>
      <w:pPr>
        <w:spacing w:before="0" w:after="80" w:line="276" w:lineRule="auto"/>
        <w:jc w:val="left"/>
      </w:pPr>
      <w:r>
        <w:rPr>
          <w:b w:val="0"/>
          <w:i/>
          <w:highlight w:val="yellow"/>
        </w:rPr>
        <w:t>RF-18. Descargar reporte</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descargar el reporte</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Solicitud del usuario</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Generación de archivo</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PDF descargado</w:t>
            </w:r>
          </w:p>
        </w:tc>
      </w:tr>
    </w:tbl>
    <w:p>
      <w:pPr>
        <w:spacing w:after="40"/>
      </w:pPr>
    </w:p>
    <w:p>
      <w:pPr>
        <w:spacing w:before="200" w:after="40" w:line="276" w:lineRule="auto"/>
        <w:jc w:val="left"/>
      </w:pPr>
      <w:r>
        <w:rPr>
          <w:b/>
          <w:i w:val="0"/>
          <w:highlight w:val="yellow"/>
        </w:rPr>
        <w:t>Tabla A18</w:t>
      </w:r>
    </w:p>
    <w:p>
      <w:pPr>
        <w:spacing w:before="0" w:after="80" w:line="276" w:lineRule="auto"/>
        <w:jc w:val="left"/>
      </w:pPr>
      <w:r>
        <w:rPr>
          <w:b w:val="0"/>
          <w:i/>
          <w:highlight w:val="yellow"/>
        </w:rPr>
        <w:t>RF-19. Descargar imagen procesada</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Elemento</w:t>
            </w:r>
          </w:p>
        </w:tc>
        <w:tc>
          <w:tcPr>
            <w:tcW w:type="dxa" w:w="4680"/>
            <w:shd w:fill="EAEAEA"/>
            <w:tcBorders>
              <w:top w:val="single" w:sz="8" w:space="0" w:color="D3D3D3"/>
              <w:left w:val="none" w:sz="0" w:space="0" w:color="auto"/>
              <w:bottom w:val="single" w:sz="8" w:space="0" w:color="D3D3D3"/>
              <w:right w:val="none" w:sz="0" w:space="0" w:color="auto"/>
            </w:tcBorders>
          </w:tcPr>
          <w:p>
            <w:r>
              <w:rPr>
                <w:b/>
              </w:rPr>
              <w:t>Descripción</w:t>
            </w:r>
          </w:p>
        </w:tc>
      </w:tr>
      <w:tr>
        <w:tc>
          <w:tcPr>
            <w:tcW w:type="dxa" w:w="4680"/>
            <w:tcBorders>
              <w:top w:val="single" w:sz="4" w:space="0" w:color="D3D3D3"/>
              <w:left w:val="none" w:sz="0" w:space="0" w:color="auto"/>
              <w:bottom w:val="single" w:sz="4" w:space="0" w:color="D3D3D3"/>
              <w:right w:val="none" w:sz="0" w:space="0" w:color="auto"/>
            </w:tcBorders>
          </w:tcPr>
          <w:p>
            <w:r>
              <w:t>Resumen</w:t>
            </w:r>
          </w:p>
        </w:tc>
        <w:tc>
          <w:tcPr>
            <w:tcW w:type="dxa" w:w="4680"/>
            <w:tcBorders>
              <w:top w:val="single" w:sz="4" w:space="0" w:color="D3D3D3"/>
              <w:left w:val="none" w:sz="0" w:space="0" w:color="auto"/>
              <w:bottom w:val="single" w:sz="4" w:space="0" w:color="D3D3D3"/>
              <w:right w:val="none" w:sz="0" w:space="0" w:color="auto"/>
            </w:tcBorders>
          </w:tcPr>
          <w:p>
            <w:r>
              <w:t>Permite exportar resultados</w:t>
            </w:r>
          </w:p>
        </w:tc>
      </w:tr>
      <w:tr>
        <w:tc>
          <w:tcPr>
            <w:tcW w:type="dxa" w:w="4680"/>
            <w:tcBorders>
              <w:top w:val="single" w:sz="4" w:space="0" w:color="D3D3D3"/>
              <w:left w:val="none" w:sz="0" w:space="0" w:color="auto"/>
              <w:bottom w:val="single" w:sz="4" w:space="0" w:color="D3D3D3"/>
              <w:right w:val="none" w:sz="0" w:space="0" w:color="auto"/>
            </w:tcBorders>
          </w:tcPr>
          <w:p>
            <w:r>
              <w:t>Entrada</w:t>
            </w:r>
          </w:p>
        </w:tc>
        <w:tc>
          <w:tcPr>
            <w:tcW w:type="dxa" w:w="4680"/>
            <w:tcBorders>
              <w:top w:val="single" w:sz="4" w:space="0" w:color="D3D3D3"/>
              <w:left w:val="none" w:sz="0" w:space="0" w:color="auto"/>
              <w:bottom w:val="single" w:sz="4" w:space="0" w:color="D3D3D3"/>
              <w:right w:val="none" w:sz="0" w:space="0" w:color="auto"/>
            </w:tcBorders>
          </w:tcPr>
          <w:p>
            <w:r>
              <w:t>Imagen procesada</w:t>
            </w:r>
          </w:p>
        </w:tc>
      </w:tr>
      <w:tr>
        <w:tc>
          <w:tcPr>
            <w:tcW w:type="dxa" w:w="4680"/>
            <w:tcBorders>
              <w:top w:val="single" w:sz="4" w:space="0" w:color="D3D3D3"/>
              <w:left w:val="none" w:sz="0" w:space="0" w:color="auto"/>
              <w:bottom w:val="single" w:sz="4" w:space="0" w:color="D3D3D3"/>
              <w:right w:val="none" w:sz="0" w:space="0" w:color="auto"/>
            </w:tcBorders>
          </w:tcPr>
          <w:p>
            <w:r>
              <w:t>Proceso</w:t>
            </w:r>
          </w:p>
        </w:tc>
        <w:tc>
          <w:tcPr>
            <w:tcW w:type="dxa" w:w="4680"/>
            <w:tcBorders>
              <w:top w:val="single" w:sz="4" w:space="0" w:color="D3D3D3"/>
              <w:left w:val="none" w:sz="0" w:space="0" w:color="auto"/>
              <w:bottom w:val="single" w:sz="4" w:space="0" w:color="D3D3D3"/>
              <w:right w:val="none" w:sz="0" w:space="0" w:color="auto"/>
            </w:tcBorders>
          </w:tcPr>
          <w:p>
            <w:r>
              <w:t>Preparación de archivo</w:t>
            </w:r>
          </w:p>
        </w:tc>
      </w:tr>
      <w:tr>
        <w:tc>
          <w:tcPr>
            <w:tcW w:type="dxa" w:w="4680"/>
            <w:tcBorders>
              <w:top w:val="single" w:sz="4" w:space="0" w:color="D3D3D3"/>
              <w:left w:val="none" w:sz="0" w:space="0" w:color="auto"/>
              <w:bottom w:val="single" w:sz="4" w:space="0" w:color="D3D3D3"/>
              <w:right w:val="none" w:sz="0" w:space="0" w:color="auto"/>
            </w:tcBorders>
          </w:tcPr>
          <w:p>
            <w:r>
              <w:t>Salida</w:t>
            </w:r>
          </w:p>
        </w:tc>
        <w:tc>
          <w:tcPr>
            <w:tcW w:type="dxa" w:w="4680"/>
            <w:tcBorders>
              <w:top w:val="single" w:sz="4" w:space="0" w:color="D3D3D3"/>
              <w:left w:val="none" w:sz="0" w:space="0" w:color="auto"/>
              <w:bottom w:val="single" w:sz="4" w:space="0" w:color="D3D3D3"/>
              <w:right w:val="none" w:sz="0" w:space="0" w:color="auto"/>
            </w:tcBorders>
          </w:tcPr>
          <w:p>
            <w:r>
              <w:t>Imagen descargada</w:t>
            </w:r>
          </w:p>
        </w:tc>
      </w:tr>
    </w:tbl>
    <w:p>
      <w:pPr>
        <w:spacing w:after="40"/>
      </w:pPr>
    </w:p>
    <w:p>
      <w:r>
        <w:br w:type="page"/>
      </w:r>
    </w:p>
    <w:p>
      <w:pPr>
        <w:spacing w:before="240" w:after="120" w:line="276" w:lineRule="auto"/>
        <w:jc w:val="left"/>
      </w:pPr>
      <w:r>
        <w:rPr>
          <w:b/>
          <w:i w:val="0"/>
          <w:highlight w:val="yellow"/>
        </w:rPr>
        <w:t>Anexo B. Lista de descripciones de los casos de uso</w:t>
      </w:r>
    </w:p>
    <w:p>
      <w:pPr>
        <w:spacing w:before="0" w:after="120" w:line="276" w:lineRule="auto"/>
        <w:jc w:val="both"/>
      </w:pPr>
      <w:r>
        <w:rPr>
          <w:b w:val="0"/>
          <w:i w:val="0"/>
        </w:rPr>
        <w:t>En este anexo se presentan las descripciones de los casos de uso de ForestGuard que complementan la sección 7.2.2.</w:t>
      </w:r>
    </w:p>
    <w:p>
      <w:pPr>
        <w:spacing w:before="200" w:after="40" w:line="276" w:lineRule="auto"/>
        <w:jc w:val="left"/>
      </w:pPr>
      <w:r>
        <w:rPr>
          <w:b/>
          <w:i w:val="0"/>
          <w:highlight w:val="yellow"/>
        </w:rPr>
        <w:t>Tabla B1</w:t>
      </w:r>
    </w:p>
    <w:p>
      <w:pPr>
        <w:spacing w:before="0" w:after="80" w:line="276" w:lineRule="auto"/>
        <w:jc w:val="left"/>
      </w:pPr>
      <w:r>
        <w:rPr>
          <w:b w:val="0"/>
          <w:i/>
          <w:highlight w:val="yellow"/>
        </w:rPr>
        <w:t>CU-02. Registrarse</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 un nuevo usuario crear una cuenta en ForestGuard proporcionando la información requerida.</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no debe tener una cuenta registrada con el mismo correo electrónico.</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selecciona la opción Registrarse. 2. El sistema muestra el formulario de registro. 3. El usuario ingresa la información solicitada. 4. El sistema valida los datos ingresados. 5. El sistema verifica que el correo no se encuentre registrado. 6. El sistema crea la cuenta. 7. El sistema confirma el registro exitoso.</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4a. Si existen datos inválidos o campos obligatorios vacíos, el sistema informa el error. 5a. Si el correo ya existe, se notifica al usuario.</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La cuenta del usuario queda registrada y disponible para iniciar sesión.</w:t>
            </w:r>
          </w:p>
        </w:tc>
      </w:tr>
    </w:tbl>
    <w:p>
      <w:pPr>
        <w:spacing w:after="40"/>
      </w:pPr>
    </w:p>
    <w:p>
      <w:pPr>
        <w:spacing w:before="200" w:after="40" w:line="276" w:lineRule="auto"/>
        <w:jc w:val="left"/>
      </w:pPr>
      <w:r>
        <w:rPr>
          <w:b/>
          <w:i w:val="0"/>
          <w:highlight w:val="yellow"/>
        </w:rPr>
        <w:t>Tabla B2</w:t>
      </w:r>
    </w:p>
    <w:p>
      <w:pPr>
        <w:spacing w:before="0" w:after="80" w:line="276" w:lineRule="auto"/>
        <w:jc w:val="left"/>
      </w:pPr>
      <w:r>
        <w:rPr>
          <w:b w:val="0"/>
          <w:i/>
          <w:highlight w:val="yellow"/>
        </w:rPr>
        <w:t>CU-03. Iniciar sesión</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acceder a ForestGuard mediante sus credenciales.</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estar registrado y contar con credenciales válidas.</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selecciona Iniciar sesión. 2. El sistema muestra el formulario de acceso. 3. El usuario ingresa sus credenciales. 4. El sistema valida las credenciales. 5. El sistema identifica el rol del usuario. 6. El sistema permite el acceso a la aplicación.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4a. Si las credenciales son incorrectas, el sistema informa que los datos no son válidos.</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usuario accede a las funcionalidades correspondientes a su rol.</w:t>
            </w:r>
          </w:p>
        </w:tc>
      </w:tr>
    </w:tbl>
    <w:p>
      <w:pPr>
        <w:spacing w:after="40"/>
      </w:pPr>
    </w:p>
    <w:p>
      <w:pPr>
        <w:spacing w:before="200" w:after="40" w:line="276" w:lineRule="auto"/>
        <w:jc w:val="left"/>
      </w:pPr>
      <w:r>
        <w:rPr>
          <w:b/>
          <w:i w:val="0"/>
          <w:highlight w:val="yellow"/>
        </w:rPr>
        <w:t>Tabla B3</w:t>
      </w:r>
    </w:p>
    <w:p>
      <w:pPr>
        <w:spacing w:before="0" w:after="80" w:line="276" w:lineRule="auto"/>
        <w:jc w:val="left"/>
      </w:pPr>
      <w:r>
        <w:rPr>
          <w:b w:val="0"/>
          <w:i/>
          <w:highlight w:val="yellow"/>
        </w:rPr>
        <w:t>CU-04. Cerrar sesión</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finalizar su sesión activa en ForestGuard.</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selecciona Cerrar sesión. 2. El sistema finaliza la sesión activa. 3. El sistema redirige al usuario a la pantalla de inicio de sesión.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2a. Si ocurre un error al finalizar la sesión, el sistema mantiene el control de acceso preventivo.</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La sesión del usuario queda finalizada.</w:t>
            </w:r>
          </w:p>
        </w:tc>
      </w:tr>
    </w:tbl>
    <w:p>
      <w:pPr>
        <w:spacing w:after="40"/>
      </w:pPr>
    </w:p>
    <w:p>
      <w:pPr>
        <w:spacing w:before="200" w:after="40" w:line="276" w:lineRule="auto"/>
        <w:jc w:val="left"/>
      </w:pPr>
      <w:r>
        <w:rPr>
          <w:b/>
          <w:i w:val="0"/>
          <w:highlight w:val="yellow"/>
        </w:rPr>
        <w:t>Tabla B4</w:t>
      </w:r>
    </w:p>
    <w:p>
      <w:pPr>
        <w:spacing w:before="0" w:after="80" w:line="276" w:lineRule="auto"/>
        <w:jc w:val="left"/>
      </w:pPr>
      <w:r>
        <w:rPr>
          <w:b w:val="0"/>
          <w:i/>
          <w:highlight w:val="yellow"/>
        </w:rPr>
        <w:t>CU-05. Gestionar perfil de usuario</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consultar y actualizar la información asociada a su perfil.</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accede a su perfil. 2. El sistema muestra la información registrada. 3. El usuario selecciona la opción para editar sus datos. 4. El usuario modifica la información permitida. 5. El sistema valida los cambios. 6. El sistema actualiza la información. 7. El sistema confirma la actualización.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5a. Si la información no cumple validaciones, el sistema solicita corregirla. 5b. Si el usuario cancela, no se realizan cambios.</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La información del perfil queda actualizada.</w:t>
            </w:r>
          </w:p>
        </w:tc>
      </w:tr>
    </w:tbl>
    <w:p>
      <w:pPr>
        <w:spacing w:after="40"/>
      </w:pPr>
    </w:p>
    <w:p>
      <w:pPr>
        <w:spacing w:before="200" w:after="40" w:line="276" w:lineRule="auto"/>
        <w:jc w:val="left"/>
      </w:pPr>
      <w:r>
        <w:rPr>
          <w:b/>
          <w:i w:val="0"/>
          <w:highlight w:val="yellow"/>
        </w:rPr>
        <w:t>Tabla B5</w:t>
      </w:r>
    </w:p>
    <w:p>
      <w:pPr>
        <w:spacing w:before="0" w:after="80" w:line="276" w:lineRule="auto"/>
        <w:jc w:val="left"/>
      </w:pPr>
      <w:r>
        <w:rPr>
          <w:b w:val="0"/>
          <w:i/>
          <w:highlight w:val="yellow"/>
        </w:rPr>
        <w:t>CU-06. Cargar imágenes satelitales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cargar imágenes satelitales en formato compatible para posteriormente realizar un análisis.</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 y contar con una imagen satelital válida.</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selecciona Cargar imágenes. 2. El sistema muestra la interfaz de carga. 3. El usuario selecciona uno o varios archivos. 4. El sistema valida los archivos. 5. El sistema almacena las imágenes. 6. El sistema confirma la carga exitosa.</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4a. Si el archivo no tiene formato compatible, se informa el error. 4b. Si no cumple las características requeridas, se rechaza la carga.</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Las imágenes válidas quedan almacenadas y asociadas al usuario.</w:t>
            </w:r>
          </w:p>
        </w:tc>
      </w:tr>
    </w:tbl>
    <w:p>
      <w:pPr>
        <w:spacing w:after="40"/>
      </w:pPr>
    </w:p>
    <w:p>
      <w:pPr>
        <w:spacing w:before="200" w:after="40" w:line="276" w:lineRule="auto"/>
        <w:jc w:val="left"/>
      </w:pPr>
      <w:r>
        <w:rPr>
          <w:b/>
          <w:i w:val="0"/>
          <w:highlight w:val="yellow"/>
        </w:rPr>
        <w:t>Tabla B6</w:t>
      </w:r>
    </w:p>
    <w:p>
      <w:pPr>
        <w:spacing w:before="0" w:after="80" w:line="276" w:lineRule="auto"/>
        <w:jc w:val="left"/>
      </w:pPr>
      <w:r>
        <w:rPr>
          <w:b w:val="0"/>
          <w:i/>
          <w:highlight w:val="yellow"/>
        </w:rPr>
        <w:t>CU-07. Consultar imágenes cargadas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consultar las imágenes satelitales que ha cargado previamente.</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accede a la sección de imágenes. 2. El sistema consulta las imágenes asociadas al usuario. 3. El sistema muestra la información de las imágenes disponibles. 4. El usuario puede seleccionar una imagen para consultar su información.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2a. Si el usuario no tiene imágenes cargadas, el sistema muestra un mensaje indicando que no existen imágenes disponibles.</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usuario puede consultar las imágenes disponibles.</w:t>
            </w:r>
          </w:p>
        </w:tc>
      </w:tr>
    </w:tbl>
    <w:p>
      <w:pPr>
        <w:spacing w:after="40"/>
      </w:pPr>
    </w:p>
    <w:p>
      <w:pPr>
        <w:spacing w:before="200" w:after="40" w:line="276" w:lineRule="auto"/>
        <w:jc w:val="left"/>
      </w:pPr>
      <w:r>
        <w:rPr>
          <w:b/>
          <w:i w:val="0"/>
          <w:highlight w:val="yellow"/>
        </w:rPr>
        <w:t>Tabla B7</w:t>
      </w:r>
    </w:p>
    <w:p>
      <w:pPr>
        <w:spacing w:before="0" w:after="80" w:line="276" w:lineRule="auto"/>
        <w:jc w:val="left"/>
      </w:pPr>
      <w:r>
        <w:rPr>
          <w:b w:val="0"/>
          <w:i/>
          <w:highlight w:val="yellow"/>
        </w:rPr>
        <w:t>CU-08. Eliminar imágenes cargadas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eliminar imágenes satelitales que haya cargado previamente.</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 y tener imágenes cargadas no asociadas a análisis existentes.</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consulta sus imágenes. 2. Selecciona la imagen que desea eliminar. 3. El sistema solicita confirmación. 4. El usuario confirma la eliminación. 5. El sistema elimina la imagen. 6. El sistema confirma la operación.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4a. Si cancela, permanece almacenada. 5a. Si pertenece a un análisis existente, se bloquea por restricción de integridad.</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La imagen seleccionada deja de estar disponible.</w:t>
            </w:r>
          </w:p>
        </w:tc>
      </w:tr>
    </w:tbl>
    <w:p>
      <w:pPr>
        <w:spacing w:after="40"/>
      </w:pPr>
    </w:p>
    <w:p>
      <w:pPr>
        <w:spacing w:before="200" w:after="40" w:line="276" w:lineRule="auto"/>
        <w:jc w:val="left"/>
      </w:pPr>
      <w:r>
        <w:rPr>
          <w:b/>
          <w:i w:val="0"/>
          <w:highlight w:val="yellow"/>
        </w:rPr>
        <w:t>Tabla B8</w:t>
      </w:r>
    </w:p>
    <w:p>
      <w:pPr>
        <w:spacing w:before="0" w:after="80" w:line="276" w:lineRule="auto"/>
        <w:jc w:val="left"/>
      </w:pPr>
      <w:r>
        <w:rPr>
          <w:b w:val="0"/>
          <w:i/>
          <w:highlight w:val="yellow"/>
        </w:rPr>
        <w:t>CU-09. Seleccionar imágenes para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seleccionar las imágenes satelitales que serán utilizadas para realizar un análisis comparativo.</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 y contar con imágenes cargadas.</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accede a la opción de análisis. 2. El sistema muestra las imágenes disponibles. 3. El usuario selecciona las imágenes que desea comparar. 4. El sistema verifica que las imágenes sean compatibles. 5. El sistema confirma la selección. 6. El usuario inicia el análisis.</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3a. Si no selecciona la cantidad requerida, se solicita completar selección. 4a. Si no son compatibles espacialmente, se informa el error.</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Las imágenes quedan seleccionadas para realizar el análisis.</w:t>
            </w:r>
          </w:p>
        </w:tc>
      </w:tr>
    </w:tbl>
    <w:p>
      <w:pPr>
        <w:spacing w:after="40"/>
      </w:pPr>
    </w:p>
    <w:p>
      <w:pPr>
        <w:spacing w:before="200" w:after="40" w:line="276" w:lineRule="auto"/>
        <w:jc w:val="left"/>
      </w:pPr>
      <w:r>
        <w:rPr>
          <w:b/>
          <w:i w:val="0"/>
          <w:highlight w:val="yellow"/>
        </w:rPr>
        <w:t>Tabla B9</w:t>
      </w:r>
    </w:p>
    <w:p>
      <w:pPr>
        <w:spacing w:before="0" w:after="80" w:line="276" w:lineRule="auto"/>
        <w:jc w:val="left"/>
      </w:pPr>
      <w:r>
        <w:rPr>
          <w:b w:val="0"/>
          <w:i/>
          <w:highlight w:val="yellow"/>
        </w:rPr>
        <w:t>CU-10. Consultar historial de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consultar los análisis realizados anteriormente.</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accede a la sección Historial. 2. El sistema consulta los análisis asociados al usuario. 3. El sistema muestra el listado de análisis. 4. El usuario puede seleccionar un análisis para consultar su detalle.</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2a. Si no existen análisis registrados, el sistema informa que el historial se encuentra vacío.</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usuario puede consultar los análisis realizados previamente.</w:t>
            </w:r>
          </w:p>
        </w:tc>
      </w:tr>
    </w:tbl>
    <w:p>
      <w:pPr>
        <w:spacing w:after="40"/>
      </w:pPr>
    </w:p>
    <w:p>
      <w:pPr>
        <w:spacing w:before="200" w:after="40" w:line="276" w:lineRule="auto"/>
        <w:jc w:val="left"/>
      </w:pPr>
      <w:r>
        <w:rPr>
          <w:b/>
          <w:i w:val="0"/>
          <w:highlight w:val="yellow"/>
        </w:rPr>
        <w:t>Tabla B10</w:t>
      </w:r>
    </w:p>
    <w:p>
      <w:pPr>
        <w:spacing w:before="0" w:after="80" w:line="276" w:lineRule="auto"/>
        <w:jc w:val="left"/>
      </w:pPr>
      <w:r>
        <w:rPr>
          <w:b w:val="0"/>
          <w:i/>
          <w:highlight w:val="yellow"/>
        </w:rPr>
        <w:t>CU-11. Eliminar análisis del historial</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eliminar un análisis previamente registrado en su historial.</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 y el análisis debe estar completado o fallido.</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accede al historial. 2. Selecciona el análisis que desea eliminar. 3. El sistema solicita confirmación. 4. El usuario confirma la eliminación. 5. El sistema elimina el registro y artefactos. 6. El sistema confirma la operación.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4a. Si cancela, permanece en historial. 5a. Si el análisis está en ejecución, se bloquea para evitar inconsistencias.</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análisis seleccionado se elimina del historial.</w:t>
            </w:r>
          </w:p>
        </w:tc>
      </w:tr>
    </w:tbl>
    <w:p>
      <w:pPr>
        <w:spacing w:after="40"/>
      </w:pPr>
    </w:p>
    <w:p>
      <w:pPr>
        <w:spacing w:before="200" w:after="40" w:line="276" w:lineRule="auto"/>
        <w:jc w:val="left"/>
      </w:pPr>
      <w:r>
        <w:rPr>
          <w:b/>
          <w:i w:val="0"/>
          <w:highlight w:val="yellow"/>
        </w:rPr>
        <w:t>Tabla B11</w:t>
      </w:r>
    </w:p>
    <w:p>
      <w:pPr>
        <w:spacing w:before="0" w:after="80" w:line="276" w:lineRule="auto"/>
        <w:jc w:val="left"/>
      </w:pPr>
      <w:r>
        <w:rPr>
          <w:b w:val="0"/>
          <w:i/>
          <w:highlight w:val="yellow"/>
        </w:rPr>
        <w:t>CU-12. Consultar detalle de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consultar la información y resultados asociados a un análisis realizado.</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 y existir un análisis registrado.</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accede al historial. 2. Selecciona un análisis. 3. El sistema recupera la información y artefactos raster. 4. El sistema muestra imágenes, periodo y resultados obtenidos. 5. El usuario consulta la información presentada.</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3a. Si el análisis no se encuentra disponible, el sistema informa el error.</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usuario consulta el detalle técnico del análisis seleccionado.</w:t>
            </w:r>
          </w:p>
        </w:tc>
      </w:tr>
    </w:tbl>
    <w:p>
      <w:pPr>
        <w:spacing w:after="40"/>
      </w:pPr>
    </w:p>
    <w:p>
      <w:pPr>
        <w:spacing w:before="200" w:after="40" w:line="276" w:lineRule="auto"/>
        <w:jc w:val="left"/>
      </w:pPr>
      <w:r>
        <w:rPr>
          <w:b/>
          <w:i w:val="0"/>
          <w:highlight w:val="yellow"/>
        </w:rPr>
        <w:t>Tabla B12</w:t>
      </w:r>
    </w:p>
    <w:p>
      <w:pPr>
        <w:spacing w:before="0" w:after="80" w:line="276" w:lineRule="auto"/>
        <w:jc w:val="left"/>
      </w:pPr>
      <w:r>
        <w:rPr>
          <w:b w:val="0"/>
          <w:i/>
          <w:highlight w:val="yellow"/>
        </w:rPr>
        <w:t>CU-13. Descargar reporte de análisis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usuario generar y descargar un reporte con la información y resultados de un análisis realizado.</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Usuario / 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usuario debe haber iniciado sesión y existir un análisis con resultados disponibles.</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usuario consulta el detalle de un análisis. 2. Selecciona Descargar reporte. 3. El sistema compila el reporte en formato PDF. 4. El sistema prepara el archivo para descarga. 5. El usuario descarga el reporte.</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3a. Si no existen resultados, se alerta al usuario. 4a. Si ocurre un fallo en la generación, se notifica el error.</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usuario obtiene un reporte técnico en formato PDF.</w:t>
            </w:r>
          </w:p>
        </w:tc>
      </w:tr>
    </w:tbl>
    <w:p>
      <w:pPr>
        <w:spacing w:after="40"/>
      </w:pPr>
    </w:p>
    <w:p>
      <w:pPr>
        <w:spacing w:before="200" w:after="40" w:line="276" w:lineRule="auto"/>
        <w:jc w:val="left"/>
      </w:pPr>
      <w:r>
        <w:rPr>
          <w:b/>
          <w:i w:val="0"/>
          <w:highlight w:val="yellow"/>
        </w:rPr>
        <w:t>Tabla B13</w:t>
      </w:r>
    </w:p>
    <w:p>
      <w:pPr>
        <w:spacing w:before="0" w:after="80" w:line="276" w:lineRule="auto"/>
        <w:jc w:val="left"/>
      </w:pPr>
      <w:r>
        <w:rPr>
          <w:b w:val="0"/>
          <w:i/>
          <w:highlight w:val="yellow"/>
        </w:rPr>
        <w:t>CU-14. Agregar modelo de aprendizaje automático</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administrador incorporar un modelo para ser utilizado en el análisis de imágenes satelitales.</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administrador debe haber iniciado sesión y contar con un modelo serializado compatible.</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administrador accede a gestión de modelos. 2. Selecciona Agregar modelo. 3. Diligencia metadatos y sube el archivo. 4. El sistema valida el modelo. 5. El sistema registra el modelo en PostgreSQL. 6. Se confirma la activación.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5a. Si la versión ya existe o es incompatible, se informa el error.</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modelo queda registrado y disponible para análisis.</w:t>
            </w:r>
          </w:p>
        </w:tc>
      </w:tr>
    </w:tbl>
    <w:p>
      <w:pPr>
        <w:spacing w:after="40"/>
      </w:pPr>
    </w:p>
    <w:p>
      <w:pPr>
        <w:spacing w:before="200" w:after="40" w:line="276" w:lineRule="auto"/>
        <w:jc w:val="left"/>
      </w:pPr>
      <w:r>
        <w:rPr>
          <w:b/>
          <w:i w:val="0"/>
          <w:highlight w:val="yellow"/>
        </w:rPr>
        <w:t>Tabla B14</w:t>
      </w:r>
    </w:p>
    <w:p>
      <w:pPr>
        <w:spacing w:before="0" w:after="80" w:line="276" w:lineRule="auto"/>
        <w:jc w:val="left"/>
      </w:pPr>
      <w:r>
        <w:rPr>
          <w:b w:val="0"/>
          <w:i/>
          <w:highlight w:val="yellow"/>
        </w:rPr>
        <w:t>CU-15. Gestionar usuarios</w:t>
      </w:r>
    </w:p>
    <w:tbl>
      <w:tblPr>
        <w:tblW w:type="auto" w:w="0"/>
        <w:jc w:val="center"/>
        <w:tblLook w:firstColumn="1" w:firstRow="1" w:lastColumn="0" w:lastRow="0" w:noHBand="0" w:noVBand="1" w:val="04A0"/>
      </w:tblPr>
      <w:tblGrid>
        <w:gridCol w:w="4680"/>
        <w:gridCol w:w="4680"/>
      </w:tblGrid>
      <w:tr>
        <w:tc>
          <w:tcPr>
            <w:tcW w:type="dxa" w:w="4680"/>
            <w:shd w:fill="EAEAEA"/>
            <w:tcBorders>
              <w:top w:val="single" w:sz="8" w:space="0" w:color="D3D3D3"/>
              <w:left w:val="none" w:sz="0" w:space="0" w:color="auto"/>
              <w:bottom w:val="single" w:sz="8" w:space="0" w:color="D3D3D3"/>
              <w:right w:val="none" w:sz="0" w:space="0" w:color="auto"/>
            </w:tcBorders>
          </w:tcPr>
          <w:p>
            <w:r>
              <w:rPr>
                <w:b/>
              </w:rPr>
              <w:t>Campo</w:t>
            </w:r>
          </w:p>
        </w:tc>
        <w:tc>
          <w:tcPr>
            <w:tcW w:type="dxa" w:w="4680"/>
            <w:shd w:fill="EAEAEA"/>
            <w:tcBorders>
              <w:top w:val="single" w:sz="8" w:space="0" w:color="D3D3D3"/>
              <w:left w:val="none" w:sz="0" w:space="0" w:color="auto"/>
              <w:bottom w:val="single" w:sz="8" w:space="0" w:color="D3D3D3"/>
              <w:right w:val="none" w:sz="0" w:space="0" w:color="auto"/>
            </w:tcBorders>
          </w:tcPr>
          <w:p>
            <w:r>
              <w:rPr>
                <w:b/>
              </w:rPr>
              <w:t>Detalle</w:t>
            </w:r>
          </w:p>
        </w:tc>
      </w:tr>
      <w:tr>
        <w:tc>
          <w:tcPr>
            <w:tcW w:type="dxa" w:w="4680"/>
            <w:tcBorders>
              <w:top w:val="single" w:sz="4" w:space="0" w:color="D3D3D3"/>
              <w:left w:val="none" w:sz="0" w:space="0" w:color="auto"/>
              <w:bottom w:val="single" w:sz="4" w:space="0" w:color="D3D3D3"/>
              <w:right w:val="none" w:sz="0" w:space="0" w:color="auto"/>
            </w:tcBorders>
          </w:tcPr>
          <w:p>
            <w:r>
              <w:t>Descripción</w:t>
            </w:r>
          </w:p>
        </w:tc>
        <w:tc>
          <w:tcPr>
            <w:tcW w:type="dxa" w:w="4680"/>
            <w:tcBorders>
              <w:top w:val="single" w:sz="4" w:space="0" w:color="D3D3D3"/>
              <w:left w:val="none" w:sz="0" w:space="0" w:color="auto"/>
              <w:bottom w:val="single" w:sz="4" w:space="0" w:color="D3D3D3"/>
              <w:right w:val="none" w:sz="0" w:space="0" w:color="auto"/>
            </w:tcBorders>
          </w:tcPr>
          <w:p>
            <w:r>
              <w:t>Permite al administrador consultar y administrar las cuentas de los usuarios registrados en ForestGuard.</w:t>
            </w:r>
          </w:p>
        </w:tc>
      </w:tr>
      <w:tr>
        <w:tc>
          <w:tcPr>
            <w:tcW w:type="dxa" w:w="4680"/>
            <w:tcBorders>
              <w:top w:val="single" w:sz="4" w:space="0" w:color="D3D3D3"/>
              <w:left w:val="none" w:sz="0" w:space="0" w:color="auto"/>
              <w:bottom w:val="single" w:sz="4" w:space="0" w:color="D3D3D3"/>
              <w:right w:val="none" w:sz="0" w:space="0" w:color="auto"/>
            </w:tcBorders>
          </w:tcPr>
          <w:p>
            <w:r>
              <w:t>Actor</w:t>
            </w:r>
          </w:p>
        </w:tc>
        <w:tc>
          <w:tcPr>
            <w:tcW w:type="dxa" w:w="4680"/>
            <w:tcBorders>
              <w:top w:val="single" w:sz="4" w:space="0" w:color="D3D3D3"/>
              <w:left w:val="none" w:sz="0" w:space="0" w:color="auto"/>
              <w:bottom w:val="single" w:sz="4" w:space="0" w:color="D3D3D3"/>
              <w:right w:val="none" w:sz="0" w:space="0" w:color="auto"/>
            </w:tcBorders>
          </w:tcPr>
          <w:p>
            <w:r>
              <w:t>Administrador</w:t>
            </w:r>
          </w:p>
        </w:tc>
      </w:tr>
      <w:tr>
        <w:tc>
          <w:tcPr>
            <w:tcW w:type="dxa" w:w="4680"/>
            <w:tcBorders>
              <w:top w:val="single" w:sz="4" w:space="0" w:color="D3D3D3"/>
              <w:left w:val="none" w:sz="0" w:space="0" w:color="auto"/>
              <w:bottom w:val="single" w:sz="4" w:space="0" w:color="D3D3D3"/>
              <w:right w:val="none" w:sz="0" w:space="0" w:color="auto"/>
            </w:tcBorders>
          </w:tcPr>
          <w:p>
            <w:r>
              <w:t>Precondiciones</w:t>
            </w:r>
          </w:p>
        </w:tc>
        <w:tc>
          <w:tcPr>
            <w:tcW w:type="dxa" w:w="4680"/>
            <w:tcBorders>
              <w:top w:val="single" w:sz="4" w:space="0" w:color="D3D3D3"/>
              <w:left w:val="none" w:sz="0" w:space="0" w:color="auto"/>
              <w:bottom w:val="single" w:sz="4" w:space="0" w:color="D3D3D3"/>
              <w:right w:val="none" w:sz="0" w:space="0" w:color="auto"/>
            </w:tcBorders>
          </w:tcPr>
          <w:p>
            <w:r>
              <w:t>El administrador debe haber iniciado sesión y contar con permisos de administración.</w:t>
            </w:r>
          </w:p>
        </w:tc>
      </w:tr>
      <w:tr>
        <w:tc>
          <w:tcPr>
            <w:tcW w:type="dxa" w:w="4680"/>
            <w:tcBorders>
              <w:top w:val="single" w:sz="4" w:space="0" w:color="D3D3D3"/>
              <w:left w:val="none" w:sz="0" w:space="0" w:color="auto"/>
              <w:bottom w:val="single" w:sz="4" w:space="0" w:color="D3D3D3"/>
              <w:right w:val="none" w:sz="0" w:space="0" w:color="auto"/>
            </w:tcBorders>
          </w:tcPr>
          <w:p>
            <w:r>
              <w:t>Flujo principal</w:t>
            </w:r>
          </w:p>
        </w:tc>
        <w:tc>
          <w:tcPr>
            <w:tcW w:type="dxa" w:w="4680"/>
            <w:tcBorders>
              <w:top w:val="single" w:sz="4" w:space="0" w:color="D3D3D3"/>
              <w:left w:val="none" w:sz="0" w:space="0" w:color="auto"/>
              <w:bottom w:val="single" w:sz="4" w:space="0" w:color="D3D3D3"/>
              <w:right w:val="none" w:sz="0" w:space="0" w:color="auto"/>
            </w:tcBorders>
          </w:tcPr>
          <w:p>
            <w:r>
              <w:t>1. El administrador accede a gestión de usuarios. 2. El sistema muestra el listado. 3. Selecciona un usuario. 4. Modifica permisos o estado activo. 5. El sistema valida y persiste cambios. 6. Se confirma la operación.</w:t>
            </w:r>
          </w:p>
        </w:tc>
      </w:tr>
      <w:tr>
        <w:tc>
          <w:tcPr>
            <w:tcW w:type="dxa" w:w="4680"/>
            <w:tcBorders>
              <w:top w:val="single" w:sz="4" w:space="0" w:color="D3D3D3"/>
              <w:left w:val="none" w:sz="0" w:space="0" w:color="auto"/>
              <w:bottom w:val="single" w:sz="4" w:space="0" w:color="D3D3D3"/>
              <w:right w:val="none" w:sz="0" w:space="0" w:color="auto"/>
            </w:tcBorders>
          </w:tcPr>
          <w:p>
            <w:r>
              <w:t>Flujos alternativos</w:t>
            </w:r>
          </w:p>
        </w:tc>
        <w:tc>
          <w:tcPr>
            <w:tcW w:type="dxa" w:w="4680"/>
            <w:tcBorders>
              <w:top w:val="single" w:sz="4" w:space="0" w:color="D3D3D3"/>
              <w:left w:val="none" w:sz="0" w:space="0" w:color="auto"/>
              <w:bottom w:val="single" w:sz="4" w:space="0" w:color="D3D3D3"/>
              <w:right w:val="none" w:sz="0" w:space="0" w:color="auto"/>
            </w:tcBorders>
          </w:tcPr>
          <w:p>
            <w:r>
              <w:t>4a. El administrador puede desactivar cuentas (no existe borrado físico). 4b. No puede desactivar su propia cuenta.</w:t>
            </w:r>
          </w:p>
        </w:tc>
      </w:tr>
      <w:tr>
        <w:tc>
          <w:tcPr>
            <w:tcW w:type="dxa" w:w="4680"/>
            <w:tcBorders>
              <w:top w:val="single" w:sz="4" w:space="0" w:color="D3D3D3"/>
              <w:left w:val="none" w:sz="0" w:space="0" w:color="auto"/>
              <w:bottom w:val="single" w:sz="4" w:space="0" w:color="D3D3D3"/>
              <w:right w:val="none" w:sz="0" w:space="0" w:color="auto"/>
            </w:tcBorders>
          </w:tcPr>
          <w:p>
            <w:r>
              <w:t>Postcondiciones</w:t>
            </w:r>
          </w:p>
        </w:tc>
        <w:tc>
          <w:tcPr>
            <w:tcW w:type="dxa" w:w="4680"/>
            <w:tcBorders>
              <w:top w:val="single" w:sz="4" w:space="0" w:color="D3D3D3"/>
              <w:left w:val="none" w:sz="0" w:space="0" w:color="auto"/>
              <w:bottom w:val="single" w:sz="4" w:space="0" w:color="D3D3D3"/>
              <w:right w:val="none" w:sz="0" w:space="0" w:color="auto"/>
            </w:tcBorders>
          </w:tcPr>
          <w:p>
            <w:r>
              <w:t>El estado de la cuenta queda actualizado.</w:t>
            </w:r>
          </w:p>
        </w:tc>
      </w:tr>
    </w:tbl>
    <w:p>
      <w:pPr>
        <w:spacing w:after="40"/>
      </w:pPr>
    </w:p>
    <w:p>
      <w:r>
        <w:br w:type="page"/>
      </w:r>
    </w:p>
    <w:p>
      <w:pPr>
        <w:spacing w:before="240" w:after="120" w:line="276" w:lineRule="auto"/>
        <w:jc w:val="left"/>
      </w:pPr>
      <w:r>
        <w:rPr>
          <w:b/>
          <w:i w:val="0"/>
          <w:highlight w:val="yellow"/>
        </w:rPr>
        <w:t>Anexo C. Lista de diagramas de secuencia</w:t>
      </w:r>
    </w:p>
    <w:p>
      <w:pPr>
        <w:spacing w:before="0" w:after="120" w:line="276" w:lineRule="auto"/>
        <w:jc w:val="both"/>
      </w:pPr>
      <w:r>
        <w:rPr>
          <w:b w:val="0"/>
          <w:i w:val="0"/>
        </w:rPr>
        <w:t>En este anexo se presentan los diagramas de secuencia de ForestGuard que complementan la sección 7.2.4.</w:t>
      </w:r>
    </w:p>
    <w:p>
      <w:pPr>
        <w:spacing w:before="200" w:after="40" w:line="276" w:lineRule="auto"/>
        <w:jc w:val="left"/>
      </w:pPr>
      <w:r>
        <w:rPr>
          <w:b/>
          <w:i w:val="0"/>
          <w:highlight w:val="yellow"/>
        </w:rPr>
        <w:t>Figura C1</w:t>
      </w:r>
    </w:p>
    <w:p>
      <w:pPr>
        <w:spacing w:before="0" w:after="80" w:line="276" w:lineRule="auto"/>
        <w:jc w:val="left"/>
      </w:pPr>
      <w:r>
        <w:rPr>
          <w:b w:val="0"/>
          <w:i/>
          <w:highlight w:val="yellow"/>
        </w:rPr>
        <w:t>DS-02. Inicio de sesión</w:t>
      </w:r>
    </w:p>
    <w:p>
      <w:pPr>
        <w:spacing w:before="40" w:after="160" w:line="276" w:lineRule="auto"/>
        <w:jc w:val="left"/>
      </w:pPr>
      <w:r>
        <w:rPr>
          <w:b w:val="0"/>
          <w:i/>
        </w:rPr>
        <w:t xml:space="preserve">Nota. </w:t>
      </w:r>
      <w:r>
        <w:rPr>
          <w:b w:val="0"/>
          <w:i w:val="0"/>
          <w:highlight w:val="yellow"/>
        </w:rPr>
        <w:t>Elaboración propia.</w:t>
      </w:r>
    </w:p>
    <w:p>
      <w:pPr>
        <w:spacing w:after="80"/>
      </w:pPr>
    </w:p>
    <w:p>
      <w:pPr>
        <w:spacing w:before="200" w:after="40" w:line="276" w:lineRule="auto"/>
        <w:jc w:val="left"/>
      </w:pPr>
      <w:r>
        <w:rPr>
          <w:b/>
          <w:i w:val="0"/>
          <w:highlight w:val="yellow"/>
        </w:rPr>
        <w:t>Figura C2</w:t>
      </w:r>
    </w:p>
    <w:p>
      <w:pPr>
        <w:spacing w:before="0" w:after="80" w:line="276" w:lineRule="auto"/>
        <w:jc w:val="left"/>
      </w:pPr>
      <w:r>
        <w:rPr>
          <w:b w:val="0"/>
          <w:i/>
          <w:highlight w:val="yellow"/>
        </w:rPr>
        <w:t>DS-03. Subir/cargar una imagen satelital</w:t>
      </w:r>
    </w:p>
    <w:p>
      <w:pPr>
        <w:spacing w:before="40" w:after="160" w:line="276" w:lineRule="auto"/>
        <w:jc w:val="left"/>
      </w:pPr>
      <w:r>
        <w:rPr>
          <w:b w:val="0"/>
          <w:i/>
        </w:rPr>
        <w:t xml:space="preserve">Nota. </w:t>
      </w:r>
      <w:r>
        <w:rPr>
          <w:b w:val="0"/>
          <w:i w:val="0"/>
          <w:highlight w:val="yellow"/>
        </w:rPr>
        <w:t>Elaboración propia.</w:t>
      </w:r>
    </w:p>
    <w:p>
      <w:pPr>
        <w:spacing w:after="80"/>
      </w:pPr>
    </w:p>
    <w:p>
      <w:pPr>
        <w:spacing w:before="200" w:after="40" w:line="276" w:lineRule="auto"/>
        <w:jc w:val="left"/>
      </w:pPr>
      <w:r>
        <w:rPr>
          <w:b/>
          <w:i w:val="0"/>
          <w:highlight w:val="yellow"/>
        </w:rPr>
        <w:t>Figura C3</w:t>
      </w:r>
    </w:p>
    <w:p>
      <w:pPr>
        <w:spacing w:before="0" w:after="80" w:line="276" w:lineRule="auto"/>
        <w:jc w:val="left"/>
      </w:pPr>
      <w:r>
        <w:rPr>
          <w:b w:val="0"/>
          <w:i/>
          <w:highlight w:val="yellow"/>
        </w:rPr>
        <w:t>DS-04. Comparar imágenes de diferentes periodos</w:t>
      </w:r>
    </w:p>
    <w:p>
      <w:pPr>
        <w:spacing w:before="40" w:after="160" w:line="276" w:lineRule="auto"/>
        <w:jc w:val="left"/>
      </w:pPr>
      <w:r>
        <w:rPr>
          <w:b w:val="0"/>
          <w:i/>
        </w:rPr>
        <w:t xml:space="preserve">Nota. </w:t>
      </w:r>
      <w:r>
        <w:rPr>
          <w:b w:val="0"/>
          <w:i w:val="0"/>
          <w:highlight w:val="yellow"/>
        </w:rPr>
        <w:t>Elaboración propia.</w:t>
      </w:r>
    </w:p>
    <w:p>
      <w:pPr>
        <w:spacing w:after="80"/>
      </w:pPr>
    </w:p>
    <w:p>
      <w:pPr>
        <w:spacing w:before="200" w:after="40" w:line="276" w:lineRule="auto"/>
        <w:jc w:val="left"/>
      </w:pPr>
      <w:r>
        <w:rPr>
          <w:b/>
          <w:i w:val="0"/>
          <w:highlight w:val="yellow"/>
        </w:rPr>
        <w:t>Figura C4</w:t>
      </w:r>
    </w:p>
    <w:p>
      <w:pPr>
        <w:spacing w:before="0" w:after="80" w:line="276" w:lineRule="auto"/>
        <w:jc w:val="left"/>
      </w:pPr>
      <w:r>
        <w:rPr>
          <w:b w:val="0"/>
          <w:i/>
          <w:highlight w:val="yellow"/>
        </w:rPr>
        <w:t>DS-05. Visualización de los resultados del análisis de imágenes satelitales</w:t>
      </w:r>
    </w:p>
    <w:p>
      <w:pPr>
        <w:spacing w:before="40" w:after="160" w:line="276" w:lineRule="auto"/>
        <w:jc w:val="left"/>
      </w:pPr>
      <w:r>
        <w:rPr>
          <w:b w:val="0"/>
          <w:i/>
        </w:rPr>
        <w:t xml:space="preserve">Nota. </w:t>
      </w:r>
      <w:r>
        <w:rPr>
          <w:b w:val="0"/>
          <w:i w:val="0"/>
          <w:highlight w:val="yellow"/>
        </w:rPr>
        <w:t>Elaboración propia.</w:t>
      </w:r>
    </w:p>
    <w:p>
      <w:pPr>
        <w:spacing w:after="80"/>
      </w:pPr>
    </w:p>
    <w:p>
      <w:pPr>
        <w:spacing w:before="200" w:after="40" w:line="276" w:lineRule="auto"/>
        <w:jc w:val="left"/>
      </w:pPr>
      <w:r>
        <w:rPr>
          <w:b/>
          <w:i w:val="0"/>
          <w:highlight w:val="yellow"/>
        </w:rPr>
        <w:t>Figura C5</w:t>
      </w:r>
    </w:p>
    <w:p>
      <w:pPr>
        <w:spacing w:before="0" w:after="80" w:line="276" w:lineRule="auto"/>
        <w:jc w:val="left"/>
      </w:pPr>
      <w:r>
        <w:rPr>
          <w:b w:val="0"/>
          <w:i/>
          <w:highlight w:val="yellow"/>
        </w:rPr>
        <w:t>DS-06. Generar y visualizar un reporte en formato PDF</w:t>
      </w:r>
    </w:p>
    <w:p>
      <w:pPr>
        <w:spacing w:before="40" w:after="160" w:line="276" w:lineRule="auto"/>
        <w:jc w:val="left"/>
      </w:pPr>
      <w:r>
        <w:rPr>
          <w:b w:val="0"/>
          <w:i/>
        </w:rPr>
        <w:t xml:space="preserve">Nota. </w:t>
      </w:r>
      <w:r>
        <w:rPr>
          <w:b w:val="0"/>
          <w:i w:val="0"/>
          <w:highlight w:val="yellow"/>
        </w:rPr>
        <w:t>Elaboración propia.</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