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técnica — NefroHC</w:t>
      </w:r>
    </w:p>
    <w:p>
      <w:r>
        <w:rPr>
          <w:b/>
        </w:rPr>
        <w:t>Versión de trabajo:</w:t>
      </w:r>
      <w:r>
        <w:t xml:space="preserve"> v46 · 0.1.5. Compilada, instalada y sometida a pruebas funcionales iniciales en Windows con datos ficticios; no aprobada para producción clínica. Resultados y límites en </w:t>
      </w:r>
      <w:r>
        <w:rPr>
          <w:rFonts w:ascii="Consolas" w:hAnsi="Consolas"/>
          <w:sz w:val="18"/>
        </w:rPr>
        <w:t>ESTADO_ENTREGA.md</w:t>
      </w:r>
      <w:r>
        <w:t xml:space="preserve"> y </w:t>
      </w:r>
      <w:r>
        <w:rPr>
          <w:rFonts w:ascii="Consolas" w:hAnsi="Consolas"/>
          <w:sz w:val="18"/>
        </w:rPr>
        <w:t>REGISTRO_PRUEBAS_WINDOWS_V46.md</w:t>
      </w:r>
      <w:r>
        <w:t>.</w:t>
      </w:r>
    </w:p>
    <w:p>
      <w:pPr>
        <w:pStyle w:val="Heading1"/>
      </w:pPr>
      <w:r>
        <w:t>1. Arquitectura</w:t>
      </w:r>
    </w:p>
    <w:p>
      <w:pPr>
        <w:pStyle w:val="ListBullet"/>
      </w:pPr>
      <w:r>
        <w:rPr>
          <w:b/>
        </w:rPr>
        <w:t>Interfaz:</w:t>
      </w:r>
      <w:r>
        <w:t xml:space="preserve"> Next.js 15, React 19, TypeScript y Tailwind CSS; aplicación de cliente empaquetada para escritorio.</w:t>
      </w:r>
    </w:p>
    <w:p>
      <w:pPr>
        <w:pStyle w:val="ListBullet"/>
      </w:pPr>
      <w:r>
        <w:rPr>
          <w:b/>
        </w:rPr>
        <w:t>Contenedor de escritorio:</w:t>
      </w:r>
      <w:r>
        <w:t xml:space="preserve"> Tauri 2, con comandos nativos en Rust.</w:t>
      </w:r>
    </w:p>
    <w:p>
      <w:pPr>
        <w:pStyle w:val="ListBullet"/>
      </w:pPr>
      <w:r>
        <w:rPr>
          <w:b/>
        </w:rPr>
        <w:t>Persistencia de interfaz/datos:</w:t>
      </w:r>
      <w:r>
        <w:t xml:space="preserve"> </w:t>
      </w:r>
      <w:r>
        <w:rPr>
          <w:rFonts w:ascii="Consolas" w:hAnsi="Consolas"/>
          <w:sz w:val="18"/>
        </w:rPr>
        <w:t>localStorage</w:t>
      </w:r>
      <w:r>
        <w:t xml:space="preserve"> continúa siendo la fuente inmediata de la mayoría de los módulos. Las historias y recetas también tienen comandos de espejo en SQLite local.</w:t>
      </w:r>
    </w:p>
    <w:p>
      <w:pPr>
        <w:pStyle w:val="ListBullet"/>
      </w:pPr>
      <w:r>
        <w:rPr>
          <w:b/>
        </w:rPr>
        <w:t>SQLite:</w:t>
      </w:r>
      <w:r>
        <w:t xml:space="preserve"> </w:t>
      </w:r>
      <w:r>
        <w:rPr>
          <w:rFonts w:ascii="Consolas" w:hAnsi="Consolas"/>
          <w:sz w:val="18"/>
        </w:rPr>
        <w:t>rusqlite</w:t>
      </w:r>
      <w:r>
        <w:t xml:space="preserve"> usa una base </w:t>
      </w:r>
      <w:r>
        <w:rPr>
          <w:rFonts w:ascii="Consolas" w:hAnsi="Consolas"/>
          <w:sz w:val="18"/>
        </w:rPr>
        <w:t>historia-clinica.sqlite3</w:t>
      </w:r>
      <w:r>
        <w:t xml:space="preserve"> bajo el directorio de datos de Tauri. La inicialización ejecuta </w:t>
      </w:r>
      <w:r>
        <w:rPr>
          <w:rFonts w:ascii="Consolas" w:hAnsi="Consolas"/>
          <w:sz w:val="18"/>
        </w:rPr>
        <w:t>database/migrations/001_initial/up.sql</w:t>
      </w:r>
      <w:r>
        <w:t>.</w:t>
      </w:r>
    </w:p>
    <w:p>
      <w:pPr>
        <w:pStyle w:val="ListBullet"/>
      </w:pPr>
      <w:r>
        <w:rPr>
          <w:b/>
        </w:rPr>
        <w:t>Sin servicio remoto:</w:t>
      </w:r>
      <w:r>
        <w:t xml:space="preserve"> el diseño es local; no hay sincronización central ni carga automática a nube configurada.</w:t>
      </w:r>
    </w:p>
    <w:p>
      <w:pPr>
        <w:pStyle w:val="ListBullet"/>
      </w:pPr>
      <w:r>
        <w:rPr>
          <w:b/>
        </w:rPr>
        <w:t>Identificador de aplicación:</w:t>
      </w:r>
      <w:r>
        <w:t xml:space="preserve"> </w:t>
      </w:r>
      <w:r>
        <w:rPr>
          <w:rFonts w:ascii="Consolas" w:hAnsi="Consolas"/>
          <w:sz w:val="18"/>
        </w:rPr>
        <w:t>co.nefrohc.desktop</w:t>
      </w:r>
      <w:r>
        <w:t>. No cambiarlo para actualizar la instalación existente y conservar el directorio local de datos.</w:t>
      </w:r>
    </w:p>
    <w:p>
      <w:pPr>
        <w:pStyle w:val="Heading1"/>
      </w:pPr>
      <w:r>
        <w:t>2. Persistencia y estructura de datos</w:t>
      </w:r>
    </w:p>
    <w:p>
      <w:r>
        <w:t xml:space="preserve">Claves principales de </w:t>
      </w:r>
      <w:r>
        <w:rPr>
          <w:rFonts w:ascii="Consolas" w:hAnsi="Consolas"/>
          <w:sz w:val="18"/>
        </w:rPr>
        <w:t>localStorage</w:t>
      </w:r>
      <w:r>
        <w:t>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Clave</w:t>
            </w:r>
          </w:p>
        </w:tc>
        <w:tc>
          <w:tcPr>
            <w:tcW w:type="dxa" w:w="4986"/>
          </w:tcPr>
          <w:p>
            <w:r>
              <w:t>Uso</w:t>
            </w:r>
          </w:p>
        </w:tc>
      </w:tr>
      <w:tr>
        <w:tc>
          <w:tcPr>
            <w:tcW w:type="dxa" w:w="4986"/>
          </w:tcPr>
          <w:p>
            <w:r>
              <w:t>hcs_hgc</w:t>
            </w:r>
          </w:p>
        </w:tc>
        <w:tc>
          <w:tcPr>
            <w:tcW w:type="dxa" w:w="4986"/>
          </w:tcPr>
          <w:p>
            <w:r>
              <w:t>Historias clínicas y lista principal de pacientes</w:t>
            </w:r>
          </w:p>
        </w:tc>
      </w:tr>
      <w:tr>
        <w:tc>
          <w:tcPr>
            <w:tcW w:type="dxa" w:w="4986"/>
          </w:tcPr>
          <w:p>
            <w:r>
              <w:t>nefrohc_recipes / legado recetas_hgc</w:t>
            </w:r>
          </w:p>
        </w:tc>
        <w:tc>
          <w:tcPr>
            <w:tcW w:type="dxa" w:w="4986"/>
          </w:tcPr>
          <w:p>
            <w:r>
              <w:t>Recetas y medicamentos vinculados</w:t>
            </w:r>
          </w:p>
        </w:tc>
      </w:tr>
      <w:tr>
        <w:tc>
          <w:tcPr>
            <w:tcW w:type="dxa" w:w="4986"/>
          </w:tcPr>
          <w:p>
            <w:r>
              <w:t>nefrohc_external_orders</w:t>
            </w:r>
          </w:p>
        </w:tc>
        <w:tc>
          <w:tcPr>
            <w:tcW w:type="dxa" w:w="4986"/>
          </w:tcPr>
          <w:p>
            <w:r>
              <w:t>Resumen de órdenes externas</w:t>
            </w:r>
          </w:p>
        </w:tc>
      </w:tr>
      <w:tr>
        <w:tc>
          <w:tcPr>
            <w:tcW w:type="dxa" w:w="4986"/>
          </w:tcPr>
          <w:p>
            <w:r>
              <w:t>nefrohc_manual_orders</w:t>
            </w:r>
          </w:p>
        </w:tc>
        <w:tc>
          <w:tcPr>
            <w:tcW w:type="dxa" w:w="4986"/>
          </w:tcPr>
          <w:p>
            <w:r>
              <w:t>Órdenes médicas manuales vinculadas a historias</w:t>
            </w:r>
          </w:p>
        </w:tc>
      </w:tr>
      <w:tr>
        <w:tc>
          <w:tcPr>
            <w:tcW w:type="dxa" w:w="4986"/>
          </w:tcPr>
          <w:p>
            <w:r>
              <w:t>valoraciones_hgc</w:t>
            </w:r>
          </w:p>
        </w:tc>
        <w:tc>
          <w:tcPr>
            <w:tcW w:type="dxa" w:w="4986"/>
          </w:tcPr>
          <w:p>
            <w:r>
              <w:t>Valoraciones</w:t>
            </w:r>
          </w:p>
        </w:tc>
      </w:tr>
      <w:tr>
        <w:tc>
          <w:tcPr>
            <w:tcW w:type="dxa" w:w="4986"/>
          </w:tcPr>
          <w:p>
            <w:r>
              <w:t>nefro_evolution</w:t>
            </w:r>
          </w:p>
        </w:tc>
        <w:tc>
          <w:tcPr>
            <w:tcW w:type="dxa" w:w="4986"/>
          </w:tcPr>
          <w:p>
            <w:r>
              <w:t>Series para gráficos de evolución renal</w:t>
            </w:r>
          </w:p>
        </w:tc>
      </w:tr>
      <w:tr>
        <w:tc>
          <w:tcPr>
            <w:tcW w:type="dxa" w:w="4986"/>
          </w:tcPr>
          <w:p>
            <w:r>
              <w:t>nefrohc_doctor_settings</w:t>
            </w:r>
          </w:p>
        </w:tc>
        <w:tc>
          <w:tcPr>
            <w:tcW w:type="dxa" w:w="4986"/>
          </w:tcPr>
          <w:p>
            <w:r>
              <w:t>Datos de consultorio y firma como data URL</w:t>
            </w:r>
          </w:p>
        </w:tc>
      </w:tr>
      <w:tr>
        <w:tc>
          <w:tcPr>
            <w:tcW w:type="dxa" w:w="4986"/>
          </w:tcPr>
          <w:p>
            <w:r>
              <w:t>nefrohc_print_settings</w:t>
            </w:r>
          </w:p>
        </w:tc>
        <w:tc>
          <w:tcPr>
            <w:tcW w:type="dxa" w:w="4986"/>
          </w:tcPr>
          <w:p>
            <w:r>
              <w:t>Papel, orientación y márgenes</w:t>
            </w:r>
          </w:p>
        </w:tc>
      </w:tr>
      <w:tr>
        <w:tc>
          <w:tcPr>
            <w:tcW w:type="dxa" w:w="4986"/>
          </w:tcPr>
          <w:p>
            <w:r>
              <w:t>nefrohc_catalog_*</w:t>
            </w:r>
          </w:p>
        </w:tc>
        <w:tc>
          <w:tcPr>
            <w:tcW w:type="dxa" w:w="4986"/>
          </w:tcPr>
          <w:p>
            <w:r>
              <w:t>Catálogos de medicamentos, laboratorios, paraclínicos y órdenes</w:t>
            </w:r>
          </w:p>
        </w:tc>
      </w:tr>
      <w:tr>
        <w:tc>
          <w:tcPr>
            <w:tcW w:type="dxa" w:w="4986"/>
          </w:tcPr>
          <w:p>
            <w:r>
              <w:t>nefro_audit_logs</w:t>
            </w:r>
          </w:p>
        </w:tc>
        <w:tc>
          <w:tcPr>
            <w:tcW w:type="dxa" w:w="4986"/>
          </w:tcPr>
          <w:p>
            <w:r>
              <w:t>Auditoría local</w:t>
            </w:r>
          </w:p>
        </w:tc>
      </w:tr>
    </w:tbl>
    <w:p/>
    <w:p>
      <w:r>
        <w:t>Las claves de sesión y usuarios (</w:t>
      </w:r>
      <w:r>
        <w:rPr>
          <w:rFonts w:ascii="Consolas" w:hAnsi="Consolas"/>
          <w:sz w:val="18"/>
        </w:rPr>
        <w:t>nefrohc_users</w:t>
      </w:r>
      <w:r>
        <w:t xml:space="preserve">, </w:t>
      </w:r>
      <w:r>
        <w:rPr>
          <w:rFonts w:ascii="Consolas" w:hAnsi="Consolas"/>
          <w:sz w:val="18"/>
        </w:rPr>
        <w:t>nefrohc_session</w:t>
      </w:r>
      <w:r>
        <w:t xml:space="preserve">, </w:t>
      </w:r>
      <w:r>
        <w:rPr>
          <w:rFonts w:ascii="Consolas" w:hAnsi="Consolas"/>
          <w:sz w:val="18"/>
        </w:rPr>
        <w:t>nefrohc_runtime_session</w:t>
      </w:r>
      <w:r>
        <w:t>) se excluyen intencionalmente de los respaldos clínicos. No se deben incluir contraseñas en exportaciones.</w:t>
      </w:r>
    </w:p>
    <w:p>
      <w:pPr>
        <w:pStyle w:val="Heading1"/>
      </w:pPr>
      <w:r>
        <w:t>3. Firma del médico</w:t>
      </w:r>
    </w:p>
    <w:p>
      <w:r>
        <w:rPr>
          <w:rFonts w:ascii="Consolas" w:hAnsi="Consolas"/>
          <w:sz w:val="18"/>
        </w:rPr>
        <w:t>src/app/settings/page.tsx</w:t>
      </w:r>
      <w:r>
        <w:t xml:space="preserve"> convierte una imagen PNG/JPG a data URL mediante </w:t>
      </w:r>
      <w:r>
        <w:rPr>
          <w:rFonts w:ascii="Consolas" w:hAnsi="Consolas"/>
          <w:sz w:val="18"/>
        </w:rPr>
        <w:t>FileReader</w:t>
      </w:r>
      <w:r>
        <w:t xml:space="preserve">, conserva el dato en estado y solo lo persiste al pulsar </w:t>
      </w:r>
      <w:r>
        <w:rPr>
          <w:b/>
        </w:rPr>
        <w:t>Guardar configuración</w:t>
      </w:r>
      <w:r>
        <w:t xml:space="preserve">, bajo </w:t>
      </w:r>
      <w:r>
        <w:rPr>
          <w:rFonts w:ascii="Consolas" w:hAnsi="Consolas"/>
          <w:sz w:val="18"/>
        </w:rPr>
        <w:t>nefrohc_doctor_settings</w:t>
      </w:r>
      <w:r>
        <w:t xml:space="preserve">. </w:t>
      </w:r>
      <w:r>
        <w:rPr>
          <w:rFonts w:ascii="Consolas" w:hAnsi="Consolas"/>
          <w:sz w:val="18"/>
        </w:rPr>
        <w:t>src/lib/doctorPrintSettings.ts</w:t>
      </w:r>
      <w:r>
        <w:t xml:space="preserve"> lee y valida el dato para las páginas de impresión. El snapshot de seguridad incluye esa configuración, por lo que preserva la firma. En v46, </w:t>
      </w:r>
      <w:r>
        <w:rPr>
          <w:rFonts w:ascii="Consolas" w:hAnsi="Consolas"/>
          <w:sz w:val="18"/>
        </w:rPr>
        <w:t>PatientPreviewModal.tsx</w:t>
      </w:r>
      <w:r>
        <w:t xml:space="preserve"> también consume estos ajustes y escucha </w:t>
      </w:r>
      <w:r>
        <w:rPr>
          <w:rFonts w:ascii="Consolas" w:hAnsi="Consolas"/>
          <w:sz w:val="18"/>
        </w:rPr>
        <w:t>nefrohc:settings-updated</w:t>
      </w:r>
      <w:r>
        <w:t xml:space="preserve">. En la prueba del usuario la firma apareció en Configuración e impresión, persistió tras reiniciar </w:t>
      </w:r>
      <w:r>
        <w:rPr>
          <w:rFonts w:ascii="Consolas" w:hAnsi="Consolas"/>
          <w:sz w:val="18"/>
        </w:rPr>
        <w:t>tauri:dev</w:t>
      </w:r>
      <w:r>
        <w:t xml:space="preserve"> y siguió visible después de instalar v46.</w:t>
      </w:r>
    </w:p>
    <w:p>
      <w:pPr>
        <w:pStyle w:val="Heading1"/>
      </w:pPr>
      <w:r>
        <w:t>4. Respaldo automático implementado en esta versión</w:t>
      </w:r>
    </w:p>
    <w:p>
      <w:pPr>
        <w:pStyle w:val="Heading2"/>
      </w:pPr>
      <w:r>
        <w:t>Flujo</w:t>
      </w:r>
    </w:p>
    <w:p>
      <w:pPr>
        <w:pStyle w:val="ListNumber"/>
      </w:pPr>
      <w:r>
        <w:rPr>
          <w:rFonts w:ascii="Consolas" w:hAnsi="Consolas"/>
          <w:sz w:val="18"/>
        </w:rPr>
        <w:t>components/AppLayout.tsx</w:t>
      </w:r>
      <w:r>
        <w:t xml:space="preserve"> inicia el servicio al detectar una sesión de ejecución, llama al respaldo al inicio, escucha </w:t>
      </w:r>
      <w:r>
        <w:rPr>
          <w:rFonts w:ascii="Consolas" w:hAnsi="Consolas"/>
          <w:sz w:val="18"/>
        </w:rPr>
        <w:t>nefrohc:data-updated</w:t>
      </w:r>
      <w:r>
        <w:t xml:space="preserve"> y </w:t>
      </w:r>
      <w:r>
        <w:rPr>
          <w:rFonts w:ascii="Consolas" w:hAnsi="Consolas"/>
          <w:sz w:val="18"/>
        </w:rPr>
        <w:t>nefrohc:settings-updated</w:t>
      </w:r>
      <w:r>
        <w:t>, y consulta de nuevo cada cinco minutos.</w:t>
      </w:r>
    </w:p>
    <w:p>
      <w:pPr>
        <w:pStyle w:val="ListNumber"/>
      </w:pPr>
      <w:r>
        <w:rPr>
          <w:rFonts w:ascii="Consolas" w:hAnsi="Consolas"/>
          <w:sz w:val="18"/>
        </w:rPr>
        <w:t>src/lib/localData.ts</w:t>
      </w:r>
      <w:r>
        <w:t xml:space="preserve"> construye un snapshot versionado con historias, recetas, órdenes, catálogos, evolución, auditoría, preferencias y firma; no incluye usuarios/contraseñas. En Tauri invoca </w:t>
      </w:r>
      <w:r>
        <w:rPr>
          <w:rFonts w:ascii="Consolas" w:hAnsi="Consolas"/>
          <w:sz w:val="18"/>
        </w:rPr>
        <w:t>create_safety_backup</w:t>
      </w:r>
      <w:r>
        <w:t>; en vista web guarda una copia local limitada como alternativa.</w:t>
      </w:r>
    </w:p>
    <w:p>
      <w:pPr>
        <w:pStyle w:val="ListNumber"/>
      </w:pPr>
      <w:r>
        <w:rPr>
          <w:rFonts w:ascii="Consolas" w:hAnsi="Consolas"/>
          <w:sz w:val="18"/>
        </w:rPr>
        <w:t>src-tauri/src/db.rs::create_safety_backup</w:t>
      </w:r>
      <w:r>
        <w:t xml:space="preserve"> valida JSON, guarda el snapshot como </w:t>
      </w:r>
      <w:r>
        <w:rPr>
          <w:rFonts w:ascii="Consolas" w:hAnsi="Consolas"/>
          <w:sz w:val="18"/>
        </w:rPr>
        <w:t>.json</w:t>
      </w:r>
      <w:r>
        <w:t xml:space="preserve">, copia SQLite mediante la API online backup de rusqlite a un </w:t>
      </w:r>
      <w:r>
        <w:rPr>
          <w:rFonts w:ascii="Consolas" w:hAnsi="Consolas"/>
          <w:sz w:val="18"/>
        </w:rPr>
        <w:t>.sqlite3</w:t>
      </w:r>
      <w:r>
        <w:t xml:space="preserve"> hermano, compara el contenido sin </w:t>
      </w:r>
      <w:r>
        <w:rPr>
          <w:rFonts w:ascii="Consolas" w:hAnsi="Consolas"/>
          <w:sz w:val="18"/>
        </w:rPr>
        <w:t>exportedAt</w:t>
      </w:r>
      <w:r>
        <w:t xml:space="preserve"> para evitar duplicados y conserva hasta 30 pares recientes.</w:t>
      </w:r>
    </w:p>
    <w:p>
      <w:pPr>
        <w:pStyle w:val="ListNumber"/>
      </w:pPr>
      <w:r>
        <w:t xml:space="preserve">La pantalla </w:t>
      </w:r>
      <w:r>
        <w:rPr>
          <w:b/>
        </w:rPr>
        <w:t>Respaldo y restauración</w:t>
      </w:r>
      <w:r>
        <w:t xml:space="preserve"> muestra ruta/hora del último guardado y permite forzar un snapshot. Eliminación total, restauración y eliminación de historia/orden crean primero copia forzada y, en el contenedor Tauri, cancelan la acción si no se confirma la copia.</w:t>
      </w:r>
    </w:p>
    <w:p>
      <w:pPr>
        <w:pStyle w:val="ListNumber"/>
      </w:pPr>
      <w:r>
        <w:t xml:space="preserve">La importación JSON restaura las colecciones compatibles en localStorage y llama a </w:t>
      </w:r>
      <w:r>
        <w:rPr>
          <w:rFonts w:ascii="Consolas" w:hAnsi="Consolas"/>
          <w:sz w:val="18"/>
        </w:rPr>
        <w:t>restore_snapshot_mirror</w:t>
      </w:r>
      <w:r>
        <w:t xml:space="preserve"> para reemplazar historias/recetas del espejo SQLite dentro de una transacción. En Windows se comprobó con un registro ficticio: restauración confirmada, historia visible y </w:t>
      </w:r>
      <w:r>
        <w:rPr>
          <w:rFonts w:ascii="Consolas" w:hAnsi="Consolas"/>
          <w:sz w:val="18"/>
        </w:rPr>
        <w:t>PRAGMA integrity_check=ok</w:t>
      </w:r>
      <w:r>
        <w:t xml:space="preserve"> tanto en snapshot como en la base activa.</w:t>
      </w:r>
    </w:p>
    <w:p>
      <w:pPr>
        <w:pStyle w:val="Heading2"/>
      </w:pPr>
      <w:r>
        <w:t>Directorio</w:t>
      </w:r>
    </w:p>
    <w:p>
      <w:r>
        <w:t xml:space="preserve">El comando usa </w:t>
      </w:r>
      <w:r>
        <w:rPr>
          <w:rFonts w:ascii="Consolas" w:hAnsi="Consolas"/>
          <w:sz w:val="18"/>
        </w:rPr>
        <w:t>app.path().app_data_dir()/automatic-backups</w:t>
      </w:r>
      <w:r>
        <w:t xml:space="preserve">. La ruta exacta que devuelve Tauri se muestra en la pantalla de respaldo. Los archivos son locales y </w:t>
      </w:r>
      <w:r>
        <w:rPr>
          <w:b/>
        </w:rPr>
        <w:t>no están cifrados por la aplicación</w:t>
      </w:r>
      <w:r>
        <w:t>; depende de los permisos/cifrado de Windows y del usuario.</w:t>
      </w:r>
    </w:p>
    <w:p>
      <w:pPr>
        <w:pStyle w:val="Heading2"/>
      </w:pPr>
      <w:r>
        <w:t>Retención y límites</w:t>
      </w:r>
    </w:p>
    <w:p>
      <w:pPr>
        <w:pStyle w:val="ListBullet"/>
      </w:pPr>
      <w:r>
        <w:t>Se guardan hasta 30 pares JSON/SQLite; una nueva modificación puede desplazar la copia más antigua.</w:t>
      </w:r>
    </w:p>
    <w:p>
      <w:pPr>
        <w:pStyle w:val="ListBullet"/>
      </w:pPr>
      <w:r>
        <w:t>No hay copia fuera del computador, sincronización, alertas remotas, restauración automática ni verificación de lectura/escritura completa en segundo equipo.</w:t>
      </w:r>
    </w:p>
    <w:p>
      <w:pPr>
        <w:pStyle w:val="ListBullet"/>
      </w:pPr>
      <w:r>
        <w:t>Una pérdida/daño del perfil de Windows o del disco puede destruir la copia automática local; mantener una exportación JSON externa y protegida.</w:t>
      </w:r>
    </w:p>
    <w:p>
      <w:pPr>
        <w:pStyle w:val="ListBullet"/>
      </w:pPr>
      <w:r>
        <w:t xml:space="preserve">El espejo SQLite no reemplaza aún a </w:t>
      </w:r>
      <w:r>
        <w:rPr>
          <w:rFonts w:ascii="Consolas" w:hAnsi="Consolas"/>
          <w:sz w:val="18"/>
        </w:rPr>
        <w:t>localStorage</w:t>
      </w:r>
      <w:r>
        <w:t xml:space="preserve"> como fuente única. El JSON automático recoge el estado de los módulos de UI; el SQLite conserva tablas espejo de historias/recetas.</w:t>
      </w:r>
    </w:p>
    <w:p>
      <w:pPr>
        <w:pStyle w:val="Heading1"/>
      </w:pPr>
      <w:r>
        <w:t>5. Mapa del código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Ruta</w:t>
            </w:r>
          </w:p>
        </w:tc>
        <w:tc>
          <w:tcPr>
            <w:tcW w:type="dxa" w:w="4986"/>
          </w:tcPr>
          <w:p>
            <w:r>
              <w:t>Responsabilidad</w:t>
            </w:r>
          </w:p>
        </w:tc>
      </w:tr>
      <w:tr>
        <w:tc>
          <w:tcPr>
            <w:tcW w:type="dxa" w:w="4986"/>
          </w:tcPr>
          <w:p>
            <w:r>
              <w:t>src/app/page.tsx</w:t>
            </w:r>
          </w:p>
        </w:tc>
        <w:tc>
          <w:tcPr>
            <w:tcW w:type="dxa" w:w="4986"/>
          </w:tcPr>
          <w:p>
            <w:r>
              <w:t>Entrada/página principal de historia</w:t>
            </w:r>
          </w:p>
        </w:tc>
      </w:tr>
      <w:tr>
        <w:tc>
          <w:tcPr>
            <w:tcW w:type="dxa" w:w="4986"/>
          </w:tcPr>
          <w:p>
            <w:r>
              <w:t>src/app/components/ClinicalHistoryPage.tsx</w:t>
            </w:r>
          </w:p>
        </w:tc>
        <w:tc>
          <w:tcPr>
            <w:tcW w:type="dxa" w:w="4986"/>
          </w:tcPr>
          <w:p>
            <w:r>
              <w:t>Captura, guardado e impresión de historia clínica</w:t>
            </w:r>
          </w:p>
        </w:tc>
      </w:tr>
      <w:tr>
        <w:tc>
          <w:tcPr>
            <w:tcW w:type="dxa" w:w="4986"/>
          </w:tcPr>
          <w:p>
            <w:r>
              <w:t>src/app/patient-records-management/</w:t>
            </w:r>
          </w:p>
        </w:tc>
        <w:tc>
          <w:tcPr>
            <w:tcW w:type="dxa" w:w="4986"/>
          </w:tcPr>
          <w:p>
            <w:r>
              <w:t>Búsqueda, tabla, vista previa, órdenes e impresión de pacientes</w:t>
            </w:r>
          </w:p>
        </w:tc>
      </w:tr>
      <w:tr>
        <w:tc>
          <w:tcPr>
            <w:tcW w:type="dxa" w:w="4986"/>
          </w:tcPr>
          <w:p>
            <w:r>
              <w:t>src/app/medical-orders/page.tsx</w:t>
            </w:r>
          </w:p>
        </w:tc>
        <w:tc>
          <w:tcPr>
            <w:tcW w:type="dxa" w:w="4986"/>
          </w:tcPr>
          <w:p>
            <w:r>
              <w:t>Crear, editar, duplicar, estado, borrar e imprimir órdenes manuales</w:t>
            </w:r>
          </w:p>
        </w:tc>
      </w:tr>
      <w:tr>
        <w:tc>
          <w:tcPr>
            <w:tcW w:type="dxa" w:w="4986"/>
          </w:tcPr>
          <w:p>
            <w:r>
              <w:t>src/app/components/PrescriptionTab.tsx</w:t>
            </w:r>
          </w:p>
        </w:tc>
        <w:tc>
          <w:tcPr>
            <w:tcW w:type="dxa" w:w="4986"/>
          </w:tcPr>
          <w:p>
            <w:r>
              <w:t>Receta, medicamentos y órdenes vinculadas</w:t>
            </w:r>
          </w:p>
        </w:tc>
      </w:tr>
      <w:tr>
        <w:tc>
          <w:tcPr>
            <w:tcW w:type="dxa" w:w="4986"/>
          </w:tcPr>
          <w:p>
            <w:r>
              <w:t>src/app/settings/page.tsx</w:t>
            </w:r>
          </w:p>
        </w:tc>
        <w:tc>
          <w:tcPr>
            <w:tcW w:type="dxa" w:w="4986"/>
          </w:tcPr>
          <w:p>
            <w:r>
              <w:t>Médico, firma, catálogos, tema y ajustes de impresión</w:t>
            </w:r>
          </w:p>
        </w:tc>
      </w:tr>
      <w:tr>
        <w:tc>
          <w:tcPr>
            <w:tcW w:type="dxa" w:w="4986"/>
          </w:tcPr>
          <w:p>
            <w:r>
              <w:t>src/app/export-import/page.tsx</w:t>
            </w:r>
          </w:p>
        </w:tc>
        <w:tc>
          <w:tcPr>
            <w:tcW w:type="dxa" w:w="4986"/>
          </w:tcPr>
          <w:p>
            <w:r>
              <w:t>Exportación/importación, historial y respaldo</w:t>
            </w:r>
          </w:p>
        </w:tc>
      </w:tr>
      <w:tr>
        <w:tc>
          <w:tcPr>
            <w:tcW w:type="dxa" w:w="4986"/>
          </w:tcPr>
          <w:p>
            <w:r>
              <w:t>src/app/audit/page.tsx</w:t>
            </w:r>
          </w:p>
        </w:tc>
        <w:tc>
          <w:tcPr>
            <w:tcW w:type="dxa" w:w="4986"/>
          </w:tcPr>
          <w:p>
            <w:r>
              <w:t>Visualización y exportación de auditoría</w:t>
            </w:r>
          </w:p>
        </w:tc>
      </w:tr>
      <w:tr>
        <w:tc>
          <w:tcPr>
            <w:tcW w:type="dxa" w:w="4986"/>
          </w:tcPr>
          <w:p>
            <w:r>
              <w:t>src/app/users/page.tsx</w:t>
            </w:r>
          </w:p>
        </w:tc>
        <w:tc>
          <w:tcPr>
            <w:tcW w:type="dxa" w:w="4986"/>
          </w:tcPr>
          <w:p>
            <w:r>
              <w:t>Usuarios/roles locales (prototipo; ver limitaciones de seguridad)</w:t>
            </w:r>
          </w:p>
        </w:tc>
      </w:tr>
      <w:tr>
        <w:tc>
          <w:tcPr>
            <w:tcW w:type="dxa" w:w="4986"/>
          </w:tcPr>
          <w:p>
            <w:r>
              <w:t>src/lib/localData.ts</w:t>
            </w:r>
          </w:p>
        </w:tc>
        <w:tc>
          <w:tcPr>
            <w:tcW w:type="dxa" w:w="4986"/>
          </w:tcPr>
          <w:p>
            <w:r>
              <w:t>Auditoría y creación/serialización de snapshots automáticos</w:t>
            </w:r>
          </w:p>
        </w:tc>
      </w:tr>
      <w:tr>
        <w:tc>
          <w:tcPr>
            <w:tcW w:type="dxa" w:w="4986"/>
          </w:tcPr>
          <w:p>
            <w:r>
              <w:t>src/lib/doctorPrintSettings.ts</w:t>
            </w:r>
          </w:p>
        </w:tc>
        <w:tc>
          <w:tcPr>
            <w:tcW w:type="dxa" w:w="4986"/>
          </w:tcPr>
          <w:p>
            <w:r>
              <w:t>Lectura/validación de datos de cabecera y firma</w:t>
            </w:r>
          </w:p>
        </w:tc>
      </w:tr>
      <w:tr>
        <w:tc>
          <w:tcPr>
            <w:tcW w:type="dxa" w:w="4986"/>
          </w:tcPr>
          <w:p>
            <w:r>
              <w:t>src/lib/printDocument.ts, printManualOrder.ts</w:t>
            </w:r>
          </w:p>
        </w:tc>
        <w:tc>
          <w:tcPr>
            <w:tcW w:type="dxa" w:w="4986"/>
          </w:tcPr>
          <w:p>
            <w:r>
              <w:t>Impresión común y órdenes manuales</w:t>
            </w:r>
          </w:p>
        </w:tc>
      </w:tr>
      <w:tr>
        <w:tc>
          <w:tcPr>
            <w:tcW w:type="dxa" w:w="4986"/>
          </w:tcPr>
          <w:p>
            <w:r>
              <w:t>src/lib/qrAttention.ts, QrAttention.tsx</w:t>
            </w:r>
          </w:p>
        </w:tc>
        <w:tc>
          <w:tcPr>
            <w:tcW w:type="dxa" w:w="4986"/>
          </w:tcPr>
          <w:p>
            <w:r>
              <w:t>QR local de resumen clínico</w:t>
            </w:r>
          </w:p>
        </w:tc>
      </w:tr>
      <w:tr>
        <w:tc>
          <w:tcPr>
            <w:tcW w:type="dxa" w:w="4986"/>
          </w:tcPr>
          <w:p>
            <w:r>
              <w:t>src-tauri/src/lib.rs</w:t>
            </w:r>
          </w:p>
        </w:tc>
        <w:tc>
          <w:tcPr>
            <w:tcW w:type="dxa" w:w="4986"/>
          </w:tcPr>
          <w:p>
            <w:r>
              <w:t>Builder, inicialización y registro de comandos Tauri</w:t>
            </w:r>
          </w:p>
        </w:tc>
      </w:tr>
      <w:tr>
        <w:tc>
          <w:tcPr>
            <w:tcW w:type="dxa" w:w="4986"/>
          </w:tcPr>
          <w:p>
            <w:r>
              <w:t>src-tauri/src/db.rs</w:t>
            </w:r>
          </w:p>
        </w:tc>
        <w:tc>
          <w:tcPr>
            <w:tcW w:type="dxa" w:w="4986"/>
          </w:tcPr>
          <w:p>
            <w:r>
              <w:t>SQLite, espejo de historias/recetas y respaldos locales</w:t>
            </w:r>
          </w:p>
        </w:tc>
      </w:tr>
      <w:tr>
        <w:tc>
          <w:tcPr>
            <w:tcW w:type="dxa" w:w="4986"/>
          </w:tcPr>
          <w:p>
            <w:r>
              <w:t>src-tauri/src/export.rs</w:t>
            </w:r>
          </w:p>
        </w:tc>
        <w:tc>
          <w:tcPr>
            <w:tcW w:type="dxa" w:w="4986"/>
          </w:tcPr>
          <w:p>
            <w:r>
              <w:t>Diálogo nativo de guardado JSON/CSV</w:t>
            </w:r>
          </w:p>
        </w:tc>
      </w:tr>
      <w:tr>
        <w:tc>
          <w:tcPr>
            <w:tcW w:type="dxa" w:w="4986"/>
          </w:tcPr>
          <w:p>
            <w:r>
              <w:t>database/migrations/001_initial/up.sql</w:t>
            </w:r>
          </w:p>
        </w:tc>
        <w:tc>
          <w:tcPr>
            <w:tcW w:type="dxa" w:w="4986"/>
          </w:tcPr>
          <w:p>
            <w:r>
              <w:t>Esquema SQLite inicial</w:t>
            </w:r>
          </w:p>
        </w:tc>
      </w:tr>
    </w:tbl>
    <w:p/>
    <w:p>
      <w:pPr>
        <w:pStyle w:val="Heading1"/>
      </w:pPr>
      <w:r>
        <w:t>6. Eventos internos</w:t>
      </w:r>
    </w:p>
    <w:p>
      <w:pPr>
        <w:pStyle w:val="ListBullet"/>
      </w:pPr>
      <w:r>
        <w:rPr>
          <w:rFonts w:ascii="Consolas" w:hAnsi="Consolas"/>
          <w:sz w:val="18"/>
        </w:rPr>
        <w:t>nefrohc:data-updated</w:t>
      </w:r>
      <w:r>
        <w:t>: actualización de historia, pacientes u órdenes; dispara refresco y snapshot.</w:t>
      </w:r>
    </w:p>
    <w:p>
      <w:pPr>
        <w:pStyle w:val="ListBullet"/>
      </w:pPr>
      <w:r>
        <w:rPr>
          <w:rFonts w:ascii="Consolas" w:hAnsi="Consolas"/>
          <w:sz w:val="18"/>
        </w:rPr>
        <w:t>nefrohc:settings-updated</w:t>
      </w:r>
      <w:r>
        <w:t>: ajuste del consultorio; dispara refresco del tema y snapshot.</w:t>
      </w:r>
    </w:p>
    <w:p>
      <w:pPr>
        <w:pStyle w:val="ListBullet"/>
      </w:pPr>
      <w:r>
        <w:rPr>
          <w:rFonts w:ascii="Consolas" w:hAnsi="Consolas"/>
          <w:sz w:val="18"/>
        </w:rPr>
        <w:t>nefrohc:catalogs-updated</w:t>
      </w:r>
      <w:r>
        <w:t>: refresco de catálogos.</w:t>
      </w:r>
    </w:p>
    <w:p>
      <w:pPr>
        <w:pStyle w:val="ListBullet"/>
      </w:pPr>
      <w:r>
        <w:rPr>
          <w:rFonts w:ascii="Consolas" w:hAnsi="Consolas"/>
          <w:sz w:val="18"/>
        </w:rPr>
        <w:t>nefrohc:backup-status</w:t>
      </w:r>
      <w:r>
        <w:t>: notificación en memoria de ruta/estado del snapshot.</w:t>
      </w:r>
    </w:p>
    <w:p>
      <w:pPr>
        <w:pStyle w:val="Heading1"/>
      </w:pPr>
      <w:r>
        <w:t>7. Comandos Rust expuestos</w:t>
      </w:r>
    </w:p>
    <w:p>
      <w:pPr>
        <w:pStyle w:val="ListBullet"/>
      </w:pPr>
      <w:r>
        <w:rPr>
          <w:rFonts w:ascii="Consolas" w:hAnsi="Consolas"/>
          <w:sz w:val="18"/>
        </w:rPr>
        <w:t>init_database</w:t>
      </w:r>
      <w:r>
        <w:t>: crea/verifica el archivo SQLite y esquema.</w:t>
      </w:r>
    </w:p>
    <w:p>
      <w:pPr>
        <w:pStyle w:val="ListBullet"/>
      </w:pPr>
      <w:r>
        <w:rPr>
          <w:rFonts w:ascii="Consolas" w:hAnsi="Consolas"/>
          <w:sz w:val="18"/>
        </w:rPr>
        <w:t>save_history_json</w:t>
      </w:r>
      <w:r>
        <w:t xml:space="preserve">, </w:t>
      </w:r>
      <w:r>
        <w:rPr>
          <w:rFonts w:ascii="Consolas" w:hAnsi="Consolas"/>
          <w:sz w:val="18"/>
        </w:rPr>
        <w:t>load_history_json</w:t>
      </w:r>
      <w:r>
        <w:t xml:space="preserve">, </w:t>
      </w:r>
      <w:r>
        <w:rPr>
          <w:rFonts w:ascii="Consolas" w:hAnsi="Consolas"/>
          <w:sz w:val="18"/>
        </w:rPr>
        <w:t>delete_history_json</w:t>
      </w:r>
      <w:r>
        <w:t>: espejo de historias.</w:t>
      </w:r>
    </w:p>
    <w:p>
      <w:pPr>
        <w:pStyle w:val="ListBullet"/>
      </w:pPr>
      <w:r>
        <w:rPr>
          <w:rFonts w:ascii="Consolas" w:hAnsi="Consolas"/>
          <w:sz w:val="18"/>
        </w:rPr>
        <w:t>save_prescription_json</w:t>
      </w:r>
      <w:r>
        <w:t xml:space="preserve">, </w:t>
      </w:r>
      <w:r>
        <w:rPr>
          <w:rFonts w:ascii="Consolas" w:hAnsi="Consolas"/>
          <w:sz w:val="18"/>
        </w:rPr>
        <w:t>load_prescriptions_json</w:t>
      </w:r>
      <w:r>
        <w:t xml:space="preserve">, </w:t>
      </w:r>
      <w:r>
        <w:rPr>
          <w:rFonts w:ascii="Consolas" w:hAnsi="Consolas"/>
          <w:sz w:val="18"/>
        </w:rPr>
        <w:t>delete_prescription_json</w:t>
      </w:r>
      <w:r>
        <w:t>: espejo de recetas.</w:t>
      </w:r>
    </w:p>
    <w:p>
      <w:pPr>
        <w:pStyle w:val="ListBullet"/>
      </w:pPr>
      <w:r>
        <w:rPr>
          <w:rFonts w:ascii="Consolas" w:hAnsi="Consolas"/>
          <w:sz w:val="18"/>
        </w:rPr>
        <w:t>backup_database</w:t>
      </w:r>
      <w:r>
        <w:t xml:space="preserve">, </w:t>
      </w:r>
      <w:r>
        <w:rPr>
          <w:rFonts w:ascii="Consolas" w:hAnsi="Consolas"/>
          <w:sz w:val="18"/>
        </w:rPr>
        <w:t>restore_database</w:t>
      </w:r>
      <w:r>
        <w:t>: copias SQLite por ruta (funciones nativas existentes).</w:t>
      </w:r>
    </w:p>
    <w:p>
      <w:pPr>
        <w:pStyle w:val="ListBullet"/>
      </w:pPr>
      <w:r>
        <w:rPr>
          <w:rFonts w:ascii="Consolas" w:hAnsi="Consolas"/>
          <w:sz w:val="18"/>
        </w:rPr>
        <w:t>create_safety_backup</w:t>
      </w:r>
      <w:r>
        <w:t>: respaldo automático JSON + SQLite, retención máxima 30.</w:t>
      </w:r>
    </w:p>
    <w:p>
      <w:pPr>
        <w:pStyle w:val="ListBullet"/>
      </w:pPr>
      <w:r>
        <w:rPr>
          <w:rFonts w:ascii="Consolas" w:hAnsi="Consolas"/>
          <w:sz w:val="18"/>
        </w:rPr>
        <w:t>restore_snapshot_mirror</w:t>
      </w:r>
      <w:r>
        <w:t>: sincroniza historias/recetas restauradas a SQLite en una transacción.</w:t>
      </w:r>
    </w:p>
    <w:p>
      <w:pPr>
        <w:pStyle w:val="ListBullet"/>
      </w:pPr>
      <w:r>
        <w:rPr>
          <w:rFonts w:ascii="Consolas" w:hAnsi="Consolas"/>
          <w:sz w:val="18"/>
        </w:rPr>
        <w:t>save_export_file</w:t>
      </w:r>
      <w:r>
        <w:t>: diálogo de guardado controlado para JSON/CSV.</w:t>
      </w:r>
    </w:p>
    <w:p>
      <w:pPr>
        <w:pStyle w:val="Heading1"/>
      </w:pPr>
      <w:r>
        <w:t>8. Desarrollo, verificación y build en Windows</w:t>
      </w:r>
    </w:p>
    <w:p>
      <w:pPr>
        <w:pStyle w:val="Heading2"/>
      </w:pPr>
      <w:r>
        <w:t>Requisitos</w:t>
      </w:r>
    </w:p>
    <w:p>
      <w:r>
        <w:t xml:space="preserve">Windows 10/11 x64; Node.js compatible (en este proyecto se probó Node 24.19.0 en el equipo del usuario), Rust estable, Visual Studio Build Tools con MSVC/Windows SDK y Developer PowerShell for Visual Studio. Mantener </w:t>
      </w:r>
      <w:r>
        <w:rPr>
          <w:rFonts w:ascii="Consolas" w:hAnsi="Consolas"/>
          <w:sz w:val="18"/>
        </w:rPr>
        <w:t>@tauri-apps/api</w:t>
      </w:r>
      <w:r>
        <w:t xml:space="preserve"> y CLI alineados con la configuración instalada.</w:t>
      </w:r>
    </w:p>
    <w:p>
      <w:pPr>
        <w:pStyle w:val="Heading2"/>
      </w:pPr>
      <w:r>
        <w:t>Comandos, uno por vez</w:t>
      </w:r>
    </w:p>
    <w:p>
      <w:pPr>
        <w:spacing w:after="120"/>
        <w:ind w:left="283"/>
      </w:pPr>
      <w:r>
        <w:rPr>
          <w:rFonts w:ascii="Consolas" w:hAnsi="Consolas"/>
          <w:sz w:val="16"/>
        </w:rPr>
        <w:t>npm install --include=optional</w:t>
        <w:br/>
        <w:t>npm run type-check</w:t>
        <w:br/>
        <w:t>npm run tauri:dev</w:t>
        <w:br/>
        <w:t>npm run tauri:build</w:t>
      </w:r>
    </w:p>
    <w:p>
      <w:r>
        <w:t xml:space="preserve">No encadenar instalación y build en una sola línea. No ejecutar </w:t>
      </w:r>
      <w:r>
        <w:rPr>
          <w:rFonts w:ascii="Consolas" w:hAnsi="Consolas"/>
          <w:sz w:val="18"/>
        </w:rPr>
        <w:t>npm audit fix --force</w:t>
      </w:r>
      <w:r>
        <w:t xml:space="preserve">. Para una versión nueva, usar una carpeta nueva </w:t>
      </w:r>
      <w:r>
        <w:rPr>
          <w:rFonts w:ascii="Consolas" w:hAnsi="Consolas"/>
          <w:sz w:val="18"/>
        </w:rPr>
        <w:t>historia-clinica-desktop-integrada-vNN</w:t>
      </w:r>
      <w:r>
        <w:t xml:space="preserve">; no reutilizar </w:t>
      </w:r>
      <w:r>
        <w:rPr>
          <w:rFonts w:ascii="Consolas" w:hAnsi="Consolas"/>
          <w:sz w:val="18"/>
        </w:rPr>
        <w:t>src-tauri/target</w:t>
      </w:r>
      <w:r>
        <w:t xml:space="preserve"> de versiones anteriores.</w:t>
      </w:r>
    </w:p>
    <w:p>
      <w:r>
        <w:t>Instalador NSIS esperado:</w:t>
      </w:r>
    </w:p>
    <w:p>
      <w:pPr>
        <w:spacing w:after="120"/>
        <w:ind w:left="283"/>
      </w:pPr>
      <w:r>
        <w:rPr>
          <w:rFonts w:ascii="Consolas" w:hAnsi="Consolas"/>
          <w:sz w:val="16"/>
        </w:rPr>
        <w:t>src-tauri\target\release\bundle\nsis\Historia Clínica_&lt;versión&gt;_x64-setup.exe</w:t>
      </w:r>
    </w:p>
    <w:p>
      <w:r>
        <w:t xml:space="preserve">Para actualizar, instalar sobre la versión existente conservando </w:t>
      </w:r>
      <w:r>
        <w:rPr>
          <w:rFonts w:ascii="Consolas" w:hAnsi="Consolas"/>
          <w:sz w:val="18"/>
        </w:rPr>
        <w:t>co.nefrohc.desktop</w:t>
      </w:r>
      <w:r>
        <w:t>; no desinstalar primero. Confirmar que el instalador terminó y que conserva el perfil local antes de dar por cerrado el release.</w:t>
      </w:r>
    </w:p>
    <w:p>
      <w:pPr>
        <w:pStyle w:val="Heading1"/>
      </w:pPr>
      <w:r>
        <w:t>9. Seguridad y privacidad: asuntos pendientes</w:t>
      </w:r>
    </w:p>
    <w:p>
      <w:r>
        <w:t>La versión actual no debe considerarse lista para historias clínicas reales:</w:t>
      </w:r>
    </w:p>
    <w:p>
      <w:pPr>
        <w:pStyle w:val="ListNumber"/>
      </w:pPr>
      <w:r>
        <w:t xml:space="preserve">Usuarios y contraseñas se almacenan y comparan en claro en </w:t>
      </w:r>
      <w:r>
        <w:rPr>
          <w:rFonts w:ascii="Consolas" w:hAnsi="Consolas"/>
          <w:sz w:val="18"/>
        </w:rPr>
        <w:t>localStorage</w:t>
      </w:r>
      <w:r>
        <w:t>; la autenticación/roles es cliente y no es una barrera de seguridad.</w:t>
      </w:r>
    </w:p>
    <w:p>
      <w:pPr>
        <w:pStyle w:val="ListNumber"/>
      </w:pPr>
      <w:r>
        <w:t>Existe un usuario demo precargado y credenciales de demostración hardcodeadas en el código.</w:t>
      </w:r>
    </w:p>
    <w:p>
      <w:pPr>
        <w:pStyle w:val="ListNumber"/>
      </w:pPr>
      <w:r>
        <w:t xml:space="preserve">Tauri tiene CSP configurada como </w:t>
      </w:r>
      <w:r>
        <w:rPr>
          <w:rFonts w:ascii="Consolas" w:hAnsi="Consolas"/>
          <w:sz w:val="18"/>
        </w:rPr>
        <w:t>null</w:t>
      </w:r>
      <w:r>
        <w:t>; requiere política restrictiva probada con el front-end.</w:t>
      </w:r>
    </w:p>
    <w:p>
      <w:pPr>
        <w:pStyle w:val="ListNumber"/>
      </w:pPr>
      <w:r>
        <w:t xml:space="preserve">La instalación de dependencias v46 reportó 14 vulnerabilidades npm (13 altas y 1 crítica), además de paquetes deprecados y cinco paquetes con scripts pendientes de aprobación. Deben analizarse y corregirse con actualizaciones revisadas; no usar </w:t>
      </w:r>
      <w:r>
        <w:rPr>
          <w:rFonts w:ascii="Consolas" w:hAnsi="Consolas"/>
          <w:sz w:val="18"/>
        </w:rPr>
        <w:t>npm audit fix --force</w:t>
      </w:r>
      <w:r>
        <w:t xml:space="preserve"> a ciegas.</w:t>
      </w:r>
    </w:p>
    <w:p>
      <w:pPr>
        <w:pStyle w:val="ListNumber"/>
      </w:pPr>
      <w:r>
        <w:t>Los respaldos locales JSON/SQLite contienen datos clínicos y firma en claro; requieren controles del perfil, cifrado de disco, permisos, retención documentada y copia externa cifrada.</w:t>
      </w:r>
    </w:p>
    <w:p>
      <w:pPr>
        <w:pStyle w:val="ListNumber"/>
      </w:pPr>
      <w:r>
        <w:t>Revisar normativa colombiana aplicable a historia clínica y datos sensibles con el responsable de protección de datos/jurídico del consultorio; esta documentación no constituye certificación legal ni clínica.</w:t>
      </w:r>
    </w:p>
    <w:p>
      <w:pPr>
        <w:pStyle w:val="ListNumber"/>
      </w:pPr>
      <w:r>
        <w:t>La base de datos SQLite es actualmente un espejo parcial; debe definirse e implementarse una única fuente de verdad antes de operación multiusuario/servidor.</w:t>
      </w:r>
    </w:p>
    <w:p>
      <w:pPr>
        <w:pStyle w:val="Heading1"/>
      </w:pPr>
      <w:r>
        <w:t>10. Checklist técnico de aceptación</w:t>
      </w:r>
    </w:p>
    <w:p>
      <w:pPr>
        <w:pStyle w:val="ListBullet"/>
      </w:pPr>
      <w:r>
        <w:t xml:space="preserve">TypeScript: </w:t>
      </w:r>
      <w:r>
        <w:rPr>
          <w:b/>
        </w:rPr>
        <w:t>pasó</w:t>
      </w:r>
      <w:r>
        <w:t xml:space="preserve"> </w:t>
      </w:r>
      <w:r>
        <w:rPr>
          <w:rFonts w:ascii="Consolas" w:hAnsi="Consolas"/>
          <w:sz w:val="18"/>
        </w:rPr>
        <w:t>npm run type-check</w:t>
      </w:r>
      <w:r>
        <w:t xml:space="preserve"> en Windows después de las correcciones v46.</w:t>
      </w:r>
    </w:p>
    <w:p>
      <w:pPr>
        <w:pStyle w:val="ListBullet"/>
      </w:pPr>
      <w:r>
        <w:rPr>
          <w:rFonts w:ascii="Consolas" w:hAnsi="Consolas"/>
          <w:sz w:val="18"/>
        </w:rPr>
        <w:t>tauri:dev</w:t>
      </w:r>
      <w:r>
        <w:t xml:space="preserve">: </w:t>
      </w:r>
      <w:r>
        <w:rPr>
          <w:b/>
        </w:rPr>
        <w:t>pasó</w:t>
      </w:r>
      <w:r>
        <w:t xml:space="preserve"> en Windows antes y después del parche de restauración.</w:t>
      </w:r>
    </w:p>
    <w:p>
      <w:pPr>
        <w:pStyle w:val="ListBullet"/>
      </w:pPr>
      <w:r>
        <w:t xml:space="preserve">Firma: </w:t>
      </w:r>
      <w:r>
        <w:rPr>
          <w:b/>
        </w:rPr>
        <w:t>pasó</w:t>
      </w:r>
      <w:r>
        <w:t xml:space="preserve"> persistencia tras reinicio de desarrollo; usuario reportó que seguía visible tras instalar y en impresión.</w:t>
      </w:r>
    </w:p>
    <w:p>
      <w:pPr>
        <w:pStyle w:val="ListBullet"/>
      </w:pPr>
      <w:r>
        <w:t xml:space="preserve">Respaldo JSON/SQLite: </w:t>
      </w:r>
      <w:r>
        <w:rPr>
          <w:b/>
        </w:rPr>
        <w:t>pasó</w:t>
      </w:r>
      <w:r>
        <w:t xml:space="preserve"> existencia de pares, lectura JSON, </w:t>
      </w:r>
      <w:r>
        <w:rPr>
          <w:rFonts w:ascii="Consolas" w:hAnsi="Consolas"/>
          <w:sz w:val="18"/>
        </w:rPr>
        <w:t>PRAGMA integrity_check=ok</w:t>
      </w:r>
      <w:r>
        <w:t xml:space="preserve"> en snapshot y base activa, con dato ficticio.</w:t>
      </w:r>
    </w:p>
    <w:p>
      <w:pPr>
        <w:pStyle w:val="ListBullet"/>
      </w:pPr>
      <w:r>
        <w:t xml:space="preserve">Restauración JSON y sincronización SQLite espejo: </w:t>
      </w:r>
      <w:r>
        <w:rPr>
          <w:b/>
        </w:rPr>
        <w:t>pasó</w:t>
      </w:r>
      <w:r>
        <w:t xml:space="preserve"> con el registro ficticio y 2 historias.</w:t>
      </w:r>
    </w:p>
    <w:p>
      <w:pPr>
        <w:pStyle w:val="ListBullet"/>
      </w:pPr>
      <w:r>
        <w:t xml:space="preserve">QR y alergia larga: </w:t>
      </w:r>
      <w:r>
        <w:rPr>
          <w:b/>
        </w:rPr>
        <w:t>pasó de forma acotada</w:t>
      </w:r>
      <w:r>
        <w:t>, según confirmación del usuario; faltan otros lectores, paginación y formatos de papel.</w:t>
      </w:r>
    </w:p>
    <w:p>
      <w:pPr>
        <w:pStyle w:val="ListBullet"/>
      </w:pPr>
      <w:r>
        <w:t xml:space="preserve">NSIS: </w:t>
      </w:r>
      <w:r>
        <w:rPr>
          <w:b/>
        </w:rPr>
        <w:t>pasó</w:t>
      </w:r>
      <w:r>
        <w:t xml:space="preserve"> generación e instalación sobre la versión existente con </w:t>
      </w:r>
      <w:r>
        <w:rPr>
          <w:rFonts w:ascii="Consolas" w:hAnsi="Consolas"/>
          <w:sz w:val="18"/>
        </w:rPr>
        <w:t>Do not uninstall</w:t>
      </w:r>
      <w:r>
        <w:t>; usuario reportó datos y firma visibles.</w:t>
      </w:r>
    </w:p>
    <w:p>
      <w:pPr>
        <w:pStyle w:val="ListBullet"/>
      </w:pPr>
      <w:r>
        <w:t xml:space="preserve">Timer de 5 minutos, retención 30, fallos de permisos/espacio, rollback completo, restauración de todas las colecciones, PDF/impresión física y exportaciones JSON/CSV: </w:t>
      </w:r>
      <w:r>
        <w:rPr>
          <w:b/>
        </w:rPr>
        <w:t>pendiente/no cubierto</w:t>
      </w:r>
      <w:r>
        <w:t>.</w:t>
      </w:r>
    </w:p>
    <w:p>
      <w:pPr>
        <w:pStyle w:val="ListBullet"/>
      </w:pPr>
      <w:r>
        <w:t xml:space="preserve">Seguridad, vulnerabilidades priorizadas y revisión normativa: </w:t>
      </w:r>
      <w:r>
        <w:rPr>
          <w:b/>
        </w:rPr>
        <w:t>pendiente; no aprobado para uso real</w:t>
      </w:r>
      <w:r>
        <w:t>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NefroHC · v46 ·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C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B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Tecnica</dc:title>
  <dc:subject>NefroHC v46 · producto 0.1.5 · documento de trabajo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