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F3F1ED" w:val="clear"/>
          </w:tcPr>
          <w:p>
            <w:pPr>
              <w:pBdr>
                <w:top w:val="single" w:color="D6C096" w:sz="18" w:space="20"/>
              </w:pBdr>
              <w:spacing w:after="200" w:before="1200"/>
              <w:ind w:left="1000" w:right="1000"/>
            </w:pPr>
          </w:p>
          <w:p>
            <w:pPr>
              <w:spacing w:before="1800"/>
            </w:pPr>
          </w:p>
          <w:p>
            <w:pPr>
              <w:spacing w:after="500"/>
              <w:jc w:val="center"/>
            </w:pPr>
            <w:r>
              <w:rPr>
                <w:rFonts w:ascii="Calibri"/>
                <w:color w:val="D6C096"/>
                <w:spacing w:val="40"/>
                <w:sz w:val="18"/>
                <w:szCs w:val="18"/>
              </w:rPr>
              <w:t xml:space="preserve">M  A  L  T  I  N  G     4  .  0</w:t>
            </w:r>
          </w:p>
          <w:p>
            <w:pPr>
              <w:spacing w:after="80" w:line="920" w:lineRule="atLeast"/>
              <w:jc w:val="center"/>
            </w:pPr>
            <w:r>
              <w:rPr>
                <w:rFonts w:ascii="Arial" w:eastAsia="SimHei"/>
                <w:b/>
                <w:bCs/>
                <w:color w:val="000000"/>
                <w:sz w:val="80"/>
                <w:szCs w:val="80"/>
              </w:rPr>
              <w:t xml:space="preserve">麦芽企业智能信息化项</w:t>
            </w:r>
          </w:p>
          <w:p>
            <w:pPr>
              <w:spacing w:after="300" w:line="920" w:lineRule="atLeast"/>
              <w:jc w:val="center"/>
            </w:pPr>
            <w:r>
              <w:rPr>
                <w:rFonts w:ascii="Arial" w:eastAsia="SimHei"/>
                <w:b/>
                <w:bCs/>
                <w:color w:val="000000"/>
                <w:sz w:val="80"/>
                <w:szCs w:val="80"/>
              </w:rPr>
              <w:t xml:space="preserve">目机会挖掘报告</w:t>
            </w:r>
          </w:p>
          <w:p>
            <w:pPr>
              <w:spacing w:after="400"/>
              <w:jc w:val="center"/>
            </w:pPr>
            <w:r>
              <w:rPr>
                <w:rFonts w:ascii="Arial" w:eastAsia="Microsoft YaHei"/>
                <w:color w:val="606060"/>
                <w:sz w:val="24"/>
                <w:szCs w:val="24"/>
              </w:rPr>
              <w:t xml:space="preserve">粤海永顺泰（宁波）麦芽有限公司数字化升级路线建议</w:t>
            </w:r>
          </w:p>
          <w:p>
            <w:pPr>
              <w:spacing w:before="1200"/>
            </w:pPr>
          </w:p>
          <w:p>
            <w:pPr>
              <w:spacing w:after="100" w:line="414" w:lineRule="atLeast"/>
              <w:jc w:val="center"/>
            </w:pPr>
            <w:r>
              <w:rPr>
                <w:rFonts w:ascii="Arial" w:eastAsia="Microsoft YaHei"/>
                <w:color w:val="707070"/>
                <w:sz w:val="36"/>
                <w:szCs w:val="36"/>
              </w:rPr>
              <w:t xml:space="preserve">报告性质：项目机会挖掘与实施路径分析</w:t>
            </w:r>
          </w:p>
          <w:p>
            <w:pPr>
              <w:spacing w:after="100" w:line="414" w:lineRule="atLeast"/>
              <w:jc w:val="center"/>
            </w:pPr>
            <w:r>
              <w:rPr>
                <w:rFonts w:ascii="Arial" w:eastAsia="Microsoft YaHei"/>
                <w:color w:val="707070"/>
                <w:sz w:val="36"/>
                <w:szCs w:val="36"/>
              </w:rPr>
              <w:t xml:space="preserve">服务对象：粤海永顺泰（宁波）麦芽有限公司</w:t>
            </w:r>
          </w:p>
          <w:p>
            <w:pPr>
              <w:spacing w:after="100" w:line="414" w:lineRule="atLeast"/>
              <w:jc w:val="center"/>
            </w:pPr>
            <w:r>
              <w:rPr>
                <w:rFonts w:ascii="Arial" w:eastAsia="Microsoft YaHei"/>
                <w:color w:val="707070"/>
                <w:sz w:val="36"/>
                <w:szCs w:val="36"/>
              </w:rPr>
              <w:t xml:space="preserve">编制时间：2026年9月</w:t>
            </w:r>
          </w:p>
          <w:p>
            <w:pPr>
              <w:spacing w:before="2000"/>
            </w:pPr>
          </w:p>
          <w:p>
            <w:pPr>
              <w:pBdr>
                <w:bottom w:val="single" w:color="D6C096" w:sz="18" w:space="20"/>
              </w:pBdr>
              <w:spacing w:before="200"/>
              <w:ind w:left="1000" w:right="1000"/>
              <w:jc w:val="center"/>
            </w:pPr>
            <w:r>
              <w:rPr>
                <w:rFonts w:ascii="Arial"/>
                <w:color w:val="A0A0A0"/>
                <w:sz w:val="18"/>
                <w:szCs w:val="18"/>
              </w:rPr>
              <w:t xml:space="preserve">SMART MALTING · DATA DRIVEN</w:t>
            </w:r>
          </w:p>
        </w:tc>
      </w:tr>
    </w:tbl>
    <w:p>
      <w:pPr>
        <w:sectPr>
          <w:pgSz w:w="11906" w:h="16838" w:orient="portrait"/>
          <w:pgMar w:top="0" w:right="0" w:bottom="0" w:left="0" w:header="708" w:footer="708" w:gutter="0"/>
          <w:docGrid w:linePitch="360"/>
        </w:sectPr>
      </w:pPr>
    </w:p>
    <w:p>
      <w:pPr>
        <w:spacing w:after="240" w:before="240" w:line="312"/>
        <w:jc w:val="center"/>
      </w:pPr>
      <w:r>
        <w:rPr>
          <w:rFonts w:ascii="Arial" w:eastAsia="SimHei"/>
          <w:b/>
          <w:bCs/>
          <w:color w:val="000000"/>
          <w:sz w:val="32"/>
          <w:szCs w:val="32"/>
        </w:rPr>
        <w:t xml:space="preserve">目  录</w:t>
      </w:r>
    </w:p>
    <w:sdt>
      <w:sdtPr>
        <w:alias w:val="目录"/>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一、执行摘要</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二、客户基础盘点：既有系统的价值与短板</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企业背景与行业坐标</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既有三套系统的资产价值评估</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2.3 从智能制造成熟度看当前短板</w:t>
            </w:r>
            <w:r>
              <w:tab/>
            </w:r>
            <w:r>
              <w:fldChar w:fldCharType="begin"/>
            </w:r>
            <w:r>
              <w:instrText xml:space="preserve"> PAGEREF _Toc100004 \h </w:instrText>
            </w:r>
            <w:r>
              <w:fldChar w:fldCharType="separate"/>
            </w:r>
            <w:r>
              <w:t>3</w:t>
            </w:r>
            <w:r>
              <w:fldChar w:fldCharType="end"/>
            </w:r>
          </w:hyperlink>
        </w:p>
        <w:p>
          <w:pPr>
            <w:pStyle w:val="9"/>
            <w:tabs>
              <w:tab w:val="right" w:leader="dot" w:pos="9026"/>
            </w:tabs>
            <w:spacing w:before="120" w:after="60"/>
          </w:pPr>
          <w:hyperlink w:anchor="_Toc100005" w:history="1">
            <w:r>
              <w:rPr>
                <w:rStyle w:val="Hyperlink"/>
              </w:rPr>
              <w:t>三、政策与集团双重驱动：窗口期判断</w:t>
            </w:r>
            <w:r>
              <w:tab/>
            </w:r>
            <w:r>
              <w:fldChar w:fldCharType="begin"/>
            </w:r>
            <w:r>
              <w:instrText xml:space="preserve"> PAGEREF _Toc100005 \h </w:instrText>
            </w:r>
            <w:r>
              <w:fldChar w:fldCharType="separate"/>
            </w:r>
            <w:r>
              <w:t>4</w:t>
            </w:r>
            <w:r>
              <w:fldChar w:fldCharType="end"/>
            </w:r>
          </w:hyperlink>
        </w:p>
        <w:p>
          <w:pPr>
            <w:pStyle w:val="11"/>
            <w:ind w:left="360"/>
            <w:tabs>
              <w:tab w:val="right" w:leader="dot" w:pos="9026"/>
            </w:tabs>
            <w:spacing w:before="120" w:after="60"/>
          </w:pPr>
          <w:hyperlink w:anchor="_Toc100006" w:history="1">
            <w:r>
              <w:rPr>
                <w:rStyle w:val="Hyperlink"/>
              </w:rPr>
              <w:t>3.1 国家政策：食品工业数字化转型与智能工厂梯度培育</w:t>
            </w:r>
            <w:r>
              <w:tab/>
            </w:r>
            <w:r>
              <w:fldChar w:fldCharType="begin"/>
            </w:r>
            <w:r>
              <w:instrText xml:space="preserve"> PAGEREF _Toc100006 \h </w:instrText>
            </w:r>
            <w:r>
              <w:fldChar w:fldCharType="separate"/>
            </w:r>
            <w:r>
              <w:t>4</w:t>
            </w:r>
            <w:r>
              <w:fldChar w:fldCharType="end"/>
            </w:r>
          </w:hyperlink>
        </w:p>
        <w:p>
          <w:pPr>
            <w:pStyle w:val="11"/>
            <w:ind w:left="360"/>
            <w:tabs>
              <w:tab w:val="right" w:leader="dot" w:pos="9026"/>
            </w:tabs>
            <w:spacing w:before="120" w:after="60"/>
          </w:pPr>
          <w:hyperlink w:anchor="_Toc100007" w:history="1">
            <w:r>
              <w:rPr>
                <w:rStyle w:val="Hyperlink"/>
              </w:rPr>
              <w:t>3.2 国有企业数字化转型考核要求</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3.3 集团内标杆：广州公司获评省先进级智能工厂</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3.4 行业经营环境倒逼降本增效</w:t>
            </w:r>
            <w:r>
              <w:tab/>
            </w:r>
            <w:r>
              <w:fldChar w:fldCharType="begin"/>
            </w:r>
            <w:r>
              <w:instrText xml:space="preserve"> PAGEREF _Toc100009 \h </w:instrText>
            </w:r>
            <w:r>
              <w:fldChar w:fldCharType="separate"/>
            </w:r>
            <w:r>
              <w:t>4</w:t>
            </w:r>
            <w:r>
              <w:fldChar w:fldCharType="end"/>
            </w:r>
          </w:hyperlink>
        </w:p>
        <w:p>
          <w:pPr>
            <w:pStyle w:val="9"/>
            <w:tabs>
              <w:tab w:val="right" w:leader="dot" w:pos="9026"/>
            </w:tabs>
            <w:spacing w:before="120" w:after="60"/>
          </w:pPr>
          <w:hyperlink w:anchor="_Toc100010" w:history="1">
            <w:r>
              <w:rPr>
                <w:rStyle w:val="Hyperlink"/>
              </w:rPr>
              <w:t>四、国际先进麦芽企业对标：硬核系统清单</w:t>
            </w:r>
            <w:r>
              <w:tab/>
            </w:r>
            <w:r>
              <w:fldChar w:fldCharType="begin"/>
            </w:r>
            <w:r>
              <w:instrText xml:space="preserve"> PAGEREF _Toc100010 \h </w:instrText>
            </w:r>
            <w:r>
              <w:fldChar w:fldCharType="separate"/>
            </w:r>
            <w:r>
              <w:t>5</w:t>
            </w:r>
            <w:r>
              <w:fldChar w:fldCharType="end"/>
            </w:r>
          </w:hyperlink>
        </w:p>
        <w:p>
          <w:pPr>
            <w:pStyle w:val="11"/>
            <w:ind w:left="360"/>
            <w:tabs>
              <w:tab w:val="right" w:leader="dot" w:pos="9026"/>
            </w:tabs>
            <w:spacing w:before="120" w:after="60"/>
          </w:pPr>
          <w:hyperlink w:anchor="_Toc100011" w:history="1">
            <w:r>
              <w:rPr>
                <w:rStyle w:val="Hyperlink"/>
              </w:rPr>
              <w:t>4.1 全球麦芽产业格局与数字化领先者</w:t>
            </w:r>
            <w:r>
              <w:tab/>
            </w:r>
            <w:r>
              <w:fldChar w:fldCharType="begin"/>
            </w:r>
            <w:r>
              <w:instrText xml:space="preserve"> PAGEREF _Toc100011 \h </w:instrText>
            </w:r>
            <w:r>
              <w:fldChar w:fldCharType="separate"/>
            </w:r>
            <w:r>
              <w:t>5</w:t>
            </w:r>
            <w:r>
              <w:fldChar w:fldCharType="end"/>
            </w:r>
          </w:hyperlink>
        </w:p>
        <w:p>
          <w:pPr>
            <w:pStyle w:val="11"/>
            <w:ind w:left="360"/>
            <w:tabs>
              <w:tab w:val="right" w:leader="dot" w:pos="9026"/>
            </w:tabs>
            <w:spacing w:before="120" w:after="60"/>
          </w:pPr>
          <w:hyperlink w:anchor="_Toc100012" w:history="1">
            <w:r>
              <w:rPr>
                <w:rStyle w:val="Hyperlink"/>
              </w:rPr>
              <w:t>4.2 Soufflet Malt：MALTimize AI平台的生产控制实践</w:t>
            </w:r>
            <w:r>
              <w:tab/>
            </w:r>
            <w:r>
              <w:fldChar w:fldCharType="begin"/>
            </w:r>
            <w:r>
              <w:instrText xml:space="preserve"> PAGEREF _Toc100012 \h </w:instrText>
            </w:r>
            <w:r>
              <w:fldChar w:fldCharType="separate"/>
            </w:r>
            <w:r>
              <w:t>5</w:t>
            </w:r>
            <w:r>
              <w:fldChar w:fldCharType="end"/>
            </w:r>
          </w:hyperlink>
        </w:p>
        <w:p>
          <w:pPr>
            <w:pStyle w:val="11"/>
            <w:ind w:left="360"/>
            <w:tabs>
              <w:tab w:val="right" w:leader="dot" w:pos="9026"/>
            </w:tabs>
            <w:spacing w:before="120" w:after="60"/>
          </w:pPr>
          <w:hyperlink w:anchor="_Toc100013" w:history="1">
            <w:r>
              <w:rPr>
                <w:rStyle w:val="Hyperlink"/>
              </w:rPr>
              <w:t>4.3 Boortmalt与Malteurop：从田间到工厂的数字化布局</w:t>
            </w:r>
            <w:r>
              <w:tab/>
            </w:r>
            <w:r>
              <w:fldChar w:fldCharType="begin"/>
            </w:r>
            <w:r>
              <w:instrText xml:space="preserve"> PAGEREF _Toc100013 \h </w:instrText>
            </w:r>
            <w:r>
              <w:fldChar w:fldCharType="separate"/>
            </w:r>
            <w:r>
              <w:t>5</w:t>
            </w:r>
            <w:r>
              <w:fldChar w:fldCharType="end"/>
            </w:r>
          </w:hyperlink>
        </w:p>
        <w:p>
          <w:pPr>
            <w:pStyle w:val="11"/>
            <w:ind w:left="360"/>
            <w:tabs>
              <w:tab w:val="right" w:leader="dot" w:pos="9026"/>
            </w:tabs>
            <w:spacing w:before="120" w:after="60"/>
          </w:pPr>
          <w:hyperlink w:anchor="_Toc100014" w:history="1">
            <w:r>
              <w:rPr>
                <w:rStyle w:val="Hyperlink"/>
              </w:rPr>
              <w:t>4.4 国际标杆硬核系统对标</w:t>
            </w:r>
            <w:r>
              <w:tab/>
            </w:r>
            <w:r>
              <w:fldChar w:fldCharType="begin"/>
            </w:r>
            <w:r>
              <w:instrText xml:space="preserve"> PAGEREF _Toc100014 \h </w:instrText>
            </w:r>
            <w:r>
              <w:fldChar w:fldCharType="separate"/>
            </w:r>
            <w:r>
              <w:t>6</w:t>
            </w:r>
            <w:r>
              <w:fldChar w:fldCharType="end"/>
            </w:r>
          </w:hyperlink>
        </w:p>
        <w:p>
          <w:pPr>
            <w:pStyle w:val="11"/>
            <w:ind w:left="360"/>
            <w:tabs>
              <w:tab w:val="right" w:leader="dot" w:pos="9026"/>
            </w:tabs>
            <w:spacing w:before="120" w:after="60"/>
          </w:pPr>
          <w:hyperlink w:anchor="_Toc100015" w:history="1">
            <w:r>
              <w:rPr>
                <w:rStyle w:val="Hyperlink"/>
              </w:rPr>
              <w:t>4.5 对宁波分公司的五点启示</w:t>
            </w:r>
            <w:r>
              <w:tab/>
            </w:r>
            <w:r>
              <w:fldChar w:fldCharType="begin"/>
            </w:r>
            <w:r>
              <w:instrText xml:space="preserve"> PAGEREF _Toc100015 \h </w:instrText>
            </w:r>
            <w:r>
              <w:fldChar w:fldCharType="separate"/>
            </w:r>
            <w:r>
              <w:t>6</w:t>
            </w:r>
            <w:r>
              <w:fldChar w:fldCharType="end"/>
            </w:r>
          </w:hyperlink>
        </w:p>
        <w:p>
          <w:pPr>
            <w:pStyle w:val="9"/>
            <w:tabs>
              <w:tab w:val="right" w:leader="dot" w:pos="9026"/>
            </w:tabs>
            <w:spacing w:before="120" w:after="60"/>
          </w:pPr>
          <w:hyperlink w:anchor="_Toc100016" w:history="1">
            <w:r>
              <w:rPr>
                <w:rStyle w:val="Hyperlink"/>
              </w:rPr>
              <w:t>五、项目机会地图：三层十四项机会框架</w:t>
            </w:r>
            <w:r>
              <w:tab/>
            </w:r>
            <w:r>
              <w:fldChar w:fldCharType="begin"/>
            </w:r>
            <w:r>
              <w:instrText xml:space="preserve"> PAGEREF _Toc100016 \h </w:instrText>
            </w:r>
            <w:r>
              <w:fldChar w:fldCharType="separate"/>
            </w:r>
            <w:r>
              <w:t>7</w:t>
            </w:r>
            <w:r>
              <w:fldChar w:fldCharType="end"/>
            </w:r>
          </w:hyperlink>
        </w:p>
        <w:p>
          <w:pPr>
            <w:pStyle w:val="11"/>
            <w:ind w:left="360"/>
            <w:tabs>
              <w:tab w:val="right" w:leader="dot" w:pos="9026"/>
            </w:tabs>
            <w:spacing w:before="120" w:after="60"/>
          </w:pPr>
          <w:hyperlink w:anchor="_Toc100017" w:history="1">
            <w:r>
              <w:rPr>
                <w:rStyle w:val="Hyperlink"/>
              </w:rPr>
              <w:t>5.1 框架总览</w:t>
            </w:r>
            <w:r>
              <w:tab/>
            </w:r>
            <w:r>
              <w:fldChar w:fldCharType="begin"/>
            </w:r>
            <w:r>
              <w:instrText xml:space="preserve"> PAGEREF _Toc100017 \h </w:instrText>
            </w:r>
            <w:r>
              <w:fldChar w:fldCharType="separate"/>
            </w:r>
            <w:r>
              <w:t>7</w:t>
            </w:r>
            <w:r>
              <w:fldChar w:fldCharType="end"/>
            </w:r>
          </w:hyperlink>
        </w:p>
        <w:p>
          <w:pPr>
            <w:pStyle w:val="11"/>
            <w:ind w:left="360"/>
            <w:tabs>
              <w:tab w:val="right" w:leader="dot" w:pos="9026"/>
            </w:tabs>
            <w:spacing w:before="120" w:after="60"/>
          </w:pPr>
          <w:hyperlink w:anchor="_Toc100018" w:history="1">
            <w:r>
              <w:rPr>
                <w:rStyle w:val="Hyperlink"/>
              </w:rPr>
              <w:t>5.2 近期机会：在既有平台上的数据深化</w:t>
            </w:r>
            <w:r>
              <w:tab/>
            </w:r>
            <w:r>
              <w:fldChar w:fldCharType="begin"/>
            </w:r>
            <w:r>
              <w:instrText xml:space="preserve"> PAGEREF _Toc100018 \h </w:instrText>
            </w:r>
            <w:r>
              <w:fldChar w:fldCharType="separate"/>
            </w:r>
            <w:r>
              <w:t>7</w:t>
            </w:r>
            <w:r>
              <w:fldChar w:fldCharType="end"/>
            </w:r>
          </w:hyperlink>
        </w:p>
        <w:p>
          <w:pPr>
            <w:pStyle w:val="11"/>
            <w:ind w:left="360"/>
            <w:tabs>
              <w:tab w:val="right" w:leader="dot" w:pos="9026"/>
            </w:tabs>
            <w:spacing w:before="120" w:after="60"/>
          </w:pPr>
          <w:hyperlink w:anchor="_Toc100019" w:history="1">
            <w:r>
              <w:rPr>
                <w:rStyle w:val="Hyperlink"/>
              </w:rPr>
              <w:t>5.3 中期机会：系统集成与流程再造</w:t>
            </w:r>
            <w:r>
              <w:tab/>
            </w:r>
            <w:r>
              <w:fldChar w:fldCharType="begin"/>
            </w:r>
            <w:r>
              <w:instrText xml:space="preserve"> PAGEREF _Toc100019 \h </w:instrText>
            </w:r>
            <w:r>
              <w:fldChar w:fldCharType="separate"/>
            </w:r>
            <w:r>
              <w:t>8</w:t>
            </w:r>
            <w:r>
              <w:fldChar w:fldCharType="end"/>
            </w:r>
          </w:hyperlink>
        </w:p>
        <w:p>
          <w:pPr>
            <w:pStyle w:val="11"/>
            <w:ind w:left="360"/>
            <w:tabs>
              <w:tab w:val="right" w:leader="dot" w:pos="9026"/>
            </w:tabs>
            <w:spacing w:before="120" w:after="60"/>
          </w:pPr>
          <w:hyperlink w:anchor="_Toc100020" w:history="1">
            <w:r>
              <w:rPr>
                <w:rStyle w:val="Hyperlink"/>
              </w:rPr>
              <w:t>5.4 远期机会：智能应用与工厂整体跃迁</w:t>
            </w:r>
            <w:r>
              <w:tab/>
            </w:r>
            <w:r>
              <w:fldChar w:fldCharType="begin"/>
            </w:r>
            <w:r>
              <w:instrText xml:space="preserve"> PAGEREF _Toc100020 \h </w:instrText>
            </w:r>
            <w:r>
              <w:fldChar w:fldCharType="separate"/>
            </w:r>
            <w:r>
              <w:t>8</w:t>
            </w:r>
            <w:r>
              <w:fldChar w:fldCharType="end"/>
            </w:r>
          </w:hyperlink>
        </w:p>
        <w:p>
          <w:pPr>
            <w:pStyle w:val="11"/>
            <w:ind w:left="360"/>
            <w:tabs>
              <w:tab w:val="right" w:leader="dot" w:pos="9026"/>
            </w:tabs>
            <w:spacing w:before="120" w:after="60"/>
          </w:pPr>
          <w:hyperlink w:anchor="_Toc100021" w:history="1">
            <w:r>
              <w:rPr>
                <w:rStyle w:val="Hyperlink"/>
              </w:rPr>
              <w:t>5.5 项目优先级与实施节奏</w:t>
            </w:r>
            <w:r>
              <w:tab/>
            </w:r>
            <w:r>
              <w:fldChar w:fldCharType="begin"/>
            </w:r>
            <w:r>
              <w:instrText xml:space="preserve"> PAGEREF _Toc100021 \h </w:instrText>
            </w:r>
            <w:r>
              <w:fldChar w:fldCharType="separate"/>
            </w:r>
            <w:r>
              <w:t>8</w:t>
            </w:r>
            <w:r>
              <w:fldChar w:fldCharType="end"/>
            </w:r>
          </w:hyperlink>
        </w:p>
        <w:p>
          <w:pPr>
            <w:pStyle w:val="9"/>
            <w:tabs>
              <w:tab w:val="right" w:leader="dot" w:pos="9026"/>
            </w:tabs>
            <w:spacing w:before="120" w:after="60"/>
          </w:pPr>
          <w:hyperlink w:anchor="_Toc100022" w:history="1">
            <w:r>
              <w:rPr>
                <w:rStyle w:val="Hyperlink"/>
              </w:rPr>
              <w:t>六、六个重点项目的深度方案解析</w:t>
            </w:r>
            <w:r>
              <w:tab/>
            </w:r>
            <w:r>
              <w:fldChar w:fldCharType="begin"/>
            </w:r>
            <w:r>
              <w:instrText xml:space="preserve"> PAGEREF _Toc100022 \h </w:instrText>
            </w:r>
            <w:r>
              <w:fldChar w:fldCharType="separate"/>
            </w:r>
            <w:r>
              <w:t>9</w:t>
            </w:r>
            <w:r>
              <w:fldChar w:fldCharType="end"/>
            </w:r>
          </w:hyperlink>
        </w:p>
        <w:p>
          <w:pPr>
            <w:pStyle w:val="11"/>
            <w:ind w:left="360"/>
            <w:tabs>
              <w:tab w:val="right" w:leader="dot" w:pos="9026"/>
            </w:tabs>
            <w:spacing w:before="120" w:after="60"/>
          </w:pPr>
          <w:hyperlink w:anchor="_Toc100023" w:history="1">
            <w:r>
              <w:rPr>
                <w:rStyle w:val="Hyperlink"/>
              </w:rPr>
              <w:t>6.1 统一工业数据中台：所有智能应用的底座</w:t>
            </w:r>
            <w:r>
              <w:tab/>
            </w:r>
            <w:r>
              <w:fldChar w:fldCharType="begin"/>
            </w:r>
            <w:r>
              <w:instrText xml:space="preserve"> PAGEREF _Toc100023 \h </w:instrText>
            </w:r>
            <w:r>
              <w:fldChar w:fldCharType="separate"/>
            </w:r>
            <w:r>
              <w:t>9</w:t>
            </w:r>
            <w:r>
              <w:fldChar w:fldCharType="end"/>
            </w:r>
          </w:hyperlink>
        </w:p>
        <w:p>
          <w:pPr>
            <w:pStyle w:val="11"/>
            <w:ind w:left="360"/>
            <w:tabs>
              <w:tab w:val="right" w:leader="dot" w:pos="9026"/>
            </w:tabs>
            <w:spacing w:before="120" w:after="60"/>
          </w:pPr>
          <w:hyperlink w:anchor="_Toc100024" w:history="1">
            <w:r>
              <w:rPr>
                <w:rStyle w:val="Hyperlink"/>
              </w:rPr>
              <w:t>6.2 能源管理与能碳双控：降本第一杠杆</w:t>
            </w:r>
            <w:r>
              <w:tab/>
            </w:r>
            <w:r>
              <w:fldChar w:fldCharType="begin"/>
            </w:r>
            <w:r>
              <w:instrText xml:space="preserve"> PAGEREF _Toc100024 \h </w:instrText>
            </w:r>
            <w:r>
              <w:fldChar w:fldCharType="separate"/>
            </w:r>
            <w:r>
              <w:t>10</w:t>
            </w:r>
            <w:r>
              <w:fldChar w:fldCharType="end"/>
            </w:r>
          </w:hyperlink>
        </w:p>
        <w:p>
          <w:pPr>
            <w:pStyle w:val="11"/>
            <w:ind w:left="360"/>
            <w:tabs>
              <w:tab w:val="right" w:leader="dot" w:pos="9026"/>
            </w:tabs>
            <w:spacing w:before="120" w:after="60"/>
          </w:pPr>
          <w:hyperlink w:anchor="_Toc100025" w:history="1">
            <w:r>
              <w:rPr>
                <w:rStyle w:val="Hyperlink"/>
              </w:rPr>
              <w:t>6.3 质量数据链贯通与AI出成率预测</w:t>
            </w:r>
            <w:r>
              <w:tab/>
            </w:r>
            <w:r>
              <w:fldChar w:fldCharType="begin"/>
            </w:r>
            <w:r>
              <w:instrText xml:space="preserve"> PAGEREF _Toc100025 \h </w:instrText>
            </w:r>
            <w:r>
              <w:fldChar w:fldCharType="separate"/>
            </w:r>
            <w:r>
              <w:t>10</w:t>
            </w:r>
            <w:r>
              <w:fldChar w:fldCharType="end"/>
            </w:r>
          </w:hyperlink>
        </w:p>
        <w:p>
          <w:pPr>
            <w:pStyle w:val="11"/>
            <w:ind w:left="360"/>
            <w:tabs>
              <w:tab w:val="right" w:leader="dot" w:pos="9026"/>
            </w:tabs>
            <w:spacing w:before="120" w:after="60"/>
          </w:pPr>
          <w:hyperlink w:anchor="_Toc100026" w:history="1">
            <w:r>
              <w:rPr>
                <w:rStyle w:val="Hyperlink"/>
              </w:rPr>
              <w:t>6.4 设备预测性维护：从抢修到预知</w:t>
            </w:r>
            <w:r>
              <w:tab/>
            </w:r>
            <w:r>
              <w:fldChar w:fldCharType="begin"/>
            </w:r>
            <w:r>
              <w:instrText xml:space="preserve"> PAGEREF _Toc100026 \h </w:instrText>
            </w:r>
            <w:r>
              <w:fldChar w:fldCharType="separate"/>
            </w:r>
            <w:r>
              <w:t>11</w:t>
            </w:r>
            <w:r>
              <w:fldChar w:fldCharType="end"/>
            </w:r>
          </w:hyperlink>
        </w:p>
        <w:p>
          <w:pPr>
            <w:pStyle w:val="11"/>
            <w:ind w:left="360"/>
            <w:tabs>
              <w:tab w:val="right" w:leader="dot" w:pos="9026"/>
            </w:tabs>
            <w:spacing w:before="120" w:after="60"/>
          </w:pPr>
          <w:hyperlink w:anchor="_Toc100027" w:history="1">
            <w:r>
              <w:rPr>
                <w:rStyle w:val="Hyperlink"/>
              </w:rPr>
              <w:t>6.5 MES批次追溯与电子批记录：大客户的质量通行证</w:t>
            </w:r>
            <w:r>
              <w:tab/>
            </w:r>
            <w:r>
              <w:fldChar w:fldCharType="begin"/>
            </w:r>
            <w:r>
              <w:instrText xml:space="preserve"> PAGEREF _Toc100027 \h </w:instrText>
            </w:r>
            <w:r>
              <w:fldChar w:fldCharType="separate"/>
            </w:r>
            <w:r>
              <w:t>11</w:t>
            </w:r>
            <w:r>
              <w:fldChar w:fldCharType="end"/>
            </w:r>
          </w:hyperlink>
        </w:p>
        <w:p>
          <w:pPr>
            <w:pStyle w:val="11"/>
            <w:ind w:left="360"/>
            <w:tabs>
              <w:tab w:val="right" w:leader="dot" w:pos="9026"/>
            </w:tabs>
            <w:spacing w:before="120" w:after="60"/>
          </w:pPr>
          <w:hyperlink w:anchor="_Toc100028" w:history="1">
            <w:r>
              <w:rPr>
                <w:rStyle w:val="Hyperlink"/>
              </w:rPr>
              <w:t>6.6 智能工厂梯度申报与总集成：以小博大的纲</w:t>
            </w:r>
            <w:r>
              <w:tab/>
            </w:r>
            <w:r>
              <w:fldChar w:fldCharType="begin"/>
            </w:r>
            <w:r>
              <w:instrText xml:space="preserve"> PAGEREF _Toc100028 \h </w:instrText>
            </w:r>
            <w:r>
              <w:fldChar w:fldCharType="separate"/>
            </w:r>
            <w:r>
              <w:t>12</w:t>
            </w:r>
            <w:r>
              <w:fldChar w:fldCharType="end"/>
            </w:r>
          </w:hyperlink>
        </w:p>
        <w:p>
          <w:pPr>
            <w:pStyle w:val="9"/>
            <w:tabs>
              <w:tab w:val="right" w:leader="dot" w:pos="9026"/>
            </w:tabs>
            <w:spacing w:before="120" w:after="60"/>
          </w:pPr>
          <w:hyperlink w:anchor="_Toc100029" w:history="1">
            <w:r>
              <w:rPr>
                <w:rStyle w:val="Hyperlink"/>
              </w:rPr>
              <w:t>七、智能制造挂钩路径：申报体系与政策资源</w:t>
            </w:r>
            <w:r>
              <w:tab/>
            </w:r>
            <w:r>
              <w:fldChar w:fldCharType="begin"/>
            </w:r>
            <w:r>
              <w:instrText xml:space="preserve"> PAGEREF _Toc100029 \h </w:instrText>
            </w:r>
            <w:r>
              <w:fldChar w:fldCharType="separate"/>
            </w:r>
            <w:r>
              <w:t>12</w:t>
            </w:r>
            <w:r>
              <w:fldChar w:fldCharType="end"/>
            </w:r>
          </w:hyperlink>
        </w:p>
        <w:p>
          <w:pPr>
            <w:pStyle w:val="11"/>
            <w:ind w:left="360"/>
            <w:tabs>
              <w:tab w:val="right" w:leader="dot" w:pos="9026"/>
            </w:tabs>
            <w:spacing w:before="120" w:after="60"/>
          </w:pPr>
          <w:hyperlink w:anchor="_Toc100030" w:history="1">
            <w:r>
              <w:rPr>
                <w:rStyle w:val="Hyperlink"/>
              </w:rPr>
              <w:t>7.1 智能制造能力成熟度评估（GB/T 39116）</w:t>
            </w:r>
            <w:r>
              <w:tab/>
            </w:r>
            <w:r>
              <w:fldChar w:fldCharType="begin"/>
            </w:r>
            <w:r>
              <w:instrText xml:space="preserve"> PAGEREF _Toc100030 \h </w:instrText>
            </w:r>
            <w:r>
              <w:fldChar w:fldCharType="separate"/>
            </w:r>
            <w:r>
              <w:t>12</w:t>
            </w:r>
            <w:r>
              <w:fldChar w:fldCharType="end"/>
            </w:r>
          </w:hyperlink>
        </w:p>
        <w:p>
          <w:pPr>
            <w:pStyle w:val="11"/>
            <w:ind w:left="360"/>
            <w:tabs>
              <w:tab w:val="right" w:leader="dot" w:pos="9026"/>
            </w:tabs>
            <w:spacing w:before="120" w:after="60"/>
          </w:pPr>
          <w:hyperlink w:anchor="_Toc100031" w:history="1">
            <w:r>
              <w:rPr>
                <w:rStyle w:val="Hyperlink"/>
              </w:rPr>
              <w:t>7.2 智能工厂梯度培育：四层级要求与差距分析</w:t>
            </w:r>
            <w:r>
              <w:tab/>
            </w:r>
            <w:r>
              <w:fldChar w:fldCharType="begin"/>
            </w:r>
            <w:r>
              <w:instrText xml:space="preserve"> PAGEREF _Toc100031 \h </w:instrText>
            </w:r>
            <w:r>
              <w:fldChar w:fldCharType="separate"/>
            </w:r>
            <w:r>
              <w:t>13</w:t>
            </w:r>
            <w:r>
              <w:fldChar w:fldCharType="end"/>
            </w:r>
          </w:hyperlink>
        </w:p>
        <w:p>
          <w:pPr>
            <w:pStyle w:val="11"/>
            <w:ind w:left="360"/>
            <w:tabs>
              <w:tab w:val="right" w:leader="dot" w:pos="9026"/>
            </w:tabs>
            <w:spacing w:before="120" w:after="60"/>
          </w:pPr>
          <w:hyperlink w:anchor="_Toc100032" w:history="1">
            <w:r>
              <w:rPr>
                <w:rStyle w:val="Hyperlink"/>
              </w:rPr>
              <w:t>7.3 可争取的政策资源与荣誉清单</w:t>
            </w:r>
            <w:r>
              <w:tab/>
            </w:r>
            <w:r>
              <w:fldChar w:fldCharType="begin"/>
            </w:r>
            <w:r>
              <w:instrText xml:space="preserve"> PAGEREF _Toc100032 \h </w:instrText>
            </w:r>
            <w:r>
              <w:fldChar w:fldCharType="separate"/>
            </w:r>
            <w:r>
              <w:t>13</w:t>
            </w:r>
            <w:r>
              <w:fldChar w:fldCharType="end"/>
            </w:r>
          </w:hyperlink>
        </w:p>
        <w:p>
          <w:pPr>
            <w:pStyle w:val="11"/>
            <w:ind w:left="360"/>
            <w:tabs>
              <w:tab w:val="right" w:leader="dot" w:pos="9026"/>
            </w:tabs>
            <w:spacing w:before="120" w:after="60"/>
          </w:pPr>
          <w:hyperlink w:anchor="_Toc100033" w:history="1">
            <w:r>
              <w:rPr>
                <w:rStyle w:val="Hyperlink"/>
              </w:rPr>
              <w:t>7.4 三年申报节奏建议</w:t>
            </w:r>
            <w:r>
              <w:tab/>
            </w:r>
            <w:r>
              <w:fldChar w:fldCharType="begin"/>
            </w:r>
            <w:r>
              <w:instrText xml:space="preserve"> PAGEREF _Toc100033 \h </w:instrText>
            </w:r>
            <w:r>
              <w:fldChar w:fldCharType="separate"/>
            </w:r>
            <w:r>
              <w:t>13</w:t>
            </w:r>
            <w:r>
              <w:fldChar w:fldCharType="end"/>
            </w:r>
          </w:hyperlink>
        </w:p>
        <w:p>
          <w:pPr>
            <w:pStyle w:val="9"/>
            <w:tabs>
              <w:tab w:val="right" w:leader="dot" w:pos="9026"/>
            </w:tabs>
            <w:spacing w:before="120" w:after="60"/>
          </w:pPr>
          <w:hyperlink w:anchor="_Toc100034" w:history="1">
            <w:r>
              <w:rPr>
                <w:rStyle w:val="Hyperlink"/>
              </w:rPr>
              <w:t>八、实施路线与商务策略建议</w:t>
            </w:r>
            <w:r>
              <w:tab/>
            </w:r>
            <w:r>
              <w:fldChar w:fldCharType="begin"/>
            </w:r>
            <w:r>
              <w:instrText xml:space="preserve"> PAGEREF _Toc100034 \h </w:instrText>
            </w:r>
            <w:r>
              <w:fldChar w:fldCharType="separate"/>
            </w:r>
            <w:r>
              <w:t>13</w:t>
            </w:r>
            <w:r>
              <w:fldChar w:fldCharType="end"/>
            </w:r>
          </w:hyperlink>
        </w:p>
        <w:p>
          <w:pPr>
            <w:pStyle w:val="11"/>
            <w:ind w:left="360"/>
            <w:tabs>
              <w:tab w:val="right" w:leader="dot" w:pos="9026"/>
            </w:tabs>
            <w:spacing w:before="120" w:after="60"/>
          </w:pPr>
          <w:hyperlink w:anchor="_Toc100035" w:history="1">
            <w:r>
              <w:rPr>
                <w:rStyle w:val="Hyperlink"/>
              </w:rPr>
              <w:t>8.1 十二个月行动节奏</w:t>
            </w:r>
            <w:r>
              <w:tab/>
            </w:r>
            <w:r>
              <w:fldChar w:fldCharType="begin"/>
            </w:r>
            <w:r>
              <w:instrText xml:space="preserve"> PAGEREF _Toc100035 \h </w:instrText>
            </w:r>
            <w:r>
              <w:fldChar w:fldCharType="separate"/>
            </w:r>
            <w:r>
              <w:t>14</w:t>
            </w:r>
            <w:r>
              <w:fldChar w:fldCharType="end"/>
            </w:r>
          </w:hyperlink>
        </w:p>
        <w:p>
          <w:pPr>
            <w:pStyle w:val="11"/>
            <w:ind w:left="360"/>
            <w:tabs>
              <w:tab w:val="right" w:leader="dot" w:pos="9026"/>
            </w:tabs>
            <w:spacing w:before="120" w:after="60"/>
          </w:pPr>
          <w:hyperlink w:anchor="_Toc100036" w:history="1">
            <w:r>
              <w:rPr>
                <w:rStyle w:val="Hyperlink"/>
              </w:rPr>
              <w:t>8.2 服务商切入策略：从数据伙伴到总集成商</w:t>
            </w:r>
            <w:r>
              <w:tab/>
            </w:r>
            <w:r>
              <w:fldChar w:fldCharType="begin"/>
            </w:r>
            <w:r>
              <w:instrText xml:space="preserve"> PAGEREF _Toc100036 \h </w:instrText>
            </w:r>
            <w:r>
              <w:fldChar w:fldCharType="separate"/>
            </w:r>
            <w:r>
              <w:t>14</w:t>
            </w:r>
            <w:r>
              <w:fldChar w:fldCharType="end"/>
            </w:r>
          </w:hyperlink>
        </w:p>
        <w:p>
          <w:pPr>
            <w:pStyle w:val="11"/>
            <w:ind w:left="360"/>
            <w:tabs>
              <w:tab w:val="right" w:leader="dot" w:pos="9026"/>
            </w:tabs>
            <w:spacing w:before="120" w:after="60"/>
          </w:pPr>
          <w:hyperlink w:anchor="_Toc100037" w:history="1">
            <w:r>
              <w:rPr>
                <w:rStyle w:val="Hyperlink"/>
              </w:rPr>
              <w:t>8.3 风险与注意事项</w:t>
            </w:r>
            <w:r>
              <w:tab/>
            </w:r>
            <w:r>
              <w:fldChar w:fldCharType="begin"/>
            </w:r>
            <w:r>
              <w:instrText xml:space="preserve"> PAGEREF _Toc100037 \h </w:instrText>
            </w:r>
            <w:r>
              <w:fldChar w:fldCharType="separate"/>
            </w:r>
            <w:r>
              <w:t>15</w:t>
            </w:r>
            <w:r>
              <w:fldChar w:fldCharType="end"/>
            </w:r>
          </w:hyperlink>
        </w:p>
        <w:p>
          <w:pPr>
            <w:pStyle w:val="9"/>
            <w:tabs>
              <w:tab w:val="right" w:leader="dot" w:pos="9026"/>
            </w:tabs>
            <w:spacing w:before="120" w:after="60"/>
          </w:pPr>
          <w:hyperlink w:anchor="_Toc100038" w:history="1">
            <w:r>
              <w:rPr>
                <w:rStyle w:val="Hyperlink"/>
              </w:rPr>
              <w:t>九、结论</w:t>
            </w:r>
            <w:r>
              <w:tab/>
            </w:r>
            <w:r>
              <w:fldChar w:fldCharType="begin"/>
            </w:r>
            <w:r>
              <w:instrText xml:space="preserve"> PAGEREF _Toc100038 \h </w:instrText>
            </w:r>
            <w:r>
              <w:fldChar w:fldCharType="separate"/>
            </w:r>
            <w:r>
              <w:t>15</w:t>
            </w:r>
            <w:r>
              <w:fldChar w:fldCharType="end"/>
            </w:r>
          </w:hyperlink>
        </w:p>
        <w:p>
          <w:pPr>
            <w:pStyle w:val="9"/>
            <w:tabs>
              <w:tab w:val="right" w:leader="dot" w:pos="9026"/>
            </w:tabs>
            <w:spacing w:before="120" w:after="60"/>
          </w:pPr>
          <w:hyperlink w:anchor="_Toc100039" w:history="1">
            <w:r>
              <w:rPr>
                <w:rStyle w:val="Hyperlink"/>
              </w:rPr>
              <w:t>附录A 术语与缩略语</w:t>
            </w:r>
            <w:r>
              <w:tab/>
            </w:r>
            <w:r>
              <w:fldChar w:fldCharType="begin"/>
            </w:r>
            <w:r>
              <w:instrText xml:space="preserve"> PAGEREF _Toc100039 \h </w:instrText>
            </w:r>
            <w:r>
              <w:fldChar w:fldCharType="separate"/>
            </w:r>
            <w:r>
              <w:t>16</w:t>
            </w:r>
            <w:r>
              <w:fldChar w:fldCharType="end"/>
            </w:r>
          </w:hyperlink>
        </w:p>
        <w:p>
          <w:pPr>
            <w:pStyle w:val="9"/>
            <w:tabs>
              <w:tab w:val="right" w:leader="dot" w:pos="9026"/>
            </w:tabs>
            <w:spacing w:before="120" w:after="60"/>
          </w:pPr>
          <w:hyperlink w:anchor="_Toc100040" w:history="1">
            <w:r>
              <w:rPr>
                <w:rStyle w:val="Hyperlink"/>
              </w:rPr>
              <w:t>附录B 主要信息来源</w:t>
            </w:r>
            <w:r>
              <w:tab/>
            </w:r>
            <w:r>
              <w:fldChar w:fldCharType="begin"/>
            </w:r>
            <w:r>
              <w:instrText xml:space="preserve"> PAGEREF _Toc100040 \h </w:instrText>
            </w:r>
            <w:r>
              <w:fldChar w:fldCharType="separate"/>
            </w:r>
            <w:r>
              <w:t>16</w:t>
            </w:r>
            <w:r>
              <w:fldChar w:fldCharType="end"/>
            </w:r>
          </w:hyperlink>
        </w:p>
        <w:p>
          <w:r>
            <w:fldChar w:fldCharType="end"/>
          </w:r>
        </w:p>
      </w:sdtContent>
    </w:sdt>
    <w:p>
      <w:pPr>
        <w:spacing w:before="200" w:line="312"/>
        <w:jc w:val="center"/>
      </w:pPr>
      <w:r>
        <w:rPr>
          <w:i/>
          <w:iCs/>
          <w:color w:val="999999"/>
          <w:sz w:val="18"/>
          <w:szCs w:val="18"/>
        </w:rPr>
        <w:t xml:space="preserve">（说明：目录页码为预生成占位，打开文档后请在目录上点击右键并选择“更新域”以刷新页码。）</w:t>
      </w:r>
    </w:p>
    <w:p>
      <w:pPr>
        <w:sectPr>
          <w:footerReference w:type="default" r:id="rId7"/>
          <w:pgSz w:w="11906" w:h="16838" w:orient="portrait"/>
          <w:pgMar w:top="1440" w:right="1417" w:bottom="1440" w:left="1701" w:header="708" w:footer="708" w:gutter="0"/>
          <w:pgNumType w:start="1" w:fmt="upperRoman"/>
          <w:docGrid w:linePitch="360"/>
        </w:sectPr>
      </w:pPr>
    </w:p>
    <w:p>
      <w:pPr>
        <w:pStyle w:val="Heading1"/>
        <w:keepNext/>
        <w:spacing w:after="200" w:before="360" w:line="312"/>
        <w:outlineLvl w:val="0"/>
      </w:pPr>
      <w:bookmarkStart w:id="100000" w:name="_Toc100000"/>
      <w:r>
        <w:rPr>
          <w:rFonts w:ascii="Arial" w:eastAsia="SimHei"/>
          <w:b/>
          <w:bCs/>
          <w:color w:val="000000"/>
          <w:sz w:val="32"/>
          <w:szCs w:val="32"/>
        </w:rPr>
        <w:t xml:space="preserve">一、执行摘要</w:t>
      </w:r>
      <w:bookmarkEnd w:id="100000"/>
    </w:p>
    <w:p>
      <w:pPr>
        <w:spacing w:after="80" w:line="312"/>
        <w:ind w:firstLine="480"/>
        <w:jc w:val="both"/>
      </w:pPr>
      <w:r>
        <w:rPr>
          <w:sz w:val="24"/>
          <w:szCs w:val="24"/>
        </w:rPr>
        <w:t xml:space="preserve">本报告面向粤海永顺泰（宁波）麦芽有限公司（下称宁波公司或客户），在既有西门子PLC数据采集平台、对标WINCC的过程曲线与报警体系、粮温监控系统三套信息化资产的基础上，系统评估其向智能工厂演进过程中的数据智能分析与新增项目机会，结合国际先进麦芽企业的硬核系统能力对标与国家智能制造政策要求，给出分层的机会地图、重点项目方案要点、申报路径与商务推进建议。</w:t>
      </w:r>
    </w:p>
    <w:p>
      <w:pPr>
        <w:spacing w:after="80" w:line="312"/>
        <w:ind w:firstLine="480"/>
        <w:jc w:val="both"/>
      </w:pPr>
      <w:r>
        <w:rPr>
          <w:sz w:val="24"/>
          <w:szCs w:val="24"/>
        </w:rPr>
        <w:t xml:space="preserve">核心判断：客户已经完成了制麦行业数字化中最难的第一步——把12步工艺产线的过程数据完整、连续地采集上来。这正是国际标杆企业构建AI生产控制平台的数据底座：法国Soufflet Malt于2026年6月发布的MALTimize平台，其核心逻辑同样是把生产数据、质量数据与计划数据汇成单一数据源后叠加AI；而同一集团内的粤海永顺泰（广州）麦芽有限公司已于2026年6月获评广东省先进级智能工厂，集团内部对标压力将快速传导至宁波公司。政策面上，工信部等七部门2025年6月印发《食品工业数字化转型实施方案》，智能工厂梯度培育行动全面铺开，升级窗口期明确。</w:t>
      </w:r>
    </w:p>
    <w:p>
      <w:pPr>
        <w:spacing w:after="80" w:line="312"/>
        <w:ind w:firstLine="480"/>
        <w:jc w:val="both"/>
      </w:pPr>
      <w:r>
        <w:rPr>
          <w:sz w:val="24"/>
          <w:szCs w:val="24"/>
        </w:rPr>
        <w:t xml:space="preserve">基于现状评估、国际对标与政策分析，本报告识别出三层十四项项目机会，并形成以下核心结论：</w:t>
      </w:r>
    </w:p>
    <w:p>
      <w:pPr>
        <w:pStyle w:val="ListParagraph"/>
        <w:numPr>
          <w:ilvl w:val="0"/>
          <w:numId w:val="2"/>
        </w:numPr>
        <w:spacing w:after="60" w:line="312"/>
        <w:jc w:val="both"/>
      </w:pPr>
      <w:r>
        <w:rPr>
          <w:b/>
          <w:bCs/>
          <w:sz w:val="24"/>
          <w:szCs w:val="24"/>
        </w:rPr>
        <w:t xml:space="preserve">近期（0–12个月）最现实的机会是在既有平台上做数据深化：</w:t>
      </w:r>
      <w:r>
        <w:rPr>
          <w:sz w:val="24"/>
          <w:szCs w:val="24"/>
        </w:rPr>
        <w:t xml:space="preserve">统一工业数据中台、能源管理与能碳监控、OEE生产绩效分析、质量数据关联分析、报警治理与智能预警、粮情大数据升级，六个项目全部以既有PLC采集与曲线报警体系为依托，投资可控、见效直观，适合作为第一年的合作重点。</w:t>
      </w:r>
    </w:p>
    <w:p>
      <w:pPr>
        <w:pStyle w:val="ListParagraph"/>
        <w:numPr>
          <w:ilvl w:val="0"/>
          <w:numId w:val="2"/>
        </w:numPr>
        <w:spacing w:after="60" w:line="312"/>
        <w:jc w:val="both"/>
      </w:pPr>
      <w:r>
        <w:rPr>
          <w:b/>
          <w:bCs/>
          <w:sz w:val="24"/>
          <w:szCs w:val="24"/>
        </w:rPr>
        <w:t xml:space="preserve">中期（12–24个月）机会在系统集成：</w:t>
      </w:r>
      <w:r>
        <w:rPr>
          <w:sz w:val="24"/>
          <w:szCs w:val="24"/>
        </w:rPr>
        <w:t xml:space="preserve">MES批次追溯与电子批记录、LIMS实验室数字化、设备预测性维护、智能仓储物流，补齐国际标杆工厂必备的系统短板。</w:t>
      </w:r>
    </w:p>
    <w:p>
      <w:pPr>
        <w:pStyle w:val="ListParagraph"/>
        <w:numPr>
          <w:ilvl w:val="0"/>
          <w:numId w:val="2"/>
        </w:numPr>
        <w:spacing w:after="60" w:line="312"/>
        <w:jc w:val="both"/>
      </w:pPr>
      <w:r>
        <w:rPr>
          <w:b/>
          <w:bCs/>
          <w:sz w:val="24"/>
          <w:szCs w:val="24"/>
        </w:rPr>
        <w:t xml:space="preserve">远期（24–36个月）向智能应用与工厂整体跃迁：</w:t>
      </w:r>
      <w:r>
        <w:rPr>
          <w:sz w:val="24"/>
          <w:szCs w:val="24"/>
        </w:rPr>
        <w:t xml:space="preserve">APC先进过程控制、产线数字孪生，并以卓越级智能工厂为目标完成整体集成。</w:t>
      </w:r>
    </w:p>
    <w:p>
      <w:pPr>
        <w:pStyle w:val="ListParagraph"/>
        <w:numPr>
          <w:ilvl w:val="0"/>
          <w:numId w:val="2"/>
        </w:numPr>
        <w:spacing w:after="60" w:line="312"/>
        <w:jc w:val="both"/>
      </w:pPr>
      <w:r>
        <w:rPr>
          <w:b/>
          <w:bCs/>
          <w:sz w:val="24"/>
          <w:szCs w:val="24"/>
        </w:rPr>
        <w:t xml:space="preserve">智能制造挂钩路径清晰：</w:t>
      </w:r>
      <w:r>
        <w:rPr>
          <w:sz w:val="24"/>
          <w:szCs w:val="24"/>
        </w:rPr>
        <w:t xml:space="preserve">以GB/T 39116智能制造能力成熟度评估为起点，走基础级—先进级—卓越级梯度申报路线，同步争取省市技改补助、智能制造专项等政策资源。</w:t>
      </w:r>
    </w:p>
    <w:p>
      <w:pPr>
        <w:pStyle w:val="ListParagraph"/>
        <w:numPr>
          <w:ilvl w:val="0"/>
          <w:numId w:val="2"/>
        </w:numPr>
        <w:spacing w:after="60" w:line="312"/>
        <w:jc w:val="both"/>
      </w:pPr>
      <w:r>
        <w:rPr>
          <w:b/>
          <w:bCs/>
          <w:sz w:val="24"/>
          <w:szCs w:val="24"/>
        </w:rPr>
        <w:t xml:space="preserve">对服务商而言的最佳切入策略：</w:t>
      </w:r>
      <w:r>
        <w:rPr>
          <w:sz w:val="24"/>
          <w:szCs w:val="24"/>
        </w:rPr>
        <w:t xml:space="preserve">以数据深化项目建立不可替代的数据底座地位，以成熟度评估与申报咨询统领投资规划，最终以总集成商身份陪跑智能工厂创建全程，并将样板复制到永顺泰集团其他生产基地。</w:t>
      </w:r>
    </w:p>
    <w:p>
      <w:pPr>
        <w:pStyle w:val="Heading1"/>
        <w:keepNext/>
        <w:spacing w:after="200" w:before="360" w:line="312"/>
        <w:outlineLvl w:val="0"/>
      </w:pPr>
      <w:bookmarkStart w:id="100001" w:name="_Toc100001"/>
      <w:r>
        <w:rPr>
          <w:rFonts w:ascii="Arial" w:eastAsia="SimHei"/>
          <w:b/>
          <w:bCs/>
          <w:color w:val="000000"/>
          <w:sz w:val="32"/>
          <w:szCs w:val="32"/>
        </w:rPr>
        <w:t xml:space="preserve">二、客户基础盘点：既有系统的价值与短板</w:t>
      </w:r>
      <w:bookmarkEnd w:id="100001"/>
    </w:p>
    <w:p>
      <w:pPr>
        <w:pStyle w:val="Heading2"/>
        <w:keepNext/>
        <w:spacing w:after="160" w:before="280" w:line="312"/>
        <w:outlineLvl w:val="1"/>
      </w:pPr>
      <w:bookmarkStart w:id="100002" w:name="_Toc100002"/>
      <w:r>
        <w:rPr>
          <w:rFonts w:ascii="Arial" w:eastAsia="SimHei"/>
          <w:b/>
          <w:bCs/>
          <w:color w:val="1A1A1A"/>
          <w:sz w:val="28"/>
          <w:szCs w:val="28"/>
        </w:rPr>
        <w:t xml:space="preserve">2.1 企业背景与行业坐标</w:t>
      </w:r>
      <w:bookmarkEnd w:id="100002"/>
    </w:p>
    <w:p>
      <w:pPr>
        <w:spacing w:after="80" w:line="312"/>
        <w:ind w:firstLine="480"/>
        <w:jc w:val="both"/>
      </w:pPr>
      <w:r>
        <w:rPr>
          <w:sz w:val="24"/>
          <w:szCs w:val="24"/>
        </w:rPr>
        <w:t xml:space="preserve">永顺泰集团是国内生产规模最大的麦芽制造商，2022年11月在深圳证券交易所主板上市（证券代码001338），产能规模位居亚洲前列，生产基地覆盖广州、宁波、秦皇岛、宝应等地，产品主要供应国内大型啤酒集团。粤海永顺泰（宁波）麦芽有限公司成立于2018年4月，位于宁波市北仑区，是集团在华东市场的重要布点。公司主要生产专供啤酒厂的酿造用麦芽，产线覆盖从原料大麦接收、清选分级、储存、浸麦、发芽、干燥、除根到包装发运的完整制麦工序（即客户所称12步工艺产线），并配套粮食发酵等制作车间与立仓仓储设施。</w:t>
      </w:r>
    </w:p>
    <w:p>
      <w:pPr>
        <w:spacing w:after="80" w:line="312"/>
        <w:ind w:firstLine="480"/>
        <w:jc w:val="both"/>
      </w:pPr>
      <w:r>
        <w:rPr>
          <w:sz w:val="24"/>
          <w:szCs w:val="24"/>
        </w:rPr>
        <w:t xml:space="preserve">制麦行业的业务本质是大规模、连续化、重资产的粮食加工与食品制造：原料（大麦）成本占比高、产品同质化程度较高、下游啤酒大客户议价能力强，企业利润高度依赖出成率（浸出物得率与制麦损失控制）、能源单耗与质量稳定性。这一行业属性决定了数字化投入的价值排序——凡能直接改善出成率、单耗、质量一致性与客户质量信任的项目，优先级天然靠前。</w:t>
      </w:r>
    </w:p>
    <w:p>
      <w:pPr>
        <w:pStyle w:val="Heading2"/>
        <w:keepNext/>
        <w:spacing w:after="160" w:before="280" w:line="312"/>
        <w:outlineLvl w:val="1"/>
      </w:pPr>
      <w:bookmarkStart w:id="100003" w:name="_Toc100003"/>
      <w:r>
        <w:rPr>
          <w:rFonts w:ascii="Arial" w:eastAsia="SimHei"/>
          <w:b/>
          <w:bCs/>
          <w:color w:val="1A1A1A"/>
          <w:sz w:val="28"/>
          <w:szCs w:val="28"/>
        </w:rPr>
        <w:t xml:space="preserve">2.2 既有三套系统的资产价值评估</w:t>
      </w:r>
      <w:bookmarkEnd w:id="100003"/>
    </w:p>
    <w:p>
      <w:pPr>
        <w:spacing w:after="80" w:line="312"/>
        <w:ind w:firstLine="480"/>
        <w:jc w:val="both"/>
      </w:pPr>
      <w:r>
        <w:rPr>
          <w:sz w:val="24"/>
          <w:szCs w:val="24"/>
        </w:rPr>
        <w:t xml:space="preserve">客户已建成的三套系统构成了一个质量较高的OT层数据底座，具体盘点如下：</w:t>
      </w:r>
    </w:p>
    <w:p>
      <w:pPr>
        <w:keepNext/>
        <w:spacing w:after="100" w:before="160" w:line="312"/>
        <w:jc w:val="center"/>
      </w:pPr>
      <w:r>
        <w:rPr>
          <w:rFonts w:ascii="Arial" w:eastAsia="SimHei"/>
          <w:b/>
          <w:bCs/>
          <w:color w:val="1A1A1A"/>
          <w:sz w:val="21"/>
          <w:szCs w:val="21"/>
        </w:rPr>
        <w:t xml:space="preserve">表2-1 既有系统资产盘点与延伸方向</w:t>
      </w:r>
    </w:p>
    <w:tbl>
      <w:tblPr>
        <w:tblW w:type="dxa" w:w="8788"/>
        <w:tblBorders>
          <w:top w:val="single" w:color="8A6A34" w:sz="8"/>
          <w:left w:val="single" w:color="DDD8CC" w:sz="4"/>
          <w:bottom w:val="single" w:color="8A6A34" w:sz="8"/>
          <w:right w:val="single" w:color="DDD8CC" w:sz="4"/>
          <w:insideH w:val="single" w:color="DDD8CC" w:sz="4"/>
          <w:insideV w:val="single" w:color="DDD8CC" w:sz="4"/>
        </w:tblBorders>
        <w:tblLayout w:type="fixed"/>
      </w:tblPr>
      <w:tblGrid>
        <w:gridCol w:w="1900"/>
        <w:gridCol w:w="2600"/>
        <w:gridCol w:w="2500"/>
        <w:gridCol w:w="1788"/>
      </w:tblGrid>
      <w:tr>
        <w:trPr>
          <w:cantSplit/>
          <w:tblHeader/>
        </w:trPr>
        <w:tc>
          <w:tcPr>
            <w:tcW w:type="dxa" w:w="1900"/>
            <w:shd w:fill="D6C096" w:val="clear"/>
            <w:tcMar>
              <w:top w:type="dxa" w:w="60"/>
              <w:left w:type="dxa" w:w="100"/>
              <w:bottom w:type="dxa" w:w="60"/>
              <w:right w:type="dxa" w:w="100"/>
            </w:tcMar>
            <w:vAlign w:val="center"/>
          </w:tcPr>
          <w:p>
            <w:pPr>
              <w:spacing w:line="312"/>
              <w:jc w:val="center"/>
            </w:pPr>
            <w:r>
              <w:rPr>
                <w:rFonts w:ascii="Arial" w:eastAsia="SimHei"/>
                <w:b/>
                <w:bCs/>
                <w:color w:val="1A1A1A"/>
                <w:sz w:val="21"/>
                <w:szCs w:val="21"/>
              </w:rPr>
              <w:t xml:space="preserve">既有系统</w:t>
            </w:r>
          </w:p>
        </w:tc>
        <w:tc>
          <w:tcPr>
            <w:tcW w:type="dxa" w:w="2600"/>
            <w:shd w:fill="D6C096" w:val="clear"/>
            <w:tcMar>
              <w:top w:type="dxa" w:w="60"/>
              <w:left w:type="dxa" w:w="100"/>
              <w:bottom w:type="dxa" w:w="60"/>
              <w:right w:type="dxa" w:w="100"/>
            </w:tcMar>
            <w:vAlign w:val="center"/>
          </w:tcPr>
          <w:p>
            <w:pPr>
              <w:spacing w:line="312"/>
              <w:jc w:val="center"/>
            </w:pPr>
            <w:r>
              <w:rPr>
                <w:rFonts w:ascii="Arial" w:eastAsia="SimHei"/>
                <w:b/>
                <w:bCs/>
                <w:color w:val="1A1A1A"/>
                <w:sz w:val="21"/>
                <w:szCs w:val="21"/>
              </w:rPr>
              <w:t xml:space="preserve">现状与能力</w:t>
            </w:r>
          </w:p>
        </w:tc>
        <w:tc>
          <w:tcPr>
            <w:tcW w:type="dxa" w:w="2500"/>
            <w:shd w:fill="D6C096" w:val="clear"/>
            <w:tcMar>
              <w:top w:type="dxa" w:w="60"/>
              <w:left w:type="dxa" w:w="100"/>
              <w:bottom w:type="dxa" w:w="60"/>
              <w:right w:type="dxa" w:w="100"/>
            </w:tcMar>
            <w:vAlign w:val="center"/>
          </w:tcPr>
          <w:p>
            <w:pPr>
              <w:spacing w:line="312"/>
              <w:jc w:val="center"/>
            </w:pPr>
            <w:r>
              <w:rPr>
                <w:rFonts w:ascii="Arial" w:eastAsia="SimHei"/>
                <w:b/>
                <w:bCs/>
                <w:color w:val="1A1A1A"/>
                <w:sz w:val="21"/>
                <w:szCs w:val="21"/>
              </w:rPr>
              <w:t xml:space="preserve">沉淀的核心价值</w:t>
            </w:r>
          </w:p>
        </w:tc>
        <w:tc>
          <w:tcPr>
            <w:tcW w:type="dxa" w:w="1788"/>
            <w:shd w:fill="D6C096" w:val="clear"/>
            <w:tcMar>
              <w:top w:type="dxa" w:w="60"/>
              <w:left w:type="dxa" w:w="100"/>
              <w:bottom w:type="dxa" w:w="60"/>
              <w:right w:type="dxa" w:w="100"/>
            </w:tcMar>
            <w:vAlign w:val="center"/>
          </w:tcPr>
          <w:p>
            <w:pPr>
              <w:spacing w:line="312"/>
              <w:jc w:val="center"/>
            </w:pPr>
            <w:r>
              <w:rPr>
                <w:rFonts w:ascii="Arial" w:eastAsia="SimHei"/>
                <w:b/>
                <w:bCs/>
                <w:color w:val="1A1A1A"/>
                <w:sz w:val="21"/>
                <w:szCs w:val="21"/>
              </w:rPr>
              <w:t xml:space="preserve">可延伸方向</w:t>
            </w:r>
          </w:p>
        </w:tc>
      </w:tr>
      <w:tr>
        <w:trPr>
          <w:cantSplit/>
        </w:trPr>
        <w:tc>
          <w:tcPr>
            <w:tcW w:type="dxa" w:w="1900"/>
            <w:shd w:fill="FFFFFF" w:val="clear"/>
            <w:tcMar>
              <w:top w:type="dxa" w:w="60"/>
              <w:left w:type="dxa" w:w="100"/>
              <w:bottom w:type="dxa" w:w="60"/>
              <w:right w:type="dxa" w:w="100"/>
            </w:tcMar>
            <w:vAlign w:val="center"/>
          </w:tcPr>
          <w:p>
            <w:pPr>
              <w:spacing w:line="312"/>
              <w:jc w:val="left"/>
            </w:pPr>
            <w:r>
              <w:rPr>
                <w:color w:val="222222"/>
                <w:sz w:val="21"/>
                <w:szCs w:val="21"/>
              </w:rPr>
              <w:t xml:space="preserve">西门子PLC过程数据采集平台</w:t>
            </w:r>
          </w:p>
        </w:tc>
        <w:tc>
          <w:tcPr>
            <w:tcW w:type="dxa" w:w="2600"/>
            <w:shd w:fill="FFFFFF" w:val="clear"/>
            <w:tcMar>
              <w:top w:type="dxa" w:w="60"/>
              <w:left w:type="dxa" w:w="100"/>
              <w:bottom w:type="dxa" w:w="60"/>
              <w:right w:type="dxa" w:w="100"/>
            </w:tcMar>
            <w:vAlign w:val="center"/>
          </w:tcPr>
          <w:p>
            <w:pPr>
              <w:spacing w:line="312"/>
              <w:jc w:val="left"/>
            </w:pPr>
            <w:r>
              <w:rPr>
                <w:color w:val="222222"/>
                <w:sz w:val="21"/>
                <w:szCs w:val="21"/>
              </w:rPr>
              <w:t xml:space="preserve">覆盖12步工艺产线的主要控制回路、工艺参数与设备状态，实现过程数据自动采集与汇聚</w:t>
            </w:r>
          </w:p>
        </w:tc>
        <w:tc>
          <w:tcPr>
            <w:tcW w:type="dxa" w:w="2500"/>
            <w:shd w:fill="FFFFFF" w:val="clear"/>
            <w:tcMar>
              <w:top w:type="dxa" w:w="60"/>
              <w:left w:type="dxa" w:w="100"/>
              <w:bottom w:type="dxa" w:w="60"/>
              <w:right w:type="dxa" w:w="100"/>
            </w:tcMar>
            <w:vAlign w:val="center"/>
          </w:tcPr>
          <w:p>
            <w:pPr>
              <w:spacing w:line="312"/>
              <w:jc w:val="left"/>
            </w:pPr>
            <w:r>
              <w:rPr>
                <w:color w:val="222222"/>
                <w:sz w:val="21"/>
                <w:szCs w:val="21"/>
              </w:rPr>
              <w:t xml:space="preserve">企业最宝贵的过程数据资产；具备向分析、预测与优化应用延伸的全部条件</w:t>
            </w:r>
          </w:p>
        </w:tc>
        <w:tc>
          <w:tcPr>
            <w:tcW w:type="dxa" w:w="1788"/>
            <w:shd w:fill="FFFFFF" w:val="clear"/>
            <w:tcMar>
              <w:top w:type="dxa" w:w="60"/>
              <w:left w:type="dxa" w:w="100"/>
              <w:bottom w:type="dxa" w:w="60"/>
              <w:right w:type="dxa" w:w="100"/>
            </w:tcMar>
            <w:vAlign w:val="center"/>
          </w:tcPr>
          <w:p>
            <w:pPr>
              <w:spacing w:line="312"/>
              <w:jc w:val="left"/>
            </w:pPr>
            <w:r>
              <w:rPr>
                <w:color w:val="222222"/>
                <w:sz w:val="21"/>
                <w:szCs w:val="21"/>
              </w:rPr>
              <w:t xml:space="preserve">数据中台、能源管理、AI分析</w:t>
            </w:r>
          </w:p>
        </w:tc>
      </w:tr>
      <w:tr>
        <w:trPr>
          <w:cantSplit/>
        </w:trPr>
        <w:tc>
          <w:tcPr>
            <w:tcW w:type="dxa" w:w="1900"/>
            <w:shd w:fill="F5F3ED" w:val="clear"/>
            <w:tcMar>
              <w:top w:type="dxa" w:w="60"/>
              <w:left w:type="dxa" w:w="100"/>
              <w:bottom w:type="dxa" w:w="60"/>
              <w:right w:type="dxa" w:w="100"/>
            </w:tcMar>
            <w:vAlign w:val="center"/>
          </w:tcPr>
          <w:p>
            <w:pPr>
              <w:spacing w:line="312"/>
              <w:jc w:val="left"/>
            </w:pPr>
            <w:r>
              <w:rPr>
                <w:color w:val="222222"/>
                <w:sz w:val="21"/>
                <w:szCs w:val="21"/>
              </w:rPr>
              <w:t xml:space="preserve">对标WINCC的曲线与报警系统</w:t>
            </w:r>
          </w:p>
        </w:tc>
        <w:tc>
          <w:tcPr>
            <w:tcW w:type="dxa" w:w="2600"/>
            <w:shd w:fill="F5F3ED" w:val="clear"/>
            <w:tcMar>
              <w:top w:type="dxa" w:w="60"/>
              <w:left w:type="dxa" w:w="100"/>
              <w:bottom w:type="dxa" w:w="60"/>
              <w:right w:type="dxa" w:w="100"/>
            </w:tcMar>
            <w:vAlign w:val="center"/>
          </w:tcPr>
          <w:p>
            <w:pPr>
              <w:spacing w:line="312"/>
              <w:jc w:val="left"/>
            </w:pPr>
            <w:r>
              <w:rPr>
                <w:color w:val="222222"/>
                <w:sz w:val="21"/>
                <w:szCs w:val="21"/>
              </w:rPr>
              <w:t xml:space="preserve">提供过程曲线回看、报警记录与展示，替代进口SCADA核心功能</w:t>
            </w:r>
          </w:p>
        </w:tc>
        <w:tc>
          <w:tcPr>
            <w:tcW w:type="dxa" w:w="2500"/>
            <w:shd w:fill="F5F3ED" w:val="clear"/>
            <w:tcMar>
              <w:top w:type="dxa" w:w="60"/>
              <w:left w:type="dxa" w:w="100"/>
              <w:bottom w:type="dxa" w:w="60"/>
              <w:right w:type="dxa" w:w="100"/>
            </w:tcMar>
            <w:vAlign w:val="center"/>
          </w:tcPr>
          <w:p>
            <w:pPr>
              <w:spacing w:line="312"/>
              <w:jc w:val="left"/>
            </w:pPr>
            <w:r>
              <w:rPr>
                <w:color w:val="222222"/>
                <w:sz w:val="21"/>
                <w:szCs w:val="21"/>
              </w:rPr>
              <w:t xml:space="preserve">过程可视化与事件追溯能力成型；报警数据本身是待挖掘的分析金矿</w:t>
            </w:r>
          </w:p>
        </w:tc>
        <w:tc>
          <w:tcPr>
            <w:tcW w:type="dxa" w:w="1788"/>
            <w:shd w:fill="F5F3ED" w:val="clear"/>
            <w:tcMar>
              <w:top w:type="dxa" w:w="60"/>
              <w:left w:type="dxa" w:w="100"/>
              <w:bottom w:type="dxa" w:w="60"/>
              <w:right w:type="dxa" w:w="100"/>
            </w:tcMar>
            <w:vAlign w:val="center"/>
          </w:tcPr>
          <w:p>
            <w:pPr>
              <w:spacing w:line="312"/>
              <w:jc w:val="left"/>
            </w:pPr>
            <w:r>
              <w:rPr>
                <w:color w:val="222222"/>
                <w:sz w:val="21"/>
                <w:szCs w:val="21"/>
              </w:rPr>
              <w:t xml:space="preserve">报警治理、智能预警、OEE统计</w:t>
            </w:r>
          </w:p>
        </w:tc>
      </w:tr>
      <w:tr>
        <w:trPr>
          <w:cantSplit/>
        </w:trPr>
        <w:tc>
          <w:tcPr>
            <w:tcW w:type="dxa" w:w="1900"/>
            <w:shd w:fill="FFFFFF" w:val="clear"/>
            <w:tcMar>
              <w:top w:type="dxa" w:w="60"/>
              <w:left w:type="dxa" w:w="100"/>
              <w:bottom w:type="dxa" w:w="60"/>
              <w:right w:type="dxa" w:w="100"/>
            </w:tcMar>
            <w:vAlign w:val="center"/>
          </w:tcPr>
          <w:p>
            <w:pPr>
              <w:spacing w:line="312"/>
              <w:jc w:val="left"/>
            </w:pPr>
            <w:r>
              <w:rPr>
                <w:color w:val="222222"/>
                <w:sz w:val="21"/>
                <w:szCs w:val="21"/>
              </w:rPr>
              <w:t xml:space="preserve">粮温监控系统</w:t>
            </w:r>
          </w:p>
        </w:tc>
        <w:tc>
          <w:tcPr>
            <w:tcW w:type="dxa" w:w="2600"/>
            <w:shd w:fill="FFFFFF" w:val="clear"/>
            <w:tcMar>
              <w:top w:type="dxa" w:w="60"/>
              <w:left w:type="dxa" w:w="100"/>
              <w:bottom w:type="dxa" w:w="60"/>
              <w:right w:type="dxa" w:w="100"/>
            </w:tcMar>
            <w:vAlign w:val="center"/>
          </w:tcPr>
          <w:p>
            <w:pPr>
              <w:spacing w:line="312"/>
              <w:jc w:val="left"/>
            </w:pPr>
            <w:r>
              <w:rPr>
                <w:color w:val="222222"/>
                <w:sz w:val="21"/>
                <w:szCs w:val="21"/>
              </w:rPr>
              <w:t xml:space="preserve">对立仓及储存大麦进行温度监测，辅助人工粮情判断</w:t>
            </w:r>
          </w:p>
        </w:tc>
        <w:tc>
          <w:tcPr>
            <w:tcW w:type="dxa" w:w="2500"/>
            <w:shd w:fill="FFFFFF" w:val="clear"/>
            <w:tcMar>
              <w:top w:type="dxa" w:w="60"/>
              <w:left w:type="dxa" w:w="100"/>
              <w:bottom w:type="dxa" w:w="60"/>
              <w:right w:type="dxa" w:w="100"/>
            </w:tcMar>
            <w:vAlign w:val="center"/>
          </w:tcPr>
          <w:p>
            <w:pPr>
              <w:spacing w:line="312"/>
              <w:jc w:val="left"/>
            </w:pPr>
            <w:r>
              <w:rPr>
                <w:color w:val="222222"/>
                <w:sz w:val="21"/>
                <w:szCs w:val="21"/>
              </w:rPr>
              <w:t xml:space="preserve">具备粮食储存安全监测基础；数据尚处孤岛状态，未与工艺、质量数据联动</w:t>
            </w:r>
          </w:p>
        </w:tc>
        <w:tc>
          <w:tcPr>
            <w:tcW w:type="dxa" w:w="1788"/>
            <w:shd w:fill="FFFFFF" w:val="clear"/>
            <w:tcMar>
              <w:top w:type="dxa" w:w="60"/>
              <w:left w:type="dxa" w:w="100"/>
              <w:bottom w:type="dxa" w:w="60"/>
              <w:right w:type="dxa" w:w="100"/>
            </w:tcMar>
            <w:vAlign w:val="center"/>
          </w:tcPr>
          <w:p>
            <w:pPr>
              <w:spacing w:line="312"/>
              <w:jc w:val="left"/>
            </w:pPr>
            <w:r>
              <w:rPr>
                <w:color w:val="222222"/>
                <w:sz w:val="21"/>
                <w:szCs w:val="21"/>
              </w:rPr>
              <w:t xml:space="preserve">粮情大数据、储存损耗优化</w:t>
            </w:r>
          </w:p>
        </w:tc>
      </w:tr>
    </w:tbl>
    <w:p>
      <w:pPr>
        <w:spacing w:after="80" w:line="312"/>
        <w:ind w:firstLine="480"/>
        <w:jc w:val="both"/>
      </w:pPr>
      <w:r>
        <w:rPr>
          <w:sz w:val="24"/>
          <w:szCs w:val="24"/>
        </w:rPr>
        <w:t xml:space="preserve">三套系统的共同特征是：已经打通OT层数据入口，但数据价值仍停留在监视与事后查询层面，尚未形成分析、预测与优化能力；同时三套系统相互独立，质量化验数据、能源计量数据大多仍分散在纸质台账或单机表格中。这些恰恰构成了后续全部项目机会的起点。</w:t>
      </w:r>
    </w:p>
    <w:p>
      <w:pPr>
        <w:pStyle w:val="Heading2"/>
        <w:keepNext/>
        <w:spacing w:after="160" w:before="280" w:line="312"/>
        <w:outlineLvl w:val="1"/>
      </w:pPr>
      <w:bookmarkStart w:id="100004" w:name="_Toc100004"/>
      <w:r>
        <w:rPr>
          <w:rFonts w:ascii="Arial" w:eastAsia="SimHei"/>
          <w:b/>
          <w:bCs/>
          <w:color w:val="1A1A1A"/>
          <w:sz w:val="28"/>
          <w:szCs w:val="28"/>
        </w:rPr>
        <w:t xml:space="preserve">2.3 从智能制造成熟度看当前短板</w:t>
      </w:r>
      <w:bookmarkEnd w:id="100004"/>
    </w:p>
    <w:p>
      <w:pPr>
        <w:spacing w:after="80" w:line="312"/>
        <w:ind w:firstLine="480"/>
        <w:jc w:val="both"/>
      </w:pPr>
      <w:r>
        <w:rPr>
          <w:sz w:val="24"/>
          <w:szCs w:val="24"/>
        </w:rPr>
        <w:t xml:space="preserve">以GB/T 39116-2020《智能制造能力成熟度模型》的视角进行初判（基于公开信息的定性评估，正式结论应以现场评估为准）：客户在设备自动化、数据采集两个能力域已达到行业中上水平；在数据集成与共享、生产作业管理（MES）、质量管控数字化（LIMS）、能源管理、设备管理、智能分析等能力域，仍处于单点应用或待建设状态。</w:t>
      </w:r>
    </w:p>
    <w:p>
      <w:pPr>
        <w:spacing w:after="80" w:line="312"/>
        <w:ind w:firstLine="480"/>
        <w:jc w:val="both"/>
      </w:pPr>
      <w:r>
        <w:rPr>
          <w:sz w:val="24"/>
          <w:szCs w:val="24"/>
        </w:rPr>
        <w:t xml:space="preserve">短板即机会：制麦行业从数据采集到智能应用的跨越路径，行业内尚无形成垄断格局的成熟方案商，先行者既可以帮助客户形成行业标杆效应，也容易将本项目沉淀为可复制的行业解决方案。</w:t>
      </w:r>
    </w:p>
    <w:p>
      <w:pPr>
        <w:pStyle w:val="Heading1"/>
        <w:keepNext/>
        <w:spacing w:after="200" w:before="360" w:line="312"/>
        <w:outlineLvl w:val="0"/>
      </w:pPr>
      <w:bookmarkStart w:id="100005" w:name="_Toc100005"/>
      <w:r>
        <w:rPr>
          <w:rFonts w:ascii="Arial" w:eastAsia="SimHei"/>
          <w:b/>
          <w:bCs/>
          <w:color w:val="000000"/>
          <w:sz w:val="32"/>
          <w:szCs w:val="32"/>
        </w:rPr>
        <w:t xml:space="preserve">三、政策与集团双重驱动：窗口期判断</w:t>
      </w:r>
      <w:bookmarkEnd w:id="100005"/>
    </w:p>
    <w:p>
      <w:pPr>
        <w:pStyle w:val="Heading2"/>
        <w:keepNext/>
        <w:spacing w:after="160" w:before="280" w:line="312"/>
        <w:outlineLvl w:val="1"/>
      </w:pPr>
      <w:bookmarkStart w:id="100006" w:name="_Toc100006"/>
      <w:r>
        <w:rPr>
          <w:rFonts w:ascii="Arial" w:eastAsia="SimHei"/>
          <w:b/>
          <w:bCs/>
          <w:color w:val="1A1A1A"/>
          <w:sz w:val="28"/>
          <w:szCs w:val="28"/>
        </w:rPr>
        <w:t xml:space="preserve">3.1 国家政策：食品工业数字化转型与智能工厂梯度培育</w:t>
      </w:r>
      <w:bookmarkEnd w:id="100006"/>
    </w:p>
    <w:p>
      <w:pPr>
        <w:spacing w:after="80" w:line="312"/>
        <w:ind w:firstLine="480"/>
        <w:jc w:val="both"/>
      </w:pPr>
      <w:r>
        <w:rPr>
          <w:sz w:val="24"/>
          <w:szCs w:val="24"/>
        </w:rPr>
        <w:t xml:space="preserve">2025年6月，工业和信息化部等七部门印发《食品工业数字化转型实施方案》，提出到2027年重点食品企业关键工序数控化率、数字化研发设计工具普及率达到75%左右的目标，并部署智能工厂（数字化车间）培育、典型场景推广、解决方案供给等重点任务。同期，智能工厂梯度培育行动在全国铺开，按基础级、先进级、卓越级、领航级四个层级递进培育，为企业提供了清晰的升级阶梯与申报通道。制麦作为食品制造（啤酒原料）行业的细分领域，属于方案覆盖范围，麦芽企业申报智能工厂具备直接的政策依据。</w:t>
      </w:r>
    </w:p>
    <w:p>
      <w:pPr>
        <w:pStyle w:val="Heading2"/>
        <w:keepNext/>
        <w:spacing w:after="160" w:before="280" w:line="312"/>
        <w:outlineLvl w:val="1"/>
      </w:pPr>
      <w:bookmarkStart w:id="100007" w:name="_Toc100007"/>
      <w:r>
        <w:rPr>
          <w:rFonts w:ascii="Arial" w:eastAsia="SimHei"/>
          <w:b/>
          <w:bCs/>
          <w:color w:val="1A1A1A"/>
          <w:sz w:val="28"/>
          <w:szCs w:val="28"/>
        </w:rPr>
        <w:t xml:space="preserve">3.2 国有企业数字化转型考核要求</w:t>
      </w:r>
      <w:bookmarkEnd w:id="100007"/>
    </w:p>
    <w:p>
      <w:pPr>
        <w:spacing w:after="80" w:line="312"/>
        <w:ind w:firstLine="480"/>
        <w:jc w:val="both"/>
      </w:pPr>
      <w:r>
        <w:rPr>
          <w:sz w:val="24"/>
          <w:szCs w:val="24"/>
        </w:rPr>
        <w:t xml:space="preserve">宁波公司隶属广东省属国企体系。国务院国资委近年持续推动国有企业数字化转型，将数字化投入与成效纳入对国有企业的考核评价视野，省级国资亦相继出台数字化转型专项要求与补助政策。对国有身份的麦芽企业而言，智能工厂称号与数字化转型示范项目既是生产力工程，也是荣誉工程与考核工程，相关预算获取的确定性高于一般民营工厂——这是判断项目落地概率时的重要加权因素。</w:t>
      </w:r>
    </w:p>
    <w:p>
      <w:pPr>
        <w:pStyle w:val="Heading2"/>
        <w:keepNext/>
        <w:spacing w:after="160" w:before="280" w:line="312"/>
        <w:outlineLvl w:val="1"/>
      </w:pPr>
      <w:bookmarkStart w:id="100008" w:name="_Toc100008"/>
      <w:r>
        <w:rPr>
          <w:rFonts w:ascii="Arial" w:eastAsia="SimHei"/>
          <w:b/>
          <w:bCs/>
          <w:color w:val="1A1A1A"/>
          <w:sz w:val="28"/>
          <w:szCs w:val="28"/>
        </w:rPr>
        <w:t xml:space="preserve">3.3 集团内标杆：广州公司获评省先进级智能工厂</w:t>
      </w:r>
      <w:bookmarkEnd w:id="100008"/>
    </w:p>
    <w:p>
      <w:pPr>
        <w:spacing w:after="80" w:line="312"/>
        <w:ind w:firstLine="480"/>
        <w:jc w:val="both"/>
      </w:pPr>
      <w:r>
        <w:rPr>
          <w:sz w:val="24"/>
          <w:szCs w:val="24"/>
        </w:rPr>
        <w:t xml:space="preserve">2026年6月，粤海永顺泰（广州）麦芽有限公司获评广东省先进级智能工厂。公开报道显示，广州公司立足制麦产业数字化变革趋势，以全链条数字化改造为抓手统筹软硬件升级，围绕生产全生命周期布局智能化架构。这一事件对宁波公司意味着三点：其一，集团总部对智能工厂的建设路径已有认知与投资先例；其二，宁波公司作为集团内同等规模生产基地，存在强烈的对标与看齐需求；其三，服务商可参考广州项目的申报口径、建设清单与评审要点，把宁波项目规划为集团内可复制的下一站样板。这是当前本项目最直接、最热的机会触发器。</w:t>
      </w:r>
    </w:p>
    <w:p>
      <w:pPr>
        <w:pStyle w:val="Heading2"/>
        <w:keepNext/>
        <w:spacing w:after="160" w:before="280" w:line="312"/>
        <w:outlineLvl w:val="1"/>
      </w:pPr>
      <w:bookmarkStart w:id="100009" w:name="_Toc100009"/>
      <w:r>
        <w:rPr>
          <w:rFonts w:ascii="Arial" w:eastAsia="SimHei"/>
          <w:b/>
          <w:bCs/>
          <w:color w:val="1A1A1A"/>
          <w:sz w:val="28"/>
          <w:szCs w:val="28"/>
        </w:rPr>
        <w:t xml:space="preserve">3.4 行业经营环境倒逼降本增效</w:t>
      </w:r>
      <w:bookmarkEnd w:id="100009"/>
    </w:p>
    <w:p>
      <w:pPr>
        <w:spacing w:after="80" w:line="312"/>
        <w:ind w:firstLine="480"/>
        <w:jc w:val="both"/>
      </w:pPr>
      <w:r>
        <w:rPr>
          <w:sz w:val="24"/>
          <w:szCs w:val="24"/>
        </w:rPr>
        <w:t xml:space="preserve">麦芽行业的下游为啤酒行业，近年国内啤酒销量总体平稳、消费结构升级，啤酒厂对麦芽供应商的质量稳定性、食品安全可追溯乃至低碳属性的要求持续提高；上游进口大麦价格波动加大，能源与人工成本刚性上升。集团2025年年度报告亦披露公司持续推进产品多样化与基地能力建设，宝应公司的高端特质麦芽二期项目投资约3亿元。降本增效与质量差异化竞争，共同构成企业为数字化持续买单的内生动力。</w:t>
      </w:r>
    </w:p>
    <w:p>
      <w:pPr>
        <w:pStyle w:val="Heading1"/>
        <w:keepNext/>
        <w:spacing w:after="200" w:before="360" w:line="312"/>
        <w:outlineLvl w:val="0"/>
      </w:pPr>
      <w:bookmarkStart w:id="100010" w:name="_Toc100010"/>
      <w:r>
        <w:rPr>
          <w:rFonts w:ascii="Arial" w:eastAsia="SimHei"/>
          <w:b/>
          <w:bCs/>
          <w:color w:val="000000"/>
          <w:sz w:val="32"/>
          <w:szCs w:val="32"/>
        </w:rPr>
        <w:t xml:space="preserve">四、国际先进麦芽企业对标：硬核系统清单</w:t>
      </w:r>
      <w:bookmarkEnd w:id="100010"/>
    </w:p>
    <w:p>
      <w:pPr>
        <w:pStyle w:val="Heading2"/>
        <w:keepNext/>
        <w:spacing w:after="160" w:before="280" w:line="312"/>
        <w:outlineLvl w:val="1"/>
      </w:pPr>
      <w:bookmarkStart w:id="100011" w:name="_Toc100011"/>
      <w:r>
        <w:rPr>
          <w:rFonts w:ascii="Arial" w:eastAsia="SimHei"/>
          <w:b/>
          <w:bCs/>
          <w:color w:val="1A1A1A"/>
          <w:sz w:val="28"/>
          <w:szCs w:val="28"/>
        </w:rPr>
        <w:t xml:space="preserve">4.1 全球麦芽产业格局与数字化领先者</w:t>
      </w:r>
      <w:bookmarkEnd w:id="100011"/>
    </w:p>
    <w:p>
      <w:pPr>
        <w:spacing w:after="80" w:line="312"/>
        <w:ind w:firstLine="480"/>
        <w:jc w:val="both"/>
      </w:pPr>
      <w:r>
        <w:rPr>
          <w:sz w:val="24"/>
          <w:szCs w:val="24"/>
        </w:rPr>
        <w:t xml:space="preserve">全球麦芽产业集中度较高，代表性跨国集团包括：Soufflet Malt（法国，InVivo集团旗下，产能规模全球领先）、Boortmalt（在全球五大洲运营27家麦芽厂、年产能约300万吨）、Cargill Malt（美国）、Malteurop（法国，Vivescia集团旗下）、Viking Malt（北欧）、Simpson Malt（英国）等。这些领先企业的共同特征是：产能全球化布局，加上从大麦农场到麦芽厂再到啤酒厂的全链条数字化能力。</w:t>
      </w:r>
    </w:p>
    <w:p>
      <w:pPr>
        <w:pStyle w:val="Heading2"/>
        <w:keepNext/>
        <w:spacing w:after="160" w:before="280" w:line="312"/>
        <w:outlineLvl w:val="1"/>
      </w:pPr>
      <w:bookmarkStart w:id="100012" w:name="_Toc100012"/>
      <w:r>
        <w:rPr>
          <w:rFonts w:ascii="Arial" w:eastAsia="SimHei"/>
          <w:b/>
          <w:bCs/>
          <w:color w:val="1A1A1A"/>
          <w:sz w:val="28"/>
          <w:szCs w:val="28"/>
        </w:rPr>
        <w:t xml:space="preserve">4.2 Soufflet Malt：MALTimize AI平台的生产控制实践</w:t>
      </w:r>
      <w:bookmarkEnd w:id="100012"/>
    </w:p>
    <w:p>
      <w:pPr>
        <w:spacing w:after="80" w:line="312"/>
        <w:ind w:firstLine="480"/>
        <w:jc w:val="both"/>
      </w:pPr>
      <w:r>
        <w:rPr>
          <w:sz w:val="24"/>
          <w:szCs w:val="24"/>
        </w:rPr>
        <w:t xml:space="preserve">2026年6月，Soufflet Malt正式发布AI驱动的生产平台MALTimize：将分散于各工厂的生产数据、质量数据、预测与计划数据整合为单一可靠数据源（single source of truth），再叠加AI模型，把生产输入转化为精确、可执行的生产建议，用于优化出成率与产品质量一致性。配套地，该公司还运营面向全球员工的MALT-Up在线学习体系，并于2026年上半年宣布在印度投资约1亿欧元建设以数据分析平台为核心的AI驱动麦芽厂。其路径可以概括为：先把全球工厂数据统一入湖，再用AI反哺每一家工厂的生产控制——这与本报告为宁波公司设计的数据中台先行路线完全一致。</w:t>
      </w:r>
    </w:p>
    <w:p>
      <w:pPr>
        <w:pStyle w:val="Heading2"/>
        <w:keepNext/>
        <w:spacing w:after="160" w:before="280" w:line="312"/>
        <w:outlineLvl w:val="1"/>
      </w:pPr>
      <w:bookmarkStart w:id="100013" w:name="_Toc100013"/>
      <w:r>
        <w:rPr>
          <w:rFonts w:ascii="Arial" w:eastAsia="SimHei"/>
          <w:b/>
          <w:bCs/>
          <w:color w:val="1A1A1A"/>
          <w:sz w:val="28"/>
          <w:szCs w:val="28"/>
        </w:rPr>
        <w:t xml:space="preserve">4.3 Boortmalt与Malteurop：从田间到工厂的数字化布局</w:t>
      </w:r>
      <w:bookmarkEnd w:id="100013"/>
    </w:p>
    <w:p>
      <w:pPr>
        <w:spacing w:after="80" w:line="312"/>
        <w:ind w:firstLine="480"/>
        <w:jc w:val="both"/>
      </w:pPr>
      <w:r>
        <w:rPr>
          <w:sz w:val="24"/>
          <w:szCs w:val="24"/>
        </w:rPr>
        <w:t xml:space="preserve">Boortmalt多年持续推进从大麦农场到麦芽厂的全程数字化：与巴斯夫（BASF）合作推广气候智慧农业数字工具，把种植端数据（品种、农艺措施、碳足迹）与麦芽加工端贯通，向下游啤酒客户提供具备可持续属性的认证麦芽。Malteurop则以再生农业与供应链脱碳为主线，构建大麦采购端的数字化溯源与碳核算能力。装备与系统生态层面，德国ProLeit等厂商提供面向啤酒与制麦行业的成熟MES与设备集成方案，布勒（Bühler）等装备巨头将工艺装备与IoT数字化服务打包交付。综合来看，国际先进麦芽工厂的标配系统架构为：过程控制系统（DCS/PLC）+SCADA+MES（含电子批记录）+LIMS+能源管理+高级分析与优化层（APC/AI）。</w:t>
      </w:r>
    </w:p>
    <w:p>
      <w:pPr>
        <w:pStyle w:val="Heading2"/>
        <w:keepNext/>
        <w:spacing w:after="160" w:before="280" w:line="312"/>
        <w:outlineLvl w:val="1"/>
      </w:pPr>
      <w:bookmarkStart w:id="100014" w:name="_Toc100014"/>
      <w:r>
        <w:rPr>
          <w:rFonts w:ascii="Arial" w:eastAsia="SimHei"/>
          <w:b/>
          <w:bCs/>
          <w:color w:val="1A1A1A"/>
          <w:sz w:val="28"/>
          <w:szCs w:val="28"/>
        </w:rPr>
        <w:t xml:space="preserve">4.4 国际标杆硬核系统对标</w:t>
      </w:r>
      <w:bookmarkEnd w:id="100014"/>
    </w:p>
    <w:p>
      <w:pPr>
        <w:keepNext/>
        <w:spacing w:after="100" w:before="160" w:line="312"/>
        <w:jc w:val="center"/>
      </w:pPr>
      <w:r>
        <w:rPr>
          <w:rFonts w:ascii="Arial" w:eastAsia="SimHei"/>
          <w:b/>
          <w:bCs/>
          <w:color w:val="1A1A1A"/>
          <w:sz w:val="21"/>
          <w:szCs w:val="21"/>
        </w:rPr>
        <w:t xml:space="preserve">表4-1 国际先进麦芽企业数字化举措对标</w:t>
      </w:r>
    </w:p>
    <w:tbl>
      <w:tblPr>
        <w:tblW w:type="dxa" w:w="8788"/>
        <w:tblBorders>
          <w:top w:val="single" w:color="8A6A34" w:sz="8"/>
          <w:left w:val="single" w:color="DDD8CC" w:sz="4"/>
          <w:bottom w:val="single" w:color="8A6A34" w:sz="8"/>
          <w:right w:val="single" w:color="DDD8CC" w:sz="4"/>
          <w:insideH w:val="single" w:color="DDD8CC" w:sz="4"/>
          <w:insideV w:val="single" w:color="DDD8CC" w:sz="4"/>
        </w:tblBorders>
        <w:tblLayout w:type="fixed"/>
      </w:tblPr>
      <w:tblGrid>
        <w:gridCol w:w="1750"/>
        <w:gridCol w:w="1500"/>
        <w:gridCol w:w="2900"/>
        <w:gridCol w:w="2638"/>
      </w:tblGrid>
      <w:tr>
        <w:trPr>
          <w:cantSplit/>
          <w:tblHeader/>
        </w:trPr>
        <w:tc>
          <w:tcPr>
            <w:tcW w:type="dxa" w:w="1750"/>
            <w:shd w:fill="D6C096" w:val="clear"/>
            <w:tcMar>
              <w:top w:type="dxa" w:w="60"/>
              <w:left w:type="dxa" w:w="100"/>
              <w:bottom w:type="dxa" w:w="60"/>
              <w:right w:type="dxa" w:w="100"/>
            </w:tcMar>
            <w:vAlign w:val="center"/>
          </w:tcPr>
          <w:p>
            <w:pPr>
              <w:spacing w:line="312"/>
              <w:jc w:val="center"/>
            </w:pPr>
            <w:r>
              <w:rPr>
                <w:rFonts w:ascii="Arial" w:eastAsia="SimHei"/>
                <w:b/>
                <w:bCs/>
                <w:color w:val="1A1A1A"/>
                <w:sz w:val="21"/>
                <w:szCs w:val="21"/>
              </w:rPr>
              <w:t xml:space="preserve">标杆企业/生态</w:t>
            </w:r>
          </w:p>
        </w:tc>
        <w:tc>
          <w:tcPr>
            <w:tcW w:type="dxa" w:w="1500"/>
            <w:shd w:fill="D6C096" w:val="clear"/>
            <w:tcMar>
              <w:top w:type="dxa" w:w="60"/>
              <w:left w:type="dxa" w:w="100"/>
              <w:bottom w:type="dxa" w:w="60"/>
              <w:right w:type="dxa" w:w="100"/>
            </w:tcMar>
            <w:vAlign w:val="center"/>
          </w:tcPr>
          <w:p>
            <w:pPr>
              <w:spacing w:line="312"/>
              <w:jc w:val="center"/>
            </w:pPr>
            <w:r>
              <w:rPr>
                <w:rFonts w:ascii="Arial" w:eastAsia="SimHei"/>
                <w:b/>
                <w:bCs/>
                <w:color w:val="1A1A1A"/>
                <w:sz w:val="21"/>
                <w:szCs w:val="21"/>
              </w:rPr>
              <w:t xml:space="preserve">产业地位</w:t>
            </w:r>
          </w:p>
        </w:tc>
        <w:tc>
          <w:tcPr>
            <w:tcW w:type="dxa" w:w="2900"/>
            <w:shd w:fill="D6C096" w:val="clear"/>
            <w:tcMar>
              <w:top w:type="dxa" w:w="60"/>
              <w:left w:type="dxa" w:w="100"/>
              <w:bottom w:type="dxa" w:w="60"/>
              <w:right w:type="dxa" w:w="100"/>
            </w:tcMar>
            <w:vAlign w:val="center"/>
          </w:tcPr>
          <w:p>
            <w:pPr>
              <w:spacing w:line="312"/>
              <w:jc w:val="center"/>
            </w:pPr>
            <w:r>
              <w:rPr>
                <w:rFonts w:ascii="Arial" w:eastAsia="SimHei"/>
                <w:b/>
                <w:bCs/>
                <w:color w:val="1A1A1A"/>
                <w:sz w:val="21"/>
                <w:szCs w:val="21"/>
              </w:rPr>
              <w:t xml:space="preserve">代表性数字化举措</w:t>
            </w:r>
          </w:p>
        </w:tc>
        <w:tc>
          <w:tcPr>
            <w:tcW w:type="dxa" w:w="2638"/>
            <w:shd w:fill="D6C096" w:val="clear"/>
            <w:tcMar>
              <w:top w:type="dxa" w:w="60"/>
              <w:left w:type="dxa" w:w="100"/>
              <w:bottom w:type="dxa" w:w="60"/>
              <w:right w:type="dxa" w:w="100"/>
            </w:tcMar>
            <w:vAlign w:val="center"/>
          </w:tcPr>
          <w:p>
            <w:pPr>
              <w:spacing w:line="312"/>
              <w:jc w:val="center"/>
            </w:pPr>
            <w:r>
              <w:rPr>
                <w:rFonts w:ascii="Arial" w:eastAsia="SimHei"/>
                <w:b/>
                <w:bCs/>
                <w:color w:val="1A1A1A"/>
                <w:sz w:val="21"/>
                <w:szCs w:val="21"/>
              </w:rPr>
              <w:t xml:space="preserve">对宁波分公司的启示</w:t>
            </w:r>
          </w:p>
        </w:tc>
      </w:tr>
      <w:tr>
        <w:trPr>
          <w:cantSplit/>
        </w:trPr>
        <w:tc>
          <w:tcPr>
            <w:tcW w:type="dxa" w:w="1750"/>
            <w:shd w:fill="FFFFFF" w:val="clear"/>
            <w:tcMar>
              <w:top w:type="dxa" w:w="60"/>
              <w:left w:type="dxa" w:w="100"/>
              <w:bottom w:type="dxa" w:w="60"/>
              <w:right w:type="dxa" w:w="100"/>
            </w:tcMar>
            <w:vAlign w:val="center"/>
          </w:tcPr>
          <w:p>
            <w:pPr>
              <w:spacing w:line="312"/>
              <w:jc w:val="left"/>
            </w:pPr>
            <w:r>
              <w:rPr>
                <w:color w:val="222222"/>
                <w:sz w:val="21"/>
                <w:szCs w:val="21"/>
              </w:rPr>
              <w:t xml:space="preserve">Soufflet Malt（法国）</w:t>
            </w:r>
          </w:p>
        </w:tc>
        <w:tc>
          <w:tcPr>
            <w:tcW w:type="dxa" w:w="1500"/>
            <w:shd w:fill="FFFFFF" w:val="clear"/>
            <w:tcMar>
              <w:top w:type="dxa" w:w="60"/>
              <w:left w:type="dxa" w:w="100"/>
              <w:bottom w:type="dxa" w:w="60"/>
              <w:right w:type="dxa" w:w="100"/>
            </w:tcMar>
            <w:vAlign w:val="center"/>
          </w:tcPr>
          <w:p>
            <w:pPr>
              <w:spacing w:line="312"/>
              <w:jc w:val="left"/>
            </w:pPr>
            <w:r>
              <w:rPr>
                <w:color w:val="222222"/>
                <w:sz w:val="21"/>
                <w:szCs w:val="21"/>
              </w:rPr>
              <w:t xml:space="preserve">全球产能领先的麦芽集团</w:t>
            </w:r>
          </w:p>
        </w:tc>
        <w:tc>
          <w:tcPr>
            <w:tcW w:type="dxa" w:w="2900"/>
            <w:shd w:fill="FFFFFF" w:val="clear"/>
            <w:tcMar>
              <w:top w:type="dxa" w:w="60"/>
              <w:left w:type="dxa" w:w="100"/>
              <w:bottom w:type="dxa" w:w="60"/>
              <w:right w:type="dxa" w:w="100"/>
            </w:tcMar>
            <w:vAlign w:val="center"/>
          </w:tcPr>
          <w:p>
            <w:pPr>
              <w:spacing w:line="312"/>
              <w:jc w:val="left"/>
            </w:pPr>
            <w:r>
              <w:rPr>
                <w:color w:val="222222"/>
                <w:sz w:val="21"/>
                <w:szCs w:val="21"/>
              </w:rPr>
              <w:t xml:space="preserve">MALTimize AI生产平台（2026年6月发布）：统一数据源+AI生产建议；MALT-Up数字学习体系；印度约1亿欧元AI麦芽厂投资</w:t>
            </w:r>
          </w:p>
        </w:tc>
        <w:tc>
          <w:tcPr>
            <w:tcW w:type="dxa" w:w="2638"/>
            <w:shd w:fill="FFFFFF" w:val="clear"/>
            <w:tcMar>
              <w:top w:type="dxa" w:w="60"/>
              <w:left w:type="dxa" w:w="100"/>
              <w:bottom w:type="dxa" w:w="60"/>
              <w:right w:type="dxa" w:w="100"/>
            </w:tcMar>
            <w:vAlign w:val="center"/>
          </w:tcPr>
          <w:p>
            <w:pPr>
              <w:spacing w:line="312"/>
              <w:jc w:val="left"/>
            </w:pPr>
            <w:r>
              <w:rPr>
                <w:color w:val="222222"/>
                <w:sz w:val="21"/>
                <w:szCs w:val="21"/>
              </w:rPr>
              <w:t xml:space="preserve">统一数据中台是AI应用的前置条件；生产建议类应用是价值制高点</w:t>
            </w:r>
          </w:p>
        </w:tc>
      </w:tr>
      <w:tr>
        <w:trPr>
          <w:cantSplit/>
        </w:trPr>
        <w:tc>
          <w:tcPr>
            <w:tcW w:type="dxa" w:w="1750"/>
            <w:shd w:fill="F5F3ED" w:val="clear"/>
            <w:tcMar>
              <w:top w:type="dxa" w:w="60"/>
              <w:left w:type="dxa" w:w="100"/>
              <w:bottom w:type="dxa" w:w="60"/>
              <w:right w:type="dxa" w:w="100"/>
            </w:tcMar>
            <w:vAlign w:val="center"/>
          </w:tcPr>
          <w:p>
            <w:pPr>
              <w:spacing w:line="312"/>
              <w:jc w:val="left"/>
            </w:pPr>
            <w:r>
              <w:rPr>
                <w:color w:val="222222"/>
                <w:sz w:val="21"/>
                <w:szCs w:val="21"/>
              </w:rPr>
              <w:t xml:space="preserve">Boortmalt（法国/比利时系）</w:t>
            </w:r>
          </w:p>
        </w:tc>
        <w:tc>
          <w:tcPr>
            <w:tcW w:type="dxa" w:w="1500"/>
            <w:shd w:fill="F5F3ED" w:val="clear"/>
            <w:tcMar>
              <w:top w:type="dxa" w:w="60"/>
              <w:left w:type="dxa" w:w="100"/>
              <w:bottom w:type="dxa" w:w="60"/>
              <w:right w:type="dxa" w:w="100"/>
            </w:tcMar>
            <w:vAlign w:val="center"/>
          </w:tcPr>
          <w:p>
            <w:pPr>
              <w:spacing w:line="312"/>
              <w:jc w:val="left"/>
            </w:pPr>
            <w:r>
              <w:rPr>
                <w:color w:val="222222"/>
                <w:sz w:val="21"/>
                <w:szCs w:val="21"/>
              </w:rPr>
              <w:t xml:space="preserve">五大洲27家麦芽厂、年产能约300万吨</w:t>
            </w:r>
          </w:p>
        </w:tc>
        <w:tc>
          <w:tcPr>
            <w:tcW w:type="dxa" w:w="2900"/>
            <w:shd w:fill="F5F3ED" w:val="clear"/>
            <w:tcMar>
              <w:top w:type="dxa" w:w="60"/>
              <w:left w:type="dxa" w:w="100"/>
              <w:bottom w:type="dxa" w:w="60"/>
              <w:right w:type="dxa" w:w="100"/>
            </w:tcMar>
            <w:vAlign w:val="center"/>
          </w:tcPr>
          <w:p>
            <w:pPr>
              <w:spacing w:line="312"/>
              <w:jc w:val="left"/>
            </w:pPr>
            <w:r>
              <w:rPr>
                <w:color w:val="222222"/>
                <w:sz w:val="21"/>
                <w:szCs w:val="21"/>
              </w:rPr>
              <w:t xml:space="preserve">与BASF合作气候智慧农业：种植端数据与加工端贯通；可持续麦芽与碳足迹管理</w:t>
            </w:r>
          </w:p>
        </w:tc>
        <w:tc>
          <w:tcPr>
            <w:tcW w:type="dxa" w:w="2638"/>
            <w:shd w:fill="F5F3ED" w:val="clear"/>
            <w:tcMar>
              <w:top w:type="dxa" w:w="60"/>
              <w:left w:type="dxa" w:w="100"/>
              <w:bottom w:type="dxa" w:w="60"/>
              <w:right w:type="dxa" w:w="100"/>
            </w:tcMar>
            <w:vAlign w:val="center"/>
          </w:tcPr>
          <w:p>
            <w:pPr>
              <w:spacing w:line="312"/>
              <w:jc w:val="left"/>
            </w:pPr>
            <w:r>
              <w:rPr>
                <w:color w:val="222222"/>
                <w:sz w:val="21"/>
                <w:szCs w:val="21"/>
              </w:rPr>
              <w:t xml:space="preserve">农产品溯源与碳数据是面向啤酒大客户的价值新卖点</w:t>
            </w:r>
          </w:p>
        </w:tc>
      </w:tr>
      <w:tr>
        <w:trPr>
          <w:cantSplit/>
        </w:trPr>
        <w:tc>
          <w:tcPr>
            <w:tcW w:type="dxa" w:w="1750"/>
            <w:shd w:fill="FFFFFF" w:val="clear"/>
            <w:tcMar>
              <w:top w:type="dxa" w:w="60"/>
              <w:left w:type="dxa" w:w="100"/>
              <w:bottom w:type="dxa" w:w="60"/>
              <w:right w:type="dxa" w:w="100"/>
            </w:tcMar>
            <w:vAlign w:val="center"/>
          </w:tcPr>
          <w:p>
            <w:pPr>
              <w:spacing w:line="312"/>
              <w:jc w:val="left"/>
            </w:pPr>
            <w:r>
              <w:rPr>
                <w:color w:val="222222"/>
                <w:sz w:val="21"/>
                <w:szCs w:val="21"/>
              </w:rPr>
              <w:t xml:space="preserve">Malteurop（法国）</w:t>
            </w:r>
          </w:p>
        </w:tc>
        <w:tc>
          <w:tcPr>
            <w:tcW w:type="dxa" w:w="1500"/>
            <w:shd w:fill="FFFFFF" w:val="clear"/>
            <w:tcMar>
              <w:top w:type="dxa" w:w="60"/>
              <w:left w:type="dxa" w:w="100"/>
              <w:bottom w:type="dxa" w:w="60"/>
              <w:right w:type="dxa" w:w="100"/>
            </w:tcMar>
            <w:vAlign w:val="center"/>
          </w:tcPr>
          <w:p>
            <w:pPr>
              <w:spacing w:line="312"/>
              <w:jc w:val="left"/>
            </w:pPr>
            <w:r>
              <w:rPr>
                <w:color w:val="222222"/>
                <w:sz w:val="21"/>
                <w:szCs w:val="21"/>
              </w:rPr>
              <w:t xml:space="preserve">全球性麦芽集团</w:t>
            </w:r>
          </w:p>
        </w:tc>
        <w:tc>
          <w:tcPr>
            <w:tcW w:type="dxa" w:w="2900"/>
            <w:shd w:fill="FFFFFF" w:val="clear"/>
            <w:tcMar>
              <w:top w:type="dxa" w:w="60"/>
              <w:left w:type="dxa" w:w="100"/>
              <w:bottom w:type="dxa" w:w="60"/>
              <w:right w:type="dxa" w:w="100"/>
            </w:tcMar>
            <w:vAlign w:val="center"/>
          </w:tcPr>
          <w:p>
            <w:pPr>
              <w:spacing w:line="312"/>
              <w:jc w:val="left"/>
            </w:pPr>
            <w:r>
              <w:rPr>
                <w:color w:val="222222"/>
                <w:sz w:val="21"/>
                <w:szCs w:val="21"/>
              </w:rPr>
              <w:t xml:space="preserve">再生农业与脱碳数字化：大麦采购溯源与碳核算</w:t>
            </w:r>
          </w:p>
        </w:tc>
        <w:tc>
          <w:tcPr>
            <w:tcW w:type="dxa" w:w="2638"/>
            <w:shd w:fill="FFFFFF" w:val="clear"/>
            <w:tcMar>
              <w:top w:type="dxa" w:w="60"/>
              <w:left w:type="dxa" w:w="100"/>
              <w:bottom w:type="dxa" w:w="60"/>
              <w:right w:type="dxa" w:w="100"/>
            </w:tcMar>
            <w:vAlign w:val="center"/>
          </w:tcPr>
          <w:p>
            <w:pPr>
              <w:spacing w:line="312"/>
              <w:jc w:val="left"/>
            </w:pPr>
            <w:r>
              <w:rPr>
                <w:color w:val="222222"/>
                <w:sz w:val="21"/>
                <w:szCs w:val="21"/>
              </w:rPr>
              <w:t xml:space="preserve">双碳数据体系将逐步成为食品供应链的准入项</w:t>
            </w:r>
          </w:p>
        </w:tc>
      </w:tr>
      <w:tr>
        <w:trPr>
          <w:cantSplit/>
        </w:trPr>
        <w:tc>
          <w:tcPr>
            <w:tcW w:type="dxa" w:w="1750"/>
            <w:shd w:fill="F5F3ED" w:val="clear"/>
            <w:tcMar>
              <w:top w:type="dxa" w:w="60"/>
              <w:left w:type="dxa" w:w="100"/>
              <w:bottom w:type="dxa" w:w="60"/>
              <w:right w:type="dxa" w:w="100"/>
            </w:tcMar>
            <w:vAlign w:val="center"/>
          </w:tcPr>
          <w:p>
            <w:pPr>
              <w:spacing w:line="312"/>
              <w:jc w:val="left"/>
            </w:pPr>
            <w:r>
              <w:rPr>
                <w:color w:val="222222"/>
                <w:sz w:val="21"/>
                <w:szCs w:val="21"/>
              </w:rPr>
              <w:t xml:space="preserve">ProLeit / Bühler等生态</w:t>
            </w:r>
          </w:p>
        </w:tc>
        <w:tc>
          <w:tcPr>
            <w:tcW w:type="dxa" w:w="1500"/>
            <w:shd w:fill="F5F3ED" w:val="clear"/>
            <w:tcMar>
              <w:top w:type="dxa" w:w="60"/>
              <w:left w:type="dxa" w:w="100"/>
              <w:bottom w:type="dxa" w:w="60"/>
              <w:right w:type="dxa" w:w="100"/>
            </w:tcMar>
            <w:vAlign w:val="center"/>
          </w:tcPr>
          <w:p>
            <w:pPr>
              <w:spacing w:line="312"/>
              <w:jc w:val="left"/>
            </w:pPr>
            <w:r>
              <w:rPr>
                <w:color w:val="222222"/>
                <w:sz w:val="21"/>
                <w:szCs w:val="21"/>
              </w:rPr>
              <w:t xml:space="preserve">行业系统与装备服务商</w:t>
            </w:r>
          </w:p>
        </w:tc>
        <w:tc>
          <w:tcPr>
            <w:tcW w:type="dxa" w:w="2900"/>
            <w:shd w:fill="F5F3ED" w:val="clear"/>
            <w:tcMar>
              <w:top w:type="dxa" w:w="60"/>
              <w:left w:type="dxa" w:w="100"/>
              <w:bottom w:type="dxa" w:w="60"/>
              <w:right w:type="dxa" w:w="100"/>
            </w:tcMar>
            <w:vAlign w:val="center"/>
          </w:tcPr>
          <w:p>
            <w:pPr>
              <w:spacing w:line="312"/>
              <w:jc w:val="left"/>
            </w:pPr>
            <w:r>
              <w:rPr>
                <w:color w:val="222222"/>
                <w:sz w:val="21"/>
                <w:szCs w:val="21"/>
              </w:rPr>
              <w:t xml:space="preserve">啤酒制麦行业专用MES、电子批记录、设备集成与IoT服务</w:t>
            </w:r>
          </w:p>
        </w:tc>
        <w:tc>
          <w:tcPr>
            <w:tcW w:type="dxa" w:w="2638"/>
            <w:shd w:fill="F5F3ED" w:val="clear"/>
            <w:tcMar>
              <w:top w:type="dxa" w:w="60"/>
              <w:left w:type="dxa" w:w="100"/>
              <w:bottom w:type="dxa" w:w="60"/>
              <w:right w:type="dxa" w:w="100"/>
            </w:tcMar>
            <w:vAlign w:val="center"/>
          </w:tcPr>
          <w:p>
            <w:pPr>
              <w:spacing w:line="312"/>
              <w:jc w:val="left"/>
            </w:pPr>
            <w:r>
              <w:rPr>
                <w:color w:val="222222"/>
                <w:sz w:val="21"/>
                <w:szCs w:val="21"/>
              </w:rPr>
              <w:t xml:space="preserve">行业专用MES/EBR有成熟产品可借鉴，无须从零自研</w:t>
            </w:r>
          </w:p>
        </w:tc>
      </w:tr>
      <w:tr>
        <w:trPr>
          <w:cantSplit/>
        </w:trPr>
        <w:tc>
          <w:tcPr>
            <w:tcW w:type="dxa" w:w="1750"/>
            <w:shd w:fill="FFFFFF" w:val="clear"/>
            <w:tcMar>
              <w:top w:type="dxa" w:w="60"/>
              <w:left w:type="dxa" w:w="100"/>
              <w:bottom w:type="dxa" w:w="60"/>
              <w:right w:type="dxa" w:w="100"/>
            </w:tcMar>
            <w:vAlign w:val="center"/>
          </w:tcPr>
          <w:p>
            <w:pPr>
              <w:spacing w:line="312"/>
              <w:jc w:val="left"/>
            </w:pPr>
            <w:r>
              <w:rPr>
                <w:color w:val="222222"/>
                <w:sz w:val="21"/>
                <w:szCs w:val="21"/>
              </w:rPr>
              <w:t xml:space="preserve">国际先进麦芽工厂（综合画像）</w:t>
            </w:r>
          </w:p>
        </w:tc>
        <w:tc>
          <w:tcPr>
            <w:tcW w:type="dxa" w:w="1500"/>
            <w:shd w:fill="FFFFFF" w:val="clear"/>
            <w:tcMar>
              <w:top w:type="dxa" w:w="60"/>
              <w:left w:type="dxa" w:w="100"/>
              <w:bottom w:type="dxa" w:w="60"/>
              <w:right w:type="dxa" w:w="100"/>
            </w:tcMar>
            <w:vAlign w:val="center"/>
          </w:tcPr>
          <w:p>
            <w:pPr>
              <w:spacing w:line="312"/>
              <w:jc w:val="left"/>
            </w:pPr>
            <w:r>
              <w:rPr>
                <w:color w:val="222222"/>
                <w:sz w:val="21"/>
                <w:szCs w:val="21"/>
              </w:rPr>
              <w:t xml:space="preserve">—</w:t>
            </w:r>
          </w:p>
        </w:tc>
        <w:tc>
          <w:tcPr>
            <w:tcW w:type="dxa" w:w="2900"/>
            <w:shd w:fill="FFFFFF" w:val="clear"/>
            <w:tcMar>
              <w:top w:type="dxa" w:w="60"/>
              <w:left w:type="dxa" w:w="100"/>
              <w:bottom w:type="dxa" w:w="60"/>
              <w:right w:type="dxa" w:w="100"/>
            </w:tcMar>
            <w:vAlign w:val="center"/>
          </w:tcPr>
          <w:p>
            <w:pPr>
              <w:spacing w:line="312"/>
              <w:jc w:val="left"/>
            </w:pPr>
            <w:r>
              <w:rPr>
                <w:color w:val="222222"/>
                <w:sz w:val="21"/>
                <w:szCs w:val="21"/>
              </w:rPr>
              <w:t xml:space="preserve">PCS+SCADA+MES（电子批记录）+LIMS+能源管理+APC/AI分析的标准架构</w:t>
            </w:r>
          </w:p>
        </w:tc>
        <w:tc>
          <w:tcPr>
            <w:tcW w:type="dxa" w:w="2638"/>
            <w:shd w:fill="FFFFFF" w:val="clear"/>
            <w:tcMar>
              <w:top w:type="dxa" w:w="60"/>
              <w:left w:type="dxa" w:w="100"/>
              <w:bottom w:type="dxa" w:w="60"/>
              <w:right w:type="dxa" w:w="100"/>
            </w:tcMar>
            <w:vAlign w:val="center"/>
          </w:tcPr>
          <w:p>
            <w:pPr>
              <w:spacing w:line="312"/>
              <w:jc w:val="left"/>
            </w:pPr>
            <w:r>
              <w:rPr>
                <w:color w:val="222222"/>
                <w:sz w:val="21"/>
                <w:szCs w:val="21"/>
              </w:rPr>
              <w:t xml:space="preserve">宁波公司短板集中在MES、LIMS、EMS与AI分析四层</w:t>
            </w:r>
          </w:p>
        </w:tc>
      </w:tr>
    </w:tbl>
    <w:p>
      <w:pPr>
        <w:spacing w:after="40" w:before="120"/>
        <w:jc w:val="center"/>
      </w:pPr>
      <w:r>
        <w:drawing>
          <wp:inline distT="0" distB="0" distL="0" distR="0">
            <wp:extent cx="40005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3819525"/>
                    </a:xfrm>
                    <a:prstGeom prst="rect">
                      <a:avLst/>
                    </a:prstGeom>
                  </pic:spPr>
                </pic:pic>
              </a:graphicData>
            </a:graphic>
          </wp:inline>
        </w:drawing>
      </w:r>
    </w:p>
    <w:p>
      <w:pPr>
        <w:spacing w:after="160" w:before="80" w:line="312"/>
        <w:jc w:val="center"/>
      </w:pPr>
      <w:r>
        <w:rPr>
          <w:rFonts w:ascii="Arial" w:eastAsia="SimHei"/>
          <w:color w:val="707070"/>
          <w:sz w:val="20"/>
          <w:szCs w:val="20"/>
        </w:rPr>
        <w:t xml:space="preserve">图4-1 国际先进麦芽企业能力对标雷达图（基于公开信息的定性评估，0–5级示意）</w:t>
      </w:r>
    </w:p>
    <w:p>
      <w:pPr>
        <w:pStyle w:val="Heading2"/>
        <w:keepNext/>
        <w:spacing w:after="160" w:before="280" w:line="312"/>
        <w:outlineLvl w:val="1"/>
      </w:pPr>
      <w:bookmarkStart w:id="100015" w:name="_Toc100015"/>
      <w:r>
        <w:rPr>
          <w:rFonts w:ascii="Arial" w:eastAsia="SimHei"/>
          <w:b/>
          <w:bCs/>
          <w:color w:val="1A1A1A"/>
          <w:sz w:val="28"/>
          <w:szCs w:val="28"/>
        </w:rPr>
        <w:t xml:space="preserve">4.5 对宁波分公司的五点启示</w:t>
      </w:r>
      <w:bookmarkEnd w:id="100015"/>
    </w:p>
    <w:p>
      <w:pPr>
        <w:pStyle w:val="ListParagraph"/>
        <w:numPr>
          <w:ilvl w:val="0"/>
          <w:numId w:val="3"/>
        </w:numPr>
        <w:spacing w:after="60" w:line="312"/>
        <w:jc w:val="both"/>
      </w:pPr>
      <w:r>
        <w:rPr>
          <w:b/>
          <w:bCs/>
          <w:sz w:val="24"/>
          <w:szCs w:val="24"/>
        </w:rPr>
        <w:t xml:space="preserve">数据先行：</w:t>
      </w:r>
      <w:r>
        <w:rPr>
          <w:sz w:val="24"/>
          <w:szCs w:val="24"/>
        </w:rPr>
        <w:t xml:space="preserve">国际标杆的AI能力全部建立在多年统一数据治理之上，数据中台是必选项而非可选项。</w:t>
      </w:r>
    </w:p>
    <w:p>
      <w:pPr>
        <w:pStyle w:val="ListParagraph"/>
        <w:numPr>
          <w:ilvl w:val="0"/>
          <w:numId w:val="3"/>
        </w:numPr>
        <w:spacing w:after="60" w:line="312"/>
        <w:jc w:val="both"/>
      </w:pPr>
      <w:r>
        <w:rPr>
          <w:b/>
          <w:bCs/>
          <w:sz w:val="24"/>
          <w:szCs w:val="24"/>
        </w:rPr>
        <w:t xml:space="preserve">出成率与质量一致性是AI价值制高点：</w:t>
      </w:r>
      <w:r>
        <w:rPr>
          <w:sz w:val="24"/>
          <w:szCs w:val="24"/>
        </w:rPr>
        <w:t xml:space="preserve">制麦损失每降低一个百分点都是纯利润，MALTimize优先解决的正是出成率问题；国内公开专利（CN116676142A）显示，仅工艺参数优化即可使总制麦损失降低约1.06–1.31个百分点、吨麦电耗降低约9–10.7千瓦时，数据驱动工艺优化的空间真实存在。</w:t>
      </w:r>
    </w:p>
    <w:p>
      <w:pPr>
        <w:pStyle w:val="ListParagraph"/>
        <w:numPr>
          <w:ilvl w:val="0"/>
          <w:numId w:val="3"/>
        </w:numPr>
        <w:spacing w:after="60" w:line="312"/>
        <w:jc w:val="both"/>
      </w:pPr>
      <w:r>
        <w:rPr>
          <w:b/>
          <w:bCs/>
          <w:sz w:val="24"/>
          <w:szCs w:val="24"/>
        </w:rPr>
        <w:t xml:space="preserve">溯源与碳数据正在成为下游准入项：</w:t>
      </w:r>
      <w:r>
        <w:rPr>
          <w:sz w:val="24"/>
          <w:szCs w:val="24"/>
        </w:rPr>
        <w:t xml:space="preserve">面向大型啤酒客户的供应链要求将逐步传导至麦芽环节，批次追溯与碳数据会从加分项变为准入项。</w:t>
      </w:r>
    </w:p>
    <w:p>
      <w:pPr>
        <w:pStyle w:val="ListParagraph"/>
        <w:numPr>
          <w:ilvl w:val="0"/>
          <w:numId w:val="3"/>
        </w:numPr>
        <w:spacing w:after="60" w:line="312"/>
        <w:jc w:val="both"/>
      </w:pPr>
      <w:r>
        <w:rPr>
          <w:b/>
          <w:bCs/>
          <w:sz w:val="24"/>
          <w:szCs w:val="24"/>
        </w:rPr>
        <w:t xml:space="preserve">MES与电子批记录是食品工厂的合规底座：</w:t>
      </w:r>
      <w:r>
        <w:rPr>
          <w:sz w:val="24"/>
          <w:szCs w:val="24"/>
        </w:rPr>
        <w:t xml:space="preserve">批次级正向可追溯、反向可召回，既是食品安全合规要求，也是大客户审核的硬性内容。</w:t>
      </w:r>
    </w:p>
    <w:p>
      <w:pPr>
        <w:pStyle w:val="ListParagraph"/>
        <w:numPr>
          <w:ilvl w:val="0"/>
          <w:numId w:val="3"/>
        </w:numPr>
        <w:spacing w:after="60" w:line="312"/>
        <w:jc w:val="both"/>
      </w:pPr>
      <w:r>
        <w:rPr>
          <w:b/>
          <w:bCs/>
          <w:sz w:val="24"/>
          <w:szCs w:val="24"/>
        </w:rPr>
        <w:t xml:space="preserve">组织与人才必须配套：</w:t>
      </w:r>
      <w:r>
        <w:rPr>
          <w:sz w:val="24"/>
          <w:szCs w:val="24"/>
        </w:rPr>
        <w:t xml:space="preserve">标杆企业同步建设数字化学习与运维体系，宁波公司项目应包含培训与陪跑服务，避免系统建成无人会用。</w:t>
      </w:r>
    </w:p>
    <w:p>
      <w:pPr>
        <w:pStyle w:val="Heading1"/>
        <w:keepNext/>
        <w:spacing w:after="200" w:before="360" w:line="312"/>
        <w:outlineLvl w:val="0"/>
      </w:pPr>
      <w:bookmarkStart w:id="100016" w:name="_Toc100016"/>
      <w:r>
        <w:rPr>
          <w:rFonts w:ascii="Arial" w:eastAsia="SimHei"/>
          <w:b/>
          <w:bCs/>
          <w:color w:val="000000"/>
          <w:sz w:val="32"/>
          <w:szCs w:val="32"/>
        </w:rPr>
        <w:t xml:space="preserve">五、项目机会地图：三层十四项机会框架</w:t>
      </w:r>
      <w:bookmarkEnd w:id="100016"/>
    </w:p>
    <w:p>
      <w:pPr>
        <w:pStyle w:val="Heading2"/>
        <w:keepNext/>
        <w:spacing w:after="160" w:before="280" w:line="312"/>
        <w:outlineLvl w:val="1"/>
      </w:pPr>
      <w:bookmarkStart w:id="100017" w:name="_Toc100017"/>
      <w:r>
        <w:rPr>
          <w:rFonts w:ascii="Arial" w:eastAsia="SimHei"/>
          <w:b/>
          <w:bCs/>
          <w:color w:val="1A1A1A"/>
          <w:sz w:val="28"/>
          <w:szCs w:val="28"/>
        </w:rPr>
        <w:t xml:space="preserve">5.1 框架总览</w:t>
      </w:r>
      <w:bookmarkEnd w:id="100017"/>
    </w:p>
    <w:p>
      <w:pPr>
        <w:spacing w:after="80" w:line="312"/>
        <w:ind w:firstLine="480"/>
        <w:jc w:val="both"/>
      </w:pPr>
      <w:r>
        <w:rPr>
          <w:sz w:val="24"/>
          <w:szCs w:val="24"/>
        </w:rPr>
        <w:t xml:space="preserve">在既有三套系统与国际对标差距的基础上，本报告将宁波公司的智能信息化机会归纳为三层十四项：第一层为数据深化应用（近期0–12个月，6项），第二层为系统集成与流程再造（中期12–24个月，5项），第三层为智能应用与工厂跃迁（远期24–36个月，3项）。表5-1给出全部机会的总览，后续小节按阶段展开说明。</w:t>
      </w:r>
    </w:p>
    <w:p>
      <w:pPr>
        <w:keepNext/>
        <w:spacing w:after="100" w:before="160" w:line="312"/>
        <w:jc w:val="center"/>
      </w:pPr>
      <w:r>
        <w:rPr>
          <w:rFonts w:ascii="Arial" w:eastAsia="SimHei"/>
          <w:b/>
          <w:bCs/>
          <w:color w:val="1A1A1A"/>
          <w:sz w:val="21"/>
          <w:szCs w:val="21"/>
        </w:rPr>
        <w:t xml:space="preserve">表5-1 智能信息化项目机会总表</w:t>
      </w:r>
    </w:p>
    <w:tbl>
      <w:tblPr>
        <w:tblW w:type="dxa" w:w="8788"/>
        <w:tblBorders>
          <w:top w:val="single" w:color="8A6A34" w:sz="8"/>
          <w:left w:val="single" w:color="DDD8CC" w:sz="4"/>
          <w:bottom w:val="single" w:color="8A6A34" w:sz="8"/>
          <w:right w:val="single" w:color="DDD8CC" w:sz="4"/>
          <w:insideH w:val="single" w:color="DDD8CC" w:sz="4"/>
          <w:insideV w:val="single" w:color="DDD8CC" w:sz="4"/>
        </w:tblBorders>
        <w:tblLayout w:type="fixed"/>
      </w:tblPr>
      <w:tblGrid>
        <w:gridCol w:w="900"/>
        <w:gridCol w:w="1650"/>
        <w:gridCol w:w="2750"/>
        <w:gridCol w:w="1700"/>
        <w:gridCol w:w="1788"/>
      </w:tblGrid>
      <w:tr>
        <w:trPr>
          <w:cantSplit/>
          <w:tblHeader/>
        </w:trPr>
        <w:tc>
          <w:tcPr>
            <w:tcW w:type="dxa" w:w="900"/>
            <w:shd w:fill="D6C096" w:val="clear"/>
            <w:tcMar>
              <w:top w:type="dxa" w:w="60"/>
              <w:left w:type="dxa" w:w="100"/>
              <w:bottom w:type="dxa" w:w="60"/>
              <w:right w:type="dxa" w:w="100"/>
            </w:tcMar>
            <w:vAlign w:val="center"/>
          </w:tcPr>
          <w:p>
            <w:pPr>
              <w:spacing w:line="312"/>
              <w:jc w:val="center"/>
            </w:pPr>
            <w:r>
              <w:rPr>
                <w:rFonts w:ascii="Arial" w:eastAsia="SimHei"/>
                <w:b/>
                <w:bCs/>
                <w:color w:val="1A1A1A"/>
                <w:sz w:val="21"/>
                <w:szCs w:val="21"/>
              </w:rPr>
              <w:t xml:space="preserve">阶段</w:t>
            </w:r>
          </w:p>
        </w:tc>
        <w:tc>
          <w:tcPr>
            <w:tcW w:type="dxa" w:w="1650"/>
            <w:shd w:fill="D6C096" w:val="clear"/>
            <w:tcMar>
              <w:top w:type="dxa" w:w="60"/>
              <w:left w:type="dxa" w:w="100"/>
              <w:bottom w:type="dxa" w:w="60"/>
              <w:right w:type="dxa" w:w="100"/>
            </w:tcMar>
            <w:vAlign w:val="center"/>
          </w:tcPr>
          <w:p>
            <w:pPr>
              <w:spacing w:line="312"/>
              <w:jc w:val="center"/>
            </w:pPr>
            <w:r>
              <w:rPr>
                <w:rFonts w:ascii="Arial" w:eastAsia="SimHei"/>
                <w:b/>
                <w:bCs/>
                <w:color w:val="1A1A1A"/>
                <w:sz w:val="21"/>
                <w:szCs w:val="21"/>
              </w:rPr>
              <w:t xml:space="preserve">项目</w:t>
            </w:r>
          </w:p>
        </w:tc>
        <w:tc>
          <w:tcPr>
            <w:tcW w:type="dxa" w:w="2750"/>
            <w:shd w:fill="D6C096" w:val="clear"/>
            <w:tcMar>
              <w:top w:type="dxa" w:w="60"/>
              <w:left w:type="dxa" w:w="100"/>
              <w:bottom w:type="dxa" w:w="60"/>
              <w:right w:type="dxa" w:w="100"/>
            </w:tcMar>
            <w:vAlign w:val="center"/>
          </w:tcPr>
          <w:p>
            <w:pPr>
              <w:spacing w:line="312"/>
              <w:jc w:val="center"/>
            </w:pPr>
            <w:r>
              <w:rPr>
                <w:rFonts w:ascii="Arial" w:eastAsia="SimHei"/>
                <w:b/>
                <w:bCs/>
                <w:color w:val="1A1A1A"/>
                <w:sz w:val="21"/>
                <w:szCs w:val="21"/>
              </w:rPr>
              <w:t xml:space="preserve">建设内容要点</w:t>
            </w:r>
          </w:p>
        </w:tc>
        <w:tc>
          <w:tcPr>
            <w:tcW w:type="dxa" w:w="1700"/>
            <w:shd w:fill="D6C096" w:val="clear"/>
            <w:tcMar>
              <w:top w:type="dxa" w:w="60"/>
              <w:left w:type="dxa" w:w="100"/>
              <w:bottom w:type="dxa" w:w="60"/>
              <w:right w:type="dxa" w:w="100"/>
            </w:tcMar>
            <w:vAlign w:val="center"/>
          </w:tcPr>
          <w:p>
            <w:pPr>
              <w:spacing w:line="312"/>
              <w:jc w:val="center"/>
            </w:pPr>
            <w:r>
              <w:rPr>
                <w:rFonts w:ascii="Arial" w:eastAsia="SimHei"/>
                <w:b/>
                <w:bCs/>
                <w:color w:val="1A1A1A"/>
                <w:sz w:val="21"/>
                <w:szCs w:val="21"/>
              </w:rPr>
              <w:t xml:space="preserve">依托既有基础</w:t>
            </w:r>
          </w:p>
        </w:tc>
        <w:tc>
          <w:tcPr>
            <w:tcW w:type="dxa" w:w="1788"/>
            <w:shd w:fill="D6C096" w:val="clear"/>
            <w:tcMar>
              <w:top w:type="dxa" w:w="60"/>
              <w:left w:type="dxa" w:w="100"/>
              <w:bottom w:type="dxa" w:w="60"/>
              <w:right w:type="dxa" w:w="100"/>
            </w:tcMar>
            <w:vAlign w:val="center"/>
          </w:tcPr>
          <w:p>
            <w:pPr>
              <w:spacing w:line="312"/>
              <w:jc w:val="center"/>
            </w:pPr>
            <w:r>
              <w:rPr>
                <w:rFonts w:ascii="Arial" w:eastAsia="SimHei"/>
                <w:b/>
                <w:bCs/>
                <w:color w:val="1A1A1A"/>
                <w:sz w:val="21"/>
                <w:szCs w:val="21"/>
              </w:rPr>
              <w:t xml:space="preserve">核心价值</w:t>
            </w:r>
          </w:p>
        </w:tc>
      </w:tr>
      <w:tr>
        <w:trPr>
          <w:cantSplit/>
        </w:trPr>
        <w:tc>
          <w:tcPr>
            <w:tcW w:type="dxa" w:w="900"/>
            <w:shd w:fill="FFFFFF" w:val="clear"/>
            <w:tcMar>
              <w:top w:type="dxa" w:w="60"/>
              <w:left w:type="dxa" w:w="100"/>
              <w:bottom w:type="dxa" w:w="60"/>
              <w:right w:type="dxa" w:w="100"/>
            </w:tcMar>
            <w:vAlign w:val="center"/>
          </w:tcPr>
          <w:p>
            <w:pPr>
              <w:spacing w:line="312"/>
              <w:jc w:val="center"/>
            </w:pPr>
            <w:r>
              <w:rPr>
                <w:color w:val="222222"/>
                <w:sz w:val="21"/>
                <w:szCs w:val="21"/>
              </w:rPr>
              <w:t xml:space="preserve">近期
0–12月</w:t>
            </w:r>
          </w:p>
        </w:tc>
        <w:tc>
          <w:tcPr>
            <w:tcW w:type="dxa" w:w="1650"/>
            <w:shd w:fill="FFFFFF" w:val="clear"/>
            <w:tcMar>
              <w:top w:type="dxa" w:w="60"/>
              <w:left w:type="dxa" w:w="100"/>
              <w:bottom w:type="dxa" w:w="60"/>
              <w:right w:type="dxa" w:w="100"/>
            </w:tcMar>
            <w:vAlign w:val="center"/>
          </w:tcPr>
          <w:p>
            <w:pPr>
              <w:spacing w:line="312"/>
              <w:jc w:val="left"/>
            </w:pPr>
            <w:r>
              <w:rPr>
                <w:color w:val="222222"/>
                <w:sz w:val="21"/>
                <w:szCs w:val="21"/>
              </w:rPr>
              <w:t xml:space="preserve">报警治理与智能预警</w:t>
            </w:r>
          </w:p>
        </w:tc>
        <w:tc>
          <w:tcPr>
            <w:tcW w:type="dxa" w:w="2750"/>
            <w:shd w:fill="FFFFFF" w:val="clear"/>
            <w:tcMar>
              <w:top w:type="dxa" w:w="60"/>
              <w:left w:type="dxa" w:w="100"/>
              <w:bottom w:type="dxa" w:w="60"/>
              <w:right w:type="dxa" w:w="100"/>
            </w:tcMar>
            <w:vAlign w:val="center"/>
          </w:tcPr>
          <w:p>
            <w:pPr>
              <w:spacing w:line="312"/>
              <w:jc w:val="left"/>
            </w:pPr>
            <w:r>
              <w:rPr>
                <w:color w:val="222222"/>
                <w:sz w:val="21"/>
                <w:szCs w:val="21"/>
              </w:rPr>
              <w:t xml:space="preserve">报警分级梳理、报警泛滥治理、阈值优化、分级推送（短信/APP/看板）</w:t>
            </w:r>
          </w:p>
        </w:tc>
        <w:tc>
          <w:tcPr>
            <w:tcW w:type="dxa" w:w="1700"/>
            <w:shd w:fill="FFFFFF" w:val="clear"/>
            <w:tcMar>
              <w:top w:type="dxa" w:w="60"/>
              <w:left w:type="dxa" w:w="100"/>
              <w:bottom w:type="dxa" w:w="60"/>
              <w:right w:type="dxa" w:w="100"/>
            </w:tcMar>
            <w:vAlign w:val="center"/>
          </w:tcPr>
          <w:p>
            <w:pPr>
              <w:spacing w:line="312"/>
              <w:jc w:val="left"/>
            </w:pPr>
            <w:r>
              <w:rPr>
                <w:color w:val="222222"/>
                <w:sz w:val="21"/>
                <w:szCs w:val="21"/>
              </w:rPr>
              <w:t xml:space="preserve">既有曲线与报警数据</w:t>
            </w:r>
          </w:p>
        </w:tc>
        <w:tc>
          <w:tcPr>
            <w:tcW w:type="dxa" w:w="1788"/>
            <w:shd w:fill="FFFFFF" w:val="clear"/>
            <w:tcMar>
              <w:top w:type="dxa" w:w="60"/>
              <w:left w:type="dxa" w:w="100"/>
              <w:bottom w:type="dxa" w:w="60"/>
              <w:right w:type="dxa" w:w="100"/>
            </w:tcMar>
            <w:vAlign w:val="center"/>
          </w:tcPr>
          <w:p>
            <w:pPr>
              <w:spacing w:line="312"/>
              <w:jc w:val="left"/>
            </w:pPr>
            <w:r>
              <w:rPr>
                <w:color w:val="222222"/>
                <w:sz w:val="21"/>
                <w:szCs w:val="21"/>
              </w:rPr>
              <w:t xml:space="preserve">减少无效报警，提前发现工艺异常</w:t>
            </w:r>
          </w:p>
        </w:tc>
      </w:tr>
      <w:tr>
        <w:trPr>
          <w:cantSplit/>
        </w:trPr>
        <w:tc>
          <w:tcPr>
            <w:tcW w:type="dxa" w:w="900"/>
            <w:shd w:fill="F5F3ED" w:val="clear"/>
            <w:tcMar>
              <w:top w:type="dxa" w:w="60"/>
              <w:left w:type="dxa" w:w="100"/>
              <w:bottom w:type="dxa" w:w="60"/>
              <w:right w:type="dxa" w:w="100"/>
            </w:tcMar>
            <w:vAlign w:val="center"/>
          </w:tcPr>
          <w:p>
            <w:pPr>
              <w:spacing w:line="312"/>
              <w:jc w:val="center"/>
            </w:pPr>
            <w:r>
              <w:rPr>
                <w:color w:val="222222"/>
                <w:sz w:val="21"/>
                <w:szCs w:val="21"/>
              </w:rPr>
              <w:t xml:space="preserve">近期
0–12月</w:t>
            </w:r>
          </w:p>
        </w:tc>
        <w:tc>
          <w:tcPr>
            <w:tcW w:type="dxa" w:w="1650"/>
            <w:shd w:fill="F5F3ED" w:val="clear"/>
            <w:tcMar>
              <w:top w:type="dxa" w:w="60"/>
              <w:left w:type="dxa" w:w="100"/>
              <w:bottom w:type="dxa" w:w="60"/>
              <w:right w:type="dxa" w:w="100"/>
            </w:tcMar>
            <w:vAlign w:val="center"/>
          </w:tcPr>
          <w:p>
            <w:pPr>
              <w:spacing w:line="312"/>
              <w:jc w:val="left"/>
            </w:pPr>
            <w:r>
              <w:rPr>
                <w:color w:val="222222"/>
                <w:sz w:val="21"/>
                <w:szCs w:val="21"/>
              </w:rPr>
              <w:t xml:space="preserve">OEE生产绩效分析</w:t>
            </w:r>
          </w:p>
        </w:tc>
        <w:tc>
          <w:tcPr>
            <w:tcW w:type="dxa" w:w="2750"/>
            <w:shd w:fill="F5F3ED" w:val="clear"/>
            <w:tcMar>
              <w:top w:type="dxa" w:w="60"/>
              <w:left w:type="dxa" w:w="100"/>
              <w:bottom w:type="dxa" w:w="60"/>
              <w:right w:type="dxa" w:w="100"/>
            </w:tcMar>
            <w:vAlign w:val="center"/>
          </w:tcPr>
          <w:p>
            <w:pPr>
              <w:spacing w:line="312"/>
              <w:jc w:val="left"/>
            </w:pPr>
            <w:r>
              <w:rPr>
                <w:color w:val="222222"/>
                <w:sz w:val="21"/>
                <w:szCs w:val="21"/>
              </w:rPr>
              <w:t xml:space="preserve">基于采集数据自动计算设备综合效率，输出班组与设备绩效看板</w:t>
            </w:r>
          </w:p>
        </w:tc>
        <w:tc>
          <w:tcPr>
            <w:tcW w:type="dxa" w:w="1700"/>
            <w:shd w:fill="F5F3ED" w:val="clear"/>
            <w:tcMar>
              <w:top w:type="dxa" w:w="60"/>
              <w:left w:type="dxa" w:w="100"/>
              <w:bottom w:type="dxa" w:w="60"/>
              <w:right w:type="dxa" w:w="100"/>
            </w:tcMar>
            <w:vAlign w:val="center"/>
          </w:tcPr>
          <w:p>
            <w:pPr>
              <w:spacing w:line="312"/>
              <w:jc w:val="left"/>
            </w:pPr>
            <w:r>
              <w:rPr>
                <w:color w:val="222222"/>
                <w:sz w:val="21"/>
                <w:szCs w:val="21"/>
              </w:rPr>
              <w:t xml:space="preserve">PLC采集平台</w:t>
            </w:r>
          </w:p>
        </w:tc>
        <w:tc>
          <w:tcPr>
            <w:tcW w:type="dxa" w:w="1788"/>
            <w:shd w:fill="F5F3ED" w:val="clear"/>
            <w:tcMar>
              <w:top w:type="dxa" w:w="60"/>
              <w:left w:type="dxa" w:w="100"/>
              <w:bottom w:type="dxa" w:w="60"/>
              <w:right w:type="dxa" w:w="100"/>
            </w:tcMar>
            <w:vAlign w:val="center"/>
          </w:tcPr>
          <w:p>
            <w:pPr>
              <w:spacing w:line="312"/>
              <w:jc w:val="left"/>
            </w:pPr>
            <w:r>
              <w:rPr>
                <w:color w:val="222222"/>
                <w:sz w:val="21"/>
                <w:szCs w:val="21"/>
              </w:rPr>
              <w:t xml:space="preserve">榨出隐性产能，支撑绩效管理</w:t>
            </w:r>
          </w:p>
        </w:tc>
      </w:tr>
      <w:tr>
        <w:trPr>
          <w:cantSplit/>
        </w:trPr>
        <w:tc>
          <w:tcPr>
            <w:tcW w:type="dxa" w:w="900"/>
            <w:shd w:fill="FFFFFF" w:val="clear"/>
            <w:tcMar>
              <w:top w:type="dxa" w:w="60"/>
              <w:left w:type="dxa" w:w="100"/>
              <w:bottom w:type="dxa" w:w="60"/>
              <w:right w:type="dxa" w:w="100"/>
            </w:tcMar>
            <w:vAlign w:val="center"/>
          </w:tcPr>
          <w:p>
            <w:pPr>
              <w:spacing w:line="312"/>
              <w:jc w:val="center"/>
            </w:pPr>
            <w:r>
              <w:rPr>
                <w:color w:val="222222"/>
                <w:sz w:val="21"/>
                <w:szCs w:val="21"/>
              </w:rPr>
              <w:t xml:space="preserve">近期
0–12月</w:t>
            </w:r>
          </w:p>
        </w:tc>
        <w:tc>
          <w:tcPr>
            <w:tcW w:type="dxa" w:w="1650"/>
            <w:shd w:fill="FFFFFF" w:val="clear"/>
            <w:tcMar>
              <w:top w:type="dxa" w:w="60"/>
              <w:left w:type="dxa" w:w="100"/>
              <w:bottom w:type="dxa" w:w="60"/>
              <w:right w:type="dxa" w:w="100"/>
            </w:tcMar>
            <w:vAlign w:val="center"/>
          </w:tcPr>
          <w:p>
            <w:pPr>
              <w:spacing w:line="312"/>
              <w:jc w:val="left"/>
            </w:pPr>
            <w:r>
              <w:rPr>
                <w:color w:val="222222"/>
                <w:sz w:val="21"/>
                <w:szCs w:val="21"/>
              </w:rPr>
              <w:t xml:space="preserve">统一工业数据中台（一期）</w:t>
            </w:r>
          </w:p>
        </w:tc>
        <w:tc>
          <w:tcPr>
            <w:tcW w:type="dxa" w:w="2750"/>
            <w:shd w:fill="FFFFFF" w:val="clear"/>
            <w:tcMar>
              <w:top w:type="dxa" w:w="60"/>
              <w:left w:type="dxa" w:w="100"/>
              <w:bottom w:type="dxa" w:w="60"/>
              <w:right w:type="dxa" w:w="100"/>
            </w:tcMar>
            <w:vAlign w:val="center"/>
          </w:tcPr>
          <w:p>
            <w:pPr>
              <w:spacing w:line="312"/>
              <w:jc w:val="left"/>
            </w:pPr>
            <w:r>
              <w:rPr>
                <w:color w:val="222222"/>
                <w:sz w:val="21"/>
                <w:szCs w:val="21"/>
              </w:rPr>
              <w:t xml:space="preserve">时序库+关系库统一建模，接入采集、粮温、能源、化验数据，建立数据标准与API</w:t>
            </w:r>
          </w:p>
        </w:tc>
        <w:tc>
          <w:tcPr>
            <w:tcW w:type="dxa" w:w="1700"/>
            <w:shd w:fill="FFFFFF" w:val="clear"/>
            <w:tcMar>
              <w:top w:type="dxa" w:w="60"/>
              <w:left w:type="dxa" w:w="100"/>
              <w:bottom w:type="dxa" w:w="60"/>
              <w:right w:type="dxa" w:w="100"/>
            </w:tcMar>
            <w:vAlign w:val="center"/>
          </w:tcPr>
          <w:p>
            <w:pPr>
              <w:spacing w:line="312"/>
              <w:jc w:val="left"/>
            </w:pPr>
            <w:r>
              <w:rPr>
                <w:color w:val="222222"/>
                <w:sz w:val="21"/>
                <w:szCs w:val="21"/>
              </w:rPr>
              <w:t xml:space="preserve">全部三套系统</w:t>
            </w:r>
          </w:p>
        </w:tc>
        <w:tc>
          <w:tcPr>
            <w:tcW w:type="dxa" w:w="1788"/>
            <w:shd w:fill="FFFFFF" w:val="clear"/>
            <w:tcMar>
              <w:top w:type="dxa" w:w="60"/>
              <w:left w:type="dxa" w:w="100"/>
              <w:bottom w:type="dxa" w:w="60"/>
              <w:right w:type="dxa" w:w="100"/>
            </w:tcMar>
            <w:vAlign w:val="center"/>
          </w:tcPr>
          <w:p>
            <w:pPr>
              <w:spacing w:line="312"/>
              <w:jc w:val="left"/>
            </w:pPr>
            <w:r>
              <w:rPr>
                <w:color w:val="222222"/>
                <w:sz w:val="21"/>
                <w:szCs w:val="21"/>
              </w:rPr>
              <w:t xml:space="preserve">一切智能应用的底座，避免重复投资</w:t>
            </w:r>
          </w:p>
        </w:tc>
      </w:tr>
      <w:tr>
        <w:trPr>
          <w:cantSplit/>
        </w:trPr>
        <w:tc>
          <w:tcPr>
            <w:tcW w:type="dxa" w:w="900"/>
            <w:shd w:fill="F5F3ED" w:val="clear"/>
            <w:tcMar>
              <w:top w:type="dxa" w:w="60"/>
              <w:left w:type="dxa" w:w="100"/>
              <w:bottom w:type="dxa" w:w="60"/>
              <w:right w:type="dxa" w:w="100"/>
            </w:tcMar>
            <w:vAlign w:val="center"/>
          </w:tcPr>
          <w:p>
            <w:pPr>
              <w:spacing w:line="312"/>
              <w:jc w:val="center"/>
            </w:pPr>
            <w:r>
              <w:rPr>
                <w:color w:val="222222"/>
                <w:sz w:val="21"/>
                <w:szCs w:val="21"/>
              </w:rPr>
              <w:t xml:space="preserve">近期
0–12月</w:t>
            </w:r>
          </w:p>
        </w:tc>
        <w:tc>
          <w:tcPr>
            <w:tcW w:type="dxa" w:w="1650"/>
            <w:shd w:fill="F5F3ED" w:val="clear"/>
            <w:tcMar>
              <w:top w:type="dxa" w:w="60"/>
              <w:left w:type="dxa" w:w="100"/>
              <w:bottom w:type="dxa" w:w="60"/>
              <w:right w:type="dxa" w:w="100"/>
            </w:tcMar>
            <w:vAlign w:val="center"/>
          </w:tcPr>
          <w:p>
            <w:pPr>
              <w:spacing w:line="312"/>
              <w:jc w:val="left"/>
            </w:pPr>
            <w:r>
              <w:rPr>
                <w:color w:val="222222"/>
                <w:sz w:val="21"/>
                <w:szCs w:val="21"/>
              </w:rPr>
              <w:t xml:space="preserve">能源管理与能碳监控（一期）</w:t>
            </w:r>
          </w:p>
        </w:tc>
        <w:tc>
          <w:tcPr>
            <w:tcW w:type="dxa" w:w="2750"/>
            <w:shd w:fill="F5F3ED" w:val="clear"/>
            <w:tcMar>
              <w:top w:type="dxa" w:w="60"/>
              <w:left w:type="dxa" w:w="100"/>
              <w:bottom w:type="dxa" w:w="60"/>
              <w:right w:type="dxa" w:w="100"/>
            </w:tcMar>
            <w:vAlign w:val="center"/>
          </w:tcPr>
          <w:p>
            <w:pPr>
              <w:spacing w:line="312"/>
              <w:jc w:val="left"/>
            </w:pPr>
            <w:r>
              <w:rPr>
                <w:color w:val="222222"/>
                <w:sz w:val="21"/>
                <w:szCs w:val="21"/>
              </w:rPr>
              <w:t xml:space="preserve">电、蒸汽、水、天然气分区计量接入，吨麦单耗核算与班组考核，异常用能诊断</w:t>
            </w:r>
          </w:p>
        </w:tc>
        <w:tc>
          <w:tcPr>
            <w:tcW w:type="dxa" w:w="1700"/>
            <w:shd w:fill="F5F3ED" w:val="clear"/>
            <w:tcMar>
              <w:top w:type="dxa" w:w="60"/>
              <w:left w:type="dxa" w:w="100"/>
              <w:bottom w:type="dxa" w:w="60"/>
              <w:right w:type="dxa" w:w="100"/>
            </w:tcMar>
            <w:vAlign w:val="center"/>
          </w:tcPr>
          <w:p>
            <w:pPr>
              <w:spacing w:line="312"/>
              <w:jc w:val="left"/>
            </w:pPr>
            <w:r>
              <w:rPr>
                <w:color w:val="222222"/>
                <w:sz w:val="21"/>
                <w:szCs w:val="21"/>
              </w:rPr>
              <w:t xml:space="preserve">采集平台+补装计量表计</w:t>
            </w:r>
          </w:p>
        </w:tc>
        <w:tc>
          <w:tcPr>
            <w:tcW w:type="dxa" w:w="1788"/>
            <w:shd w:fill="F5F3ED" w:val="clear"/>
            <w:tcMar>
              <w:top w:type="dxa" w:w="60"/>
              <w:left w:type="dxa" w:w="100"/>
              <w:bottom w:type="dxa" w:w="60"/>
              <w:right w:type="dxa" w:w="100"/>
            </w:tcMar>
            <w:vAlign w:val="center"/>
          </w:tcPr>
          <w:p>
            <w:pPr>
              <w:spacing w:line="312"/>
              <w:jc w:val="left"/>
            </w:pPr>
            <w:r>
              <w:rPr>
                <w:color w:val="222222"/>
                <w:sz w:val="21"/>
                <w:szCs w:val="21"/>
              </w:rPr>
              <w:t xml:space="preserve">麦芽厂第一大可控成本，为碳核算打底</w:t>
            </w:r>
          </w:p>
        </w:tc>
      </w:tr>
      <w:tr>
        <w:trPr>
          <w:cantSplit/>
        </w:trPr>
        <w:tc>
          <w:tcPr>
            <w:tcW w:type="dxa" w:w="900"/>
            <w:shd w:fill="FFFFFF" w:val="clear"/>
            <w:tcMar>
              <w:top w:type="dxa" w:w="60"/>
              <w:left w:type="dxa" w:w="100"/>
              <w:bottom w:type="dxa" w:w="60"/>
              <w:right w:type="dxa" w:w="100"/>
            </w:tcMar>
            <w:vAlign w:val="center"/>
          </w:tcPr>
          <w:p>
            <w:pPr>
              <w:spacing w:line="312"/>
              <w:jc w:val="center"/>
            </w:pPr>
            <w:r>
              <w:rPr>
                <w:color w:val="222222"/>
                <w:sz w:val="21"/>
                <w:szCs w:val="21"/>
              </w:rPr>
              <w:t xml:space="preserve">近期
0–12月</w:t>
            </w:r>
          </w:p>
        </w:tc>
        <w:tc>
          <w:tcPr>
            <w:tcW w:type="dxa" w:w="1650"/>
            <w:shd w:fill="FFFFFF" w:val="clear"/>
            <w:tcMar>
              <w:top w:type="dxa" w:w="60"/>
              <w:left w:type="dxa" w:w="100"/>
              <w:bottom w:type="dxa" w:w="60"/>
              <w:right w:type="dxa" w:w="100"/>
            </w:tcMar>
            <w:vAlign w:val="center"/>
          </w:tcPr>
          <w:p>
            <w:pPr>
              <w:spacing w:line="312"/>
              <w:jc w:val="left"/>
            </w:pPr>
            <w:r>
              <w:rPr>
                <w:color w:val="222222"/>
                <w:sz w:val="21"/>
                <w:szCs w:val="21"/>
              </w:rPr>
              <w:t xml:space="preserve">质量数据关联分析</w:t>
            </w:r>
          </w:p>
        </w:tc>
        <w:tc>
          <w:tcPr>
            <w:tcW w:type="dxa" w:w="2750"/>
            <w:shd w:fill="FFFFFF" w:val="clear"/>
            <w:tcMar>
              <w:top w:type="dxa" w:w="60"/>
              <w:left w:type="dxa" w:w="100"/>
              <w:bottom w:type="dxa" w:w="60"/>
              <w:right w:type="dxa" w:w="100"/>
            </w:tcMar>
            <w:vAlign w:val="center"/>
          </w:tcPr>
          <w:p>
            <w:pPr>
              <w:spacing w:line="312"/>
              <w:jc w:val="left"/>
            </w:pPr>
            <w:r>
              <w:rPr>
                <w:color w:val="222222"/>
                <w:sz w:val="21"/>
                <w:szCs w:val="21"/>
              </w:rPr>
              <w:t xml:space="preserve">化验指标电子化并与工艺参数、批次关联，开展相关性与归因分析</w:t>
            </w:r>
          </w:p>
        </w:tc>
        <w:tc>
          <w:tcPr>
            <w:tcW w:type="dxa" w:w="1700"/>
            <w:shd w:fill="FFFFFF" w:val="clear"/>
            <w:tcMar>
              <w:top w:type="dxa" w:w="60"/>
              <w:left w:type="dxa" w:w="100"/>
              <w:bottom w:type="dxa" w:w="60"/>
              <w:right w:type="dxa" w:w="100"/>
            </w:tcMar>
            <w:vAlign w:val="center"/>
          </w:tcPr>
          <w:p>
            <w:pPr>
              <w:spacing w:line="312"/>
              <w:jc w:val="left"/>
            </w:pPr>
            <w:r>
              <w:rPr>
                <w:color w:val="222222"/>
                <w:sz w:val="21"/>
                <w:szCs w:val="21"/>
              </w:rPr>
              <w:t xml:space="preserve">采集平台+化验台账</w:t>
            </w:r>
          </w:p>
        </w:tc>
        <w:tc>
          <w:tcPr>
            <w:tcW w:type="dxa" w:w="1788"/>
            <w:shd w:fill="FFFFFF" w:val="clear"/>
            <w:tcMar>
              <w:top w:type="dxa" w:w="60"/>
              <w:left w:type="dxa" w:w="100"/>
              <w:bottom w:type="dxa" w:w="60"/>
              <w:right w:type="dxa" w:w="100"/>
            </w:tcMar>
            <w:vAlign w:val="center"/>
          </w:tcPr>
          <w:p>
            <w:pPr>
              <w:spacing w:line="312"/>
              <w:jc w:val="left"/>
            </w:pPr>
            <w:r>
              <w:rPr>
                <w:color w:val="222222"/>
                <w:sz w:val="21"/>
                <w:szCs w:val="21"/>
              </w:rPr>
              <w:t xml:space="preserve">定位影响出成率与质量的关键参数</w:t>
            </w:r>
          </w:p>
        </w:tc>
      </w:tr>
      <w:tr>
        <w:trPr>
          <w:cantSplit/>
        </w:trPr>
        <w:tc>
          <w:tcPr>
            <w:tcW w:type="dxa" w:w="900"/>
            <w:shd w:fill="F5F3ED" w:val="clear"/>
            <w:tcMar>
              <w:top w:type="dxa" w:w="60"/>
              <w:left w:type="dxa" w:w="100"/>
              <w:bottom w:type="dxa" w:w="60"/>
              <w:right w:type="dxa" w:w="100"/>
            </w:tcMar>
            <w:vAlign w:val="center"/>
          </w:tcPr>
          <w:p>
            <w:pPr>
              <w:spacing w:line="312"/>
              <w:jc w:val="center"/>
            </w:pPr>
            <w:r>
              <w:rPr>
                <w:color w:val="222222"/>
                <w:sz w:val="21"/>
                <w:szCs w:val="21"/>
              </w:rPr>
              <w:t xml:space="preserve">近期
0–12月</w:t>
            </w:r>
          </w:p>
        </w:tc>
        <w:tc>
          <w:tcPr>
            <w:tcW w:type="dxa" w:w="1650"/>
            <w:shd w:fill="F5F3ED" w:val="clear"/>
            <w:tcMar>
              <w:top w:type="dxa" w:w="60"/>
              <w:left w:type="dxa" w:w="100"/>
              <w:bottom w:type="dxa" w:w="60"/>
              <w:right w:type="dxa" w:w="100"/>
            </w:tcMar>
            <w:vAlign w:val="center"/>
          </w:tcPr>
          <w:p>
            <w:pPr>
              <w:spacing w:line="312"/>
              <w:jc w:val="left"/>
            </w:pPr>
            <w:r>
              <w:rPr>
                <w:color w:val="222222"/>
                <w:sz w:val="21"/>
                <w:szCs w:val="21"/>
              </w:rPr>
              <w:t xml:space="preserve">粮情大数据升级</w:t>
            </w:r>
          </w:p>
        </w:tc>
        <w:tc>
          <w:tcPr>
            <w:tcW w:type="dxa" w:w="2750"/>
            <w:shd w:fill="F5F3ED" w:val="clear"/>
            <w:tcMar>
              <w:top w:type="dxa" w:w="60"/>
              <w:left w:type="dxa" w:w="100"/>
              <w:bottom w:type="dxa" w:w="60"/>
              <w:right w:type="dxa" w:w="100"/>
            </w:tcMar>
            <w:vAlign w:val="center"/>
          </w:tcPr>
          <w:p>
            <w:pPr>
              <w:spacing w:line="312"/>
              <w:jc w:val="left"/>
            </w:pPr>
            <w:r>
              <w:rPr>
                <w:color w:val="222222"/>
                <w:sz w:val="21"/>
                <w:szCs w:val="21"/>
              </w:rPr>
              <w:t xml:space="preserve">粮温数据入湖，与大麦批次、入仓时间、仓内湿度联动分析与预警</w:t>
            </w:r>
          </w:p>
        </w:tc>
        <w:tc>
          <w:tcPr>
            <w:tcW w:type="dxa" w:w="1700"/>
            <w:shd w:fill="F5F3ED" w:val="clear"/>
            <w:tcMar>
              <w:top w:type="dxa" w:w="60"/>
              <w:left w:type="dxa" w:w="100"/>
              <w:bottom w:type="dxa" w:w="60"/>
              <w:right w:type="dxa" w:w="100"/>
            </w:tcMar>
            <w:vAlign w:val="center"/>
          </w:tcPr>
          <w:p>
            <w:pPr>
              <w:spacing w:line="312"/>
              <w:jc w:val="left"/>
            </w:pPr>
            <w:r>
              <w:rPr>
                <w:color w:val="222222"/>
                <w:sz w:val="21"/>
                <w:szCs w:val="21"/>
              </w:rPr>
              <w:t xml:space="preserve">粮温监控系统</w:t>
            </w:r>
          </w:p>
        </w:tc>
        <w:tc>
          <w:tcPr>
            <w:tcW w:type="dxa" w:w="1788"/>
            <w:shd w:fill="F5F3ED" w:val="clear"/>
            <w:tcMar>
              <w:top w:type="dxa" w:w="60"/>
              <w:left w:type="dxa" w:w="100"/>
              <w:bottom w:type="dxa" w:w="60"/>
              <w:right w:type="dxa" w:w="100"/>
            </w:tcMar>
            <w:vAlign w:val="center"/>
          </w:tcPr>
          <w:p>
            <w:pPr>
              <w:spacing w:line="312"/>
              <w:jc w:val="left"/>
            </w:pPr>
            <w:r>
              <w:rPr>
                <w:color w:val="222222"/>
                <w:sz w:val="21"/>
                <w:szCs w:val="21"/>
              </w:rPr>
              <w:t xml:space="preserve">降低储存损耗，保障原料品质</w:t>
            </w:r>
          </w:p>
        </w:tc>
      </w:tr>
      <w:tr>
        <w:trPr>
          <w:cantSplit/>
        </w:trPr>
        <w:tc>
          <w:tcPr>
            <w:tcW w:type="dxa" w:w="900"/>
            <w:shd w:fill="FFFFFF" w:val="clear"/>
            <w:tcMar>
              <w:top w:type="dxa" w:w="60"/>
              <w:left w:type="dxa" w:w="100"/>
              <w:bottom w:type="dxa" w:w="60"/>
              <w:right w:type="dxa" w:w="100"/>
            </w:tcMar>
            <w:vAlign w:val="center"/>
          </w:tcPr>
          <w:p>
            <w:pPr>
              <w:spacing w:line="312"/>
              <w:jc w:val="center"/>
            </w:pPr>
            <w:r>
              <w:rPr>
                <w:color w:val="222222"/>
                <w:sz w:val="21"/>
                <w:szCs w:val="21"/>
              </w:rPr>
              <w:t xml:space="preserve">中期
12–24月</w:t>
            </w:r>
          </w:p>
        </w:tc>
        <w:tc>
          <w:tcPr>
            <w:tcW w:type="dxa" w:w="1650"/>
            <w:shd w:fill="FFFFFF" w:val="clear"/>
            <w:tcMar>
              <w:top w:type="dxa" w:w="60"/>
              <w:left w:type="dxa" w:w="100"/>
              <w:bottom w:type="dxa" w:w="60"/>
              <w:right w:type="dxa" w:w="100"/>
            </w:tcMar>
            <w:vAlign w:val="center"/>
          </w:tcPr>
          <w:p>
            <w:pPr>
              <w:spacing w:line="312"/>
              <w:jc w:val="left"/>
            </w:pPr>
            <w:r>
              <w:rPr>
                <w:color w:val="222222"/>
                <w:sz w:val="21"/>
                <w:szCs w:val="21"/>
              </w:rPr>
              <w:t xml:space="preserve">MES批次追溯与电子批记录</w:t>
            </w:r>
          </w:p>
        </w:tc>
        <w:tc>
          <w:tcPr>
            <w:tcW w:type="dxa" w:w="2750"/>
            <w:shd w:fill="FFFFFF" w:val="clear"/>
            <w:tcMar>
              <w:top w:type="dxa" w:w="60"/>
              <w:left w:type="dxa" w:w="100"/>
              <w:bottom w:type="dxa" w:w="60"/>
              <w:right w:type="dxa" w:w="100"/>
            </w:tcMar>
            <w:vAlign w:val="center"/>
          </w:tcPr>
          <w:p>
            <w:pPr>
              <w:spacing w:line="312"/>
              <w:jc w:val="left"/>
            </w:pPr>
            <w:r>
              <w:rPr>
                <w:color w:val="222222"/>
                <w:sz w:val="21"/>
                <w:szCs w:val="21"/>
              </w:rPr>
              <w:t xml:space="preserve">以浸麦槽/发芽箱/干燥箱为批次单元建立全过程电子批记录，正向反向追溯</w:t>
            </w:r>
          </w:p>
        </w:tc>
        <w:tc>
          <w:tcPr>
            <w:tcW w:type="dxa" w:w="1700"/>
            <w:shd w:fill="FFFFFF" w:val="clear"/>
            <w:tcMar>
              <w:top w:type="dxa" w:w="60"/>
              <w:left w:type="dxa" w:w="100"/>
              <w:bottom w:type="dxa" w:w="60"/>
              <w:right w:type="dxa" w:w="100"/>
            </w:tcMar>
            <w:vAlign w:val="center"/>
          </w:tcPr>
          <w:p>
            <w:pPr>
              <w:spacing w:line="312"/>
              <w:jc w:val="left"/>
            </w:pPr>
            <w:r>
              <w:rPr>
                <w:color w:val="222222"/>
                <w:sz w:val="21"/>
                <w:szCs w:val="21"/>
              </w:rPr>
              <w:t xml:space="preserve">数据中台+采集平台</w:t>
            </w:r>
          </w:p>
        </w:tc>
        <w:tc>
          <w:tcPr>
            <w:tcW w:type="dxa" w:w="1788"/>
            <w:shd w:fill="FFFFFF" w:val="clear"/>
            <w:tcMar>
              <w:top w:type="dxa" w:w="60"/>
              <w:left w:type="dxa" w:w="100"/>
              <w:bottom w:type="dxa" w:w="60"/>
              <w:right w:type="dxa" w:w="100"/>
            </w:tcMar>
            <w:vAlign w:val="center"/>
          </w:tcPr>
          <w:p>
            <w:pPr>
              <w:spacing w:line="312"/>
              <w:jc w:val="left"/>
            </w:pPr>
            <w:r>
              <w:rPr>
                <w:color w:val="222222"/>
                <w:sz w:val="21"/>
                <w:szCs w:val="21"/>
              </w:rPr>
              <w:t xml:space="preserve">食品合规与大客户审核通行证</w:t>
            </w:r>
          </w:p>
        </w:tc>
      </w:tr>
      <w:tr>
        <w:trPr>
          <w:cantSplit/>
        </w:trPr>
        <w:tc>
          <w:tcPr>
            <w:tcW w:type="dxa" w:w="900"/>
            <w:shd w:fill="F5F3ED" w:val="clear"/>
            <w:tcMar>
              <w:top w:type="dxa" w:w="60"/>
              <w:left w:type="dxa" w:w="100"/>
              <w:bottom w:type="dxa" w:w="60"/>
              <w:right w:type="dxa" w:w="100"/>
            </w:tcMar>
            <w:vAlign w:val="center"/>
          </w:tcPr>
          <w:p>
            <w:pPr>
              <w:spacing w:line="312"/>
              <w:jc w:val="center"/>
            </w:pPr>
            <w:r>
              <w:rPr>
                <w:color w:val="222222"/>
                <w:sz w:val="21"/>
                <w:szCs w:val="21"/>
              </w:rPr>
              <w:t xml:space="preserve">中期
12–24月</w:t>
            </w:r>
          </w:p>
        </w:tc>
        <w:tc>
          <w:tcPr>
            <w:tcW w:type="dxa" w:w="1650"/>
            <w:shd w:fill="F5F3ED" w:val="clear"/>
            <w:tcMar>
              <w:top w:type="dxa" w:w="60"/>
              <w:left w:type="dxa" w:w="100"/>
              <w:bottom w:type="dxa" w:w="60"/>
              <w:right w:type="dxa" w:w="100"/>
            </w:tcMar>
            <w:vAlign w:val="center"/>
          </w:tcPr>
          <w:p>
            <w:pPr>
              <w:spacing w:line="312"/>
              <w:jc w:val="left"/>
            </w:pPr>
            <w:r>
              <w:rPr>
                <w:color w:val="222222"/>
                <w:sz w:val="21"/>
                <w:szCs w:val="21"/>
              </w:rPr>
              <w:t xml:space="preserve">LIMS实验室信息管理</w:t>
            </w:r>
          </w:p>
        </w:tc>
        <w:tc>
          <w:tcPr>
            <w:tcW w:type="dxa" w:w="2750"/>
            <w:shd w:fill="F5F3ED" w:val="clear"/>
            <w:tcMar>
              <w:top w:type="dxa" w:w="60"/>
              <w:left w:type="dxa" w:w="100"/>
              <w:bottom w:type="dxa" w:w="60"/>
              <w:right w:type="dxa" w:w="100"/>
            </w:tcMar>
            <w:vAlign w:val="center"/>
          </w:tcPr>
          <w:p>
            <w:pPr>
              <w:spacing w:line="312"/>
              <w:jc w:val="left"/>
            </w:pPr>
            <w:r>
              <w:rPr>
                <w:color w:val="222222"/>
                <w:sz w:val="21"/>
                <w:szCs w:val="21"/>
              </w:rPr>
              <w:t xml:space="preserve">化验流程、样品、方法、报告数字化，与MES/中台自动对接</w:t>
            </w:r>
          </w:p>
        </w:tc>
        <w:tc>
          <w:tcPr>
            <w:tcW w:type="dxa" w:w="1700"/>
            <w:shd w:fill="F5F3ED" w:val="clear"/>
            <w:tcMar>
              <w:top w:type="dxa" w:w="60"/>
              <w:left w:type="dxa" w:w="100"/>
              <w:bottom w:type="dxa" w:w="60"/>
              <w:right w:type="dxa" w:w="100"/>
            </w:tcMar>
            <w:vAlign w:val="center"/>
          </w:tcPr>
          <w:p>
            <w:pPr>
              <w:spacing w:line="312"/>
              <w:jc w:val="left"/>
            </w:pPr>
            <w:r>
              <w:rPr>
                <w:color w:val="222222"/>
                <w:sz w:val="21"/>
                <w:szCs w:val="21"/>
              </w:rPr>
              <w:t xml:space="preserve">质量数据关联分析成果</w:t>
            </w:r>
          </w:p>
        </w:tc>
        <w:tc>
          <w:tcPr>
            <w:tcW w:type="dxa" w:w="1788"/>
            <w:shd w:fill="F5F3ED" w:val="clear"/>
            <w:tcMar>
              <w:top w:type="dxa" w:w="60"/>
              <w:left w:type="dxa" w:w="100"/>
              <w:bottom w:type="dxa" w:w="60"/>
              <w:right w:type="dxa" w:w="100"/>
            </w:tcMar>
            <w:vAlign w:val="center"/>
          </w:tcPr>
          <w:p>
            <w:pPr>
              <w:spacing w:line="312"/>
              <w:jc w:val="left"/>
            </w:pPr>
            <w:r>
              <w:rPr>
                <w:color w:val="222222"/>
                <w:sz w:val="21"/>
                <w:szCs w:val="21"/>
              </w:rPr>
              <w:t xml:space="preserve">质量数据自动归批，消灭纸质台账</w:t>
            </w:r>
          </w:p>
        </w:tc>
      </w:tr>
      <w:tr>
        <w:trPr>
          <w:cantSplit/>
        </w:trPr>
        <w:tc>
          <w:tcPr>
            <w:tcW w:type="dxa" w:w="900"/>
            <w:shd w:fill="FFFFFF" w:val="clear"/>
            <w:tcMar>
              <w:top w:type="dxa" w:w="60"/>
              <w:left w:type="dxa" w:w="100"/>
              <w:bottom w:type="dxa" w:w="60"/>
              <w:right w:type="dxa" w:w="100"/>
            </w:tcMar>
            <w:vAlign w:val="center"/>
          </w:tcPr>
          <w:p>
            <w:pPr>
              <w:spacing w:line="312"/>
              <w:jc w:val="center"/>
            </w:pPr>
            <w:r>
              <w:rPr>
                <w:color w:val="222222"/>
                <w:sz w:val="21"/>
                <w:szCs w:val="21"/>
              </w:rPr>
              <w:t xml:space="preserve">中期
12–24月</w:t>
            </w:r>
          </w:p>
        </w:tc>
        <w:tc>
          <w:tcPr>
            <w:tcW w:type="dxa" w:w="1650"/>
            <w:shd w:fill="FFFFFF" w:val="clear"/>
            <w:tcMar>
              <w:top w:type="dxa" w:w="60"/>
              <w:left w:type="dxa" w:w="100"/>
              <w:bottom w:type="dxa" w:w="60"/>
              <w:right w:type="dxa" w:w="100"/>
            </w:tcMar>
            <w:vAlign w:val="center"/>
          </w:tcPr>
          <w:p>
            <w:pPr>
              <w:spacing w:line="312"/>
              <w:jc w:val="left"/>
            </w:pPr>
            <w:r>
              <w:rPr>
                <w:color w:val="222222"/>
                <w:sz w:val="21"/>
                <w:szCs w:val="21"/>
              </w:rPr>
              <w:t xml:space="preserve">设备预测性维护</w:t>
            </w:r>
          </w:p>
        </w:tc>
        <w:tc>
          <w:tcPr>
            <w:tcW w:type="dxa" w:w="2750"/>
            <w:shd w:fill="FFFFFF" w:val="clear"/>
            <w:tcMar>
              <w:top w:type="dxa" w:w="60"/>
              <w:left w:type="dxa" w:w="100"/>
              <w:bottom w:type="dxa" w:w="60"/>
              <w:right w:type="dxa" w:w="100"/>
            </w:tcMar>
            <w:vAlign w:val="center"/>
          </w:tcPr>
          <w:p>
            <w:pPr>
              <w:spacing w:line="312"/>
              <w:jc w:val="left"/>
            </w:pPr>
            <w:r>
              <w:rPr>
                <w:color w:val="222222"/>
                <w:sz w:val="21"/>
                <w:szCs w:val="21"/>
              </w:rPr>
              <w:t xml:space="preserve">关键风机、翻麦机、电机加装振动/温度传感，建立劣化模型与检修工单闭环</w:t>
            </w:r>
          </w:p>
        </w:tc>
        <w:tc>
          <w:tcPr>
            <w:tcW w:type="dxa" w:w="1700"/>
            <w:shd w:fill="FFFFFF" w:val="clear"/>
            <w:tcMar>
              <w:top w:type="dxa" w:w="60"/>
              <w:left w:type="dxa" w:w="100"/>
              <w:bottom w:type="dxa" w:w="60"/>
              <w:right w:type="dxa" w:w="100"/>
            </w:tcMar>
            <w:vAlign w:val="center"/>
          </w:tcPr>
          <w:p>
            <w:pPr>
              <w:spacing w:line="312"/>
              <w:jc w:val="left"/>
            </w:pPr>
            <w:r>
              <w:rPr>
                <w:color w:val="222222"/>
                <w:sz w:val="21"/>
                <w:szCs w:val="21"/>
              </w:rPr>
              <w:t xml:space="preserve">采集平台+报警体系</w:t>
            </w:r>
          </w:p>
        </w:tc>
        <w:tc>
          <w:tcPr>
            <w:tcW w:type="dxa" w:w="1788"/>
            <w:shd w:fill="FFFFFF" w:val="clear"/>
            <w:tcMar>
              <w:top w:type="dxa" w:w="60"/>
              <w:left w:type="dxa" w:w="100"/>
              <w:bottom w:type="dxa" w:w="60"/>
              <w:right w:type="dxa" w:w="100"/>
            </w:tcMar>
            <w:vAlign w:val="center"/>
          </w:tcPr>
          <w:p>
            <w:pPr>
              <w:spacing w:line="312"/>
              <w:jc w:val="left"/>
            </w:pPr>
            <w:r>
              <w:rPr>
                <w:color w:val="222222"/>
                <w:sz w:val="21"/>
                <w:szCs w:val="21"/>
              </w:rPr>
              <w:t xml:space="preserve">从故障抢修转向预知维修</w:t>
            </w:r>
          </w:p>
        </w:tc>
      </w:tr>
      <w:tr>
        <w:trPr>
          <w:cantSplit/>
        </w:trPr>
        <w:tc>
          <w:tcPr>
            <w:tcW w:type="dxa" w:w="900"/>
            <w:shd w:fill="F5F3ED" w:val="clear"/>
            <w:tcMar>
              <w:top w:type="dxa" w:w="60"/>
              <w:left w:type="dxa" w:w="100"/>
              <w:bottom w:type="dxa" w:w="60"/>
              <w:right w:type="dxa" w:w="100"/>
            </w:tcMar>
            <w:vAlign w:val="center"/>
          </w:tcPr>
          <w:p>
            <w:pPr>
              <w:spacing w:line="312"/>
              <w:jc w:val="center"/>
            </w:pPr>
            <w:r>
              <w:rPr>
                <w:color w:val="222222"/>
                <w:sz w:val="21"/>
                <w:szCs w:val="21"/>
              </w:rPr>
              <w:t xml:space="preserve">中期
12–24月</w:t>
            </w:r>
          </w:p>
        </w:tc>
        <w:tc>
          <w:tcPr>
            <w:tcW w:type="dxa" w:w="1650"/>
            <w:shd w:fill="F5F3ED" w:val="clear"/>
            <w:tcMar>
              <w:top w:type="dxa" w:w="60"/>
              <w:left w:type="dxa" w:w="100"/>
              <w:bottom w:type="dxa" w:w="60"/>
              <w:right w:type="dxa" w:w="100"/>
            </w:tcMar>
            <w:vAlign w:val="center"/>
          </w:tcPr>
          <w:p>
            <w:pPr>
              <w:spacing w:line="312"/>
              <w:jc w:val="left"/>
            </w:pPr>
            <w:r>
              <w:rPr>
                <w:color w:val="222222"/>
                <w:sz w:val="21"/>
                <w:szCs w:val="21"/>
              </w:rPr>
              <w:t xml:space="preserve">智能仓储与物流</w:t>
            </w:r>
          </w:p>
        </w:tc>
        <w:tc>
          <w:tcPr>
            <w:tcW w:type="dxa" w:w="2750"/>
            <w:shd w:fill="F5F3ED" w:val="clear"/>
            <w:tcMar>
              <w:top w:type="dxa" w:w="60"/>
              <w:left w:type="dxa" w:w="100"/>
              <w:bottom w:type="dxa" w:w="60"/>
              <w:right w:type="dxa" w:w="100"/>
            </w:tcMar>
            <w:vAlign w:val="center"/>
          </w:tcPr>
          <w:p>
            <w:pPr>
              <w:spacing w:line="312"/>
              <w:jc w:val="left"/>
            </w:pPr>
            <w:r>
              <w:rPr>
                <w:color w:val="222222"/>
                <w:sz w:val="21"/>
                <w:szCs w:val="21"/>
              </w:rPr>
              <w:t xml:space="preserve">立仓出入库自动对接、发运管理、一物一码、库存实时可视</w:t>
            </w:r>
          </w:p>
        </w:tc>
        <w:tc>
          <w:tcPr>
            <w:tcW w:type="dxa" w:w="1700"/>
            <w:shd w:fill="F5F3ED" w:val="clear"/>
            <w:tcMar>
              <w:top w:type="dxa" w:w="60"/>
              <w:left w:type="dxa" w:w="100"/>
              <w:bottom w:type="dxa" w:w="60"/>
              <w:right w:type="dxa" w:w="100"/>
            </w:tcMar>
            <w:vAlign w:val="center"/>
          </w:tcPr>
          <w:p>
            <w:pPr>
              <w:spacing w:line="312"/>
              <w:jc w:val="left"/>
            </w:pPr>
            <w:r>
              <w:rPr>
                <w:color w:val="222222"/>
                <w:sz w:val="21"/>
                <w:szCs w:val="21"/>
              </w:rPr>
              <w:t xml:space="preserve">粮温监控+计量数据</w:t>
            </w:r>
          </w:p>
        </w:tc>
        <w:tc>
          <w:tcPr>
            <w:tcW w:type="dxa" w:w="1788"/>
            <w:shd w:fill="F5F3ED" w:val="clear"/>
            <w:tcMar>
              <w:top w:type="dxa" w:w="60"/>
              <w:left w:type="dxa" w:w="100"/>
              <w:bottom w:type="dxa" w:w="60"/>
              <w:right w:type="dxa" w:w="100"/>
            </w:tcMar>
            <w:vAlign w:val="center"/>
          </w:tcPr>
          <w:p>
            <w:pPr>
              <w:spacing w:line="312"/>
              <w:jc w:val="left"/>
            </w:pPr>
            <w:r>
              <w:rPr>
                <w:color w:val="222222"/>
                <w:sz w:val="21"/>
                <w:szCs w:val="21"/>
              </w:rPr>
              <w:t xml:space="preserve">账实一致、先进先出、发运提效</w:t>
            </w:r>
          </w:p>
        </w:tc>
      </w:tr>
      <w:tr>
        <w:trPr>
          <w:cantSplit/>
        </w:trPr>
        <w:tc>
          <w:tcPr>
            <w:tcW w:type="dxa" w:w="900"/>
            <w:shd w:fill="FFFFFF" w:val="clear"/>
            <w:tcMar>
              <w:top w:type="dxa" w:w="60"/>
              <w:left w:type="dxa" w:w="100"/>
              <w:bottom w:type="dxa" w:w="60"/>
              <w:right w:type="dxa" w:w="100"/>
            </w:tcMar>
            <w:vAlign w:val="center"/>
          </w:tcPr>
          <w:p>
            <w:pPr>
              <w:spacing w:line="312"/>
              <w:jc w:val="center"/>
            </w:pPr>
            <w:r>
              <w:rPr>
                <w:color w:val="222222"/>
                <w:sz w:val="21"/>
                <w:szCs w:val="21"/>
              </w:rPr>
              <w:t xml:space="preserve">中期
12–24月</w:t>
            </w:r>
          </w:p>
        </w:tc>
        <w:tc>
          <w:tcPr>
            <w:tcW w:type="dxa" w:w="1650"/>
            <w:shd w:fill="FFFFFF" w:val="clear"/>
            <w:tcMar>
              <w:top w:type="dxa" w:w="60"/>
              <w:left w:type="dxa" w:w="100"/>
              <w:bottom w:type="dxa" w:w="60"/>
              <w:right w:type="dxa" w:w="100"/>
            </w:tcMar>
            <w:vAlign w:val="center"/>
          </w:tcPr>
          <w:p>
            <w:pPr>
              <w:spacing w:line="312"/>
              <w:jc w:val="left"/>
            </w:pPr>
            <w:r>
              <w:rPr>
                <w:color w:val="222222"/>
                <w:sz w:val="21"/>
                <w:szCs w:val="21"/>
              </w:rPr>
              <w:t xml:space="preserve">数据中台二期与AI分析服务</w:t>
            </w:r>
          </w:p>
        </w:tc>
        <w:tc>
          <w:tcPr>
            <w:tcW w:type="dxa" w:w="2750"/>
            <w:shd w:fill="FFFFFF" w:val="clear"/>
            <w:tcMar>
              <w:top w:type="dxa" w:w="60"/>
              <w:left w:type="dxa" w:w="100"/>
              <w:bottom w:type="dxa" w:w="60"/>
              <w:right w:type="dxa" w:w="100"/>
            </w:tcMar>
            <w:vAlign w:val="center"/>
          </w:tcPr>
          <w:p>
            <w:pPr>
              <w:spacing w:line="312"/>
              <w:jc w:val="left"/>
            </w:pPr>
            <w:r>
              <w:rPr>
                <w:color w:val="222222"/>
                <w:sz w:val="21"/>
                <w:szCs w:val="21"/>
              </w:rPr>
              <w:t xml:space="preserve">建设分析主题库与AI模型服务（出成率预测、能耗预测、质量预测），管理层驾驶舱</w:t>
            </w:r>
          </w:p>
        </w:tc>
        <w:tc>
          <w:tcPr>
            <w:tcW w:type="dxa" w:w="1700"/>
            <w:shd w:fill="FFFFFF" w:val="clear"/>
            <w:tcMar>
              <w:top w:type="dxa" w:w="60"/>
              <w:left w:type="dxa" w:w="100"/>
              <w:bottom w:type="dxa" w:w="60"/>
              <w:right w:type="dxa" w:w="100"/>
            </w:tcMar>
            <w:vAlign w:val="center"/>
          </w:tcPr>
          <w:p>
            <w:pPr>
              <w:spacing w:line="312"/>
              <w:jc w:val="left"/>
            </w:pPr>
            <w:r>
              <w:rPr>
                <w:color w:val="222222"/>
                <w:sz w:val="21"/>
                <w:szCs w:val="21"/>
              </w:rPr>
              <w:t xml:space="preserve">数据中台一期</w:t>
            </w:r>
          </w:p>
        </w:tc>
        <w:tc>
          <w:tcPr>
            <w:tcW w:type="dxa" w:w="1788"/>
            <w:shd w:fill="FFFFFF" w:val="clear"/>
            <w:tcMar>
              <w:top w:type="dxa" w:w="60"/>
              <w:left w:type="dxa" w:w="100"/>
              <w:bottom w:type="dxa" w:w="60"/>
              <w:right w:type="dxa" w:w="100"/>
            </w:tcMar>
            <w:vAlign w:val="center"/>
          </w:tcPr>
          <w:p>
            <w:pPr>
              <w:spacing w:line="312"/>
              <w:jc w:val="left"/>
            </w:pPr>
            <w:r>
              <w:rPr>
                <w:color w:val="222222"/>
                <w:sz w:val="21"/>
                <w:szCs w:val="21"/>
              </w:rPr>
              <w:t xml:space="preserve">让数据成为每日决策工具</w:t>
            </w:r>
          </w:p>
        </w:tc>
      </w:tr>
      <w:tr>
        <w:trPr>
          <w:cantSplit/>
        </w:trPr>
        <w:tc>
          <w:tcPr>
            <w:tcW w:type="dxa" w:w="900"/>
            <w:shd w:fill="F5F3ED" w:val="clear"/>
            <w:tcMar>
              <w:top w:type="dxa" w:w="60"/>
              <w:left w:type="dxa" w:w="100"/>
              <w:bottom w:type="dxa" w:w="60"/>
              <w:right w:type="dxa" w:w="100"/>
            </w:tcMar>
            <w:vAlign w:val="center"/>
          </w:tcPr>
          <w:p>
            <w:pPr>
              <w:spacing w:line="312"/>
              <w:jc w:val="center"/>
            </w:pPr>
            <w:r>
              <w:rPr>
                <w:color w:val="222222"/>
                <w:sz w:val="21"/>
                <w:szCs w:val="21"/>
              </w:rPr>
              <w:t xml:space="preserve">远期
24–36月</w:t>
            </w:r>
          </w:p>
        </w:tc>
        <w:tc>
          <w:tcPr>
            <w:tcW w:type="dxa" w:w="1650"/>
            <w:shd w:fill="F5F3ED" w:val="clear"/>
            <w:tcMar>
              <w:top w:type="dxa" w:w="60"/>
              <w:left w:type="dxa" w:w="100"/>
              <w:bottom w:type="dxa" w:w="60"/>
              <w:right w:type="dxa" w:w="100"/>
            </w:tcMar>
            <w:vAlign w:val="center"/>
          </w:tcPr>
          <w:p>
            <w:pPr>
              <w:spacing w:line="312"/>
              <w:jc w:val="left"/>
            </w:pPr>
            <w:r>
              <w:rPr>
                <w:color w:val="222222"/>
                <w:sz w:val="21"/>
                <w:szCs w:val="21"/>
              </w:rPr>
              <w:t xml:space="preserve">APC先进过程控制</w:t>
            </w:r>
          </w:p>
        </w:tc>
        <w:tc>
          <w:tcPr>
            <w:tcW w:type="dxa" w:w="2750"/>
            <w:shd w:fill="F5F3ED" w:val="clear"/>
            <w:tcMar>
              <w:top w:type="dxa" w:w="60"/>
              <w:left w:type="dxa" w:w="100"/>
              <w:bottom w:type="dxa" w:w="60"/>
              <w:right w:type="dxa" w:w="100"/>
            </w:tcMar>
            <w:vAlign w:val="center"/>
          </w:tcPr>
          <w:p>
            <w:pPr>
              <w:spacing w:line="312"/>
              <w:jc w:val="left"/>
            </w:pPr>
            <w:r>
              <w:rPr>
                <w:color w:val="222222"/>
                <w:sz w:val="21"/>
                <w:szCs w:val="21"/>
              </w:rPr>
              <w:t xml:space="preserve">浸麦水分、发芽温度与通风、干燥升温曲线等关键回路的模型预测控制与寻优</w:t>
            </w:r>
          </w:p>
        </w:tc>
        <w:tc>
          <w:tcPr>
            <w:tcW w:type="dxa" w:w="1700"/>
            <w:shd w:fill="F5F3ED" w:val="clear"/>
            <w:tcMar>
              <w:top w:type="dxa" w:w="60"/>
              <w:left w:type="dxa" w:w="100"/>
              <w:bottom w:type="dxa" w:w="60"/>
              <w:right w:type="dxa" w:w="100"/>
            </w:tcMar>
            <w:vAlign w:val="center"/>
          </w:tcPr>
          <w:p>
            <w:pPr>
              <w:spacing w:line="312"/>
              <w:jc w:val="left"/>
            </w:pPr>
            <w:r>
              <w:rPr>
                <w:color w:val="222222"/>
                <w:sz w:val="21"/>
                <w:szCs w:val="21"/>
              </w:rPr>
              <w:t xml:space="preserve">AI模型+工艺机理</w:t>
            </w:r>
          </w:p>
        </w:tc>
        <w:tc>
          <w:tcPr>
            <w:tcW w:type="dxa" w:w="1788"/>
            <w:shd w:fill="F5F3ED" w:val="clear"/>
            <w:tcMar>
              <w:top w:type="dxa" w:w="60"/>
              <w:left w:type="dxa" w:w="100"/>
              <w:bottom w:type="dxa" w:w="60"/>
              <w:right w:type="dxa" w:w="100"/>
            </w:tcMar>
            <w:vAlign w:val="center"/>
          </w:tcPr>
          <w:p>
            <w:pPr>
              <w:spacing w:line="312"/>
              <w:jc w:val="left"/>
            </w:pPr>
            <w:r>
              <w:rPr>
                <w:color w:val="222222"/>
                <w:sz w:val="21"/>
                <w:szCs w:val="21"/>
              </w:rPr>
              <w:t xml:space="preserve">出成率与能耗持续优化，工艺知识资产化</w:t>
            </w:r>
          </w:p>
        </w:tc>
      </w:tr>
      <w:tr>
        <w:trPr>
          <w:cantSplit/>
        </w:trPr>
        <w:tc>
          <w:tcPr>
            <w:tcW w:type="dxa" w:w="900"/>
            <w:shd w:fill="FFFFFF" w:val="clear"/>
            <w:tcMar>
              <w:top w:type="dxa" w:w="60"/>
              <w:left w:type="dxa" w:w="100"/>
              <w:bottom w:type="dxa" w:w="60"/>
              <w:right w:type="dxa" w:w="100"/>
            </w:tcMar>
            <w:vAlign w:val="center"/>
          </w:tcPr>
          <w:p>
            <w:pPr>
              <w:spacing w:line="312"/>
              <w:jc w:val="center"/>
            </w:pPr>
            <w:r>
              <w:rPr>
                <w:color w:val="222222"/>
                <w:sz w:val="21"/>
                <w:szCs w:val="21"/>
              </w:rPr>
              <w:t xml:space="preserve">远期
24–36月</w:t>
            </w:r>
          </w:p>
        </w:tc>
        <w:tc>
          <w:tcPr>
            <w:tcW w:type="dxa" w:w="1650"/>
            <w:shd w:fill="FFFFFF" w:val="clear"/>
            <w:tcMar>
              <w:top w:type="dxa" w:w="60"/>
              <w:left w:type="dxa" w:w="100"/>
              <w:bottom w:type="dxa" w:w="60"/>
              <w:right w:type="dxa" w:w="100"/>
            </w:tcMar>
            <w:vAlign w:val="center"/>
          </w:tcPr>
          <w:p>
            <w:pPr>
              <w:spacing w:line="312"/>
              <w:jc w:val="left"/>
            </w:pPr>
            <w:r>
              <w:rPr>
                <w:color w:val="222222"/>
                <w:sz w:val="21"/>
                <w:szCs w:val="21"/>
              </w:rPr>
              <w:t xml:space="preserve">产线数字孪生</w:t>
            </w:r>
          </w:p>
        </w:tc>
        <w:tc>
          <w:tcPr>
            <w:tcW w:type="dxa" w:w="2750"/>
            <w:shd w:fill="FFFFFF" w:val="clear"/>
            <w:tcMar>
              <w:top w:type="dxa" w:w="60"/>
              <w:left w:type="dxa" w:w="100"/>
              <w:bottom w:type="dxa" w:w="60"/>
              <w:right w:type="dxa" w:w="100"/>
            </w:tcMar>
            <w:vAlign w:val="center"/>
          </w:tcPr>
          <w:p>
            <w:pPr>
              <w:spacing w:line="312"/>
              <w:jc w:val="left"/>
            </w:pPr>
            <w:r>
              <w:rPr>
                <w:color w:val="222222"/>
                <w:sz w:val="21"/>
                <w:szCs w:val="21"/>
              </w:rPr>
              <w:t xml:space="preserve">12步工艺产线机理+数据混合建模，用于工艺试算、仿真与培训</w:t>
            </w:r>
          </w:p>
        </w:tc>
        <w:tc>
          <w:tcPr>
            <w:tcW w:type="dxa" w:w="1700"/>
            <w:shd w:fill="FFFFFF" w:val="clear"/>
            <w:tcMar>
              <w:top w:type="dxa" w:w="60"/>
              <w:left w:type="dxa" w:w="100"/>
              <w:bottom w:type="dxa" w:w="60"/>
              <w:right w:type="dxa" w:w="100"/>
            </w:tcMar>
            <w:vAlign w:val="center"/>
          </w:tcPr>
          <w:p>
            <w:pPr>
              <w:spacing w:line="312"/>
              <w:jc w:val="left"/>
            </w:pPr>
            <w:r>
              <w:rPr>
                <w:color w:val="222222"/>
                <w:sz w:val="21"/>
                <w:szCs w:val="21"/>
              </w:rPr>
              <w:t xml:space="preserve">中台+APC成果</w:t>
            </w:r>
          </w:p>
        </w:tc>
        <w:tc>
          <w:tcPr>
            <w:tcW w:type="dxa" w:w="1788"/>
            <w:shd w:fill="FFFFFF" w:val="clear"/>
            <w:tcMar>
              <w:top w:type="dxa" w:w="60"/>
              <w:left w:type="dxa" w:w="100"/>
              <w:bottom w:type="dxa" w:w="60"/>
              <w:right w:type="dxa" w:w="100"/>
            </w:tcMar>
            <w:vAlign w:val="center"/>
          </w:tcPr>
          <w:p>
            <w:pPr>
              <w:spacing w:line="312"/>
              <w:jc w:val="left"/>
            </w:pPr>
            <w:r>
              <w:rPr>
                <w:color w:val="222222"/>
                <w:sz w:val="21"/>
                <w:szCs w:val="21"/>
              </w:rPr>
              <w:t xml:space="preserve">低成本试错，工艺研发提速</w:t>
            </w:r>
          </w:p>
        </w:tc>
      </w:tr>
      <w:tr>
        <w:trPr>
          <w:cantSplit/>
        </w:trPr>
        <w:tc>
          <w:tcPr>
            <w:tcW w:type="dxa" w:w="900"/>
            <w:shd w:fill="F5F3ED" w:val="clear"/>
            <w:tcMar>
              <w:top w:type="dxa" w:w="60"/>
              <w:left w:type="dxa" w:w="100"/>
              <w:bottom w:type="dxa" w:w="60"/>
              <w:right w:type="dxa" w:w="100"/>
            </w:tcMar>
            <w:vAlign w:val="center"/>
          </w:tcPr>
          <w:p>
            <w:pPr>
              <w:spacing w:line="312"/>
              <w:jc w:val="center"/>
            </w:pPr>
            <w:r>
              <w:rPr>
                <w:color w:val="222222"/>
                <w:sz w:val="21"/>
                <w:szCs w:val="21"/>
              </w:rPr>
              <w:t xml:space="preserve">远期
24–36月</w:t>
            </w:r>
          </w:p>
        </w:tc>
        <w:tc>
          <w:tcPr>
            <w:tcW w:type="dxa" w:w="1650"/>
            <w:shd w:fill="F5F3ED" w:val="clear"/>
            <w:tcMar>
              <w:top w:type="dxa" w:w="60"/>
              <w:left w:type="dxa" w:w="100"/>
              <w:bottom w:type="dxa" w:w="60"/>
              <w:right w:type="dxa" w:w="100"/>
            </w:tcMar>
            <w:vAlign w:val="center"/>
          </w:tcPr>
          <w:p>
            <w:pPr>
              <w:spacing w:line="312"/>
              <w:jc w:val="left"/>
            </w:pPr>
            <w:r>
              <w:rPr>
                <w:color w:val="222222"/>
                <w:sz w:val="21"/>
                <w:szCs w:val="21"/>
              </w:rPr>
              <w:t xml:space="preserve">卓越级智能工厂建设冲刺</w:t>
            </w:r>
          </w:p>
        </w:tc>
        <w:tc>
          <w:tcPr>
            <w:tcW w:type="dxa" w:w="2750"/>
            <w:shd w:fill="F5F3ED" w:val="clear"/>
            <w:tcMar>
              <w:top w:type="dxa" w:w="60"/>
              <w:left w:type="dxa" w:w="100"/>
              <w:bottom w:type="dxa" w:w="60"/>
              <w:right w:type="dxa" w:w="100"/>
            </w:tcMar>
            <w:vAlign w:val="center"/>
          </w:tcPr>
          <w:p>
            <w:pPr>
              <w:spacing w:line="312"/>
              <w:jc w:val="left"/>
            </w:pPr>
            <w:r>
              <w:rPr>
                <w:color w:val="222222"/>
                <w:sz w:val="21"/>
                <w:szCs w:val="21"/>
              </w:rPr>
              <w:t xml:space="preserve">按卓越级标准整合全部系统，完善工业安全、5G等配套，争创国家级荣誉</w:t>
            </w:r>
          </w:p>
        </w:tc>
        <w:tc>
          <w:tcPr>
            <w:tcW w:type="dxa" w:w="1700"/>
            <w:shd w:fill="F5F3ED" w:val="clear"/>
            <w:tcMar>
              <w:top w:type="dxa" w:w="60"/>
              <w:left w:type="dxa" w:w="100"/>
              <w:bottom w:type="dxa" w:w="60"/>
              <w:right w:type="dxa" w:w="100"/>
            </w:tcMar>
            <w:vAlign w:val="center"/>
          </w:tcPr>
          <w:p>
            <w:pPr>
              <w:spacing w:line="312"/>
              <w:jc w:val="left"/>
            </w:pPr>
            <w:r>
              <w:rPr>
                <w:color w:val="222222"/>
                <w:sz w:val="21"/>
                <w:szCs w:val="21"/>
              </w:rPr>
              <w:t xml:space="preserve">全部项目成果</w:t>
            </w:r>
          </w:p>
        </w:tc>
        <w:tc>
          <w:tcPr>
            <w:tcW w:type="dxa" w:w="1788"/>
            <w:shd w:fill="F5F3ED" w:val="clear"/>
            <w:tcMar>
              <w:top w:type="dxa" w:w="60"/>
              <w:left w:type="dxa" w:w="100"/>
              <w:bottom w:type="dxa" w:w="60"/>
              <w:right w:type="dxa" w:w="100"/>
            </w:tcMar>
            <w:vAlign w:val="center"/>
          </w:tcPr>
          <w:p>
            <w:pPr>
              <w:spacing w:line="312"/>
              <w:jc w:val="left"/>
            </w:pPr>
            <w:r>
              <w:rPr>
                <w:color w:val="222222"/>
                <w:sz w:val="21"/>
                <w:szCs w:val="21"/>
              </w:rPr>
              <w:t xml:space="preserve">政策资源+集团地位+品牌溢价</w:t>
            </w:r>
          </w:p>
        </w:tc>
      </w:tr>
    </w:tbl>
    <w:p>
      <w:pPr>
        <w:pStyle w:val="Heading2"/>
        <w:keepNext/>
        <w:spacing w:after="160" w:before="280" w:line="312"/>
        <w:outlineLvl w:val="1"/>
      </w:pPr>
      <w:bookmarkStart w:id="100018" w:name="_Toc100018"/>
      <w:r>
        <w:rPr>
          <w:rFonts w:ascii="Arial" w:eastAsia="SimHei"/>
          <w:b/>
          <w:bCs/>
          <w:color w:val="1A1A1A"/>
          <w:sz w:val="28"/>
          <w:szCs w:val="28"/>
        </w:rPr>
        <w:t xml:space="preserve">5.2 近期机会：在既有平台上的数据深化</w:t>
      </w:r>
      <w:bookmarkEnd w:id="100018"/>
    </w:p>
    <w:p>
      <w:pPr>
        <w:spacing w:after="80" w:line="312"/>
        <w:ind w:firstLine="480"/>
        <w:jc w:val="both"/>
      </w:pPr>
      <w:r>
        <w:rPr>
          <w:sz w:val="24"/>
          <w:szCs w:val="24"/>
        </w:rPr>
        <w:t xml:space="preserve">近期六个项目共享同一个特点：不需要大动干戈改造现场设备，核心工作是把已有的数据用好、把缺失的计量补齐，因而投资强度低、实施风险小、效果可直观验证。</w:t>
      </w:r>
    </w:p>
    <w:p>
      <w:pPr>
        <w:spacing w:after="80" w:line="312"/>
        <w:ind w:firstLine="480"/>
        <w:jc w:val="both"/>
      </w:pPr>
      <w:r>
        <w:rPr>
          <w:sz w:val="24"/>
          <w:szCs w:val="24"/>
        </w:rPr>
        <w:t xml:space="preserve">其中，统一数据中台与能源管理是两个支点项目：前者决定后续所有项目的技术路线，避免每一个新应用都重做一次集成；后者是最容易算清投资回报的项目——能源是麦芽厂第一大可控成本，干燥环节的热耗与发芽通风的电耗每月都有明确的账可算，吨麦单耗看板上线即可成为管理层最常用的工具。报警治理与OEE则是把既有曲线报警资产二次变现的快赢项目：报警数据已经积累在系统中，只欠系统化的梳理与分析；设备运行与停机数据也已在采集平台中，只欠一个OEE计算模型。质量数据关联分析与粮情大数据升级分别打开质量与原料两个数据孤岛，为中期MES、LIMS和AI预测铺平数据道路。</w:t>
      </w:r>
    </w:p>
    <w:p>
      <w:pPr>
        <w:pStyle w:val="Heading2"/>
        <w:keepNext/>
        <w:spacing w:after="160" w:before="280" w:line="312"/>
        <w:outlineLvl w:val="1"/>
      </w:pPr>
      <w:bookmarkStart w:id="100019" w:name="_Toc100019"/>
      <w:r>
        <w:rPr>
          <w:rFonts w:ascii="Arial" w:eastAsia="SimHei"/>
          <w:b/>
          <w:bCs/>
          <w:color w:val="1A1A1A"/>
          <w:sz w:val="28"/>
          <w:szCs w:val="28"/>
        </w:rPr>
        <w:t xml:space="preserve">5.3 中期机会：系统集成与流程再造</w:t>
      </w:r>
      <w:bookmarkEnd w:id="100019"/>
    </w:p>
    <w:p>
      <w:pPr>
        <w:spacing w:after="80" w:line="312"/>
        <w:ind w:firstLine="480"/>
        <w:jc w:val="both"/>
      </w:pPr>
      <w:r>
        <w:rPr>
          <w:sz w:val="24"/>
          <w:szCs w:val="24"/>
        </w:rPr>
        <w:t xml:space="preserve">中期阶段解决的是流程再造问题，把部门级应用升级为跨部门闭环。MES是食品工厂由大变强的分水岭：以批次为主线，把浸麦、发芽、干燥、除根、包装各环节的过程参数与检验结果自动归集为电子批记录，实现一键追溯，直接服务大客户审核与食品安全合规。LIMS与MES互为表里——化验数据自动归批后，纸质台账和人工转录彻底退出。</w:t>
      </w:r>
    </w:p>
    <w:p>
      <w:pPr>
        <w:spacing w:after="80" w:line="312"/>
        <w:ind w:firstLine="480"/>
        <w:jc w:val="both"/>
      </w:pPr>
      <w:r>
        <w:rPr>
          <w:sz w:val="24"/>
          <w:szCs w:val="24"/>
        </w:rPr>
        <w:t xml:space="preserve">设备预测性维护建议从发芽风机、干燥风机等关键动设备试点，以两到三类设备形成可见效的样板后再横向推广；智能仓储与物流解决立仓与发运环节的账实一致与先进先出问题；数据中台二期则在一期底座上建设AI模型服务与管理驾驶舱，把数据资产转化为每日决策工具。中期的五个项目彼此耦合，建议统筹规划、分标段实施。</w:t>
      </w:r>
    </w:p>
    <w:p>
      <w:pPr>
        <w:pStyle w:val="Heading2"/>
        <w:keepNext/>
        <w:spacing w:after="160" w:before="280" w:line="312"/>
        <w:outlineLvl w:val="1"/>
      </w:pPr>
      <w:bookmarkStart w:id="100020" w:name="_Toc100020"/>
      <w:r>
        <w:rPr>
          <w:rFonts w:ascii="Arial" w:eastAsia="SimHei"/>
          <w:b/>
          <w:bCs/>
          <w:color w:val="1A1A1A"/>
          <w:sz w:val="28"/>
          <w:szCs w:val="28"/>
        </w:rPr>
        <w:t xml:space="preserve">5.4 远期机会：智能应用与工厂整体跃迁</w:t>
      </w:r>
      <w:bookmarkEnd w:id="100020"/>
    </w:p>
    <w:p>
      <w:pPr>
        <w:spacing w:after="80" w:line="312"/>
        <w:ind w:firstLine="480"/>
        <w:jc w:val="both"/>
      </w:pPr>
      <w:r>
        <w:rPr>
          <w:sz w:val="24"/>
          <w:szCs w:val="24"/>
        </w:rPr>
        <w:t xml:space="preserve">APC先进过程控制与产线数字孪生代表制麦智能化的深水区：在数据与模型齐备后，对浸麦水分、发芽通风、干燥升温曲线等关键回路实施模型预测控制，把工艺优化的成果固化为控制策略，实现出成率与能耗的持续性改善；数字孪生则让新配方、新工艺先在模型里试跑，降低实物试错成本。在此之上，按卓越级智能工厂标准完成整体集成并冲刺国家级荣誉。更长远地，可参考Boortmalt模式，与集团农业板块联动探索从大麦种植端到麦芽加工端的供应链数据协同，为下游客户提供溯源与碳足迹数据服务——这属于三到五年的展望方向。</w:t>
      </w:r>
    </w:p>
    <w:p>
      <w:pPr>
        <w:pStyle w:val="Heading2"/>
        <w:keepNext/>
        <w:spacing w:after="160" w:before="280" w:line="312"/>
        <w:outlineLvl w:val="1"/>
      </w:pPr>
      <w:bookmarkStart w:id="100021" w:name="_Toc100021"/>
      <w:r>
        <w:rPr>
          <w:rFonts w:ascii="Arial" w:eastAsia="SimHei"/>
          <w:b/>
          <w:bCs/>
          <w:color w:val="1A1A1A"/>
          <w:sz w:val="28"/>
          <w:szCs w:val="28"/>
        </w:rPr>
        <w:t xml:space="preserve">5.5 项目优先级与实施节奏</w:t>
      </w:r>
      <w:bookmarkEnd w:id="100021"/>
    </w:p>
    <w:p>
      <w:pPr>
        <w:spacing w:after="80" w:line="312"/>
        <w:ind w:firstLine="480"/>
        <w:jc w:val="both"/>
      </w:pPr>
      <w:r>
        <w:rPr>
          <w:sz w:val="24"/>
          <w:szCs w:val="24"/>
        </w:rPr>
        <w:t xml:space="preserve">图5-1从业务价值与实施难度两个维度对十四项机会进行定性排序：左上象限（优先启动）的七个项目构成第一年的合同池；右上象限（战略布局）项目应在中台就绪后按路线图滚动启动。智能工厂成熟度评估与申报虽然技术难度低，但具有统领意义——建议最先启动，以评估报告统领后续投资立项，也便于客户向上争取预算。</w:t>
      </w:r>
    </w:p>
    <w:p>
      <w:pPr>
        <w:spacing w:after="40" w:before="12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733800"/>
                    </a:xfrm>
                    <a:prstGeom prst="rect">
                      <a:avLst/>
                    </a:prstGeom>
                  </pic:spPr>
                </pic:pic>
              </a:graphicData>
            </a:graphic>
          </wp:inline>
        </w:drawing>
      </w:r>
    </w:p>
    <w:p>
      <w:pPr>
        <w:spacing w:after="160" w:before="80" w:line="312"/>
        <w:jc w:val="center"/>
      </w:pPr>
      <w:r>
        <w:rPr>
          <w:rFonts w:ascii="Arial" w:eastAsia="SimHei"/>
          <w:color w:val="707070"/>
          <w:sz w:val="20"/>
          <w:szCs w:val="20"/>
        </w:rPr>
        <w:t xml:space="preserve">图5-1 项目机会优先级矩阵（价值与难度均为定性评估示意）</w:t>
      </w:r>
    </w:p>
    <w:p>
      <w:pPr>
        <w:spacing w:after="80" w:line="312"/>
        <w:ind w:firstLine="480"/>
        <w:jc w:val="both"/>
      </w:pPr>
      <w:r>
        <w:rPr>
          <w:sz w:val="24"/>
          <w:szCs w:val="24"/>
        </w:rPr>
        <w:t xml:space="preserve">图5-2给出三年期的实施路线建议：近期以数据深化为主线、快赢项目先行；中期以MES/LIMS为核心做系统集成；远期完成APC、孪生与卓越级冲刺。节奏安排上充分考虑了数据依赖关系——任何AI与控制类应用都必须待数据中台与质量数据链贯通后启动，避免拔苗助长。</w:t>
      </w:r>
    </w:p>
    <w:p>
      <w:pPr>
        <w:spacing w:after="40" w:before="120"/>
        <w:jc w:val="center"/>
      </w:pPr>
      <w:r>
        <w:drawing>
          <wp:inline distT="0" distB="0" distL="0" distR="0">
            <wp:extent cx="55245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067050"/>
                    </a:xfrm>
                    <a:prstGeom prst="rect">
                      <a:avLst/>
                    </a:prstGeom>
                  </pic:spPr>
                </pic:pic>
              </a:graphicData>
            </a:graphic>
          </wp:inline>
        </w:drawing>
      </w:r>
    </w:p>
    <w:p>
      <w:pPr>
        <w:spacing w:after="160" w:before="80" w:line="312"/>
        <w:jc w:val="center"/>
      </w:pPr>
      <w:r>
        <w:rPr>
          <w:rFonts w:ascii="Arial" w:eastAsia="SimHei"/>
          <w:color w:val="707070"/>
          <w:sz w:val="20"/>
          <w:szCs w:val="20"/>
        </w:rPr>
        <w:t xml:space="preserve">图5-2 三年实施路线图（建议节奏，可按客户预算周期调整）</w:t>
      </w:r>
    </w:p>
    <w:p>
      <w:pPr>
        <w:pStyle w:val="Heading1"/>
        <w:keepNext/>
        <w:spacing w:after="200" w:before="360" w:line="312"/>
        <w:outlineLvl w:val="0"/>
      </w:pPr>
      <w:bookmarkStart w:id="100022" w:name="_Toc100022"/>
      <w:r>
        <w:rPr>
          <w:rFonts w:ascii="Arial" w:eastAsia="SimHei"/>
          <w:b/>
          <w:bCs/>
          <w:color w:val="000000"/>
          <w:sz w:val="32"/>
          <w:szCs w:val="32"/>
        </w:rPr>
        <w:t xml:space="preserve">六、六个重点项目的深度方案解析</w:t>
      </w:r>
      <w:bookmarkEnd w:id="100022"/>
    </w:p>
    <w:p>
      <w:pPr>
        <w:pStyle w:val="Heading2"/>
        <w:keepNext/>
        <w:spacing w:after="160" w:before="280" w:line="312"/>
        <w:outlineLvl w:val="1"/>
      </w:pPr>
      <w:bookmarkStart w:id="100023" w:name="_Toc100023"/>
      <w:r>
        <w:rPr>
          <w:rFonts w:ascii="Arial" w:eastAsia="SimHei"/>
          <w:b/>
          <w:bCs/>
          <w:color w:val="1A1A1A"/>
          <w:sz w:val="28"/>
          <w:szCs w:val="28"/>
        </w:rPr>
        <w:t xml:space="preserve">6.1 统一工业数据中台：所有智能应用的底座</w:t>
      </w:r>
      <w:bookmarkEnd w:id="100023"/>
    </w:p>
    <w:p>
      <w:pPr>
        <w:spacing w:after="80" w:line="312"/>
        <w:ind w:firstLine="480"/>
        <w:jc w:val="both"/>
      </w:pPr>
      <w:r>
        <w:rPr>
          <w:b/>
          <w:bCs/>
          <w:color w:val="1A1A1A"/>
          <w:sz w:val="24"/>
          <w:szCs w:val="24"/>
        </w:rPr>
        <w:t xml:space="preserve">建设内容：</w:t>
      </w:r>
      <w:r>
        <w:rPr>
          <w:sz w:val="24"/>
          <w:szCs w:val="24"/>
        </w:rPr>
        <w:t xml:space="preserve">以时序数据库承载高频过程数据，以关系库与数仓承载批次、质量、能源与业务数据；统一点位字典与编码标准，打通PLC采集、粮温、能源计量、化验四类数据源；提供统一API与BI工具层，支撑后续MES、AI与管理驾驶舱应用。</w:t>
      </w:r>
    </w:p>
    <w:p>
      <w:pPr>
        <w:spacing w:after="80" w:line="312"/>
        <w:ind w:firstLine="480"/>
        <w:jc w:val="both"/>
      </w:pPr>
      <w:r>
        <w:rPr>
          <w:b/>
          <w:bCs/>
          <w:color w:val="1A1A1A"/>
          <w:sz w:val="24"/>
          <w:szCs w:val="24"/>
        </w:rPr>
        <w:t xml:space="preserve">技术路径：</w:t>
      </w:r>
      <w:r>
        <w:rPr>
          <w:sz w:val="24"/>
          <w:szCs w:val="24"/>
        </w:rPr>
        <w:t xml:space="preserve">边缘采集层（复用既有PLC采集链路）→数据接入（OPC UA/MQTT/网关）→存储分层（热–温–冷）→数据治理（主数据、点位字典、质量规则）→服务层（API、标签、主题库）→应用层（看板、报表、AI服务）。</w:t>
      </w:r>
    </w:p>
    <w:p>
      <w:pPr>
        <w:spacing w:after="80" w:line="312"/>
        <w:ind w:firstLine="480"/>
        <w:jc w:val="both"/>
      </w:pPr>
      <w:r>
        <w:rPr>
          <w:b/>
          <w:bCs/>
          <w:color w:val="1A1A1A"/>
          <w:sz w:val="24"/>
          <w:szCs w:val="24"/>
        </w:rPr>
        <w:t xml:space="preserve">与既有系统衔接：</w:t>
      </w:r>
      <w:r>
        <w:rPr>
          <w:sz w:val="24"/>
          <w:szCs w:val="24"/>
        </w:rPr>
        <w:t xml:space="preserve">完全复用既有采集平台，不推翻不重建；中台建成后，后续能源、OEE、MES、AI等每一个项目都生长在同一底座上，客户的存量投资被保护，服务商也形成事实上的平台与数据主权。</w:t>
      </w:r>
    </w:p>
    <w:p>
      <w:pPr>
        <w:spacing w:after="80" w:line="312"/>
        <w:ind w:firstLine="480"/>
        <w:jc w:val="both"/>
      </w:pPr>
      <w:r>
        <w:rPr>
          <w:b/>
          <w:bCs/>
          <w:color w:val="1A1A1A"/>
          <w:sz w:val="24"/>
          <w:szCs w:val="24"/>
        </w:rPr>
        <w:t xml:space="preserve">商务切入：</w:t>
      </w:r>
      <w:r>
        <w:rPr>
          <w:sz w:val="24"/>
          <w:szCs w:val="24"/>
        </w:rPr>
        <w:t xml:space="preserve">以中台一期+报警治理+OEE打包为第一年合同，金额适中、风险低、见效快；同步赠送智能工厂成熟度预评估，锁定第二年规划话语权。</w:t>
      </w:r>
    </w:p>
    <w:p>
      <w:pPr>
        <w:pStyle w:val="Heading2"/>
        <w:keepNext/>
        <w:spacing w:after="160" w:before="280" w:line="312"/>
        <w:outlineLvl w:val="1"/>
      </w:pPr>
      <w:bookmarkStart w:id="100024" w:name="_Toc100024"/>
      <w:r>
        <w:rPr>
          <w:rFonts w:ascii="Arial" w:eastAsia="SimHei"/>
          <w:b/>
          <w:bCs/>
          <w:color w:val="1A1A1A"/>
          <w:sz w:val="28"/>
          <w:szCs w:val="28"/>
        </w:rPr>
        <w:t xml:space="preserve">6.2 能源管理与能碳双控：降本第一杠杆</w:t>
      </w:r>
      <w:bookmarkEnd w:id="100024"/>
    </w:p>
    <w:p>
      <w:pPr>
        <w:spacing w:after="80" w:line="312"/>
        <w:ind w:firstLine="480"/>
        <w:jc w:val="both"/>
      </w:pPr>
      <w:r>
        <w:rPr>
          <w:b/>
          <w:bCs/>
          <w:color w:val="1A1A1A"/>
          <w:sz w:val="24"/>
          <w:szCs w:val="24"/>
        </w:rPr>
        <w:t xml:space="preserve">建设内容：</w:t>
      </w:r>
      <w:r>
        <w:rPr>
          <w:sz w:val="24"/>
          <w:szCs w:val="24"/>
        </w:rPr>
        <w:t xml:space="preserve">完善浸麦、发芽、干燥、包装、辅助等区域的电表、蒸汽流量计、水表、天然气表分区计量并接入平台；建立吨麦电耗、吨麦汽耗、吨麦水耗的日/班次核算模型；异常用能诊断（空载运行、跑冒滴漏、峰谷错配）；能耗定额与班组考核；预留组织层面碳核算接口（范围一/范围二）。</w:t>
      </w:r>
    </w:p>
    <w:p>
      <w:pPr>
        <w:spacing w:after="80" w:line="312"/>
        <w:ind w:firstLine="480"/>
        <w:jc w:val="both"/>
      </w:pPr>
      <w:r>
        <w:rPr>
          <w:b/>
          <w:bCs/>
          <w:color w:val="1A1A1A"/>
          <w:sz w:val="24"/>
          <w:szCs w:val="24"/>
        </w:rPr>
        <w:t xml:space="preserve">价值逻辑：</w:t>
      </w:r>
      <w:r>
        <w:rPr>
          <w:sz w:val="24"/>
          <w:szCs w:val="24"/>
        </w:rPr>
        <w:t xml:space="preserve">麦芽干燥环节热耗与发芽通风电耗构成主要能源成本。行业公开专利数据显示，仅工艺参数优化即可使吨麦电耗下降约9–10.7千瓦时；能源管理系统的第一步价值是把每一吨麦的能耗算清楚、把浪费可视化，行业经验上通常可识别出个位数百分比的即时节能空间，之后再通过APC持续挖潜。对国企客户，能碳数据还能同时服务政府双碳报表与ESG披露，一数多用。</w:t>
      </w:r>
    </w:p>
    <w:p>
      <w:pPr>
        <w:spacing w:after="80" w:line="312"/>
        <w:ind w:firstLine="480"/>
        <w:jc w:val="both"/>
      </w:pPr>
      <w:r>
        <w:rPr>
          <w:b/>
          <w:bCs/>
          <w:color w:val="1A1A1A"/>
          <w:sz w:val="24"/>
          <w:szCs w:val="24"/>
        </w:rPr>
        <w:t xml:space="preserve">商务切入：</w:t>
      </w:r>
      <w:r>
        <w:rPr>
          <w:sz w:val="24"/>
          <w:szCs w:val="24"/>
        </w:rPr>
        <w:t xml:space="preserve">可采用固定金额实施或节能效益分享模式；首期覆盖全厂计量补盲与平台建设，工期约3–4个月，以能耗账本的改善证明投资回报，为后续项目建立信心。</w:t>
      </w:r>
    </w:p>
    <w:p>
      <w:pPr>
        <w:pStyle w:val="Heading2"/>
        <w:keepNext/>
        <w:spacing w:after="160" w:before="280" w:line="312"/>
        <w:outlineLvl w:val="1"/>
      </w:pPr>
      <w:bookmarkStart w:id="100025" w:name="_Toc100025"/>
      <w:r>
        <w:rPr>
          <w:rFonts w:ascii="Arial" w:eastAsia="SimHei"/>
          <w:b/>
          <w:bCs/>
          <w:color w:val="1A1A1A"/>
          <w:sz w:val="28"/>
          <w:szCs w:val="28"/>
        </w:rPr>
        <w:t xml:space="preserve">6.3 质量数据链贯通与AI出成率预测</w:t>
      </w:r>
      <w:bookmarkEnd w:id="100025"/>
    </w:p>
    <w:p>
      <w:pPr>
        <w:spacing w:after="80" w:line="312"/>
        <w:ind w:firstLine="480"/>
        <w:jc w:val="both"/>
      </w:pPr>
      <w:r>
        <w:rPr>
          <w:b/>
          <w:bCs/>
          <w:color w:val="1A1A1A"/>
          <w:sz w:val="24"/>
          <w:szCs w:val="24"/>
        </w:rPr>
        <w:t xml:space="preserve">建设内容：</w:t>
      </w:r>
      <w:r>
        <w:rPr>
          <w:sz w:val="24"/>
          <w:szCs w:val="24"/>
        </w:rPr>
        <w:t xml:space="preserve">化验室数据电子化（浸出物、库尔巴哈值、糖化力、脆度、色度等指标）并与批次自动关联；建立质量–工艺参数宽表；构建制麦损失与浸出物得率的预测与归因模型（先以统计回归与树模型建立基线，再逐步引入制麦机理约束）；输出工艺参数优化建议并形成闭环验证。</w:t>
      </w:r>
    </w:p>
    <w:p>
      <w:pPr>
        <w:spacing w:after="80" w:line="312"/>
        <w:ind w:firstLine="480"/>
        <w:jc w:val="both"/>
      </w:pPr>
      <w:r>
        <w:rPr>
          <w:b/>
          <w:bCs/>
          <w:color w:val="1A1A1A"/>
          <w:sz w:val="24"/>
          <w:szCs w:val="24"/>
        </w:rPr>
        <w:t xml:space="preserve">价值逻辑：</w:t>
      </w:r>
      <w:r>
        <w:rPr>
          <w:sz w:val="24"/>
          <w:szCs w:val="24"/>
        </w:rPr>
        <w:t xml:space="preserve">出成率是麦芽厂第一利润指标。模型的价值不在于替代工艺师，而在于把资深工艺师的经验显性化，降低新员工的经验门槛，并在原料波动（不同国别、不同年份大麦）时快速给出适配工艺建议。参考Soufflet MALTimize的路径，这是三到五年内客户最愿意持续投入的方向。</w:t>
      </w:r>
    </w:p>
    <w:p>
      <w:pPr>
        <w:spacing w:after="80" w:line="312"/>
        <w:ind w:firstLine="480"/>
        <w:jc w:val="both"/>
      </w:pPr>
      <w:r>
        <w:rPr>
          <w:b/>
          <w:bCs/>
          <w:color w:val="1A1A1A"/>
          <w:sz w:val="24"/>
          <w:szCs w:val="24"/>
        </w:rPr>
        <w:t xml:space="preserve">实施建议：</w:t>
      </w:r>
      <w:r>
        <w:rPr>
          <w:sz w:val="24"/>
          <w:szCs w:val="24"/>
        </w:rPr>
        <w:t xml:space="preserve">依赖中台一期与质量数据关联分析成果，建议在中台验收后启动，作为数据中台二期的旗舰应用，以单期合同+持续优化订阅的方式推进。</w:t>
      </w:r>
    </w:p>
    <w:p>
      <w:pPr>
        <w:pStyle w:val="Heading2"/>
        <w:keepNext/>
        <w:spacing w:after="160" w:before="280" w:line="312"/>
        <w:outlineLvl w:val="1"/>
      </w:pPr>
      <w:bookmarkStart w:id="100026" w:name="_Toc100026"/>
      <w:r>
        <w:rPr>
          <w:rFonts w:ascii="Arial" w:eastAsia="SimHei"/>
          <w:b/>
          <w:bCs/>
          <w:color w:val="1A1A1A"/>
          <w:sz w:val="28"/>
          <w:szCs w:val="28"/>
        </w:rPr>
        <w:t xml:space="preserve">6.4 设备预测性维护：从抢修到预知</w:t>
      </w:r>
      <w:bookmarkEnd w:id="100026"/>
    </w:p>
    <w:p>
      <w:pPr>
        <w:spacing w:after="80" w:line="312"/>
        <w:ind w:firstLine="480"/>
        <w:jc w:val="both"/>
      </w:pPr>
      <w:r>
        <w:rPr>
          <w:b/>
          <w:bCs/>
          <w:color w:val="1A1A1A"/>
          <w:sz w:val="24"/>
          <w:szCs w:val="24"/>
        </w:rPr>
        <w:t xml:space="preserve">建设内容：</w:t>
      </w:r>
      <w:r>
        <w:rPr>
          <w:sz w:val="24"/>
          <w:szCs w:val="24"/>
        </w:rPr>
        <w:t xml:space="preserve">对发芽/干燥风机、翻麦机、输送与压缩机等关键动设备加装振动与温度传感；建立设备健康档案与劣化趋势模型；与既有报警系统联动生成预测性告警；打通维修工单与备件管理闭环。</w:t>
      </w:r>
    </w:p>
    <w:p>
      <w:pPr>
        <w:spacing w:after="80" w:line="312"/>
        <w:ind w:firstLine="480"/>
        <w:jc w:val="both"/>
      </w:pPr>
      <w:r>
        <w:rPr>
          <w:b/>
          <w:bCs/>
          <w:color w:val="1A1A1A"/>
          <w:sz w:val="24"/>
          <w:szCs w:val="24"/>
        </w:rPr>
        <w:t xml:space="preserve">价值逻辑：</w:t>
      </w:r>
      <w:r>
        <w:rPr>
          <w:sz w:val="24"/>
          <w:szCs w:val="24"/>
        </w:rPr>
        <w:t xml:space="preserve">制麦产线呈现季节性大生产特征，非计划停机代价高；预知维修可显著减少突发故障与过度检修，延长关键设备寿命。建议以两到三类设备为试点，用三到六个月形成可见效的样板，再横向推广至全厂。</w:t>
      </w:r>
    </w:p>
    <w:p>
      <w:pPr>
        <w:pStyle w:val="Heading2"/>
        <w:keepNext/>
        <w:spacing w:after="160" w:before="280" w:line="312"/>
        <w:outlineLvl w:val="1"/>
      </w:pPr>
      <w:bookmarkStart w:id="100027" w:name="_Toc100027"/>
      <w:r>
        <w:rPr>
          <w:rFonts w:ascii="Arial" w:eastAsia="SimHei"/>
          <w:b/>
          <w:bCs/>
          <w:color w:val="1A1A1A"/>
          <w:sz w:val="28"/>
          <w:szCs w:val="28"/>
        </w:rPr>
        <w:t xml:space="preserve">6.5 MES批次追溯与电子批记录：大客户的质量通行证</w:t>
      </w:r>
      <w:bookmarkEnd w:id="100027"/>
    </w:p>
    <w:p>
      <w:pPr>
        <w:spacing w:after="80" w:line="312"/>
        <w:ind w:firstLine="480"/>
        <w:jc w:val="both"/>
      </w:pPr>
      <w:r>
        <w:rPr>
          <w:b/>
          <w:bCs/>
          <w:color w:val="1A1A1A"/>
          <w:sz w:val="24"/>
          <w:szCs w:val="24"/>
        </w:rPr>
        <w:t xml:space="preserve">建设内容：</w:t>
      </w:r>
      <w:r>
        <w:rPr>
          <w:sz w:val="24"/>
          <w:szCs w:val="24"/>
        </w:rPr>
        <w:t xml:space="preserve">以浸麦槽、发芽箱、干燥箱、仓为批次单元，自动汇聚浸麦–发芽–干燥–除根–包装全过程工艺参数与检验结果，形成批次电子档案；支持一键正向/反向追溯；满足食品安全法规与啤酒大客户供应商审核要求；预留与集团ERP的质量数据接口。</w:t>
      </w:r>
    </w:p>
    <w:p>
      <w:pPr>
        <w:spacing w:after="80" w:line="312"/>
        <w:ind w:firstLine="480"/>
        <w:jc w:val="both"/>
      </w:pPr>
      <w:r>
        <w:rPr>
          <w:b/>
          <w:bCs/>
          <w:color w:val="1A1A1A"/>
          <w:sz w:val="24"/>
          <w:szCs w:val="24"/>
        </w:rPr>
        <w:t xml:space="preserve">价值逻辑：</w:t>
      </w:r>
      <w:r>
        <w:rPr>
          <w:sz w:val="24"/>
          <w:szCs w:val="24"/>
        </w:rPr>
        <w:t xml:space="preserve">把既有过程数据变成客户审核时拿得出手的证据链，为未来出口麦芽与精酿高端客户增加质量信用。该项目是中期项目中优先级最高的一项，建议与LIMS统筹设计、一体实施，避免接口二次开发。</w:t>
      </w:r>
    </w:p>
    <w:p>
      <w:pPr>
        <w:pStyle w:val="Heading2"/>
        <w:keepNext/>
        <w:spacing w:after="160" w:before="280" w:line="312"/>
        <w:outlineLvl w:val="1"/>
      </w:pPr>
      <w:bookmarkStart w:id="100028" w:name="_Toc100028"/>
      <w:r>
        <w:rPr>
          <w:rFonts w:ascii="Arial" w:eastAsia="SimHei"/>
          <w:b/>
          <w:bCs/>
          <w:color w:val="1A1A1A"/>
          <w:sz w:val="28"/>
          <w:szCs w:val="28"/>
        </w:rPr>
        <w:t xml:space="preserve">6.6 智能工厂梯度申报与总集成：以小博大的纲</w:t>
      </w:r>
      <w:bookmarkEnd w:id="100028"/>
    </w:p>
    <w:p>
      <w:pPr>
        <w:spacing w:after="80" w:line="312"/>
        <w:ind w:firstLine="480"/>
        <w:jc w:val="both"/>
      </w:pPr>
      <w:r>
        <w:rPr>
          <w:b/>
          <w:bCs/>
          <w:color w:val="1A1A1A"/>
          <w:sz w:val="24"/>
          <w:szCs w:val="24"/>
        </w:rPr>
        <w:t xml:space="preserve">建设内容：</w:t>
      </w:r>
      <w:r>
        <w:rPr>
          <w:sz w:val="24"/>
          <w:szCs w:val="24"/>
        </w:rPr>
        <w:t xml:space="preserve">开展GB/T 39116成熟度评估与差距诊断；编制智能工厂三年建设规划；组织基础级/先进级申报材料与配套系统补强；条件成熟时冲刺卓越级并申报省级、国家级智能制造示范与食品数字化转型案例。</w:t>
      </w:r>
    </w:p>
    <w:p>
      <w:pPr>
        <w:spacing w:after="80" w:line="312"/>
        <w:ind w:firstLine="480"/>
        <w:jc w:val="both"/>
      </w:pPr>
      <w:r>
        <w:rPr>
          <w:b/>
          <w:bCs/>
          <w:color w:val="1A1A1A"/>
          <w:sz w:val="24"/>
          <w:szCs w:val="24"/>
        </w:rPr>
        <w:t xml:space="preserve">价值逻辑：</w:t>
      </w:r>
      <w:r>
        <w:rPr>
          <w:sz w:val="24"/>
          <w:szCs w:val="24"/>
        </w:rPr>
        <w:t xml:space="preserve">申报本身投入小，但它是把分散投资串成战略叙事的纲。获得称号后，客户可争取省市技改补助、智能制造专项与集团层面支持，并在啤酒大客户处提升供应商形象。对服务商而言，这是以轻咨询建立总集成地位、长期陪跑的抓手。</w:t>
      </w:r>
    </w:p>
    <w:p>
      <w:pPr>
        <w:spacing w:after="80" w:line="312"/>
        <w:ind w:firstLine="480"/>
        <w:jc w:val="both"/>
      </w:pPr>
      <w:r>
        <w:rPr>
          <w:b/>
          <w:bCs/>
          <w:color w:val="1A1A1A"/>
          <w:sz w:val="24"/>
          <w:szCs w:val="24"/>
        </w:rPr>
        <w:t xml:space="preserve">商务切入：</w:t>
      </w:r>
      <w:r>
        <w:rPr>
          <w:sz w:val="24"/>
          <w:szCs w:val="24"/>
        </w:rPr>
        <w:t xml:space="preserve">以咨询+总集成双角色入场：评估咨询先行（费用低、周期短、决策快），规划通过后自然承接各期项目集成，形成三年到五年的稳定合作关系。</w:t>
      </w:r>
    </w:p>
    <w:p>
      <w:pPr>
        <w:pStyle w:val="Heading1"/>
        <w:keepNext/>
        <w:spacing w:after="200" w:before="360" w:line="312"/>
        <w:outlineLvl w:val="0"/>
      </w:pPr>
      <w:bookmarkStart w:id="100029" w:name="_Toc100029"/>
      <w:r>
        <w:rPr>
          <w:rFonts w:ascii="Arial" w:eastAsia="SimHei"/>
          <w:b/>
          <w:bCs/>
          <w:color w:val="000000"/>
          <w:sz w:val="32"/>
          <w:szCs w:val="32"/>
        </w:rPr>
        <w:t xml:space="preserve">七、智能制造挂钩路径：申报体系与政策资源</w:t>
      </w:r>
      <w:bookmarkEnd w:id="100029"/>
    </w:p>
    <w:p>
      <w:pPr>
        <w:pStyle w:val="Heading2"/>
        <w:keepNext/>
        <w:spacing w:after="160" w:before="280" w:line="312"/>
        <w:outlineLvl w:val="1"/>
      </w:pPr>
      <w:bookmarkStart w:id="100030" w:name="_Toc100030"/>
      <w:r>
        <w:rPr>
          <w:rFonts w:ascii="Arial" w:eastAsia="SimHei"/>
          <w:b/>
          <w:bCs/>
          <w:color w:val="1A1A1A"/>
          <w:sz w:val="28"/>
          <w:szCs w:val="28"/>
        </w:rPr>
        <w:t xml:space="preserve">7.1 智能制造能力成熟度评估（GB/T 39116）</w:t>
      </w:r>
      <w:bookmarkEnd w:id="100030"/>
    </w:p>
    <w:p>
      <w:pPr>
        <w:spacing w:after="80" w:line="312"/>
        <w:ind w:firstLine="480"/>
        <w:jc w:val="both"/>
      </w:pPr>
      <w:r>
        <w:rPr>
          <w:sz w:val="24"/>
          <w:szCs w:val="24"/>
        </w:rPr>
        <w:t xml:space="preserve">GB/T 39116-2020《智能制造能力成熟度模型》是国内智能制造能力评价的权威标准，将企业成熟度分为一级（规划级）至五级（引领级）。评估的作用有三：一是给客户一张官方口径的能力体检报告，明确各能力域水平；二是为三年规划提供依据，让投资立项有据可依；三是智能工厂各级申报通常需要相应的能力佐证，评估是申报的前置工程。建议将其作为整个合作的第一步。</w:t>
      </w:r>
    </w:p>
    <w:p>
      <w:pPr>
        <w:pStyle w:val="Heading2"/>
        <w:keepNext/>
        <w:spacing w:after="160" w:before="280" w:line="312"/>
        <w:outlineLvl w:val="1"/>
      </w:pPr>
      <w:bookmarkStart w:id="100031" w:name="_Toc100031"/>
      <w:r>
        <w:rPr>
          <w:rFonts w:ascii="Arial" w:eastAsia="SimHei"/>
          <w:b/>
          <w:bCs/>
          <w:color w:val="1A1A1A"/>
          <w:sz w:val="28"/>
          <w:szCs w:val="28"/>
        </w:rPr>
        <w:t xml:space="preserve">7.2 智能工厂梯度培育：四层级要求与差距分析</w:t>
      </w:r>
      <w:bookmarkEnd w:id="100031"/>
    </w:p>
    <w:p>
      <w:pPr>
        <w:spacing w:after="80" w:line="312"/>
        <w:ind w:firstLine="480"/>
        <w:jc w:val="both"/>
      </w:pPr>
      <w:r>
        <w:rPr>
          <w:sz w:val="24"/>
          <w:szCs w:val="24"/>
        </w:rPr>
        <w:t xml:space="preserve">按2025年版智能工厂梯度培育体系，工厂按基础级、先进级、卓越级、领航级四个层级递进培育。表7-1给出各层级定位与宁波公司的对应建设动作（层级要素以工信部门最新发布文件为准，表中为概要）。</w:t>
      </w:r>
    </w:p>
    <w:p>
      <w:pPr>
        <w:keepNext/>
        <w:spacing w:after="100" w:before="160" w:line="312"/>
        <w:jc w:val="center"/>
      </w:pPr>
      <w:r>
        <w:rPr>
          <w:rFonts w:ascii="Arial" w:eastAsia="SimHei"/>
          <w:b/>
          <w:bCs/>
          <w:color w:val="1A1A1A"/>
          <w:sz w:val="21"/>
          <w:szCs w:val="21"/>
        </w:rPr>
        <w:t xml:space="preserve">表7-1 智能工厂梯度培育层级与宁波公司建设动作</w:t>
      </w:r>
    </w:p>
    <w:tbl>
      <w:tblPr>
        <w:tblW w:type="dxa" w:w="8788"/>
        <w:tblBorders>
          <w:top w:val="single" w:color="8A6A34" w:sz="8"/>
          <w:left w:val="single" w:color="DDD8CC" w:sz="4"/>
          <w:bottom w:val="single" w:color="8A6A34" w:sz="8"/>
          <w:right w:val="single" w:color="DDD8CC" w:sz="4"/>
          <w:insideH w:val="single" w:color="DDD8CC" w:sz="4"/>
          <w:insideV w:val="single" w:color="DDD8CC" w:sz="4"/>
        </w:tblBorders>
        <w:tblLayout w:type="fixed"/>
      </w:tblPr>
      <w:tblGrid>
        <w:gridCol w:w="1000"/>
        <w:gridCol w:w="3100"/>
        <w:gridCol w:w="2400"/>
        <w:gridCol w:w="2288"/>
      </w:tblGrid>
      <w:tr>
        <w:trPr>
          <w:cantSplit/>
          <w:tblHeader/>
        </w:trPr>
        <w:tc>
          <w:tcPr>
            <w:tcW w:type="dxa" w:w="1000"/>
            <w:shd w:fill="D6C096" w:val="clear"/>
            <w:tcMar>
              <w:top w:type="dxa" w:w="60"/>
              <w:left w:type="dxa" w:w="100"/>
              <w:bottom w:type="dxa" w:w="60"/>
              <w:right w:type="dxa" w:w="100"/>
            </w:tcMar>
            <w:vAlign w:val="center"/>
          </w:tcPr>
          <w:p>
            <w:pPr>
              <w:spacing w:line="312"/>
              <w:jc w:val="center"/>
            </w:pPr>
            <w:r>
              <w:rPr>
                <w:rFonts w:ascii="Arial" w:eastAsia="SimHei"/>
                <w:b/>
                <w:bCs/>
                <w:color w:val="1A1A1A"/>
                <w:sz w:val="21"/>
                <w:szCs w:val="21"/>
              </w:rPr>
              <w:t xml:space="preserve">层级</w:t>
            </w:r>
          </w:p>
        </w:tc>
        <w:tc>
          <w:tcPr>
            <w:tcW w:type="dxa" w:w="3100"/>
            <w:shd w:fill="D6C096" w:val="clear"/>
            <w:tcMar>
              <w:top w:type="dxa" w:w="60"/>
              <w:left w:type="dxa" w:w="100"/>
              <w:bottom w:type="dxa" w:w="60"/>
              <w:right w:type="dxa" w:w="100"/>
            </w:tcMar>
            <w:vAlign w:val="center"/>
          </w:tcPr>
          <w:p>
            <w:pPr>
              <w:spacing w:line="312"/>
              <w:jc w:val="center"/>
            </w:pPr>
            <w:r>
              <w:rPr>
                <w:rFonts w:ascii="Arial" w:eastAsia="SimHei"/>
                <w:b/>
                <w:bCs/>
                <w:color w:val="1A1A1A"/>
                <w:sz w:val="21"/>
                <w:szCs w:val="21"/>
              </w:rPr>
              <w:t xml:space="preserve">定位与核心条件（概要）</w:t>
            </w:r>
          </w:p>
        </w:tc>
        <w:tc>
          <w:tcPr>
            <w:tcW w:type="dxa" w:w="2400"/>
            <w:shd w:fill="D6C096" w:val="clear"/>
            <w:tcMar>
              <w:top w:type="dxa" w:w="60"/>
              <w:left w:type="dxa" w:w="100"/>
              <w:bottom w:type="dxa" w:w="60"/>
              <w:right w:type="dxa" w:w="100"/>
            </w:tcMar>
            <w:vAlign w:val="center"/>
          </w:tcPr>
          <w:p>
            <w:pPr>
              <w:spacing w:line="312"/>
              <w:jc w:val="center"/>
            </w:pPr>
            <w:r>
              <w:rPr>
                <w:rFonts w:ascii="Arial" w:eastAsia="SimHei"/>
                <w:b/>
                <w:bCs/>
                <w:color w:val="1A1A1A"/>
                <w:sz w:val="21"/>
                <w:szCs w:val="21"/>
              </w:rPr>
              <w:t xml:space="preserve">宁波公司对应差距</w:t>
            </w:r>
          </w:p>
        </w:tc>
        <w:tc>
          <w:tcPr>
            <w:tcW w:type="dxa" w:w="2288"/>
            <w:shd w:fill="D6C096" w:val="clear"/>
            <w:tcMar>
              <w:top w:type="dxa" w:w="60"/>
              <w:left w:type="dxa" w:w="100"/>
              <w:bottom w:type="dxa" w:w="60"/>
              <w:right w:type="dxa" w:w="100"/>
            </w:tcMar>
            <w:vAlign w:val="center"/>
          </w:tcPr>
          <w:p>
            <w:pPr>
              <w:spacing w:line="312"/>
              <w:jc w:val="center"/>
            </w:pPr>
            <w:r>
              <w:rPr>
                <w:rFonts w:ascii="Arial" w:eastAsia="SimHei"/>
                <w:b/>
                <w:bCs/>
                <w:color w:val="1A1A1A"/>
                <w:sz w:val="21"/>
                <w:szCs w:val="21"/>
              </w:rPr>
              <w:t xml:space="preserve">建设动作建议</w:t>
            </w:r>
          </w:p>
        </w:tc>
      </w:tr>
      <w:tr>
        <w:trPr>
          <w:cantSplit/>
        </w:trPr>
        <w:tc>
          <w:tcPr>
            <w:tcW w:type="dxa" w:w="1000"/>
            <w:shd w:fill="FFFFFF" w:val="clear"/>
            <w:tcMar>
              <w:top w:type="dxa" w:w="60"/>
              <w:left w:type="dxa" w:w="100"/>
              <w:bottom w:type="dxa" w:w="60"/>
              <w:right w:type="dxa" w:w="100"/>
            </w:tcMar>
            <w:vAlign w:val="center"/>
          </w:tcPr>
          <w:p>
            <w:pPr>
              <w:spacing w:line="312"/>
              <w:jc w:val="center"/>
            </w:pPr>
            <w:r>
              <w:rPr>
                <w:color w:val="222222"/>
                <w:sz w:val="21"/>
                <w:szCs w:val="21"/>
              </w:rPr>
              <w:t xml:space="preserve">基础级</w:t>
            </w:r>
          </w:p>
        </w:tc>
        <w:tc>
          <w:tcPr>
            <w:tcW w:type="dxa" w:w="3100"/>
            <w:shd w:fill="FFFFFF" w:val="clear"/>
            <w:tcMar>
              <w:top w:type="dxa" w:w="60"/>
              <w:left w:type="dxa" w:w="100"/>
              <w:bottom w:type="dxa" w:w="60"/>
              <w:right w:type="dxa" w:w="100"/>
            </w:tcMar>
            <w:vAlign w:val="center"/>
          </w:tcPr>
          <w:p>
            <w:pPr>
              <w:spacing w:line="312"/>
              <w:jc w:val="left"/>
            </w:pPr>
            <w:r>
              <w:rPr>
                <w:color w:val="222222"/>
                <w:sz w:val="21"/>
                <w:szCs w:val="21"/>
              </w:rPr>
              <w:t xml:space="preserve">聚焦数字化改造与网络化连接，实现核心数据实时采集、关键工序自动化</w:t>
            </w:r>
          </w:p>
        </w:tc>
        <w:tc>
          <w:tcPr>
            <w:tcW w:type="dxa" w:w="2400"/>
            <w:shd w:fill="FFFFFF" w:val="clear"/>
            <w:tcMar>
              <w:top w:type="dxa" w:w="60"/>
              <w:left w:type="dxa" w:w="100"/>
              <w:bottom w:type="dxa" w:w="60"/>
              <w:right w:type="dxa" w:w="100"/>
            </w:tcMar>
            <w:vAlign w:val="center"/>
          </w:tcPr>
          <w:p>
            <w:pPr>
              <w:spacing w:line="312"/>
              <w:jc w:val="left"/>
            </w:pPr>
            <w:r>
              <w:rPr>
                <w:color w:val="222222"/>
                <w:sz w:val="21"/>
                <w:szCs w:val="21"/>
              </w:rPr>
              <w:t xml:space="preserve">已基本具备，采集与自动化基础良好</w:t>
            </w:r>
          </w:p>
        </w:tc>
        <w:tc>
          <w:tcPr>
            <w:tcW w:type="dxa" w:w="2288"/>
            <w:shd w:fill="FFFFFF" w:val="clear"/>
            <w:tcMar>
              <w:top w:type="dxa" w:w="60"/>
              <w:left w:type="dxa" w:w="100"/>
              <w:bottom w:type="dxa" w:w="60"/>
              <w:right w:type="dxa" w:w="100"/>
            </w:tcMar>
            <w:vAlign w:val="center"/>
          </w:tcPr>
          <w:p>
            <w:pPr>
              <w:spacing w:line="312"/>
              <w:jc w:val="left"/>
            </w:pPr>
            <w:r>
              <w:rPr>
                <w:color w:val="222222"/>
                <w:sz w:val="21"/>
                <w:szCs w:val="21"/>
              </w:rPr>
              <w:t xml:space="preserve">率先申报，快速拿到第一块牌子</w:t>
            </w:r>
          </w:p>
        </w:tc>
      </w:tr>
      <w:tr>
        <w:trPr>
          <w:cantSplit/>
        </w:trPr>
        <w:tc>
          <w:tcPr>
            <w:tcW w:type="dxa" w:w="1000"/>
            <w:shd w:fill="F5F3ED" w:val="clear"/>
            <w:tcMar>
              <w:top w:type="dxa" w:w="60"/>
              <w:left w:type="dxa" w:w="100"/>
              <w:bottom w:type="dxa" w:w="60"/>
              <w:right w:type="dxa" w:w="100"/>
            </w:tcMar>
            <w:vAlign w:val="center"/>
          </w:tcPr>
          <w:p>
            <w:pPr>
              <w:spacing w:line="312"/>
              <w:jc w:val="center"/>
            </w:pPr>
            <w:r>
              <w:rPr>
                <w:color w:val="222222"/>
                <w:sz w:val="21"/>
                <w:szCs w:val="21"/>
              </w:rPr>
              <w:t xml:space="preserve">先进级</w:t>
            </w:r>
          </w:p>
        </w:tc>
        <w:tc>
          <w:tcPr>
            <w:tcW w:type="dxa" w:w="3100"/>
            <w:shd w:fill="F5F3ED" w:val="clear"/>
            <w:tcMar>
              <w:top w:type="dxa" w:w="60"/>
              <w:left w:type="dxa" w:w="100"/>
              <w:bottom w:type="dxa" w:w="60"/>
              <w:right w:type="dxa" w:w="100"/>
            </w:tcMar>
            <w:vAlign w:val="center"/>
          </w:tcPr>
          <w:p>
            <w:pPr>
              <w:spacing w:line="312"/>
              <w:jc w:val="left"/>
            </w:pPr>
            <w:r>
              <w:rPr>
                <w:color w:val="222222"/>
                <w:sz w:val="21"/>
                <w:szCs w:val="21"/>
              </w:rPr>
              <w:t xml:space="preserve">生产经营数据互通共享、关键生产过程精准控制、系统集成应用</w:t>
            </w:r>
          </w:p>
        </w:tc>
        <w:tc>
          <w:tcPr>
            <w:tcW w:type="dxa" w:w="2400"/>
            <w:shd w:fill="F5F3ED" w:val="clear"/>
            <w:tcMar>
              <w:top w:type="dxa" w:w="60"/>
              <w:left w:type="dxa" w:w="100"/>
              <w:bottom w:type="dxa" w:w="60"/>
              <w:right w:type="dxa" w:w="100"/>
            </w:tcMar>
            <w:vAlign w:val="center"/>
          </w:tcPr>
          <w:p>
            <w:pPr>
              <w:spacing w:line="312"/>
              <w:jc w:val="left"/>
            </w:pPr>
            <w:r>
              <w:rPr>
                <w:color w:val="222222"/>
                <w:sz w:val="21"/>
                <w:szCs w:val="21"/>
              </w:rPr>
              <w:t xml:space="preserve">需补MES、LIMS、能源管理与系统集成</w:t>
            </w:r>
          </w:p>
        </w:tc>
        <w:tc>
          <w:tcPr>
            <w:tcW w:type="dxa" w:w="2288"/>
            <w:shd w:fill="F5F3ED" w:val="clear"/>
            <w:tcMar>
              <w:top w:type="dxa" w:w="60"/>
              <w:left w:type="dxa" w:w="100"/>
              <w:bottom w:type="dxa" w:w="60"/>
              <w:right w:type="dxa" w:w="100"/>
            </w:tcMar>
            <w:vAlign w:val="center"/>
          </w:tcPr>
          <w:p>
            <w:pPr>
              <w:spacing w:line="312"/>
              <w:jc w:val="left"/>
            </w:pPr>
            <w:r>
              <w:rPr>
                <w:color w:val="222222"/>
                <w:sz w:val="21"/>
                <w:szCs w:val="21"/>
              </w:rPr>
              <w:t xml:space="preserve">1–2年内建成，对齐集团广州公司水平</w:t>
            </w:r>
          </w:p>
        </w:tc>
      </w:tr>
      <w:tr>
        <w:trPr>
          <w:cantSplit/>
        </w:trPr>
        <w:tc>
          <w:tcPr>
            <w:tcW w:type="dxa" w:w="1000"/>
            <w:shd w:fill="FFFFFF" w:val="clear"/>
            <w:tcMar>
              <w:top w:type="dxa" w:w="60"/>
              <w:left w:type="dxa" w:w="100"/>
              <w:bottom w:type="dxa" w:w="60"/>
              <w:right w:type="dxa" w:w="100"/>
            </w:tcMar>
            <w:vAlign w:val="center"/>
          </w:tcPr>
          <w:p>
            <w:pPr>
              <w:spacing w:line="312"/>
              <w:jc w:val="center"/>
            </w:pPr>
            <w:r>
              <w:rPr>
                <w:color w:val="222222"/>
                <w:sz w:val="21"/>
                <w:szCs w:val="21"/>
              </w:rPr>
              <w:t xml:space="preserve">卓越级</w:t>
            </w:r>
          </w:p>
        </w:tc>
        <w:tc>
          <w:tcPr>
            <w:tcW w:type="dxa" w:w="3100"/>
            <w:shd w:fill="FFFFFF" w:val="clear"/>
            <w:tcMar>
              <w:top w:type="dxa" w:w="60"/>
              <w:left w:type="dxa" w:w="100"/>
              <w:bottom w:type="dxa" w:w="60"/>
              <w:right w:type="dxa" w:w="100"/>
            </w:tcMar>
            <w:vAlign w:val="center"/>
          </w:tcPr>
          <w:p>
            <w:pPr>
              <w:spacing w:line="312"/>
              <w:jc w:val="left"/>
            </w:pPr>
            <w:r>
              <w:rPr>
                <w:color w:val="222222"/>
                <w:sz w:val="21"/>
                <w:szCs w:val="21"/>
              </w:rPr>
              <w:t xml:space="preserve">全业务流程集成优化、数据驱动决策、行业示范效应</w:t>
            </w:r>
          </w:p>
        </w:tc>
        <w:tc>
          <w:tcPr>
            <w:tcW w:type="dxa" w:w="2400"/>
            <w:shd w:fill="FFFFFF" w:val="clear"/>
            <w:tcMar>
              <w:top w:type="dxa" w:w="60"/>
              <w:left w:type="dxa" w:w="100"/>
              <w:bottom w:type="dxa" w:w="60"/>
              <w:right w:type="dxa" w:w="100"/>
            </w:tcMar>
            <w:vAlign w:val="center"/>
          </w:tcPr>
          <w:p>
            <w:pPr>
              <w:spacing w:line="312"/>
              <w:jc w:val="left"/>
            </w:pPr>
            <w:r>
              <w:rPr>
                <w:color w:val="222222"/>
                <w:sz w:val="21"/>
                <w:szCs w:val="21"/>
              </w:rPr>
              <w:t xml:space="preserve">需APC、AI分析与数字孪生支撑</w:t>
            </w:r>
          </w:p>
        </w:tc>
        <w:tc>
          <w:tcPr>
            <w:tcW w:type="dxa" w:w="2288"/>
            <w:shd w:fill="FFFFFF" w:val="clear"/>
            <w:tcMar>
              <w:top w:type="dxa" w:w="60"/>
              <w:left w:type="dxa" w:w="100"/>
              <w:bottom w:type="dxa" w:w="60"/>
              <w:right w:type="dxa" w:w="100"/>
            </w:tcMar>
            <w:vAlign w:val="center"/>
          </w:tcPr>
          <w:p>
            <w:pPr>
              <w:spacing w:line="312"/>
              <w:jc w:val="left"/>
            </w:pPr>
            <w:r>
              <w:rPr>
                <w:color w:val="222222"/>
                <w:sz w:val="21"/>
                <w:szCs w:val="21"/>
              </w:rPr>
              <w:t xml:space="preserve">第3年冲刺，形成行业标杆案例</w:t>
            </w:r>
          </w:p>
        </w:tc>
      </w:tr>
      <w:tr>
        <w:trPr>
          <w:cantSplit/>
        </w:trPr>
        <w:tc>
          <w:tcPr>
            <w:tcW w:type="dxa" w:w="1000"/>
            <w:shd w:fill="F5F3ED" w:val="clear"/>
            <w:tcMar>
              <w:top w:type="dxa" w:w="60"/>
              <w:left w:type="dxa" w:w="100"/>
              <w:bottom w:type="dxa" w:w="60"/>
              <w:right w:type="dxa" w:w="100"/>
            </w:tcMar>
            <w:vAlign w:val="center"/>
          </w:tcPr>
          <w:p>
            <w:pPr>
              <w:spacing w:line="312"/>
              <w:jc w:val="center"/>
            </w:pPr>
            <w:r>
              <w:rPr>
                <w:color w:val="222222"/>
                <w:sz w:val="21"/>
                <w:szCs w:val="21"/>
              </w:rPr>
              <w:t xml:space="preserve">领航级</w:t>
            </w:r>
          </w:p>
        </w:tc>
        <w:tc>
          <w:tcPr>
            <w:tcW w:type="dxa" w:w="3100"/>
            <w:shd w:fill="F5F3ED" w:val="clear"/>
            <w:tcMar>
              <w:top w:type="dxa" w:w="60"/>
              <w:left w:type="dxa" w:w="100"/>
              <w:bottom w:type="dxa" w:w="60"/>
              <w:right w:type="dxa" w:w="100"/>
            </w:tcMar>
            <w:vAlign w:val="center"/>
          </w:tcPr>
          <w:p>
            <w:pPr>
              <w:spacing w:line="312"/>
              <w:jc w:val="left"/>
            </w:pPr>
            <w:r>
              <w:rPr>
                <w:color w:val="222222"/>
                <w:sz w:val="21"/>
                <w:szCs w:val="21"/>
              </w:rPr>
              <w:t xml:space="preserve">全球领先水平、产业链带动能力</w:t>
            </w:r>
          </w:p>
        </w:tc>
        <w:tc>
          <w:tcPr>
            <w:tcW w:type="dxa" w:w="2400"/>
            <w:shd w:fill="F5F3ED" w:val="clear"/>
            <w:tcMar>
              <w:top w:type="dxa" w:w="60"/>
              <w:left w:type="dxa" w:w="100"/>
              <w:bottom w:type="dxa" w:w="60"/>
              <w:right w:type="dxa" w:w="100"/>
            </w:tcMar>
            <w:vAlign w:val="center"/>
          </w:tcPr>
          <w:p>
            <w:pPr>
              <w:spacing w:line="312"/>
              <w:jc w:val="left"/>
            </w:pPr>
            <w:r>
              <w:rPr>
                <w:color w:val="222222"/>
                <w:sz w:val="21"/>
                <w:szCs w:val="21"/>
              </w:rPr>
              <w:t xml:space="preserve">远期展望</w:t>
            </w:r>
          </w:p>
        </w:tc>
        <w:tc>
          <w:tcPr>
            <w:tcW w:type="dxa" w:w="2288"/>
            <w:shd w:fill="F5F3ED" w:val="clear"/>
            <w:tcMar>
              <w:top w:type="dxa" w:w="60"/>
              <w:left w:type="dxa" w:w="100"/>
              <w:bottom w:type="dxa" w:w="60"/>
              <w:right w:type="dxa" w:w="100"/>
            </w:tcMar>
            <w:vAlign w:val="center"/>
          </w:tcPr>
          <w:p>
            <w:pPr>
              <w:spacing w:line="312"/>
              <w:jc w:val="left"/>
            </w:pPr>
            <w:r>
              <w:rPr>
                <w:color w:val="222222"/>
                <w:sz w:val="21"/>
                <w:szCs w:val="21"/>
              </w:rPr>
              <w:t xml:space="preserve">作为集团层面长期愿景</w:t>
            </w:r>
          </w:p>
        </w:tc>
      </w:tr>
    </w:tbl>
    <w:p>
      <w:pPr>
        <w:pStyle w:val="Heading2"/>
        <w:keepNext/>
        <w:spacing w:after="160" w:before="280" w:line="312"/>
        <w:outlineLvl w:val="1"/>
      </w:pPr>
      <w:bookmarkStart w:id="100032" w:name="_Toc100032"/>
      <w:r>
        <w:rPr>
          <w:rFonts w:ascii="Arial" w:eastAsia="SimHei"/>
          <w:b/>
          <w:bCs/>
          <w:color w:val="1A1A1A"/>
          <w:sz w:val="28"/>
          <w:szCs w:val="28"/>
        </w:rPr>
        <w:t xml:space="preserve">7.3 可争取的政策资源与荣誉清单</w:t>
      </w:r>
      <w:bookmarkEnd w:id="100032"/>
    </w:p>
    <w:p>
      <w:pPr>
        <w:spacing w:after="80" w:line="312"/>
        <w:ind w:firstLine="480"/>
        <w:jc w:val="both"/>
      </w:pPr>
      <w:r>
        <w:rPr>
          <w:sz w:val="24"/>
          <w:szCs w:val="24"/>
        </w:rPr>
        <w:t xml:space="preserve">与本项目群直接挂钩、可逐一对应的政策资源包括：省级智能工厂（数字化车间）称号（广州公司已示范路径）；省市技术改造与智能制造专项资金；食品工业数字化转型案例集入选；数据管理能力成熟度（DCMM）评估贯标；绿色工厂与能效领跑者（与能碳项目联动）；5G工厂名录（与网络升级联动）。每一项资源都能在三层机会框架中找到对应的支撑系统，建议在规划文本中提前布局、逐一申报。</w:t>
      </w:r>
    </w:p>
    <w:p>
      <w:pPr>
        <w:pStyle w:val="Heading2"/>
        <w:keepNext/>
        <w:spacing w:after="160" w:before="280" w:line="312"/>
        <w:outlineLvl w:val="1"/>
      </w:pPr>
      <w:bookmarkStart w:id="100033" w:name="_Toc100033"/>
      <w:r>
        <w:rPr>
          <w:rFonts w:ascii="Arial" w:eastAsia="SimHei"/>
          <w:b/>
          <w:bCs/>
          <w:color w:val="1A1A1A"/>
          <w:sz w:val="28"/>
          <w:szCs w:val="28"/>
        </w:rPr>
        <w:t xml:space="preserve">7.4 三年申报节奏建议</w:t>
      </w:r>
      <w:bookmarkEnd w:id="100033"/>
    </w:p>
    <w:p>
      <w:pPr>
        <w:spacing w:after="80" w:line="312"/>
        <w:ind w:firstLine="480"/>
        <w:jc w:val="both"/>
      </w:pPr>
      <w:r>
        <w:rPr>
          <w:sz w:val="24"/>
          <w:szCs w:val="24"/>
        </w:rPr>
        <w:t xml:space="preserve">第一年：完成成熟度评估与三年规划，完成基础级申报，同步启动先进级培育与系统补强；第二年：建成MES、LIMS、能源管理等核心系统，完成先进级申报与授牌；第三年：以APC、AI与数字孪生成果支撑卓越级申报，并组织行业示范案例。该节奏与第五章实施路线图完全对应，可确保系统建设与申报节点互为支撑。</w:t>
      </w:r>
    </w:p>
    <w:p>
      <w:pPr>
        <w:pStyle w:val="Heading1"/>
        <w:keepNext/>
        <w:spacing w:after="200" w:before="360" w:line="312"/>
        <w:outlineLvl w:val="0"/>
      </w:pPr>
      <w:bookmarkStart w:id="100034" w:name="_Toc100034"/>
      <w:r>
        <w:rPr>
          <w:rFonts w:ascii="Arial" w:eastAsia="SimHei"/>
          <w:b/>
          <w:bCs/>
          <w:color w:val="000000"/>
          <w:sz w:val="32"/>
          <w:szCs w:val="32"/>
        </w:rPr>
        <w:t xml:space="preserve">八、实施路线与商务策略建议</w:t>
      </w:r>
      <w:bookmarkEnd w:id="100034"/>
    </w:p>
    <w:p>
      <w:pPr>
        <w:pStyle w:val="Heading2"/>
        <w:keepNext/>
        <w:spacing w:after="160" w:before="280" w:line="312"/>
        <w:outlineLvl w:val="1"/>
      </w:pPr>
      <w:bookmarkStart w:id="100035" w:name="_Toc100035"/>
      <w:r>
        <w:rPr>
          <w:rFonts w:ascii="Arial" w:eastAsia="SimHei"/>
          <w:b/>
          <w:bCs/>
          <w:color w:val="1A1A1A"/>
          <w:sz w:val="28"/>
          <w:szCs w:val="28"/>
        </w:rPr>
        <w:t xml:space="preserve">8.1 十二个月行动节奏</w:t>
      </w:r>
      <w:bookmarkEnd w:id="100035"/>
    </w:p>
    <w:p>
      <w:pPr>
        <w:keepNext/>
        <w:spacing w:after="100" w:before="160" w:line="312"/>
        <w:jc w:val="center"/>
      </w:pPr>
      <w:r>
        <w:rPr>
          <w:rFonts w:ascii="Arial" w:eastAsia="SimHei"/>
          <w:b/>
          <w:bCs/>
          <w:color w:val="1A1A1A"/>
          <w:sz w:val="21"/>
          <w:szCs w:val="21"/>
        </w:rPr>
        <w:t xml:space="preserve">表8-1 首年行动节奏与商务意义</w:t>
      </w:r>
    </w:p>
    <w:tbl>
      <w:tblPr>
        <w:tblW w:type="dxa" w:w="8788"/>
        <w:tblBorders>
          <w:top w:val="single" w:color="8A6A34" w:sz="8"/>
          <w:left w:val="single" w:color="DDD8CC" w:sz="4"/>
          <w:bottom w:val="single" w:color="8A6A34" w:sz="8"/>
          <w:right w:val="single" w:color="DDD8CC" w:sz="4"/>
          <w:insideH w:val="single" w:color="DDD8CC" w:sz="4"/>
          <w:insideV w:val="single" w:color="DDD8CC" w:sz="4"/>
        </w:tblBorders>
        <w:tblLayout w:type="fixed"/>
      </w:tblPr>
      <w:tblGrid>
        <w:gridCol w:w="1150"/>
        <w:gridCol w:w="2500"/>
        <w:gridCol w:w="2500"/>
        <w:gridCol w:w="2638"/>
      </w:tblGrid>
      <w:tr>
        <w:trPr>
          <w:cantSplit/>
          <w:tblHeader/>
        </w:trPr>
        <w:tc>
          <w:tcPr>
            <w:tcW w:type="dxa" w:w="1150"/>
            <w:shd w:fill="D6C096" w:val="clear"/>
            <w:tcMar>
              <w:top w:type="dxa" w:w="60"/>
              <w:left w:type="dxa" w:w="100"/>
              <w:bottom w:type="dxa" w:w="60"/>
              <w:right w:type="dxa" w:w="100"/>
            </w:tcMar>
            <w:vAlign w:val="center"/>
          </w:tcPr>
          <w:p>
            <w:pPr>
              <w:spacing w:line="312"/>
              <w:jc w:val="center"/>
            </w:pPr>
            <w:r>
              <w:rPr>
                <w:rFonts w:ascii="Arial" w:eastAsia="SimHei"/>
                <w:b/>
                <w:bCs/>
                <w:color w:val="1A1A1A"/>
                <w:sz w:val="21"/>
                <w:szCs w:val="21"/>
              </w:rPr>
              <w:t xml:space="preserve">时间</w:t>
            </w:r>
          </w:p>
        </w:tc>
        <w:tc>
          <w:tcPr>
            <w:tcW w:type="dxa" w:w="2500"/>
            <w:shd w:fill="D6C096" w:val="clear"/>
            <w:tcMar>
              <w:top w:type="dxa" w:w="60"/>
              <w:left w:type="dxa" w:w="100"/>
              <w:bottom w:type="dxa" w:w="60"/>
              <w:right w:type="dxa" w:w="100"/>
            </w:tcMar>
            <w:vAlign w:val="center"/>
          </w:tcPr>
          <w:p>
            <w:pPr>
              <w:spacing w:line="312"/>
              <w:jc w:val="center"/>
            </w:pPr>
            <w:r>
              <w:rPr>
                <w:rFonts w:ascii="Arial" w:eastAsia="SimHei"/>
                <w:b/>
                <w:bCs/>
                <w:color w:val="1A1A1A"/>
                <w:sz w:val="21"/>
                <w:szCs w:val="21"/>
              </w:rPr>
              <w:t xml:space="preserve">行动</w:t>
            </w:r>
          </w:p>
        </w:tc>
        <w:tc>
          <w:tcPr>
            <w:tcW w:type="dxa" w:w="2500"/>
            <w:shd w:fill="D6C096" w:val="clear"/>
            <w:tcMar>
              <w:top w:type="dxa" w:w="60"/>
              <w:left w:type="dxa" w:w="100"/>
              <w:bottom w:type="dxa" w:w="60"/>
              <w:right w:type="dxa" w:w="100"/>
            </w:tcMar>
            <w:vAlign w:val="center"/>
          </w:tcPr>
          <w:p>
            <w:pPr>
              <w:spacing w:line="312"/>
              <w:jc w:val="center"/>
            </w:pPr>
            <w:r>
              <w:rPr>
                <w:rFonts w:ascii="Arial" w:eastAsia="SimHei"/>
                <w:b/>
                <w:bCs/>
                <w:color w:val="1A1A1A"/>
                <w:sz w:val="21"/>
                <w:szCs w:val="21"/>
              </w:rPr>
              <w:t xml:space="preserve">目标与交付物</w:t>
            </w:r>
          </w:p>
        </w:tc>
        <w:tc>
          <w:tcPr>
            <w:tcW w:type="dxa" w:w="2638"/>
            <w:shd w:fill="D6C096" w:val="clear"/>
            <w:tcMar>
              <w:top w:type="dxa" w:w="60"/>
              <w:left w:type="dxa" w:w="100"/>
              <w:bottom w:type="dxa" w:w="60"/>
              <w:right w:type="dxa" w:w="100"/>
            </w:tcMar>
            <w:vAlign w:val="center"/>
          </w:tcPr>
          <w:p>
            <w:pPr>
              <w:spacing w:line="312"/>
              <w:jc w:val="center"/>
            </w:pPr>
            <w:r>
              <w:rPr>
                <w:rFonts w:ascii="Arial" w:eastAsia="SimHei"/>
                <w:b/>
                <w:bCs/>
                <w:color w:val="1A1A1A"/>
                <w:sz w:val="21"/>
                <w:szCs w:val="21"/>
              </w:rPr>
              <w:t xml:space="preserve">商务意义</w:t>
            </w:r>
          </w:p>
        </w:tc>
      </w:tr>
      <w:tr>
        <w:trPr>
          <w:cantSplit/>
        </w:trPr>
        <w:tc>
          <w:tcPr>
            <w:tcW w:type="dxa" w:w="1150"/>
            <w:shd w:fill="FFFFFF" w:val="clear"/>
            <w:tcMar>
              <w:top w:type="dxa" w:w="60"/>
              <w:left w:type="dxa" w:w="100"/>
              <w:bottom w:type="dxa" w:w="60"/>
              <w:right w:type="dxa" w:w="100"/>
            </w:tcMar>
            <w:vAlign w:val="center"/>
          </w:tcPr>
          <w:p>
            <w:pPr>
              <w:spacing w:line="312"/>
              <w:jc w:val="center"/>
            </w:pPr>
            <w:r>
              <w:rPr>
                <w:color w:val="222222"/>
                <w:sz w:val="21"/>
                <w:szCs w:val="21"/>
              </w:rPr>
              <w:t xml:space="preserve">第1–2月</w:t>
            </w:r>
          </w:p>
        </w:tc>
        <w:tc>
          <w:tcPr>
            <w:tcW w:type="dxa" w:w="2500"/>
            <w:shd w:fill="FFFFFF" w:val="clear"/>
            <w:tcMar>
              <w:top w:type="dxa" w:w="60"/>
              <w:left w:type="dxa" w:w="100"/>
              <w:bottom w:type="dxa" w:w="60"/>
              <w:right w:type="dxa" w:w="100"/>
            </w:tcMar>
            <w:vAlign w:val="center"/>
          </w:tcPr>
          <w:p>
            <w:pPr>
              <w:spacing w:line="312"/>
              <w:jc w:val="left"/>
            </w:pPr>
            <w:r>
              <w:rPr>
                <w:color w:val="222222"/>
                <w:sz w:val="21"/>
                <w:szCs w:val="21"/>
              </w:rPr>
              <w:t xml:space="preserve">成熟度评估与三年规划咨询</w:t>
            </w:r>
          </w:p>
        </w:tc>
        <w:tc>
          <w:tcPr>
            <w:tcW w:type="dxa" w:w="2500"/>
            <w:shd w:fill="FFFFFF" w:val="clear"/>
            <w:tcMar>
              <w:top w:type="dxa" w:w="60"/>
              <w:left w:type="dxa" w:w="100"/>
              <w:bottom w:type="dxa" w:w="60"/>
              <w:right w:type="dxa" w:w="100"/>
            </w:tcMar>
            <w:vAlign w:val="center"/>
          </w:tcPr>
          <w:p>
            <w:pPr>
              <w:spacing w:line="312"/>
              <w:jc w:val="left"/>
            </w:pPr>
            <w:r>
              <w:rPr>
                <w:color w:val="222222"/>
                <w:sz w:val="21"/>
                <w:szCs w:val="21"/>
              </w:rPr>
              <w:t xml:space="preserve">官方口径评估报告、智能工厂三年规划</w:t>
            </w:r>
          </w:p>
        </w:tc>
        <w:tc>
          <w:tcPr>
            <w:tcW w:type="dxa" w:w="2638"/>
            <w:shd w:fill="FFFFFF" w:val="clear"/>
            <w:tcMar>
              <w:top w:type="dxa" w:w="60"/>
              <w:left w:type="dxa" w:w="100"/>
              <w:bottom w:type="dxa" w:w="60"/>
              <w:right w:type="dxa" w:w="100"/>
            </w:tcMar>
            <w:vAlign w:val="center"/>
          </w:tcPr>
          <w:p>
            <w:pPr>
              <w:spacing w:line="312"/>
              <w:jc w:val="left"/>
            </w:pPr>
            <w:r>
              <w:rPr>
                <w:color w:val="222222"/>
                <w:sz w:val="21"/>
                <w:szCs w:val="21"/>
              </w:rPr>
              <w:t xml:space="preserve">以轻咨询快速建立总集成地位</w:t>
            </w:r>
          </w:p>
        </w:tc>
      </w:tr>
      <w:tr>
        <w:trPr>
          <w:cantSplit/>
        </w:trPr>
        <w:tc>
          <w:tcPr>
            <w:tcW w:type="dxa" w:w="1150"/>
            <w:shd w:fill="F5F3ED" w:val="clear"/>
            <w:tcMar>
              <w:top w:type="dxa" w:w="60"/>
              <w:left w:type="dxa" w:w="100"/>
              <w:bottom w:type="dxa" w:w="60"/>
              <w:right w:type="dxa" w:w="100"/>
            </w:tcMar>
            <w:vAlign w:val="center"/>
          </w:tcPr>
          <w:p>
            <w:pPr>
              <w:spacing w:line="312"/>
              <w:jc w:val="center"/>
            </w:pPr>
            <w:r>
              <w:rPr>
                <w:color w:val="222222"/>
                <w:sz w:val="21"/>
                <w:szCs w:val="21"/>
              </w:rPr>
              <w:t xml:space="preserve">第2–6月</w:t>
            </w:r>
          </w:p>
        </w:tc>
        <w:tc>
          <w:tcPr>
            <w:tcW w:type="dxa" w:w="2500"/>
            <w:shd w:fill="F5F3ED" w:val="clear"/>
            <w:tcMar>
              <w:top w:type="dxa" w:w="60"/>
              <w:left w:type="dxa" w:w="100"/>
              <w:bottom w:type="dxa" w:w="60"/>
              <w:right w:type="dxa" w:w="100"/>
            </w:tcMar>
            <w:vAlign w:val="center"/>
          </w:tcPr>
          <w:p>
            <w:pPr>
              <w:spacing w:line="312"/>
              <w:jc w:val="left"/>
            </w:pPr>
            <w:r>
              <w:rPr>
                <w:color w:val="222222"/>
                <w:sz w:val="21"/>
                <w:szCs w:val="21"/>
              </w:rPr>
              <w:t xml:space="preserve">报警治理与OEE快赢项目</w:t>
            </w:r>
          </w:p>
        </w:tc>
        <w:tc>
          <w:tcPr>
            <w:tcW w:type="dxa" w:w="2500"/>
            <w:shd w:fill="F5F3ED" w:val="clear"/>
            <w:tcMar>
              <w:top w:type="dxa" w:w="60"/>
              <w:left w:type="dxa" w:w="100"/>
              <w:bottom w:type="dxa" w:w="60"/>
              <w:right w:type="dxa" w:w="100"/>
            </w:tcMar>
            <w:vAlign w:val="center"/>
          </w:tcPr>
          <w:p>
            <w:pPr>
              <w:spacing w:line="312"/>
              <w:jc w:val="left"/>
            </w:pPr>
            <w:r>
              <w:rPr>
                <w:color w:val="222222"/>
                <w:sz w:val="21"/>
                <w:szCs w:val="21"/>
              </w:rPr>
              <w:t xml:space="preserve">报警有效性与绩效看板上线</w:t>
            </w:r>
          </w:p>
        </w:tc>
        <w:tc>
          <w:tcPr>
            <w:tcW w:type="dxa" w:w="2638"/>
            <w:shd w:fill="F5F3ED" w:val="clear"/>
            <w:tcMar>
              <w:top w:type="dxa" w:w="60"/>
              <w:left w:type="dxa" w:w="100"/>
              <w:bottom w:type="dxa" w:w="60"/>
              <w:right w:type="dxa" w:w="100"/>
            </w:tcMar>
            <w:vAlign w:val="center"/>
          </w:tcPr>
          <w:p>
            <w:pPr>
              <w:spacing w:line="312"/>
              <w:jc w:val="left"/>
            </w:pPr>
            <w:r>
              <w:rPr>
                <w:color w:val="222222"/>
                <w:sz w:val="21"/>
                <w:szCs w:val="21"/>
              </w:rPr>
              <w:t xml:space="preserve">用可见效果快速建立信任</w:t>
            </w:r>
          </w:p>
        </w:tc>
      </w:tr>
      <w:tr>
        <w:trPr>
          <w:cantSplit/>
        </w:trPr>
        <w:tc>
          <w:tcPr>
            <w:tcW w:type="dxa" w:w="1150"/>
            <w:shd w:fill="FFFFFF" w:val="clear"/>
            <w:tcMar>
              <w:top w:type="dxa" w:w="60"/>
              <w:left w:type="dxa" w:w="100"/>
              <w:bottom w:type="dxa" w:w="60"/>
              <w:right w:type="dxa" w:w="100"/>
            </w:tcMar>
            <w:vAlign w:val="center"/>
          </w:tcPr>
          <w:p>
            <w:pPr>
              <w:spacing w:line="312"/>
              <w:jc w:val="center"/>
            </w:pPr>
            <w:r>
              <w:rPr>
                <w:color w:val="222222"/>
                <w:sz w:val="21"/>
                <w:szCs w:val="21"/>
              </w:rPr>
              <w:t xml:space="preserve">第3–10月</w:t>
            </w:r>
          </w:p>
        </w:tc>
        <w:tc>
          <w:tcPr>
            <w:tcW w:type="dxa" w:w="2500"/>
            <w:shd w:fill="FFFFFF" w:val="clear"/>
            <w:tcMar>
              <w:top w:type="dxa" w:w="60"/>
              <w:left w:type="dxa" w:w="100"/>
              <w:bottom w:type="dxa" w:w="60"/>
              <w:right w:type="dxa" w:w="100"/>
            </w:tcMar>
            <w:vAlign w:val="center"/>
          </w:tcPr>
          <w:p>
            <w:pPr>
              <w:spacing w:line="312"/>
              <w:jc w:val="left"/>
            </w:pPr>
            <w:r>
              <w:rPr>
                <w:color w:val="222222"/>
                <w:sz w:val="21"/>
                <w:szCs w:val="21"/>
              </w:rPr>
              <w:t xml:space="preserve">统一数据中台一期</w:t>
            </w:r>
          </w:p>
        </w:tc>
        <w:tc>
          <w:tcPr>
            <w:tcW w:type="dxa" w:w="2500"/>
            <w:shd w:fill="FFFFFF" w:val="clear"/>
            <w:tcMar>
              <w:top w:type="dxa" w:w="60"/>
              <w:left w:type="dxa" w:w="100"/>
              <w:bottom w:type="dxa" w:w="60"/>
              <w:right w:type="dxa" w:w="100"/>
            </w:tcMar>
            <w:vAlign w:val="center"/>
          </w:tcPr>
          <w:p>
            <w:pPr>
              <w:spacing w:line="312"/>
              <w:jc w:val="left"/>
            </w:pPr>
            <w:r>
              <w:rPr>
                <w:color w:val="222222"/>
                <w:sz w:val="21"/>
                <w:szCs w:val="21"/>
              </w:rPr>
              <w:t xml:space="preserve">统一数据底座、标准与API</w:t>
            </w:r>
          </w:p>
        </w:tc>
        <w:tc>
          <w:tcPr>
            <w:tcW w:type="dxa" w:w="2638"/>
            <w:shd w:fill="FFFFFF" w:val="clear"/>
            <w:tcMar>
              <w:top w:type="dxa" w:w="60"/>
              <w:left w:type="dxa" w:w="100"/>
              <w:bottom w:type="dxa" w:w="60"/>
              <w:right w:type="dxa" w:w="100"/>
            </w:tcMar>
            <w:vAlign w:val="center"/>
          </w:tcPr>
          <w:p>
            <w:pPr>
              <w:spacing w:line="312"/>
              <w:jc w:val="left"/>
            </w:pPr>
            <w:r>
              <w:rPr>
                <w:color w:val="222222"/>
                <w:sz w:val="21"/>
                <w:szCs w:val="21"/>
              </w:rPr>
              <w:t xml:space="preserve">锁定后续项目技术路线</w:t>
            </w:r>
          </w:p>
        </w:tc>
      </w:tr>
      <w:tr>
        <w:trPr>
          <w:cantSplit/>
        </w:trPr>
        <w:tc>
          <w:tcPr>
            <w:tcW w:type="dxa" w:w="1150"/>
            <w:shd w:fill="F5F3ED" w:val="clear"/>
            <w:tcMar>
              <w:top w:type="dxa" w:w="60"/>
              <w:left w:type="dxa" w:w="100"/>
              <w:bottom w:type="dxa" w:w="60"/>
              <w:right w:type="dxa" w:w="100"/>
            </w:tcMar>
            <w:vAlign w:val="center"/>
          </w:tcPr>
          <w:p>
            <w:pPr>
              <w:spacing w:line="312"/>
              <w:jc w:val="center"/>
            </w:pPr>
            <w:r>
              <w:rPr>
                <w:color w:val="222222"/>
                <w:sz w:val="21"/>
                <w:szCs w:val="21"/>
              </w:rPr>
              <w:t xml:space="preserve">第4–12月</w:t>
            </w:r>
          </w:p>
        </w:tc>
        <w:tc>
          <w:tcPr>
            <w:tcW w:type="dxa" w:w="2500"/>
            <w:shd w:fill="F5F3ED" w:val="clear"/>
            <w:tcMar>
              <w:top w:type="dxa" w:w="60"/>
              <w:left w:type="dxa" w:w="100"/>
              <w:bottom w:type="dxa" w:w="60"/>
              <w:right w:type="dxa" w:w="100"/>
            </w:tcMar>
            <w:vAlign w:val="center"/>
          </w:tcPr>
          <w:p>
            <w:pPr>
              <w:spacing w:line="312"/>
              <w:jc w:val="left"/>
            </w:pPr>
            <w:r>
              <w:rPr>
                <w:color w:val="222222"/>
                <w:sz w:val="21"/>
                <w:szCs w:val="21"/>
              </w:rPr>
              <w:t xml:space="preserve">能源管理一期</w:t>
            </w:r>
          </w:p>
        </w:tc>
        <w:tc>
          <w:tcPr>
            <w:tcW w:type="dxa" w:w="2500"/>
            <w:shd w:fill="F5F3ED" w:val="clear"/>
            <w:tcMar>
              <w:top w:type="dxa" w:w="60"/>
              <w:left w:type="dxa" w:w="100"/>
              <w:bottom w:type="dxa" w:w="60"/>
              <w:right w:type="dxa" w:w="100"/>
            </w:tcMar>
            <w:vAlign w:val="center"/>
          </w:tcPr>
          <w:p>
            <w:pPr>
              <w:spacing w:line="312"/>
              <w:jc w:val="left"/>
            </w:pPr>
            <w:r>
              <w:rPr>
                <w:color w:val="222222"/>
                <w:sz w:val="21"/>
                <w:szCs w:val="21"/>
              </w:rPr>
              <w:t xml:space="preserve">吨麦单耗核算与班组考核上线</w:t>
            </w:r>
          </w:p>
        </w:tc>
        <w:tc>
          <w:tcPr>
            <w:tcW w:type="dxa" w:w="2638"/>
            <w:shd w:fill="F5F3ED" w:val="clear"/>
            <w:tcMar>
              <w:top w:type="dxa" w:w="60"/>
              <w:left w:type="dxa" w:w="100"/>
              <w:bottom w:type="dxa" w:w="60"/>
              <w:right w:type="dxa" w:w="100"/>
            </w:tcMar>
            <w:vAlign w:val="center"/>
          </w:tcPr>
          <w:p>
            <w:pPr>
              <w:spacing w:line="312"/>
              <w:jc w:val="left"/>
            </w:pPr>
            <w:r>
              <w:rPr>
                <w:color w:val="222222"/>
                <w:sz w:val="21"/>
                <w:szCs w:val="21"/>
              </w:rPr>
              <w:t xml:space="preserve">用能耗账本证明投资回报</w:t>
            </w:r>
          </w:p>
        </w:tc>
      </w:tr>
      <w:tr>
        <w:trPr>
          <w:cantSplit/>
        </w:trPr>
        <w:tc>
          <w:tcPr>
            <w:tcW w:type="dxa" w:w="1150"/>
            <w:shd w:fill="FFFFFF" w:val="clear"/>
            <w:tcMar>
              <w:top w:type="dxa" w:w="60"/>
              <w:left w:type="dxa" w:w="100"/>
              <w:bottom w:type="dxa" w:w="60"/>
              <w:right w:type="dxa" w:w="100"/>
            </w:tcMar>
            <w:vAlign w:val="center"/>
          </w:tcPr>
          <w:p>
            <w:pPr>
              <w:spacing w:line="312"/>
              <w:jc w:val="center"/>
            </w:pPr>
            <w:r>
              <w:rPr>
                <w:color w:val="222222"/>
                <w:sz w:val="21"/>
                <w:szCs w:val="21"/>
              </w:rPr>
              <w:t xml:space="preserve">第6–12月</w:t>
            </w:r>
          </w:p>
        </w:tc>
        <w:tc>
          <w:tcPr>
            <w:tcW w:type="dxa" w:w="2500"/>
            <w:shd w:fill="FFFFFF" w:val="clear"/>
            <w:tcMar>
              <w:top w:type="dxa" w:w="60"/>
              <w:left w:type="dxa" w:w="100"/>
              <w:bottom w:type="dxa" w:w="60"/>
              <w:right w:type="dxa" w:w="100"/>
            </w:tcMar>
            <w:vAlign w:val="center"/>
          </w:tcPr>
          <w:p>
            <w:pPr>
              <w:spacing w:line="312"/>
              <w:jc w:val="left"/>
            </w:pPr>
            <w:r>
              <w:rPr>
                <w:color w:val="222222"/>
                <w:sz w:val="21"/>
                <w:szCs w:val="21"/>
              </w:rPr>
              <w:t xml:space="preserve">质量数据关联分析</w:t>
            </w:r>
          </w:p>
        </w:tc>
        <w:tc>
          <w:tcPr>
            <w:tcW w:type="dxa" w:w="2500"/>
            <w:shd w:fill="FFFFFF" w:val="clear"/>
            <w:tcMar>
              <w:top w:type="dxa" w:w="60"/>
              <w:left w:type="dxa" w:w="100"/>
              <w:bottom w:type="dxa" w:w="60"/>
              <w:right w:type="dxa" w:w="100"/>
            </w:tcMar>
            <w:vAlign w:val="center"/>
          </w:tcPr>
          <w:p>
            <w:pPr>
              <w:spacing w:line="312"/>
              <w:jc w:val="left"/>
            </w:pPr>
            <w:r>
              <w:rPr>
                <w:color w:val="222222"/>
                <w:sz w:val="21"/>
                <w:szCs w:val="21"/>
              </w:rPr>
              <w:t xml:space="preserve">质量–工艺宽表与首份归因分析报告</w:t>
            </w:r>
          </w:p>
        </w:tc>
        <w:tc>
          <w:tcPr>
            <w:tcW w:type="dxa" w:w="2638"/>
            <w:shd w:fill="FFFFFF" w:val="clear"/>
            <w:tcMar>
              <w:top w:type="dxa" w:w="60"/>
              <w:left w:type="dxa" w:w="100"/>
              <w:bottom w:type="dxa" w:w="60"/>
              <w:right w:type="dxa" w:w="100"/>
            </w:tcMar>
            <w:vAlign w:val="center"/>
          </w:tcPr>
          <w:p>
            <w:pPr>
              <w:spacing w:line="312"/>
              <w:jc w:val="left"/>
            </w:pPr>
            <w:r>
              <w:rPr>
                <w:color w:val="222222"/>
                <w:sz w:val="21"/>
                <w:szCs w:val="21"/>
              </w:rPr>
              <w:t xml:space="preserve">为AI预测与MES铺路</w:t>
            </w:r>
          </w:p>
        </w:tc>
      </w:tr>
      <w:tr>
        <w:trPr>
          <w:cantSplit/>
        </w:trPr>
        <w:tc>
          <w:tcPr>
            <w:tcW w:type="dxa" w:w="1150"/>
            <w:shd w:fill="F5F3ED" w:val="clear"/>
            <w:tcMar>
              <w:top w:type="dxa" w:w="60"/>
              <w:left w:type="dxa" w:w="100"/>
              <w:bottom w:type="dxa" w:w="60"/>
              <w:right w:type="dxa" w:w="100"/>
            </w:tcMar>
            <w:vAlign w:val="center"/>
          </w:tcPr>
          <w:p>
            <w:pPr>
              <w:spacing w:line="312"/>
              <w:jc w:val="center"/>
            </w:pPr>
            <w:r>
              <w:rPr>
                <w:color w:val="222222"/>
                <w:sz w:val="21"/>
                <w:szCs w:val="21"/>
              </w:rPr>
              <w:t xml:space="preserve">第10–12月</w:t>
            </w:r>
          </w:p>
        </w:tc>
        <w:tc>
          <w:tcPr>
            <w:tcW w:type="dxa" w:w="2500"/>
            <w:shd w:fill="F5F3ED" w:val="clear"/>
            <w:tcMar>
              <w:top w:type="dxa" w:w="60"/>
              <w:left w:type="dxa" w:w="100"/>
              <w:bottom w:type="dxa" w:w="60"/>
              <w:right w:type="dxa" w:w="100"/>
            </w:tcMar>
            <w:vAlign w:val="center"/>
          </w:tcPr>
          <w:p>
            <w:pPr>
              <w:spacing w:line="312"/>
              <w:jc w:val="left"/>
            </w:pPr>
            <w:r>
              <w:rPr>
                <w:color w:val="222222"/>
                <w:sz w:val="21"/>
                <w:szCs w:val="21"/>
              </w:rPr>
              <w:t xml:space="preserve">中期项目立项（MES/LIMS/预测性维护）</w:t>
            </w:r>
          </w:p>
        </w:tc>
        <w:tc>
          <w:tcPr>
            <w:tcW w:type="dxa" w:w="2500"/>
            <w:shd w:fill="F5F3ED" w:val="clear"/>
            <w:tcMar>
              <w:top w:type="dxa" w:w="60"/>
              <w:left w:type="dxa" w:w="100"/>
              <w:bottom w:type="dxa" w:w="60"/>
              <w:right w:type="dxa" w:w="100"/>
            </w:tcMar>
            <w:vAlign w:val="center"/>
          </w:tcPr>
          <w:p>
            <w:pPr>
              <w:spacing w:line="312"/>
              <w:jc w:val="left"/>
            </w:pPr>
            <w:r>
              <w:rPr>
                <w:color w:val="222222"/>
                <w:sz w:val="21"/>
                <w:szCs w:val="21"/>
              </w:rPr>
              <w:t xml:space="preserve">二期建设方案与合同</w:t>
            </w:r>
          </w:p>
        </w:tc>
        <w:tc>
          <w:tcPr>
            <w:tcW w:type="dxa" w:w="2638"/>
            <w:shd w:fill="F5F3ED" w:val="clear"/>
            <w:tcMar>
              <w:top w:type="dxa" w:w="60"/>
              <w:left w:type="dxa" w:w="100"/>
              <w:bottom w:type="dxa" w:w="60"/>
              <w:right w:type="dxa" w:w="100"/>
            </w:tcMar>
            <w:vAlign w:val="center"/>
          </w:tcPr>
          <w:p>
            <w:pPr>
              <w:spacing w:line="312"/>
              <w:jc w:val="left"/>
            </w:pPr>
            <w:r>
              <w:rPr>
                <w:color w:val="222222"/>
                <w:sz w:val="21"/>
                <w:szCs w:val="21"/>
              </w:rPr>
              <w:t xml:space="preserve">从年度供应商升级为战略伙伴</w:t>
            </w:r>
          </w:p>
        </w:tc>
      </w:tr>
    </w:tbl>
    <w:p>
      <w:pPr>
        <w:pStyle w:val="Heading2"/>
        <w:keepNext/>
        <w:spacing w:after="160" w:before="280" w:line="312"/>
        <w:outlineLvl w:val="1"/>
      </w:pPr>
      <w:bookmarkStart w:id="100036" w:name="_Toc100036"/>
      <w:r>
        <w:rPr>
          <w:rFonts w:ascii="Arial" w:eastAsia="SimHei"/>
          <w:b/>
          <w:bCs/>
          <w:color w:val="1A1A1A"/>
          <w:sz w:val="28"/>
          <w:szCs w:val="28"/>
        </w:rPr>
        <w:t xml:space="preserve">8.2 服务商切入策略：从数据伙伴到总集成商</w:t>
      </w:r>
      <w:bookmarkEnd w:id="100036"/>
    </w:p>
    <w:p>
      <w:pPr>
        <w:pStyle w:val="ListParagraph"/>
        <w:numPr>
          <w:ilvl w:val="0"/>
          <w:numId w:val="4"/>
        </w:numPr>
        <w:spacing w:after="60" w:line="312"/>
        <w:jc w:val="both"/>
      </w:pPr>
      <w:r>
        <w:rPr>
          <w:b/>
          <w:bCs/>
          <w:sz w:val="24"/>
          <w:szCs w:val="24"/>
        </w:rPr>
        <w:t xml:space="preserve">身份递进：</w:t>
      </w:r>
      <w:r>
        <w:rPr>
          <w:sz w:val="24"/>
          <w:szCs w:val="24"/>
        </w:rPr>
        <w:t xml:space="preserve">数据采集服务商→数据分析伙伴→智能工厂总集成商，每一步都用上一阶段的交付质量背书，降低客户的决策风险。</w:t>
      </w:r>
    </w:p>
    <w:p>
      <w:pPr>
        <w:pStyle w:val="ListParagraph"/>
        <w:numPr>
          <w:ilvl w:val="0"/>
          <w:numId w:val="4"/>
        </w:numPr>
        <w:spacing w:after="60" w:line="312"/>
        <w:jc w:val="both"/>
      </w:pPr>
      <w:r>
        <w:rPr>
          <w:b/>
          <w:bCs/>
          <w:sz w:val="24"/>
          <w:szCs w:val="24"/>
        </w:rPr>
        <w:t xml:space="preserve">产品化交付：</w:t>
      </w:r>
      <w:r>
        <w:rPr>
          <w:sz w:val="24"/>
          <w:szCs w:val="24"/>
        </w:rPr>
        <w:t xml:space="preserve">把报警治理、OEE、能源管理等模块做成制麦行业化产品包，缩短交付周期、摊薄实施成本，提高单项目毛利。</w:t>
      </w:r>
    </w:p>
    <w:p>
      <w:pPr>
        <w:pStyle w:val="ListParagraph"/>
        <w:numPr>
          <w:ilvl w:val="0"/>
          <w:numId w:val="4"/>
        </w:numPr>
        <w:spacing w:after="60" w:line="312"/>
        <w:jc w:val="both"/>
      </w:pPr>
      <w:r>
        <w:rPr>
          <w:b/>
          <w:bCs/>
          <w:sz w:val="24"/>
          <w:szCs w:val="24"/>
        </w:rPr>
        <w:t xml:space="preserve">绑定集团：</w:t>
      </w:r>
      <w:r>
        <w:rPr>
          <w:sz w:val="24"/>
          <w:szCs w:val="24"/>
        </w:rPr>
        <w:t xml:space="preserve">以宁波样板争取永顺泰集团多基地复制——集团在广州、秦皇岛、宝应等地均有生产基地，单一客户机会可延展为集团级框架合作。</w:t>
      </w:r>
    </w:p>
    <w:p>
      <w:pPr>
        <w:pStyle w:val="ListParagraph"/>
        <w:numPr>
          <w:ilvl w:val="0"/>
          <w:numId w:val="4"/>
        </w:numPr>
        <w:spacing w:after="60" w:line="312"/>
        <w:jc w:val="both"/>
      </w:pPr>
      <w:r>
        <w:rPr>
          <w:b/>
          <w:bCs/>
          <w:sz w:val="24"/>
          <w:szCs w:val="24"/>
        </w:rPr>
        <w:t xml:space="preserve">生态借力：</w:t>
      </w:r>
      <w:r>
        <w:rPr>
          <w:sz w:val="24"/>
          <w:szCs w:val="24"/>
        </w:rPr>
        <w:t xml:space="preserve">在评估与申报环节可与省级智能制造评测机构、西门子生态伙伴协同，提高评审通过率与方案公信力。</w:t>
      </w:r>
    </w:p>
    <w:p>
      <w:pPr>
        <w:pStyle w:val="ListParagraph"/>
        <w:numPr>
          <w:ilvl w:val="0"/>
          <w:numId w:val="4"/>
        </w:numPr>
        <w:spacing w:after="60" w:line="312"/>
        <w:jc w:val="both"/>
      </w:pPr>
      <w:r>
        <w:rPr>
          <w:b/>
          <w:bCs/>
          <w:sz w:val="24"/>
          <w:szCs w:val="24"/>
        </w:rPr>
        <w:t xml:space="preserve">长期陪跑：</w:t>
      </w:r>
      <w:r>
        <w:rPr>
          <w:sz w:val="24"/>
          <w:szCs w:val="24"/>
        </w:rPr>
        <w:t xml:space="preserve">以运维订阅、平台年度服务费与模型持续优化形成经常性收入，将一次性工程转化为长期现金流。</w:t>
      </w:r>
    </w:p>
    <w:p>
      <w:pPr>
        <w:pStyle w:val="Heading2"/>
        <w:keepNext/>
        <w:spacing w:after="160" w:before="280" w:line="312"/>
        <w:outlineLvl w:val="1"/>
      </w:pPr>
      <w:bookmarkStart w:id="100037" w:name="_Toc100037"/>
      <w:r>
        <w:rPr>
          <w:rFonts w:ascii="Arial" w:eastAsia="SimHei"/>
          <w:b/>
          <w:bCs/>
          <w:color w:val="1A1A1A"/>
          <w:sz w:val="28"/>
          <w:szCs w:val="28"/>
        </w:rPr>
        <w:t xml:space="preserve">8.3 风险与注意事项</w:t>
      </w:r>
      <w:bookmarkEnd w:id="100037"/>
    </w:p>
    <w:p>
      <w:pPr>
        <w:pStyle w:val="ListParagraph"/>
        <w:numPr>
          <w:ilvl w:val="0"/>
          <w:numId w:val="5"/>
        </w:numPr>
        <w:spacing w:after="60" w:line="312"/>
        <w:jc w:val="both"/>
      </w:pPr>
      <w:r>
        <w:rPr>
          <w:b/>
          <w:bCs/>
          <w:sz w:val="24"/>
          <w:szCs w:val="24"/>
        </w:rPr>
        <w:t xml:space="preserve">工控安全红线：</w:t>
      </w:r>
      <w:r>
        <w:rPr>
          <w:sz w:val="24"/>
          <w:szCs w:val="24"/>
        </w:rPr>
        <w:t xml:space="preserve">数据采集与中台建设必须满足等级保护与工控安全要求：采集网与控制网边界防护、单向网闸或隔离网关、账号权限治理，绝不能为方便采集而削弱控制网安全。</w:t>
      </w:r>
    </w:p>
    <w:p>
      <w:pPr>
        <w:pStyle w:val="ListParagraph"/>
        <w:numPr>
          <w:ilvl w:val="0"/>
          <w:numId w:val="5"/>
        </w:numPr>
        <w:spacing w:after="60" w:line="312"/>
        <w:jc w:val="both"/>
      </w:pPr>
      <w:r>
        <w:rPr>
          <w:b/>
          <w:bCs/>
          <w:sz w:val="24"/>
          <w:szCs w:val="24"/>
        </w:rPr>
        <w:t xml:space="preserve">生产连续性优先：</w:t>
      </w:r>
      <w:r>
        <w:rPr>
          <w:sz w:val="24"/>
          <w:szCs w:val="24"/>
        </w:rPr>
        <w:t xml:space="preserve">所有改造须在不影响产线连续生产的前提下实施，关键割接必须有方案评审、停机窗口与回退预案。</w:t>
      </w:r>
    </w:p>
    <w:p>
      <w:pPr>
        <w:pStyle w:val="ListParagraph"/>
        <w:numPr>
          <w:ilvl w:val="0"/>
          <w:numId w:val="5"/>
        </w:numPr>
        <w:spacing w:after="60" w:line="312"/>
        <w:jc w:val="both"/>
      </w:pPr>
      <w:r>
        <w:rPr>
          <w:b/>
          <w:bCs/>
          <w:sz w:val="24"/>
          <w:szCs w:val="24"/>
        </w:rPr>
        <w:t xml:space="preserve">数据标准先行：</w:t>
      </w:r>
      <w:r>
        <w:rPr>
          <w:sz w:val="24"/>
          <w:szCs w:val="24"/>
        </w:rPr>
        <w:t xml:space="preserve">若先上MES后治理数据，极易形成新的信息孤岛；应坚持数据标准与编码体系先行，再滚动上应用。</w:t>
      </w:r>
    </w:p>
    <w:p>
      <w:pPr>
        <w:pStyle w:val="ListParagraph"/>
        <w:numPr>
          <w:ilvl w:val="0"/>
          <w:numId w:val="5"/>
        </w:numPr>
        <w:spacing w:after="60" w:line="312"/>
        <w:jc w:val="both"/>
      </w:pPr>
      <w:r>
        <w:rPr>
          <w:b/>
          <w:bCs/>
          <w:sz w:val="24"/>
          <w:szCs w:val="24"/>
        </w:rPr>
        <w:t xml:space="preserve">投资节奏匹配：</w:t>
      </w:r>
      <w:r>
        <w:rPr>
          <w:sz w:val="24"/>
          <w:szCs w:val="24"/>
        </w:rPr>
        <w:t xml:space="preserve">国企固定资产投资与费用类预算审批周期较长，应配合客户预算节奏拆分标段、分批立项，避免超计划投资导致方案搁浅。</w:t>
      </w:r>
    </w:p>
    <w:p>
      <w:pPr>
        <w:pStyle w:val="ListParagraph"/>
        <w:numPr>
          <w:ilvl w:val="0"/>
          <w:numId w:val="5"/>
        </w:numPr>
        <w:spacing w:after="60" w:line="312"/>
        <w:jc w:val="both"/>
      </w:pPr>
      <w:r>
        <w:rPr>
          <w:b/>
          <w:bCs/>
          <w:sz w:val="24"/>
          <w:szCs w:val="24"/>
        </w:rPr>
        <w:t xml:space="preserve">效果预期管理：</w:t>
      </w:r>
      <w:r>
        <w:rPr>
          <w:sz w:val="24"/>
          <w:szCs w:val="24"/>
        </w:rPr>
        <w:t xml:space="preserve">AI类项目应从基线模型起步、小步快跑，效果评估口径在合同中事先约定，避免过度承诺损伤信任。</w:t>
      </w:r>
    </w:p>
    <w:p>
      <w:pPr>
        <w:pStyle w:val="Heading1"/>
        <w:keepNext/>
        <w:spacing w:after="200" w:before="360" w:line="312"/>
        <w:outlineLvl w:val="0"/>
      </w:pPr>
      <w:bookmarkStart w:id="100038" w:name="_Toc100038"/>
      <w:r>
        <w:rPr>
          <w:rFonts w:ascii="Arial" w:eastAsia="SimHei"/>
          <w:b/>
          <w:bCs/>
          <w:color w:val="000000"/>
          <w:sz w:val="32"/>
          <w:szCs w:val="32"/>
        </w:rPr>
        <w:t xml:space="preserve">九、结论</w:t>
      </w:r>
      <w:bookmarkEnd w:id="100038"/>
    </w:p>
    <w:p>
      <w:pPr>
        <w:spacing w:after="80" w:line="312"/>
        <w:ind w:firstLine="480"/>
        <w:jc w:val="both"/>
      </w:pPr>
      <w:r>
        <w:rPr>
          <w:sz w:val="24"/>
          <w:szCs w:val="24"/>
        </w:rPr>
        <w:t xml:space="preserve">宁波公司的智能信息化机会是真实、分层且时间窗口明确的。既有三套系统已经完成了制麦数字化最艰难的起点——完整的生产数据采集；向上，仍存在完整的三层机会空间：近期的数据深化（六项）、中期的系统集成（五项）与远期的智能跃迁（三项）。国际标杆（Soufflet Malt的MALTimize平台、Boortmalt的全链条溯源）验证了从数据统一到AI生产优化的演进路径；同一集团的广州公司获评省先进级智能工厂，提供了触手可及的内部样板；政策端的食品工业数字化转型方案与智能工厂梯度培育行动，则提供了明确的申报通道与资源支持。</w:t>
      </w:r>
    </w:p>
    <w:p>
      <w:pPr>
        <w:spacing w:after="80" w:line="312"/>
        <w:ind w:firstLine="480"/>
        <w:jc w:val="both"/>
      </w:pPr>
      <w:r>
        <w:rPr>
          <w:sz w:val="24"/>
          <w:szCs w:val="24"/>
        </w:rPr>
        <w:t xml:space="preserve">建议按近期数据深化、中期系统集成、远期智能跃迁的节奏推进：首年以成熟度评估统领规划，以报警治理、OEE、数据中台一期与能源管理的组合切入，第二年建成MES与LIMS等核心系统并对齐先进级标准，三年内形成卓越级智能工厂框架并冲刺相应荣誉。对服务商而言，抓住数据底座与申报总集成两个关键位置，即可将单一客户的项目机会延展为覆盖永顺泰集团多基地的长期框架合作。</w:t>
      </w:r>
    </w:p>
    <w:p>
      <w:pPr>
        <w:pStyle w:val="Heading1"/>
        <w:keepNext/>
        <w:spacing w:after="200" w:before="360" w:line="312"/>
        <w:outlineLvl w:val="0"/>
      </w:pPr>
      <w:bookmarkStart w:id="100039" w:name="_Toc100039"/>
      <w:r>
        <w:rPr>
          <w:rFonts w:ascii="Arial" w:eastAsia="SimHei"/>
          <w:b/>
          <w:bCs/>
          <w:color w:val="000000"/>
          <w:sz w:val="32"/>
          <w:szCs w:val="32"/>
        </w:rPr>
        <w:t xml:space="preserve">附录A 术语与缩略语</w:t>
      </w:r>
      <w:bookmarkEnd w:id="100039"/>
    </w:p>
    <w:p>
      <w:pPr>
        <w:keepNext/>
        <w:spacing w:after="100" w:before="160" w:line="312"/>
        <w:jc w:val="center"/>
      </w:pPr>
      <w:r>
        <w:rPr>
          <w:rFonts w:ascii="Arial" w:eastAsia="SimHei"/>
          <w:b/>
          <w:bCs/>
          <w:color w:val="1A1A1A"/>
          <w:sz w:val="21"/>
          <w:szCs w:val="21"/>
        </w:rPr>
        <w:t xml:space="preserve">表A-1 术语与缩略语对照表</w:t>
      </w:r>
    </w:p>
    <w:tbl>
      <w:tblPr>
        <w:tblW w:type="dxa" w:w="8788"/>
        <w:tblBorders>
          <w:top w:val="single" w:color="8A6A34" w:sz="8"/>
          <w:left w:val="single" w:color="DDD8CC" w:sz="4"/>
          <w:bottom w:val="single" w:color="8A6A34" w:sz="8"/>
          <w:right w:val="single" w:color="DDD8CC" w:sz="4"/>
          <w:insideH w:val="single" w:color="DDD8CC" w:sz="4"/>
          <w:insideV w:val="single" w:color="DDD8CC" w:sz="4"/>
        </w:tblBorders>
        <w:tblLayout w:type="fixed"/>
      </w:tblPr>
      <w:tblGrid>
        <w:gridCol w:w="1300"/>
        <w:gridCol w:w="2900"/>
        <w:gridCol w:w="4588"/>
      </w:tblGrid>
      <w:tr>
        <w:trPr>
          <w:cantSplit/>
          <w:tblHeader/>
        </w:trPr>
        <w:tc>
          <w:tcPr>
            <w:tcW w:type="dxa" w:w="1300"/>
            <w:shd w:fill="D6C096" w:val="clear"/>
            <w:tcMar>
              <w:top w:type="dxa" w:w="60"/>
              <w:left w:type="dxa" w:w="100"/>
              <w:bottom w:type="dxa" w:w="60"/>
              <w:right w:type="dxa" w:w="100"/>
            </w:tcMar>
            <w:vAlign w:val="center"/>
          </w:tcPr>
          <w:p>
            <w:pPr>
              <w:spacing w:line="312"/>
              <w:jc w:val="center"/>
            </w:pPr>
            <w:r>
              <w:rPr>
                <w:rFonts w:ascii="Arial" w:eastAsia="SimHei"/>
                <w:b/>
                <w:bCs/>
                <w:color w:val="1A1A1A"/>
                <w:sz w:val="21"/>
                <w:szCs w:val="21"/>
              </w:rPr>
              <w:t xml:space="preserve">缩略语</w:t>
            </w:r>
          </w:p>
        </w:tc>
        <w:tc>
          <w:tcPr>
            <w:tcW w:type="dxa" w:w="2900"/>
            <w:shd w:fill="D6C096" w:val="clear"/>
            <w:tcMar>
              <w:top w:type="dxa" w:w="60"/>
              <w:left w:type="dxa" w:w="100"/>
              <w:bottom w:type="dxa" w:w="60"/>
              <w:right w:type="dxa" w:w="100"/>
            </w:tcMar>
            <w:vAlign w:val="center"/>
          </w:tcPr>
          <w:p>
            <w:pPr>
              <w:spacing w:line="312"/>
              <w:jc w:val="center"/>
            </w:pPr>
            <w:r>
              <w:rPr>
                <w:rFonts w:ascii="Arial" w:eastAsia="SimHei"/>
                <w:b/>
                <w:bCs/>
                <w:color w:val="1A1A1A"/>
                <w:sz w:val="21"/>
                <w:szCs w:val="21"/>
              </w:rPr>
              <w:t xml:space="preserve">全称/中文</w:t>
            </w:r>
          </w:p>
        </w:tc>
        <w:tc>
          <w:tcPr>
            <w:tcW w:type="dxa" w:w="4588"/>
            <w:shd w:fill="D6C096" w:val="clear"/>
            <w:tcMar>
              <w:top w:type="dxa" w:w="60"/>
              <w:left w:type="dxa" w:w="100"/>
              <w:bottom w:type="dxa" w:w="60"/>
              <w:right w:type="dxa" w:w="100"/>
            </w:tcMar>
            <w:vAlign w:val="center"/>
          </w:tcPr>
          <w:p>
            <w:pPr>
              <w:spacing w:line="312"/>
              <w:jc w:val="center"/>
            </w:pPr>
            <w:r>
              <w:rPr>
                <w:rFonts w:ascii="Arial" w:eastAsia="SimHei"/>
                <w:b/>
                <w:bCs/>
                <w:color w:val="1A1A1A"/>
                <w:sz w:val="21"/>
                <w:szCs w:val="21"/>
              </w:rPr>
              <w:t xml:space="preserve">简要说明</w:t>
            </w:r>
          </w:p>
        </w:tc>
      </w:tr>
      <w:tr>
        <w:trPr>
          <w:cantSplit/>
        </w:trPr>
        <w:tc>
          <w:tcPr>
            <w:tcW w:type="dxa" w:w="1300"/>
            <w:shd w:fill="FFFFFF" w:val="clear"/>
            <w:tcMar>
              <w:top w:type="dxa" w:w="60"/>
              <w:left w:type="dxa" w:w="100"/>
              <w:bottom w:type="dxa" w:w="60"/>
              <w:right w:type="dxa" w:w="100"/>
            </w:tcMar>
            <w:vAlign w:val="center"/>
          </w:tcPr>
          <w:p>
            <w:pPr>
              <w:spacing w:line="312"/>
              <w:jc w:val="center"/>
            </w:pPr>
            <w:r>
              <w:rPr>
                <w:color w:val="222222"/>
                <w:sz w:val="21"/>
                <w:szCs w:val="21"/>
              </w:rPr>
              <w:t xml:space="preserve">PLC</w:t>
            </w:r>
          </w:p>
        </w:tc>
        <w:tc>
          <w:tcPr>
            <w:tcW w:type="dxa" w:w="2900"/>
            <w:shd w:fill="FFFFFF" w:val="clear"/>
            <w:tcMar>
              <w:top w:type="dxa" w:w="60"/>
              <w:left w:type="dxa" w:w="100"/>
              <w:bottom w:type="dxa" w:w="60"/>
              <w:right w:type="dxa" w:w="100"/>
            </w:tcMar>
            <w:vAlign w:val="center"/>
          </w:tcPr>
          <w:p>
            <w:pPr>
              <w:spacing w:line="312"/>
              <w:jc w:val="left"/>
            </w:pPr>
            <w:r>
              <w:rPr>
                <w:color w:val="222222"/>
                <w:sz w:val="21"/>
                <w:szCs w:val="21"/>
              </w:rPr>
              <w:t xml:space="preserve">可编程逻辑控制器</w:t>
            </w:r>
          </w:p>
        </w:tc>
        <w:tc>
          <w:tcPr>
            <w:tcW w:type="dxa" w:w="4588"/>
            <w:shd w:fill="FFFFFF" w:val="clear"/>
            <w:tcMar>
              <w:top w:type="dxa" w:w="60"/>
              <w:left w:type="dxa" w:w="100"/>
              <w:bottom w:type="dxa" w:w="60"/>
              <w:right w:type="dxa" w:w="100"/>
            </w:tcMar>
            <w:vAlign w:val="center"/>
          </w:tcPr>
          <w:p>
            <w:pPr>
              <w:spacing w:line="312"/>
              <w:jc w:val="left"/>
            </w:pPr>
            <w:r>
              <w:rPr>
                <w:color w:val="222222"/>
                <w:sz w:val="21"/>
                <w:szCs w:val="21"/>
              </w:rPr>
              <w:t xml:space="preserve">产线设备层的控制与数据采集核心装置</w:t>
            </w:r>
          </w:p>
        </w:tc>
      </w:tr>
      <w:tr>
        <w:trPr>
          <w:cantSplit/>
        </w:trPr>
        <w:tc>
          <w:tcPr>
            <w:tcW w:type="dxa" w:w="1300"/>
            <w:shd w:fill="F5F3ED" w:val="clear"/>
            <w:tcMar>
              <w:top w:type="dxa" w:w="60"/>
              <w:left w:type="dxa" w:w="100"/>
              <w:bottom w:type="dxa" w:w="60"/>
              <w:right w:type="dxa" w:w="100"/>
            </w:tcMar>
            <w:vAlign w:val="center"/>
          </w:tcPr>
          <w:p>
            <w:pPr>
              <w:spacing w:line="312"/>
              <w:jc w:val="center"/>
            </w:pPr>
            <w:r>
              <w:rPr>
                <w:color w:val="222222"/>
                <w:sz w:val="21"/>
                <w:szCs w:val="21"/>
              </w:rPr>
              <w:t xml:space="preserve">SCADA</w:t>
            </w:r>
          </w:p>
        </w:tc>
        <w:tc>
          <w:tcPr>
            <w:tcW w:type="dxa" w:w="2900"/>
            <w:shd w:fill="F5F3ED" w:val="clear"/>
            <w:tcMar>
              <w:top w:type="dxa" w:w="60"/>
              <w:left w:type="dxa" w:w="100"/>
              <w:bottom w:type="dxa" w:w="60"/>
              <w:right w:type="dxa" w:w="100"/>
            </w:tcMar>
            <w:vAlign w:val="center"/>
          </w:tcPr>
          <w:p>
            <w:pPr>
              <w:spacing w:line="312"/>
              <w:jc w:val="left"/>
            </w:pPr>
            <w:r>
              <w:rPr>
                <w:color w:val="222222"/>
                <w:sz w:val="21"/>
                <w:szCs w:val="21"/>
              </w:rPr>
              <w:t xml:space="preserve">数据采集与监视控制系统</w:t>
            </w:r>
          </w:p>
        </w:tc>
        <w:tc>
          <w:tcPr>
            <w:tcW w:type="dxa" w:w="4588"/>
            <w:shd w:fill="F5F3ED" w:val="clear"/>
            <w:tcMar>
              <w:top w:type="dxa" w:w="60"/>
              <w:left w:type="dxa" w:w="100"/>
              <w:bottom w:type="dxa" w:w="60"/>
              <w:right w:type="dxa" w:w="100"/>
            </w:tcMar>
            <w:vAlign w:val="center"/>
          </w:tcPr>
          <w:p>
            <w:pPr>
              <w:spacing w:line="312"/>
              <w:jc w:val="left"/>
            </w:pPr>
            <w:r>
              <w:rPr>
                <w:color w:val="222222"/>
                <w:sz w:val="21"/>
                <w:szCs w:val="21"/>
              </w:rPr>
              <w:t xml:space="preserve">过程监视、曲线、报警的人机界面层</w:t>
            </w:r>
          </w:p>
        </w:tc>
      </w:tr>
      <w:tr>
        <w:trPr>
          <w:cantSplit/>
        </w:trPr>
        <w:tc>
          <w:tcPr>
            <w:tcW w:type="dxa" w:w="1300"/>
            <w:shd w:fill="FFFFFF" w:val="clear"/>
            <w:tcMar>
              <w:top w:type="dxa" w:w="60"/>
              <w:left w:type="dxa" w:w="100"/>
              <w:bottom w:type="dxa" w:w="60"/>
              <w:right w:type="dxa" w:w="100"/>
            </w:tcMar>
            <w:vAlign w:val="center"/>
          </w:tcPr>
          <w:p>
            <w:pPr>
              <w:spacing w:line="312"/>
              <w:jc w:val="center"/>
            </w:pPr>
            <w:r>
              <w:rPr>
                <w:color w:val="222222"/>
                <w:sz w:val="21"/>
                <w:szCs w:val="21"/>
              </w:rPr>
              <w:t xml:space="preserve">MES</w:t>
            </w:r>
          </w:p>
        </w:tc>
        <w:tc>
          <w:tcPr>
            <w:tcW w:type="dxa" w:w="2900"/>
            <w:shd w:fill="FFFFFF" w:val="clear"/>
            <w:tcMar>
              <w:top w:type="dxa" w:w="60"/>
              <w:left w:type="dxa" w:w="100"/>
              <w:bottom w:type="dxa" w:w="60"/>
              <w:right w:type="dxa" w:w="100"/>
            </w:tcMar>
            <w:vAlign w:val="center"/>
          </w:tcPr>
          <w:p>
            <w:pPr>
              <w:spacing w:line="312"/>
              <w:jc w:val="left"/>
            </w:pPr>
            <w:r>
              <w:rPr>
                <w:color w:val="222222"/>
                <w:sz w:val="21"/>
                <w:szCs w:val="21"/>
              </w:rPr>
              <w:t xml:space="preserve">制造执行系统</w:t>
            </w:r>
          </w:p>
        </w:tc>
        <w:tc>
          <w:tcPr>
            <w:tcW w:type="dxa" w:w="4588"/>
            <w:shd w:fill="FFFFFF" w:val="clear"/>
            <w:tcMar>
              <w:top w:type="dxa" w:w="60"/>
              <w:left w:type="dxa" w:w="100"/>
              <w:bottom w:type="dxa" w:w="60"/>
              <w:right w:type="dxa" w:w="100"/>
            </w:tcMar>
            <w:vAlign w:val="center"/>
          </w:tcPr>
          <w:p>
            <w:pPr>
              <w:spacing w:line="312"/>
              <w:jc w:val="left"/>
            </w:pPr>
            <w:r>
              <w:rPr>
                <w:color w:val="222222"/>
                <w:sz w:val="21"/>
                <w:szCs w:val="21"/>
              </w:rPr>
              <w:t xml:space="preserve">连接计划与控制层的生产执行与批次管理系统</w:t>
            </w:r>
          </w:p>
        </w:tc>
      </w:tr>
      <w:tr>
        <w:trPr>
          <w:cantSplit/>
        </w:trPr>
        <w:tc>
          <w:tcPr>
            <w:tcW w:type="dxa" w:w="1300"/>
            <w:shd w:fill="F5F3ED" w:val="clear"/>
            <w:tcMar>
              <w:top w:type="dxa" w:w="60"/>
              <w:left w:type="dxa" w:w="100"/>
              <w:bottom w:type="dxa" w:w="60"/>
              <w:right w:type="dxa" w:w="100"/>
            </w:tcMar>
            <w:vAlign w:val="center"/>
          </w:tcPr>
          <w:p>
            <w:pPr>
              <w:spacing w:line="312"/>
              <w:jc w:val="center"/>
            </w:pPr>
            <w:r>
              <w:rPr>
                <w:color w:val="222222"/>
                <w:sz w:val="21"/>
                <w:szCs w:val="21"/>
              </w:rPr>
              <w:t xml:space="preserve">EBR</w:t>
            </w:r>
          </w:p>
        </w:tc>
        <w:tc>
          <w:tcPr>
            <w:tcW w:type="dxa" w:w="2900"/>
            <w:shd w:fill="F5F3ED" w:val="clear"/>
            <w:tcMar>
              <w:top w:type="dxa" w:w="60"/>
              <w:left w:type="dxa" w:w="100"/>
              <w:bottom w:type="dxa" w:w="60"/>
              <w:right w:type="dxa" w:w="100"/>
            </w:tcMar>
            <w:vAlign w:val="center"/>
          </w:tcPr>
          <w:p>
            <w:pPr>
              <w:spacing w:line="312"/>
              <w:jc w:val="left"/>
            </w:pPr>
            <w:r>
              <w:rPr>
                <w:color w:val="222222"/>
                <w:sz w:val="21"/>
                <w:szCs w:val="21"/>
              </w:rPr>
              <w:t xml:space="preserve">电子批记录</w:t>
            </w:r>
          </w:p>
        </w:tc>
        <w:tc>
          <w:tcPr>
            <w:tcW w:type="dxa" w:w="4588"/>
            <w:shd w:fill="F5F3ED" w:val="clear"/>
            <w:tcMar>
              <w:top w:type="dxa" w:w="60"/>
              <w:left w:type="dxa" w:w="100"/>
              <w:bottom w:type="dxa" w:w="60"/>
              <w:right w:type="dxa" w:w="100"/>
            </w:tcMar>
            <w:vAlign w:val="center"/>
          </w:tcPr>
          <w:p>
            <w:pPr>
              <w:spacing w:line="312"/>
              <w:jc w:val="left"/>
            </w:pPr>
            <w:r>
              <w:rPr>
                <w:color w:val="222222"/>
                <w:sz w:val="21"/>
                <w:szCs w:val="21"/>
              </w:rPr>
              <w:t xml:space="preserve">以电子形式完整记录批次生产全过程，支持追溯</w:t>
            </w:r>
          </w:p>
        </w:tc>
      </w:tr>
      <w:tr>
        <w:trPr>
          <w:cantSplit/>
        </w:trPr>
        <w:tc>
          <w:tcPr>
            <w:tcW w:type="dxa" w:w="1300"/>
            <w:shd w:fill="FFFFFF" w:val="clear"/>
            <w:tcMar>
              <w:top w:type="dxa" w:w="60"/>
              <w:left w:type="dxa" w:w="100"/>
              <w:bottom w:type="dxa" w:w="60"/>
              <w:right w:type="dxa" w:w="100"/>
            </w:tcMar>
            <w:vAlign w:val="center"/>
          </w:tcPr>
          <w:p>
            <w:pPr>
              <w:spacing w:line="312"/>
              <w:jc w:val="center"/>
            </w:pPr>
            <w:r>
              <w:rPr>
                <w:color w:val="222222"/>
                <w:sz w:val="21"/>
                <w:szCs w:val="21"/>
              </w:rPr>
              <w:t xml:space="preserve">LIMS</w:t>
            </w:r>
          </w:p>
        </w:tc>
        <w:tc>
          <w:tcPr>
            <w:tcW w:type="dxa" w:w="2900"/>
            <w:shd w:fill="FFFFFF" w:val="clear"/>
            <w:tcMar>
              <w:top w:type="dxa" w:w="60"/>
              <w:left w:type="dxa" w:w="100"/>
              <w:bottom w:type="dxa" w:w="60"/>
              <w:right w:type="dxa" w:w="100"/>
            </w:tcMar>
            <w:vAlign w:val="center"/>
          </w:tcPr>
          <w:p>
            <w:pPr>
              <w:spacing w:line="312"/>
              <w:jc w:val="left"/>
            </w:pPr>
            <w:r>
              <w:rPr>
                <w:color w:val="222222"/>
                <w:sz w:val="21"/>
                <w:szCs w:val="21"/>
              </w:rPr>
              <w:t xml:space="preserve">实验室信息管理系统</w:t>
            </w:r>
          </w:p>
        </w:tc>
        <w:tc>
          <w:tcPr>
            <w:tcW w:type="dxa" w:w="4588"/>
            <w:shd w:fill="FFFFFF" w:val="clear"/>
            <w:tcMar>
              <w:top w:type="dxa" w:w="60"/>
              <w:left w:type="dxa" w:w="100"/>
              <w:bottom w:type="dxa" w:w="60"/>
              <w:right w:type="dxa" w:w="100"/>
            </w:tcMar>
            <w:vAlign w:val="center"/>
          </w:tcPr>
          <w:p>
            <w:pPr>
              <w:spacing w:line="312"/>
              <w:jc w:val="left"/>
            </w:pPr>
            <w:r>
              <w:rPr>
                <w:color w:val="222222"/>
                <w:sz w:val="21"/>
                <w:szCs w:val="21"/>
              </w:rPr>
              <w:t xml:space="preserve">化验样品、方法、结果与报告的数字化管理</w:t>
            </w:r>
          </w:p>
        </w:tc>
      </w:tr>
      <w:tr>
        <w:trPr>
          <w:cantSplit/>
        </w:trPr>
        <w:tc>
          <w:tcPr>
            <w:tcW w:type="dxa" w:w="1300"/>
            <w:shd w:fill="F5F3ED" w:val="clear"/>
            <w:tcMar>
              <w:top w:type="dxa" w:w="60"/>
              <w:left w:type="dxa" w:w="100"/>
              <w:bottom w:type="dxa" w:w="60"/>
              <w:right w:type="dxa" w:w="100"/>
            </w:tcMar>
            <w:vAlign w:val="center"/>
          </w:tcPr>
          <w:p>
            <w:pPr>
              <w:spacing w:line="312"/>
              <w:jc w:val="center"/>
            </w:pPr>
            <w:r>
              <w:rPr>
                <w:color w:val="222222"/>
                <w:sz w:val="21"/>
                <w:szCs w:val="21"/>
              </w:rPr>
              <w:t xml:space="preserve">EMS</w:t>
            </w:r>
          </w:p>
        </w:tc>
        <w:tc>
          <w:tcPr>
            <w:tcW w:type="dxa" w:w="2900"/>
            <w:shd w:fill="F5F3ED" w:val="clear"/>
            <w:tcMar>
              <w:top w:type="dxa" w:w="60"/>
              <w:left w:type="dxa" w:w="100"/>
              <w:bottom w:type="dxa" w:w="60"/>
              <w:right w:type="dxa" w:w="100"/>
            </w:tcMar>
            <w:vAlign w:val="center"/>
          </w:tcPr>
          <w:p>
            <w:pPr>
              <w:spacing w:line="312"/>
              <w:jc w:val="left"/>
            </w:pPr>
            <w:r>
              <w:rPr>
                <w:color w:val="222222"/>
                <w:sz w:val="21"/>
                <w:szCs w:val="21"/>
              </w:rPr>
              <w:t xml:space="preserve">能源管理系统</w:t>
            </w:r>
          </w:p>
        </w:tc>
        <w:tc>
          <w:tcPr>
            <w:tcW w:type="dxa" w:w="4588"/>
            <w:shd w:fill="F5F3ED" w:val="clear"/>
            <w:tcMar>
              <w:top w:type="dxa" w:w="60"/>
              <w:left w:type="dxa" w:w="100"/>
              <w:bottom w:type="dxa" w:w="60"/>
              <w:right w:type="dxa" w:w="100"/>
            </w:tcMar>
            <w:vAlign w:val="center"/>
          </w:tcPr>
          <w:p>
            <w:pPr>
              <w:spacing w:line="312"/>
              <w:jc w:val="left"/>
            </w:pPr>
            <w:r>
              <w:rPr>
                <w:color w:val="222222"/>
                <w:sz w:val="21"/>
                <w:szCs w:val="21"/>
              </w:rPr>
              <w:t xml:space="preserve">能源计量、单耗核算、用能分析与优化</w:t>
            </w:r>
          </w:p>
        </w:tc>
      </w:tr>
      <w:tr>
        <w:trPr>
          <w:cantSplit/>
        </w:trPr>
        <w:tc>
          <w:tcPr>
            <w:tcW w:type="dxa" w:w="1300"/>
            <w:shd w:fill="FFFFFF" w:val="clear"/>
            <w:tcMar>
              <w:top w:type="dxa" w:w="60"/>
              <w:left w:type="dxa" w:w="100"/>
              <w:bottom w:type="dxa" w:w="60"/>
              <w:right w:type="dxa" w:w="100"/>
            </w:tcMar>
            <w:vAlign w:val="center"/>
          </w:tcPr>
          <w:p>
            <w:pPr>
              <w:spacing w:line="312"/>
              <w:jc w:val="center"/>
            </w:pPr>
            <w:r>
              <w:rPr>
                <w:color w:val="222222"/>
                <w:sz w:val="21"/>
                <w:szCs w:val="21"/>
              </w:rPr>
              <w:t xml:space="preserve">OEE</w:t>
            </w:r>
          </w:p>
        </w:tc>
        <w:tc>
          <w:tcPr>
            <w:tcW w:type="dxa" w:w="2900"/>
            <w:shd w:fill="FFFFFF" w:val="clear"/>
            <w:tcMar>
              <w:top w:type="dxa" w:w="60"/>
              <w:left w:type="dxa" w:w="100"/>
              <w:bottom w:type="dxa" w:w="60"/>
              <w:right w:type="dxa" w:w="100"/>
            </w:tcMar>
            <w:vAlign w:val="center"/>
          </w:tcPr>
          <w:p>
            <w:pPr>
              <w:spacing w:line="312"/>
              <w:jc w:val="left"/>
            </w:pPr>
            <w:r>
              <w:rPr>
                <w:color w:val="222222"/>
                <w:sz w:val="21"/>
                <w:szCs w:val="21"/>
              </w:rPr>
              <w:t xml:space="preserve">设备综合效率</w:t>
            </w:r>
          </w:p>
        </w:tc>
        <w:tc>
          <w:tcPr>
            <w:tcW w:type="dxa" w:w="4588"/>
            <w:shd w:fill="FFFFFF" w:val="clear"/>
            <w:tcMar>
              <w:top w:type="dxa" w:w="60"/>
              <w:left w:type="dxa" w:w="100"/>
              <w:bottom w:type="dxa" w:w="60"/>
              <w:right w:type="dxa" w:w="100"/>
            </w:tcMar>
            <w:vAlign w:val="center"/>
          </w:tcPr>
          <w:p>
            <w:pPr>
              <w:spacing w:line="312"/>
              <w:jc w:val="left"/>
            </w:pPr>
            <w:r>
              <w:rPr>
                <w:color w:val="222222"/>
                <w:sz w:val="21"/>
                <w:szCs w:val="21"/>
              </w:rPr>
              <w:t xml:space="preserve">可用率×性能率×质量率的设备效率指标</w:t>
            </w:r>
          </w:p>
        </w:tc>
      </w:tr>
      <w:tr>
        <w:trPr>
          <w:cantSplit/>
        </w:trPr>
        <w:tc>
          <w:tcPr>
            <w:tcW w:type="dxa" w:w="1300"/>
            <w:shd w:fill="F5F3ED" w:val="clear"/>
            <w:tcMar>
              <w:top w:type="dxa" w:w="60"/>
              <w:left w:type="dxa" w:w="100"/>
              <w:bottom w:type="dxa" w:w="60"/>
              <w:right w:type="dxa" w:w="100"/>
            </w:tcMar>
            <w:vAlign w:val="center"/>
          </w:tcPr>
          <w:p>
            <w:pPr>
              <w:spacing w:line="312"/>
              <w:jc w:val="center"/>
            </w:pPr>
            <w:r>
              <w:rPr>
                <w:color w:val="222222"/>
                <w:sz w:val="21"/>
                <w:szCs w:val="21"/>
              </w:rPr>
              <w:t xml:space="preserve">APC</w:t>
            </w:r>
          </w:p>
        </w:tc>
        <w:tc>
          <w:tcPr>
            <w:tcW w:type="dxa" w:w="2900"/>
            <w:shd w:fill="F5F3ED" w:val="clear"/>
            <w:tcMar>
              <w:top w:type="dxa" w:w="60"/>
              <w:left w:type="dxa" w:w="100"/>
              <w:bottom w:type="dxa" w:w="60"/>
              <w:right w:type="dxa" w:w="100"/>
            </w:tcMar>
            <w:vAlign w:val="center"/>
          </w:tcPr>
          <w:p>
            <w:pPr>
              <w:spacing w:line="312"/>
              <w:jc w:val="left"/>
            </w:pPr>
            <w:r>
              <w:rPr>
                <w:color w:val="222222"/>
                <w:sz w:val="21"/>
                <w:szCs w:val="21"/>
              </w:rPr>
              <w:t xml:space="preserve">先进过程控制</w:t>
            </w:r>
          </w:p>
        </w:tc>
        <w:tc>
          <w:tcPr>
            <w:tcW w:type="dxa" w:w="4588"/>
            <w:shd w:fill="F5F3ED" w:val="clear"/>
            <w:tcMar>
              <w:top w:type="dxa" w:w="60"/>
              <w:left w:type="dxa" w:w="100"/>
              <w:bottom w:type="dxa" w:w="60"/>
              <w:right w:type="dxa" w:w="100"/>
            </w:tcMar>
            <w:vAlign w:val="center"/>
          </w:tcPr>
          <w:p>
            <w:pPr>
              <w:spacing w:line="312"/>
              <w:jc w:val="left"/>
            </w:pPr>
            <w:r>
              <w:rPr>
                <w:color w:val="222222"/>
                <w:sz w:val="21"/>
                <w:szCs w:val="21"/>
              </w:rPr>
              <w:t xml:space="preserve">基于模型的控制策略，优化关键工艺回路</w:t>
            </w:r>
          </w:p>
        </w:tc>
      </w:tr>
      <w:tr>
        <w:trPr>
          <w:cantSplit/>
        </w:trPr>
        <w:tc>
          <w:tcPr>
            <w:tcW w:type="dxa" w:w="1300"/>
            <w:shd w:fill="FFFFFF" w:val="clear"/>
            <w:tcMar>
              <w:top w:type="dxa" w:w="60"/>
              <w:left w:type="dxa" w:w="100"/>
              <w:bottom w:type="dxa" w:w="60"/>
              <w:right w:type="dxa" w:w="100"/>
            </w:tcMar>
            <w:vAlign w:val="center"/>
          </w:tcPr>
          <w:p>
            <w:pPr>
              <w:spacing w:line="312"/>
              <w:jc w:val="center"/>
            </w:pPr>
            <w:r>
              <w:rPr>
                <w:color w:val="222222"/>
                <w:sz w:val="21"/>
                <w:szCs w:val="21"/>
              </w:rPr>
              <w:t xml:space="preserve">CMMM</w:t>
            </w:r>
          </w:p>
        </w:tc>
        <w:tc>
          <w:tcPr>
            <w:tcW w:type="dxa" w:w="2900"/>
            <w:shd w:fill="FFFFFF" w:val="clear"/>
            <w:tcMar>
              <w:top w:type="dxa" w:w="60"/>
              <w:left w:type="dxa" w:w="100"/>
              <w:bottom w:type="dxa" w:w="60"/>
              <w:right w:type="dxa" w:w="100"/>
            </w:tcMar>
            <w:vAlign w:val="center"/>
          </w:tcPr>
          <w:p>
            <w:pPr>
              <w:spacing w:line="312"/>
              <w:jc w:val="left"/>
            </w:pPr>
            <w:r>
              <w:rPr>
                <w:color w:val="222222"/>
                <w:sz w:val="21"/>
                <w:szCs w:val="21"/>
              </w:rPr>
              <w:t xml:space="preserve">智能制造能力成熟度模型</w:t>
            </w:r>
          </w:p>
        </w:tc>
        <w:tc>
          <w:tcPr>
            <w:tcW w:type="dxa" w:w="4588"/>
            <w:shd w:fill="FFFFFF" w:val="clear"/>
            <w:tcMar>
              <w:top w:type="dxa" w:w="60"/>
              <w:left w:type="dxa" w:w="100"/>
              <w:bottom w:type="dxa" w:w="60"/>
              <w:right w:type="dxa" w:w="100"/>
            </w:tcMar>
            <w:vAlign w:val="center"/>
          </w:tcPr>
          <w:p>
            <w:pPr>
              <w:spacing w:line="312"/>
              <w:jc w:val="left"/>
            </w:pPr>
            <w:r>
              <w:rPr>
                <w:color w:val="222222"/>
                <w:sz w:val="21"/>
                <w:szCs w:val="21"/>
              </w:rPr>
              <w:t xml:space="preserve">GB/T 39116-2020定义的能力评估体系</w:t>
            </w:r>
          </w:p>
        </w:tc>
      </w:tr>
      <w:tr>
        <w:trPr>
          <w:cantSplit/>
        </w:trPr>
        <w:tc>
          <w:tcPr>
            <w:tcW w:type="dxa" w:w="1300"/>
            <w:shd w:fill="F5F3ED" w:val="clear"/>
            <w:tcMar>
              <w:top w:type="dxa" w:w="60"/>
              <w:left w:type="dxa" w:w="100"/>
              <w:bottom w:type="dxa" w:w="60"/>
              <w:right w:type="dxa" w:w="100"/>
            </w:tcMar>
            <w:vAlign w:val="center"/>
          </w:tcPr>
          <w:p>
            <w:pPr>
              <w:spacing w:line="312"/>
              <w:jc w:val="center"/>
            </w:pPr>
            <w:r>
              <w:rPr>
                <w:color w:val="222222"/>
                <w:sz w:val="21"/>
                <w:szCs w:val="21"/>
              </w:rPr>
              <w:t xml:space="preserve">DCMM</w:t>
            </w:r>
          </w:p>
        </w:tc>
        <w:tc>
          <w:tcPr>
            <w:tcW w:type="dxa" w:w="2900"/>
            <w:shd w:fill="F5F3ED" w:val="clear"/>
            <w:tcMar>
              <w:top w:type="dxa" w:w="60"/>
              <w:left w:type="dxa" w:w="100"/>
              <w:bottom w:type="dxa" w:w="60"/>
              <w:right w:type="dxa" w:w="100"/>
            </w:tcMar>
            <w:vAlign w:val="center"/>
          </w:tcPr>
          <w:p>
            <w:pPr>
              <w:spacing w:line="312"/>
              <w:jc w:val="left"/>
            </w:pPr>
            <w:r>
              <w:rPr>
                <w:color w:val="222222"/>
                <w:sz w:val="21"/>
                <w:szCs w:val="21"/>
              </w:rPr>
              <w:t xml:space="preserve">数据管理能力成熟度模型</w:t>
            </w:r>
          </w:p>
        </w:tc>
        <w:tc>
          <w:tcPr>
            <w:tcW w:type="dxa" w:w="4588"/>
            <w:shd w:fill="F5F3ED" w:val="clear"/>
            <w:tcMar>
              <w:top w:type="dxa" w:w="60"/>
              <w:left w:type="dxa" w:w="100"/>
              <w:bottom w:type="dxa" w:w="60"/>
              <w:right w:type="dxa" w:w="100"/>
            </w:tcMar>
            <w:vAlign w:val="center"/>
          </w:tcPr>
          <w:p>
            <w:pPr>
              <w:spacing w:line="312"/>
              <w:jc w:val="left"/>
            </w:pPr>
            <w:r>
              <w:rPr>
                <w:color w:val="222222"/>
                <w:sz w:val="21"/>
                <w:szCs w:val="21"/>
              </w:rPr>
              <w:t xml:space="preserve">GB/T 36073-2018定义的数据管理评估体系</w:t>
            </w:r>
          </w:p>
        </w:tc>
      </w:tr>
      <w:tr>
        <w:trPr>
          <w:cantSplit/>
        </w:trPr>
        <w:tc>
          <w:tcPr>
            <w:tcW w:type="dxa" w:w="1300"/>
            <w:shd w:fill="FFFFFF" w:val="clear"/>
            <w:tcMar>
              <w:top w:type="dxa" w:w="60"/>
              <w:left w:type="dxa" w:w="100"/>
              <w:bottom w:type="dxa" w:w="60"/>
              <w:right w:type="dxa" w:w="100"/>
            </w:tcMar>
            <w:vAlign w:val="center"/>
          </w:tcPr>
          <w:p>
            <w:pPr>
              <w:spacing w:line="312"/>
              <w:jc w:val="center"/>
            </w:pPr>
            <w:r>
              <w:rPr>
                <w:color w:val="222222"/>
                <w:sz w:val="21"/>
                <w:szCs w:val="21"/>
              </w:rPr>
              <w:t xml:space="preserve">数字孪生</w:t>
            </w:r>
          </w:p>
        </w:tc>
        <w:tc>
          <w:tcPr>
            <w:tcW w:type="dxa" w:w="2900"/>
            <w:shd w:fill="FFFFFF" w:val="clear"/>
            <w:tcMar>
              <w:top w:type="dxa" w:w="60"/>
              <w:left w:type="dxa" w:w="100"/>
              <w:bottom w:type="dxa" w:w="60"/>
              <w:right w:type="dxa" w:w="100"/>
            </w:tcMar>
            <w:vAlign w:val="center"/>
          </w:tcPr>
          <w:p>
            <w:pPr>
              <w:spacing w:line="312"/>
              <w:jc w:val="left"/>
            </w:pPr>
            <w:r>
              <w:rPr>
                <w:color w:val="222222"/>
                <w:sz w:val="21"/>
                <w:szCs w:val="21"/>
              </w:rPr>
              <w:t xml:space="preserve">Digital Twin</w:t>
            </w:r>
          </w:p>
        </w:tc>
        <w:tc>
          <w:tcPr>
            <w:tcW w:type="dxa" w:w="4588"/>
            <w:shd w:fill="FFFFFF" w:val="clear"/>
            <w:tcMar>
              <w:top w:type="dxa" w:w="60"/>
              <w:left w:type="dxa" w:w="100"/>
              <w:bottom w:type="dxa" w:w="60"/>
              <w:right w:type="dxa" w:w="100"/>
            </w:tcMar>
            <w:vAlign w:val="center"/>
          </w:tcPr>
          <w:p>
            <w:pPr>
              <w:spacing w:line="312"/>
              <w:jc w:val="left"/>
            </w:pPr>
            <w:r>
              <w:rPr>
                <w:color w:val="222222"/>
                <w:sz w:val="21"/>
                <w:szCs w:val="21"/>
              </w:rPr>
              <w:t xml:space="preserve">物理产线的数字化镜像，用于仿真与优化</w:t>
            </w:r>
          </w:p>
        </w:tc>
      </w:tr>
      <w:tr>
        <w:trPr>
          <w:cantSplit/>
        </w:trPr>
        <w:tc>
          <w:tcPr>
            <w:tcW w:type="dxa" w:w="1300"/>
            <w:shd w:fill="F5F3ED" w:val="clear"/>
            <w:tcMar>
              <w:top w:type="dxa" w:w="60"/>
              <w:left w:type="dxa" w:w="100"/>
              <w:bottom w:type="dxa" w:w="60"/>
              <w:right w:type="dxa" w:w="100"/>
            </w:tcMar>
            <w:vAlign w:val="center"/>
          </w:tcPr>
          <w:p>
            <w:pPr>
              <w:spacing w:line="312"/>
              <w:jc w:val="center"/>
            </w:pPr>
            <w:r>
              <w:rPr>
                <w:color w:val="222222"/>
                <w:sz w:val="21"/>
                <w:szCs w:val="21"/>
              </w:rPr>
              <w:t xml:space="preserve">制麦损失</w:t>
            </w:r>
          </w:p>
        </w:tc>
        <w:tc>
          <w:tcPr>
            <w:tcW w:type="dxa" w:w="2900"/>
            <w:shd w:fill="F5F3ED" w:val="clear"/>
            <w:tcMar>
              <w:top w:type="dxa" w:w="60"/>
              <w:left w:type="dxa" w:w="100"/>
              <w:bottom w:type="dxa" w:w="60"/>
              <w:right w:type="dxa" w:w="100"/>
            </w:tcMar>
            <w:vAlign w:val="center"/>
          </w:tcPr>
          <w:p>
            <w:pPr>
              <w:spacing w:line="312"/>
              <w:jc w:val="left"/>
            </w:pPr>
            <w:r>
              <w:rPr>
                <w:color w:val="222222"/>
                <w:sz w:val="21"/>
                <w:szCs w:val="21"/>
              </w:rPr>
              <w:t xml:space="preserve">Malting Loss</w:t>
            </w:r>
          </w:p>
        </w:tc>
        <w:tc>
          <w:tcPr>
            <w:tcW w:type="dxa" w:w="4588"/>
            <w:shd w:fill="F5F3ED" w:val="clear"/>
            <w:tcMar>
              <w:top w:type="dxa" w:w="60"/>
              <w:left w:type="dxa" w:w="100"/>
              <w:bottom w:type="dxa" w:w="60"/>
              <w:right w:type="dxa" w:w="100"/>
            </w:tcMar>
            <w:vAlign w:val="center"/>
          </w:tcPr>
          <w:p>
            <w:pPr>
              <w:spacing w:line="312"/>
              <w:jc w:val="left"/>
            </w:pPr>
            <w:r>
              <w:rPr>
                <w:color w:val="222222"/>
                <w:sz w:val="21"/>
                <w:szCs w:val="21"/>
              </w:rPr>
              <w:t xml:space="preserve">制麦过程中干物质损失占原料的比例，核心利润指标</w:t>
            </w:r>
          </w:p>
        </w:tc>
      </w:tr>
    </w:tbl>
    <w:p>
      <w:pPr>
        <w:pStyle w:val="Heading1"/>
        <w:keepNext/>
        <w:spacing w:after="200" w:before="360" w:line="312"/>
        <w:outlineLvl w:val="0"/>
      </w:pPr>
      <w:bookmarkStart w:id="100040" w:name="_Toc100040"/>
      <w:r>
        <w:rPr>
          <w:rFonts w:ascii="Arial" w:eastAsia="SimHei"/>
          <w:b/>
          <w:bCs/>
          <w:color w:val="000000"/>
          <w:sz w:val="32"/>
          <w:szCs w:val="32"/>
        </w:rPr>
        <w:t xml:space="preserve">附录B 主要信息来源</w:t>
      </w:r>
      <w:bookmarkEnd w:id="100040"/>
    </w:p>
    <w:p>
      <w:pPr>
        <w:spacing w:after="100" w:line="312"/>
        <w:ind w:firstLine="480"/>
        <w:jc w:val="both"/>
      </w:pPr>
      <w:r>
        <w:rPr>
          <w:sz w:val="24"/>
          <w:szCs w:val="24"/>
        </w:rPr>
        <w:t xml:space="preserve">本报告的事实性信息主要来源于以下公开渠道：</w:t>
      </w:r>
    </w:p>
    <w:p>
      <w:pPr>
        <w:pStyle w:val="ListParagraph"/>
        <w:numPr>
          <w:ilvl w:val="0"/>
          <w:numId w:val="6"/>
        </w:numPr>
        <w:spacing w:after="40" w:line="312"/>
        <w:jc w:val="both"/>
      </w:pPr>
      <w:r>
        <w:rPr>
          <w:color w:val="333333"/>
          <w:sz w:val="22"/>
          <w:szCs w:val="22"/>
        </w:rPr>
        <w:t xml:space="preserve">新浪财经：粤海永顺泰（广州）麦芽有限公司获评省先进级智能工厂，2026年6月16日。</w:t>
      </w:r>
    </w:p>
    <w:p>
      <w:pPr>
        <w:pStyle w:val="ListParagraph"/>
        <w:numPr>
          <w:ilvl w:val="0"/>
          <w:numId w:val="6"/>
        </w:numPr>
        <w:spacing w:after="40" w:line="312"/>
        <w:jc w:val="both"/>
      </w:pPr>
      <w:r>
        <w:rPr>
          <w:color w:val="333333"/>
          <w:sz w:val="22"/>
          <w:szCs w:val="22"/>
        </w:rPr>
        <w:t xml:space="preserve">InVivo集团官网新闻稿：Soufflet Malt launches MALTimize，2026年6月9日。</w:t>
      </w:r>
    </w:p>
    <w:p>
      <w:pPr>
        <w:pStyle w:val="ListParagraph"/>
        <w:numPr>
          <w:ilvl w:val="0"/>
          <w:numId w:val="6"/>
        </w:numPr>
        <w:spacing w:after="40" w:line="312"/>
        <w:jc w:val="both"/>
      </w:pPr>
      <w:r>
        <w:rPr>
          <w:color w:val="333333"/>
          <w:sz w:val="22"/>
          <w:szCs w:val="22"/>
        </w:rPr>
        <w:t xml:space="preserve">IN Food、Food &amp; Drink Technology：关于Soufflet Malt将AI引入生产控制的报道，2026年6月下旬。</w:t>
      </w:r>
    </w:p>
    <w:p>
      <w:pPr>
        <w:pStyle w:val="ListParagraph"/>
        <w:numPr>
          <w:ilvl w:val="0"/>
          <w:numId w:val="6"/>
        </w:numPr>
        <w:spacing w:after="40" w:line="312"/>
        <w:jc w:val="both"/>
      </w:pPr>
      <w:r>
        <w:rPr>
          <w:color w:val="333333"/>
          <w:sz w:val="22"/>
          <w:szCs w:val="22"/>
        </w:rPr>
        <w:t xml:space="preserve">工业和信息化部等七部门：《食品工业数字化转型实施方案》，2025年6月。</w:t>
      </w:r>
    </w:p>
    <w:p>
      <w:pPr>
        <w:pStyle w:val="ListParagraph"/>
        <w:numPr>
          <w:ilvl w:val="0"/>
          <w:numId w:val="6"/>
        </w:numPr>
        <w:spacing w:after="40" w:line="312"/>
        <w:jc w:val="both"/>
      </w:pPr>
      <w:r>
        <w:rPr>
          <w:color w:val="333333"/>
          <w:sz w:val="22"/>
          <w:szCs w:val="22"/>
        </w:rPr>
        <w:t xml:space="preserve">工业和信息化部：智能工厂梯度培育行动相关文件与《智能工厂梯度培育要素条件（2025年版）》。</w:t>
      </w:r>
    </w:p>
    <w:p>
      <w:pPr>
        <w:pStyle w:val="ListParagraph"/>
        <w:numPr>
          <w:ilvl w:val="0"/>
          <w:numId w:val="6"/>
        </w:numPr>
        <w:spacing w:after="40" w:line="312"/>
        <w:jc w:val="both"/>
      </w:pPr>
      <w:r>
        <w:rPr>
          <w:color w:val="333333"/>
          <w:sz w:val="22"/>
          <w:szCs w:val="22"/>
        </w:rPr>
        <w:t xml:space="preserve">GB/T 39116-2020《智能制造能力成熟度模型》；GB/T 36073-2018《数据管理能力成熟度评估模型》。</w:t>
      </w:r>
    </w:p>
    <w:p>
      <w:pPr>
        <w:pStyle w:val="ListParagraph"/>
        <w:numPr>
          <w:ilvl w:val="0"/>
          <w:numId w:val="6"/>
        </w:numPr>
        <w:spacing w:after="40" w:line="312"/>
        <w:jc w:val="both"/>
      </w:pPr>
      <w:r>
        <w:rPr>
          <w:color w:val="333333"/>
          <w:sz w:val="22"/>
          <w:szCs w:val="22"/>
        </w:rPr>
        <w:t xml:space="preserve">粤海永顺泰集团股份有限公司公告及2025年年度报告（深交所001338）。</w:t>
      </w:r>
    </w:p>
    <w:p>
      <w:pPr>
        <w:pStyle w:val="ListParagraph"/>
        <w:numPr>
          <w:ilvl w:val="0"/>
          <w:numId w:val="6"/>
        </w:numPr>
        <w:spacing w:after="40" w:line="312"/>
        <w:jc w:val="both"/>
      </w:pPr>
      <w:r>
        <w:rPr>
          <w:color w:val="333333"/>
          <w:sz w:val="22"/>
          <w:szCs w:val="22"/>
        </w:rPr>
        <w:t xml:space="preserve">宝应县政府网：永顺泰宝应公司麦芽出口与精酿双轮驱动相关报道，2025年7月。</w:t>
      </w:r>
    </w:p>
    <w:p>
      <w:pPr>
        <w:pStyle w:val="ListParagraph"/>
        <w:numPr>
          <w:ilvl w:val="0"/>
          <w:numId w:val="6"/>
        </w:numPr>
        <w:spacing w:after="40" w:line="312"/>
        <w:jc w:val="both"/>
      </w:pPr>
      <w:r>
        <w:rPr>
          <w:color w:val="333333"/>
          <w:sz w:val="22"/>
          <w:szCs w:val="22"/>
        </w:rPr>
        <w:t xml:space="preserve">Boortmalt公司官网及其与BASF气候智慧农业合作新闻稿，2022年7月。</w:t>
      </w:r>
    </w:p>
    <w:p>
      <w:pPr>
        <w:pStyle w:val="ListParagraph"/>
        <w:numPr>
          <w:ilvl w:val="0"/>
          <w:numId w:val="6"/>
        </w:numPr>
        <w:spacing w:after="40" w:line="312"/>
        <w:jc w:val="both"/>
      </w:pPr>
      <w:r>
        <w:rPr>
          <w:color w:val="333333"/>
          <w:sz w:val="22"/>
          <w:szCs w:val="22"/>
        </w:rPr>
        <w:t xml:space="preserve">Google Patents：CN116676142A《一种低能耗、低制麦损失的麦芽制备工艺》专利公开文本。</w:t>
      </w:r>
    </w:p>
    <w:p>
      <w:pPr>
        <w:spacing w:after="80" w:before="120" w:line="312"/>
        <w:ind w:firstLine="480"/>
        <w:jc w:val="both"/>
      </w:pPr>
      <w:r>
        <w:rPr>
          <w:sz w:val="24"/>
          <w:szCs w:val="24"/>
        </w:rPr>
        <w:t xml:space="preserve">说明：本报告中的能力对标雷达图、项目优先级矩阵及成熟度初判，均为基于公开信息与行业经验的定性评估示意，供项目规划与商务沟通参考；正式投资决策应以现场调研数据与官方评估结论为准。</w:t>
      </w:r>
    </w:p>
    <w:sectPr>
      <w:headerReference w:type="default" r:id="rId8"/>
      <w:footerReference w:type="default" r:id="rId9"/>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color w:val="606060"/>
        <w:sz w:val="18"/>
        <w:szCs w:val="18"/>
      </w:rPr>
      <w:fldChar w:fldCharType="begin"/>
      <w:instrText xml:space="preserve">PAGE \* ROMAN \* MERGEFORMAT</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color w:val="606060"/>
        <w:sz w:val="18"/>
        <w:szCs w:val="18"/>
      </w:rPr>
      <w:fldChar w:fldCharType="begin"/>
      <w:instrText xml:space="preserve">PAGE \* arabic \* MERGEFORMAT</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C096" w:sz="4" w:space="4"/>
      </w:pBdr>
      <w:spacing w:after="0" w:line="240"/>
      <w:jc w:val="center"/>
    </w:pPr>
    <w:r>
      <w:rPr>
        <w:rFonts w:eastAsia="SimSun"/>
        <w:color w:val="808080"/>
        <w:sz w:val="18"/>
        <w:szCs w:val="18"/>
      </w:rPr>
      <w:t xml:space="preserve">麦芽企业智能信息化项目机会挖掘报告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20" w:hanging="360"/>
      </w:pPr>
    </w:lvl>
  </w:abstractNum>
  <w:abstractNum w:abstractNumId="3" w15:restartNumberingAfterBreak="0">
    <w:multiLevelType w:val="hybridMultilevel"/>
    <w:lvl w:ilvl="0" w15:tentative="1">
      <w:start w:val="1"/>
      <w:numFmt w:val="decimal"/>
      <w:lvlText w:val="%1."/>
      <w:lvlJc w:val="left"/>
      <w:pPr>
        <w:ind w:left="620" w:hanging="360"/>
      </w:pPr>
    </w:lvl>
  </w:abstractNum>
  <w:abstractNum w:abstractNumId="4" w15:restartNumberingAfterBreak="0">
    <w:multiLevelType w:val="hybridMultilevel"/>
    <w:lvl w:ilvl="0" w15:tentative="1">
      <w:start w:val="1"/>
      <w:numFmt w:val="decimal"/>
      <w:lvlText w:val="%1."/>
      <w:lvlJc w:val="left"/>
      <w:pPr>
        <w:ind w:left="620" w:hanging="360"/>
      </w:pPr>
    </w:lvl>
  </w:abstractNum>
  <w:abstractNum w:abstractNumId="5" w15:restartNumberingAfterBreak="0">
    <w:multiLevelType w:val="hybridMultilevel"/>
    <w:lvl w:ilvl="0" w15:tentative="1">
      <w:start w:val="1"/>
      <w:numFmt w:val="decimal"/>
      <w:lvlText w:val="%1."/>
      <w:lvlJc w:val="left"/>
      <w:pPr>
        <w:ind w:left="620" w:hanging="360"/>
      </w:pPr>
    </w:lvl>
  </w:abstractNum>
  <w:abstractNum w:abstractNumId="6" w15:restartNumberingAfterBreak="0">
    <w:multiLevelType w:val="hybridMultilevel"/>
    <w:lvl w:ilvl="0" w15:tentative="1">
      <w:start w:val="1"/>
      <w:numFmt w:val="decimal"/>
      <w:lvlText w:val="%1."/>
      <w:lvlJc w:val="left"/>
      <w:pPr>
        <w:ind w:left="6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line="312"/>
      <w:outlineLvl w:val="0"/>
    </w:pPr>
    <w:rPr>
      <w:rFonts w:ascii="Arial" w:eastAsia="SimHei"/>
      <w:b/>
      <w:bCs/>
      <w:color w:val="000000"/>
      <w:sz w:val="32"/>
      <w:szCs w:val="32"/>
    </w:rPr>
  </w:style>
  <w:style w:type="paragraph" w:styleId="Heading2">
    <w:name w:val="Heading 2"/>
    <w:basedOn w:val="Normal"/>
    <w:next w:val="Normal"/>
    <w:qFormat/>
    <w:pPr>
      <w:spacing w:after="160" w:before="280" w:line="312"/>
      <w:outlineLvl w:val="1"/>
    </w:pPr>
    <w:rPr>
      <w:rFonts w:ascii="Arial" w:eastAsia="SimHei"/>
      <w:b/>
      <w:bCs/>
      <w:color w:val="1A1A1A"/>
      <w:sz w:val="28"/>
      <w:szCs w:val="28"/>
    </w:rPr>
  </w:style>
  <w:style w:type="paragraph" w:styleId="Heading3">
    <w:name w:val="Heading 3"/>
    <w:basedOn w:val="Normal"/>
    <w:next w:val="Normal"/>
    <w:qFormat/>
    <w:pPr>
      <w:spacing w:after="120" w:before="240" w:line="312"/>
      <w:outlineLvl w:val="2"/>
    </w:pPr>
    <w:rPr>
      <w:rFonts w:ascii="Arial" w:eastAsia="SimHei"/>
      <w:b/>
      <w:bCs/>
      <w:color w:val="333333"/>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image" Target="media/f279cd77c1a27f7f311588d17185b7ea29e9cc74.png"/><Relationship Id="rId11" Type="http://schemas.openxmlformats.org/officeDocument/2006/relationships/image" Target="media/e3797f0b17f87184704ac3afd86620ca0a46ff51.png"/><Relationship Id="rId12" Type="http://schemas.openxmlformats.org/officeDocument/2006/relationships/image" Target="media/8c6fd5bd77c28d03f35cc637ecbf9dd2801299fb.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麦芽企业智能信息化项目机会挖掘报告</dc:title>
  <dc:creator>Intelligent Manufacturing Consulting</dc:creator>
  <cp:lastModifiedBy>Un-named</cp:lastModifiedBy>
  <cp:revision>1</cp:revision>
  <dcterms:created xsi:type="dcterms:W3CDTF">2026-09-19T14:50:19.296Z</dcterms:created>
  <dcterms:modified xsi:type="dcterms:W3CDTF">2026-09-19T14:50:19.297Z</dcterms:modified>
</cp:coreProperties>
</file>

<file path=docProps/custom.xml><?xml version="1.0" encoding="utf-8"?>
<Properties xmlns="http://schemas.openxmlformats.org/officeDocument/2006/custom-properties" xmlns:vt="http://schemas.openxmlformats.org/officeDocument/2006/docPropsVTypes"/>
</file>