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FDB8B">
      <w:pPr>
        <w:rPr>
          <w:rFonts w:ascii="Segoe UI" w:hAnsi="Segoe UI" w:eastAsia="Segoe UI" w:cs="Segoe UI"/>
          <w:i w:val="0"/>
          <w:iCs w:val="0"/>
          <w:caps w:val="0"/>
          <w:color w:val="auto"/>
          <w:spacing w:val="0"/>
          <w:sz w:val="30"/>
          <w:szCs w:val="30"/>
          <w:shd w:val="clear" w:fill="FFFFFF"/>
        </w:rPr>
      </w:pPr>
      <w:r>
        <w:rPr>
          <w:rFonts w:ascii="Segoe UI" w:hAnsi="Segoe UI" w:eastAsia="Segoe UI" w:cs="Segoe UI"/>
          <w:b/>
          <w:bCs/>
          <w:i w:val="0"/>
          <w:iCs w:val="0"/>
          <w:caps w:val="0"/>
          <w:color w:val="auto"/>
          <w:spacing w:val="0"/>
          <w:sz w:val="30"/>
          <w:szCs w:val="30"/>
          <w:shd w:val="clear" w:fill="FFFFFF"/>
        </w:rPr>
        <w:t>《微风发电系统 自适应分组式垂直轴风</w:t>
      </w:r>
      <w:bookmarkStart w:id="0" w:name="_GoBack"/>
      <w:bookmarkEnd w:id="0"/>
      <w:r>
        <w:rPr>
          <w:rFonts w:ascii="Segoe UI" w:hAnsi="Segoe UI" w:eastAsia="Segoe UI" w:cs="Segoe UI"/>
          <w:b/>
          <w:bCs/>
          <w:i w:val="0"/>
          <w:iCs w:val="0"/>
          <w:caps w:val="0"/>
          <w:color w:val="auto"/>
          <w:spacing w:val="0"/>
          <w:sz w:val="30"/>
          <w:szCs w:val="30"/>
          <w:shd w:val="clear" w:fill="FFFFFF"/>
        </w:rPr>
        <w:t>力发电机组技术规范》（标准初稿）</w:t>
      </w:r>
      <w:r>
        <w:rPr>
          <w:rFonts w:ascii="Segoe UI" w:hAnsi="Segoe UI" w:eastAsia="Segoe UI" w:cs="Segoe UI"/>
          <w:i w:val="0"/>
          <w:iCs w:val="0"/>
          <w:caps w:val="0"/>
          <w:color w:val="auto"/>
          <w:spacing w:val="0"/>
          <w:sz w:val="30"/>
          <w:szCs w:val="30"/>
          <w:shd w:val="clear" w:fill="FFFFFF"/>
        </w:rPr>
        <w:t xml:space="preserve"> </w:t>
      </w:r>
    </w:p>
    <w:p w14:paraId="3C59F322">
      <w:pPr>
        <w:numPr>
          <w:ilvl w:val="0"/>
          <w:numId w:val="1"/>
        </w:numPr>
        <w:rPr>
          <w:rFonts w:ascii="Segoe UI" w:hAnsi="Segoe UI" w:eastAsia="Segoe UI" w:cs="Segoe UI"/>
          <w:b/>
          <w:bCs/>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范围 </w:t>
      </w:r>
    </w:p>
    <w:p w14:paraId="5630B9A0">
      <w:pPr>
        <w:numPr>
          <w:ilvl w:val="0"/>
          <w:numId w:val="0"/>
        </w:numPr>
        <w:ind w:firstLine="480" w:firstLineChars="2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本标准规定了自适应分组式垂直轴微风发电机组（以下简称“机组”）的术语和定义、技术要求、试验方法、检验规则以及标志、包装、运输和贮存。 本标准适</w:t>
      </w:r>
      <w:r>
        <w:rPr>
          <w:rFonts w:hint="eastAsia" w:ascii="Segoe UI" w:hAnsi="Segoe UI" w:eastAsia="宋体" w:cs="Segoe UI"/>
          <w:i w:val="0"/>
          <w:iCs w:val="0"/>
          <w:caps w:val="0"/>
          <w:color w:val="auto"/>
          <w:spacing w:val="0"/>
          <w:sz w:val="24"/>
          <w:szCs w:val="24"/>
          <w:shd w:val="clear" w:fill="FFFFFF"/>
          <w:lang w:val="en-US" w:eastAsia="zh-CN"/>
        </w:rPr>
        <w:t>三级风速（0-5m/s）下实现满功率</w:t>
      </w:r>
      <w:r>
        <w:rPr>
          <w:rFonts w:ascii="Segoe UI" w:hAnsi="Segoe UI" w:eastAsia="Segoe UI" w:cs="Segoe UI"/>
          <w:i w:val="0"/>
          <w:iCs w:val="0"/>
          <w:caps w:val="0"/>
          <w:color w:val="auto"/>
          <w:spacing w:val="0"/>
          <w:sz w:val="24"/>
          <w:szCs w:val="24"/>
          <w:shd w:val="clear" w:fill="FFFFFF"/>
        </w:rPr>
        <w:t>、采用电子离合器控制有效工作风轮数量、旨在实现低风速下高效启动</w:t>
      </w:r>
      <w:r>
        <w:rPr>
          <w:rFonts w:hint="eastAsia" w:ascii="Segoe UI" w:hAnsi="Segoe UI" w:eastAsia="宋体" w:cs="Segoe UI"/>
          <w:i w:val="0"/>
          <w:iCs w:val="0"/>
          <w:caps w:val="0"/>
          <w:color w:val="auto"/>
          <w:spacing w:val="0"/>
          <w:sz w:val="24"/>
          <w:szCs w:val="24"/>
          <w:shd w:val="clear" w:fill="FFFFFF"/>
          <w:lang w:eastAsia="zh-CN"/>
        </w:rPr>
        <w:t>、</w:t>
      </w:r>
      <w:r>
        <w:rPr>
          <w:rFonts w:hint="eastAsia" w:ascii="Segoe UI" w:hAnsi="Segoe UI" w:eastAsia="宋体" w:cs="Segoe UI"/>
          <w:i w:val="0"/>
          <w:iCs w:val="0"/>
          <w:caps w:val="0"/>
          <w:color w:val="auto"/>
          <w:spacing w:val="0"/>
          <w:sz w:val="24"/>
          <w:szCs w:val="24"/>
          <w:shd w:val="clear" w:fill="FFFFFF"/>
          <w:lang w:val="en-US" w:eastAsia="zh-CN"/>
        </w:rPr>
        <w:t>恒压恒功率控制</w:t>
      </w:r>
      <w:r>
        <w:rPr>
          <w:rFonts w:ascii="Segoe UI" w:hAnsi="Segoe UI" w:eastAsia="Segoe UI" w:cs="Segoe UI"/>
          <w:i w:val="0"/>
          <w:iCs w:val="0"/>
          <w:caps w:val="0"/>
          <w:color w:val="auto"/>
          <w:spacing w:val="0"/>
          <w:sz w:val="24"/>
          <w:szCs w:val="24"/>
          <w:shd w:val="clear" w:fill="FFFFFF"/>
        </w:rPr>
        <w:t>与</w:t>
      </w:r>
      <w:r>
        <w:rPr>
          <w:rFonts w:hint="eastAsia" w:ascii="Segoe UI" w:hAnsi="Segoe UI" w:eastAsia="宋体" w:cs="Segoe UI"/>
          <w:i w:val="0"/>
          <w:iCs w:val="0"/>
          <w:caps w:val="0"/>
          <w:color w:val="auto"/>
          <w:spacing w:val="0"/>
          <w:sz w:val="24"/>
          <w:szCs w:val="24"/>
          <w:shd w:val="clear" w:fill="FFFFFF"/>
          <w:lang w:val="en-US" w:eastAsia="zh-CN"/>
        </w:rPr>
        <w:t>满功率</w:t>
      </w:r>
      <w:r>
        <w:rPr>
          <w:rFonts w:ascii="Segoe UI" w:hAnsi="Segoe UI" w:eastAsia="Segoe UI" w:cs="Segoe UI"/>
          <w:i w:val="0"/>
          <w:iCs w:val="0"/>
          <w:caps w:val="0"/>
          <w:color w:val="auto"/>
          <w:spacing w:val="0"/>
          <w:sz w:val="24"/>
          <w:szCs w:val="24"/>
          <w:shd w:val="clear" w:fill="FFFFFF"/>
        </w:rPr>
        <w:t>发电的垂直轴风力发电机组。</w:t>
      </w:r>
    </w:p>
    <w:p w14:paraId="09BE6E62">
      <w:pPr>
        <w:numPr>
          <w:ilvl w:val="0"/>
          <w:numId w:val="1"/>
        </w:numPr>
        <w:ind w:left="0" w:leftChars="0" w:firstLine="0" w:firstLineChars="0"/>
        <w:rPr>
          <w:rFonts w:ascii="Segoe UI" w:hAnsi="Segoe UI" w:eastAsia="Segoe UI" w:cs="Segoe UI"/>
          <w:b/>
          <w:bCs/>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规范性引用文件</w:t>
      </w:r>
    </w:p>
    <w:p w14:paraId="6BE8D30D">
      <w:pPr>
        <w:numPr>
          <w:ilvl w:val="0"/>
          <w:numId w:val="0"/>
        </w:numPr>
        <w:ind w:leftChars="0" w:firstLine="480" w:firstLineChars="2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下列文件对于本文件的应用是必不可少的。凡是注日期的引用文件，仅注日期的版本适用于本文件。凡是不注日期的引用文件，其最新版本（包括所有的修改单）适用于本文件。</w:t>
      </w:r>
    </w:p>
    <w:p w14:paraId="7A799231">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 GB/T 18451.1 风力发电机组 设计要求</w:t>
      </w:r>
    </w:p>
    <w:p w14:paraId="0495D31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 GB/T 10760.1 小型风力发电机组技术要求 </w:t>
      </w:r>
    </w:p>
    <w:p w14:paraId="526A3793">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GB/T 29494 垂直轴风力发电机组 </w:t>
      </w:r>
    </w:p>
    <w:p w14:paraId="62D3E752">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IEC 61400-2 风力发电系统 第2部分：小型风力发电机的安全 </w:t>
      </w:r>
    </w:p>
    <w:p w14:paraId="09B8A67B">
      <w:pPr>
        <w:numPr>
          <w:ilvl w:val="0"/>
          <w:numId w:val="1"/>
        </w:numPr>
        <w:ind w:left="0" w:leftChars="0" w:firstLine="0" w:firstLineChars="0"/>
        <w:rPr>
          <w:rFonts w:ascii="Segoe UI" w:hAnsi="Segoe UI" w:eastAsia="Segoe UI" w:cs="Segoe UI"/>
          <w:b/>
          <w:bCs/>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术语和定义 </w:t>
      </w:r>
    </w:p>
    <w:p w14:paraId="1D00634B">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GB/T 18451.1、GB/T 10760.1、GB/T 29494界定的以及下列术语和定义适用于本文件。 </w:t>
      </w:r>
    </w:p>
    <w:p w14:paraId="3FB69020">
      <w:pPr>
        <w:numPr>
          <w:ilvl w:val="1"/>
          <w:numId w:val="1"/>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有效扫风面积 Effective Swept Area </w:t>
      </w:r>
    </w:p>
    <w:p w14:paraId="4FD68FC3">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在特定时刻，处于啮合工作状态的所有风轮扫风面积之和。 </w:t>
      </w:r>
    </w:p>
    <w:p w14:paraId="621FE872">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电子离合器 Electronic Clutch </w:t>
      </w:r>
    </w:p>
    <w:p w14:paraId="7C332F70">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基于电信号控制，用于实现风轮与主传动轴之间动力接合与分离的执行装置。 3.3 满功率风速 Full Power Wind Speed (V_full) </w:t>
      </w:r>
    </w:p>
    <w:p w14:paraId="34D76DC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机组达到额定功率输出时所要求的最低风速。本标准中，该风速规定为5 m/s。 </w:t>
      </w:r>
    </w:p>
    <w:p w14:paraId="288D1192">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风轮输出率 Rotor Output Coefficient (c) 表征风轮机械传动效率的系数，为风轮输出到离合器的机械功率与风轮捕获的风功率之比。 </w:t>
      </w:r>
    </w:p>
    <w:p w14:paraId="0FC1E45D">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分组式风轮系统 Grouped Rotor System </w:t>
      </w:r>
    </w:p>
    <w:p w14:paraId="4055E038">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由多个独立风轮单元构成，可通过离合器控制其工作状态，从而改变系统有效扫风面积的风轮组合。 </w:t>
      </w:r>
    </w:p>
    <w:p w14:paraId="344DBB95">
      <w:pPr>
        <w:numPr>
          <w:ilvl w:val="0"/>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技术要求 </w:t>
      </w:r>
    </w:p>
    <w:p w14:paraId="6B70DB0F">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基本设计参数 </w:t>
      </w:r>
    </w:p>
    <w:p w14:paraId="31031E72">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机组应采用垂直轴分组式风轮设计。 </w:t>
      </w:r>
    </w:p>
    <w:p w14:paraId="6206304B">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总扫风面积（所有风轮啮合状态）应明确定义（示例：23.04 m²）。 </w:t>
      </w:r>
    </w:p>
    <w:p w14:paraId="76FAC546">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额定功率必须在满功率风速（5 m/s）下实现。 </w:t>
      </w:r>
    </w:p>
    <w:p w14:paraId="041F4F19">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扫风面积与额定功率之比必须大于20 m²/kW。即：总扫风面积 (m²) / 额定功率 (kW) &gt; 20。 </w:t>
      </w:r>
    </w:p>
    <w:p w14:paraId="41FD239D">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性能要求 </w:t>
      </w:r>
    </w:p>
    <w:p w14:paraId="3660CF8E">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启动性能：机组在风速不高于2.0 m/s时应能正常启动。 </w:t>
      </w:r>
    </w:p>
    <w:p w14:paraId="0D2D3A04">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满功率性能：在额定满功率风速（5 m/s）下，机组应持续输出不低于额定功率的电能。 </w:t>
      </w:r>
    </w:p>
    <w:p w14:paraId="5A36A71C">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功率特性：机组输出功率（P）应符合风能基本公式： P = (1/2) * ρ * A_effective * V³ * C_p * c </w:t>
      </w:r>
    </w:p>
    <w:p w14:paraId="0A6EBFDB">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其中： </w:t>
      </w:r>
    </w:p>
    <w:p w14:paraId="2D753E23">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P：发电机端输出功率（W） </w:t>
      </w:r>
    </w:p>
    <w:p w14:paraId="4EEC97E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ρ：空气密度（kg/m³，通常取1.225） </w:t>
      </w:r>
    </w:p>
    <w:p w14:paraId="589CA4A2">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A_effective：有效扫风面积（m²）（动态可变） </w:t>
      </w:r>
    </w:p>
    <w:p w14:paraId="2E2A6B82">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V：风速（m/s） </w:t>
      </w:r>
    </w:p>
    <w:p w14:paraId="7ADA0DE8">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C_p：风能利用系数 </w:t>
      </w:r>
    </w:p>
    <w:p w14:paraId="3C61C8F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c：风轮输出率（机械传动效率系数） </w:t>
      </w:r>
    </w:p>
    <w:p w14:paraId="478CE373">
      <w:pPr>
        <w:numPr>
          <w:ilvl w:val="1"/>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控制系统要求 </w:t>
      </w:r>
    </w:p>
    <w:p w14:paraId="367D5822">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控制系统应基于发电机转速实时监控，并以此作为控制电子离合器动作的核心参数。 </w:t>
      </w:r>
    </w:p>
    <w:p w14:paraId="5CEC2F1F">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必须具备低风速下（如&lt;3 m/s）全部风轮啮合以最大化启动扭矩的控制策略。 </w:t>
      </w:r>
    </w:p>
    <w:p w14:paraId="5E58BAEC">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必须具备随转速升高，按预定策略逐步分离部分风轮，以限制功率、保护发电机的控制逻辑。 </w:t>
      </w:r>
    </w:p>
    <w:p w14:paraId="538A77CB">
      <w:pPr>
        <w:numPr>
          <w:ilvl w:val="2"/>
          <w:numId w:val="1"/>
        </w:numPr>
        <w:ind w:left="0" w:leftChars="0" w:firstLine="0" w:firstLine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控制策略应确保从风轮分离到再啮合的过程平稳，无剧烈功率或转速波动。  </w:t>
      </w:r>
    </w:p>
    <w:p w14:paraId="25E57890">
      <w:pPr>
        <w:numPr>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4.4 安全保护</w:t>
      </w:r>
      <w:r>
        <w:rPr>
          <w:rFonts w:ascii="Segoe UI" w:hAnsi="Segoe UI" w:eastAsia="Segoe UI" w:cs="Segoe UI"/>
          <w:i w:val="0"/>
          <w:iCs w:val="0"/>
          <w:caps w:val="0"/>
          <w:color w:val="auto"/>
          <w:spacing w:val="0"/>
          <w:sz w:val="24"/>
          <w:szCs w:val="24"/>
          <w:shd w:val="clear" w:fill="FFFFFF"/>
        </w:rPr>
        <w:t xml:space="preserve"> </w:t>
      </w:r>
    </w:p>
    <w:p w14:paraId="02E64FBA">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4.4.1</w:t>
      </w:r>
      <w:r>
        <w:rPr>
          <w:rFonts w:ascii="Segoe UI" w:hAnsi="Segoe UI" w:eastAsia="Segoe UI" w:cs="Segoe UI"/>
          <w:i w:val="0"/>
          <w:iCs w:val="0"/>
          <w:caps w:val="0"/>
          <w:color w:val="auto"/>
          <w:spacing w:val="0"/>
          <w:sz w:val="24"/>
          <w:szCs w:val="24"/>
          <w:shd w:val="clear" w:fill="FFFFFF"/>
        </w:rPr>
        <w:t xml:space="preserve"> 机组必须设置过速保护系统。当风速超过切出风速或转速超过安全限值时，控制系统应能强制分离所有风轮或启动机械制动。 </w:t>
      </w:r>
    </w:p>
    <w:p w14:paraId="656450C3">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4.4.2 </w:t>
      </w:r>
      <w:r>
        <w:rPr>
          <w:rFonts w:ascii="Segoe UI" w:hAnsi="Segoe UI" w:eastAsia="Segoe UI" w:cs="Segoe UI"/>
          <w:i w:val="0"/>
          <w:iCs w:val="0"/>
          <w:caps w:val="0"/>
          <w:color w:val="auto"/>
          <w:spacing w:val="0"/>
          <w:sz w:val="24"/>
          <w:szCs w:val="24"/>
          <w:shd w:val="clear" w:fill="FFFFFF"/>
        </w:rPr>
        <w:t xml:space="preserve">电子离合器系统在失电或控制失效状态下应自动复位至分离状态或安全预设状态。 </w:t>
      </w:r>
    </w:p>
    <w:p w14:paraId="1A63E948">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4.5 机械结构</w:t>
      </w:r>
      <w:r>
        <w:rPr>
          <w:rFonts w:ascii="Segoe UI" w:hAnsi="Segoe UI" w:eastAsia="Segoe UI" w:cs="Segoe UI"/>
          <w:i w:val="0"/>
          <w:iCs w:val="0"/>
          <w:caps w:val="0"/>
          <w:color w:val="auto"/>
          <w:spacing w:val="0"/>
          <w:sz w:val="24"/>
          <w:szCs w:val="24"/>
          <w:shd w:val="clear" w:fill="FFFFFF"/>
        </w:rPr>
        <w:t xml:space="preserve"> </w:t>
      </w:r>
    </w:p>
    <w:p w14:paraId="0519D014">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4.5.1</w:t>
      </w:r>
      <w:r>
        <w:rPr>
          <w:rFonts w:ascii="Segoe UI" w:hAnsi="Segoe UI" w:eastAsia="Segoe UI" w:cs="Segoe UI"/>
          <w:i w:val="0"/>
          <w:iCs w:val="0"/>
          <w:caps w:val="0"/>
          <w:color w:val="auto"/>
          <w:spacing w:val="0"/>
          <w:sz w:val="24"/>
          <w:szCs w:val="24"/>
          <w:shd w:val="clear" w:fill="FFFFFF"/>
        </w:rPr>
        <w:t xml:space="preserve"> 电子离合器的设计寿命应不低于主机设计寿命，并满足高次数离合动作的要求。 </w:t>
      </w:r>
    </w:p>
    <w:p w14:paraId="11B43AE1">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4.5.2 </w:t>
      </w:r>
      <w:r>
        <w:rPr>
          <w:rFonts w:ascii="Segoe UI" w:hAnsi="Segoe UI" w:eastAsia="Segoe UI" w:cs="Segoe UI"/>
          <w:i w:val="0"/>
          <w:iCs w:val="0"/>
          <w:caps w:val="0"/>
          <w:color w:val="auto"/>
          <w:spacing w:val="0"/>
          <w:sz w:val="24"/>
          <w:szCs w:val="24"/>
          <w:shd w:val="clear" w:fill="FFFFFF"/>
        </w:rPr>
        <w:t xml:space="preserve">传动系统应能承受所有风轮突然啮合或分离产生的冲击载荷。 </w:t>
      </w:r>
    </w:p>
    <w:p w14:paraId="2741D49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5. 试验方法</w:t>
      </w:r>
      <w:r>
        <w:rPr>
          <w:rFonts w:ascii="Segoe UI" w:hAnsi="Segoe UI" w:eastAsia="Segoe UI" w:cs="Segoe UI"/>
          <w:i w:val="0"/>
          <w:iCs w:val="0"/>
          <w:caps w:val="0"/>
          <w:color w:val="auto"/>
          <w:spacing w:val="0"/>
          <w:sz w:val="24"/>
          <w:szCs w:val="24"/>
          <w:shd w:val="clear" w:fill="FFFFFF"/>
        </w:rPr>
        <w:t xml:space="preserve"> </w:t>
      </w:r>
    </w:p>
    <w:p w14:paraId="0D46EC7E">
      <w:pPr>
        <w:numPr>
          <w:ilvl w:val="0"/>
          <w:numId w:val="0"/>
        </w:numPr>
        <w:ind w:leftChars="0"/>
        <w:rPr>
          <w:rFonts w:ascii="Segoe UI" w:hAnsi="Segoe UI" w:eastAsia="Segoe UI" w:cs="Segoe UI"/>
          <w:b/>
          <w:bCs/>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5.1 性能试验 </w:t>
      </w:r>
    </w:p>
    <w:p w14:paraId="524DEC7B">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在风洞或标准测试场，测量以下特性曲线： </w:t>
      </w:r>
    </w:p>
    <w:p w14:paraId="4396731A">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机组输出功率 vs. 风速 </w:t>
      </w:r>
    </w:p>
    <w:p w14:paraId="3C1DF101">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机组启动风速 </w:t>
      </w:r>
    </w:p>
    <w:p w14:paraId="3BCA657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在5 m/s风速下，测量额定输出功率，并验证扫风面积功率比（&gt;20 m²/kW）。 </w:t>
      </w:r>
    </w:p>
    <w:p w14:paraId="082B71B2">
      <w:pPr>
        <w:numPr>
          <w:ilvl w:val="0"/>
          <w:numId w:val="0"/>
        </w:numPr>
        <w:ind w:leftChars="0"/>
        <w:rPr>
          <w:rFonts w:ascii="Segoe UI" w:hAnsi="Segoe UI" w:eastAsia="Segoe UI" w:cs="Segoe UI"/>
          <w:b/>
          <w:bCs/>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5.2 控制策略试验 </w:t>
      </w:r>
    </w:p>
    <w:p w14:paraId="07589E0D">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模拟不同风速条件，验证： </w:t>
      </w:r>
    </w:p>
    <w:p w14:paraId="240BDC55">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在低风速下，所有风轮是否可靠啮合。 </w:t>
      </w:r>
    </w:p>
    <w:p w14:paraId="131898EF">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在转速达到预设阈值时，电子离合器是否按设计顺序准确动作。 </w:t>
      </w:r>
    </w:p>
    <w:p w14:paraId="45B845CF">
      <w:pPr>
        <w:numPr>
          <w:ilvl w:val="0"/>
          <w:numId w:val="0"/>
        </w:numPr>
        <w:ind w:leftChars="0" w:firstLine="240" w:firstLineChars="10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在额定风速（5 m/s）点，机组是否处于满功率发电状态。 </w:t>
      </w:r>
    </w:p>
    <w:p w14:paraId="0BBD798C">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5.3 安全功能试验</w:t>
      </w:r>
      <w:r>
        <w:rPr>
          <w:rFonts w:ascii="Segoe UI" w:hAnsi="Segoe UI" w:eastAsia="Segoe UI" w:cs="Segoe UI"/>
          <w:i w:val="0"/>
          <w:iCs w:val="0"/>
          <w:caps w:val="0"/>
          <w:color w:val="auto"/>
          <w:spacing w:val="0"/>
          <w:sz w:val="24"/>
          <w:szCs w:val="24"/>
          <w:shd w:val="clear" w:fill="FFFFFF"/>
        </w:rPr>
        <w:t xml:space="preserve"> </w:t>
      </w:r>
    </w:p>
    <w:p w14:paraId="13E9D378">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人为制造超速、断电等故障，验证机组保护系统是否正常动作。 </w:t>
      </w:r>
    </w:p>
    <w:p w14:paraId="523F11F1">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6. 检验规则</w:t>
      </w:r>
      <w:r>
        <w:rPr>
          <w:rFonts w:ascii="Segoe UI" w:hAnsi="Segoe UI" w:eastAsia="Segoe UI" w:cs="Segoe UI"/>
          <w:i w:val="0"/>
          <w:iCs w:val="0"/>
          <w:caps w:val="0"/>
          <w:color w:val="auto"/>
          <w:spacing w:val="0"/>
          <w:sz w:val="24"/>
          <w:szCs w:val="24"/>
          <w:shd w:val="clear" w:fill="FFFFFF"/>
        </w:rPr>
        <w:t xml:space="preserve"> </w:t>
      </w:r>
    </w:p>
    <w:p w14:paraId="2DB4D34B">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规定出厂检验和型式检验的项目、抽样方案和判定准则，确保每台产品符合本标准要求。 </w:t>
      </w:r>
    </w:p>
    <w:p w14:paraId="6588F168">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b/>
          <w:bCs/>
          <w:i w:val="0"/>
          <w:iCs w:val="0"/>
          <w:caps w:val="0"/>
          <w:color w:val="auto"/>
          <w:spacing w:val="0"/>
          <w:sz w:val="24"/>
          <w:szCs w:val="24"/>
          <w:shd w:val="clear" w:fill="FFFFFF"/>
        </w:rPr>
        <w:t xml:space="preserve">7. 标志、包装、运输和贮存 </w:t>
      </w:r>
    </w:p>
    <w:p w14:paraId="4E262B9F">
      <w:pPr>
        <w:numPr>
          <w:ilvl w:val="0"/>
          <w:numId w:val="0"/>
        </w:numPr>
        <w:ind w:leftChars="0"/>
        <w:rPr>
          <w:rFonts w:ascii="Segoe UI" w:hAnsi="Segoe UI" w:eastAsia="Segoe UI" w:cs="Segoe UI"/>
          <w:i w:val="0"/>
          <w:iCs w:val="0"/>
          <w:caps w:val="0"/>
          <w:color w:val="auto"/>
          <w:spacing w:val="0"/>
          <w:sz w:val="24"/>
          <w:szCs w:val="24"/>
          <w:shd w:val="clear" w:fill="FFFFFF"/>
        </w:rPr>
      </w:pPr>
      <w:r>
        <w:rPr>
          <w:rFonts w:ascii="Segoe UI" w:hAnsi="Segoe UI" w:eastAsia="Segoe UI" w:cs="Segoe UI"/>
          <w:i w:val="0"/>
          <w:iCs w:val="0"/>
          <w:caps w:val="0"/>
          <w:color w:val="auto"/>
          <w:spacing w:val="0"/>
          <w:sz w:val="24"/>
          <w:szCs w:val="24"/>
          <w:shd w:val="clear" w:fill="FFFFFF"/>
        </w:rPr>
        <w:t xml:space="preserve">规定产品铭牌上应标注的信息，至少包括：额定功率、满功率风速、额定电压、总扫风面积、风轮组数、生产日期和制造商。 </w:t>
      </w:r>
    </w:p>
    <w:p w14:paraId="619B2B4E">
      <w:pPr>
        <w:numPr>
          <w:ilvl w:val="0"/>
          <w:numId w:val="0"/>
        </w:numPr>
        <w:ind w:leftChars="0"/>
        <w:rPr>
          <w:rFonts w:ascii="Segoe UI" w:hAnsi="Segoe UI" w:eastAsia="Segoe UI" w:cs="Segoe UI"/>
          <w:i w:val="0"/>
          <w:iCs w:val="0"/>
          <w:caps w:val="0"/>
          <w:color w:val="auto"/>
          <w:spacing w:val="0"/>
          <w:sz w:val="24"/>
          <w:szCs w:val="24"/>
          <w:shd w:val="clear" w:fill="FFFFFF"/>
        </w:rPr>
      </w:pPr>
    </w:p>
    <w:p w14:paraId="516BBCAA">
      <w:pPr>
        <w:numPr>
          <w:ilvl w:val="0"/>
          <w:numId w:val="0"/>
        </w:numPr>
        <w:ind w:leftChars="0"/>
        <w:rPr>
          <w:color w:val="auto"/>
          <w:sz w:val="24"/>
          <w:szCs w:val="24"/>
        </w:rPr>
      </w:pPr>
      <w:r>
        <w:rPr>
          <w:rFonts w:ascii="Segoe UI" w:hAnsi="Segoe UI" w:eastAsia="Segoe UI" w:cs="Segoe UI"/>
          <w:b/>
          <w:bCs/>
          <w:i w:val="0"/>
          <w:iCs w:val="0"/>
          <w:caps w:val="0"/>
          <w:color w:val="auto"/>
          <w:spacing w:val="0"/>
          <w:sz w:val="24"/>
          <w:szCs w:val="24"/>
          <w:shd w:val="clear" w:fill="FFFFFF"/>
        </w:rPr>
        <w:t xml:space="preserve">方案核心价值与标准创新点总结： </w:t>
      </w:r>
      <w:r>
        <w:rPr>
          <w:rFonts w:ascii="Segoe UI" w:hAnsi="Segoe UI" w:eastAsia="Segoe UI" w:cs="Segoe UI"/>
          <w:i w:val="0"/>
          <w:iCs w:val="0"/>
          <w:caps w:val="0"/>
          <w:color w:val="auto"/>
          <w:spacing w:val="0"/>
          <w:sz w:val="24"/>
          <w:szCs w:val="24"/>
          <w:shd w:val="clear" w:fill="FFFFFF"/>
        </w:rPr>
        <w:t>重新定义“额定功率”的基准风速：传统风机额定风速较高（通常&gt;10 m/s），您将其成功定义在5 m/s</w:t>
      </w:r>
      <w:r>
        <w:rPr>
          <w:rFonts w:hint="eastAsia" w:ascii="Segoe UI" w:hAnsi="Segoe UI" w:eastAsia="宋体" w:cs="Segoe UI"/>
          <w:i w:val="0"/>
          <w:iCs w:val="0"/>
          <w:caps w:val="0"/>
          <w:color w:val="auto"/>
          <w:spacing w:val="0"/>
          <w:sz w:val="24"/>
          <w:szCs w:val="24"/>
          <w:shd w:val="clear" w:fill="FFFFFF"/>
          <w:lang w:val="en-US" w:eastAsia="zh-CN"/>
        </w:rPr>
        <w:t>以下</w:t>
      </w:r>
      <w:r>
        <w:rPr>
          <w:rFonts w:ascii="Segoe UI" w:hAnsi="Segoe UI" w:eastAsia="Segoe UI" w:cs="Segoe UI"/>
          <w:i w:val="0"/>
          <w:iCs w:val="0"/>
          <w:caps w:val="0"/>
          <w:color w:val="auto"/>
          <w:spacing w:val="0"/>
          <w:sz w:val="24"/>
          <w:szCs w:val="24"/>
          <w:shd w:val="clear" w:fill="FFFFFF"/>
        </w:rPr>
        <w:t>，这本身就是一项颠覆性的指标，直接瞄准了微风发电的应用场景。 引入“有效扫风面积”的动态概念：标准不再将扫风面积视为一个固定值，而是通过您的技术将其变为一个随工况动态变化的参数，这是理论上的创新。 确立“扫风面积功率比”核心指标：&gt;20 m²/kW 这个严苛的比值成为了衡量微风发电设备“低风速性能”的关键量化标准。比值越大，说明在越低的风速下能有更好的功率输出，这能有效区分传统风机与真正的微风风机。 规范了新型控制策略：将 “基于转速反馈控制电子离合器” 这一具体技术路径写入标准，为其成为主流技术之一奠定了基础。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72F7DD"/>
    <w:multiLevelType w:val="multilevel"/>
    <w:tmpl w:val="3872F7D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C7950"/>
    <w:rsid w:val="5E6956F1"/>
    <w:rsid w:val="694C7950"/>
    <w:rsid w:val="75720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1790</Words>
  <Characters>2064</Characters>
  <Lines>0</Lines>
  <Paragraphs>0</Paragraphs>
  <TotalTime>469</TotalTime>
  <ScaleCrop>false</ScaleCrop>
  <LinksUpToDate>false</LinksUpToDate>
  <CharactersWithSpaces>2214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2025-08-24T01:56:00Z</dcterms:created>
  <dc:creator>Cr葛</dc:creator>
  <cp:lastModifiedBy>Cr葛</cp:lastModifiedBy>
  <cp:lastPrinted>2025-08-24T12:39:20Z</cp:lastPrinted>
  <dcterms:modified xsi:type="dcterms:W3CDTF">2025-08-24T14:21:22Z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D21F471AB48E4A988658CA224492BA5C_13</vt:lpwstr>
  </property>
  <property fmtid="{D5CDD505-2E9C-101B-9397-08002B2CF9AE}" pid="4" name="KSOTemplateDocerSaveRecord">
    <vt:lpwstr>eyJoZGlkIjoiNGExZmJhODI2N2Y1ZTM4NDNhZGVjMDZjODkxYmE4NzciLCJ1c2VySWQiOiIzMDg1MjIzNDUifQ==</vt:lpwstr>
  </property>
</Properties>
</file>