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波源理论 v6：奇异重子的质量结构项（广义质量公式、反解与超线性结构约束）</w:t>
      </w:r>
    </w:p>
    <w:p>
      <w:pPr>
        <w:spacing w:after="240"/>
        <w:ind w:firstLine="0"/>
        <w:jc w:val="center"/>
      </w:pPr>
      <w:r>
        <w:rPr>
          <w:rFonts w:ascii="楷体" w:hAnsi="楷体"/>
          <w:sz w:val="24"/>
        </w:rPr>
        <w:t>作者：葛文星 ｜ 框架：波源理论（发散型驻波场） ｜ 生成日期：2026-10-01 ｜ 关联：v3 知识库 ch17</w:t>
      </w:r>
    </w:p>
    <w:p>
      <w:r>
        <w:t>一句话结论：把质量机制 m=m_c+μN 推广到奇异重子 Λ/Σ/Ξ/Ω，引入 s 夸克波源数 N_s 与结构项 m_c(σ)。得到一条与 N_s 无关的硬约束——Λ−Σ 分裂 76.96 MeV 为纯结构效应；并对线性、二次、幂律三类超线性结构律做数值检验，“没有任何一版简单超线性结构律能复现四个奇异重子”。结构项是排列特异、超线性但亚二次的，其形式不能由质量数据唯一确定，属开放项。</w:t>
      </w:r>
    </w:p>
    <w:p>
      <w:pPr>
        <w:pStyle w:val="Heading1"/>
      </w:pPr>
      <w:r>
        <w:t>1 问题与动机</w:t>
      </w:r>
    </w:p>
    <w:p>
      <w:r>
        <w:t>质量机制 m=m_c+μN（m_c=925.34 MeV、μ=1.29333 MeV）精确命中质子（10 源）与中子（11 源），n/p=1.001378。但直接外推到含 s 夸克的奇异重子时：①反解源数 N=(m−m_c)/μ 给出非整数且数量级离谱的值（Λ=147.2、Σ=206.7、Ξ=303.8、Ω=577.7）；②同一 s 夸克的等效源数在 Λ(uds)=140.2、Ξ(dss)=149.9、Ω(sss)=192.6 之间互相矛盾。</w:t>
      </w:r>
    </w:p>
    <w:p>
      <w:r>
        <w:t>原因是 m_c 占质量约 98.6%，μN 项仅约 13–14 MeV，而奇异重子相对质子高出 177–734 MeV。这部分质量差不可能来自源数项，只能来自结构项。</w:t>
      </w:r>
    </w:p>
    <w:p>
      <w:pPr>
        <w:pStyle w:val="Heading1"/>
      </w:pPr>
      <w:r>
        <w:t>2 广义质量公式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m_X = m_c(σ_X) + μ·N_X</w:t>
      </w:r>
    </w:p>
    <w:p>
      <w:r>
        <w:t>μ=1.29333 MeV（每源质量量子，固定）；N_X 为该重子的总波源数（含 s 型源）；m_c(σ_X) 为结构项，随源排列与对称性 σ_X 变化（p/n 基线 m_c=925.34 MeV）。</w:t>
      </w:r>
    </w:p>
    <w:p>
      <w:r>
        <w:t>s 夸克波源数 N_s（待定整数）。由夸克含量：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N_Λ = N_Σ = 7+s，N_Ξ = 4+2s，N_Ω = 3s</w:t>
      </w:r>
    </w:p>
    <w:p>
      <w:pPr>
        <w:pStyle w:val="Heading1"/>
      </w:pPr>
      <w:r>
        <w:t>3 结构项反解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m_{c,X} = m_X − μ·N_X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m_c,Λ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m_c,Σ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m_c,Ξ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m_c,Ω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1101.46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1178.42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1299.34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1656.93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1100.16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1177.12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1296.75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1653.05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1098.87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1175.83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1294.17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1649.17</w:t>
            </w:r>
          </w:p>
        </w:tc>
      </w:tr>
    </w:tbl>
    <w:p/>
    <w:p>
      <w:r>
        <w:t>实测：Λ=1115.683、Σ=1192.642、Ξ=1314.86、Ω=1672.45 MeV；μ=1.29333。所有结构项均比 p/n 基线高 170–730 MeV，且随 s 变化很小。</w:t>
      </w:r>
    </w:p>
    <w:p>
      <w:pPr>
        <w:pStyle w:val="Heading1"/>
      </w:pPr>
      <w:r>
        <w:t>4 硬约束：Λ−Σ 分裂 = 纯结构（与 N_s 无关）</w:t>
      </w:r>
    </w:p>
    <w:p>
      <w:r>
        <w:t>Λ 与 Σ 夸克含量相同（uds）、源数相同（均=7+s）：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m_Σ − m_Λ = 1192.642 − 1115.683 = 76.959 MeV = m_{c,Σ} − m_{c,Λ}</w:t>
      </w:r>
    </w:p>
    <w:p>
      <w:r>
        <w:t>该 76.96 MeV 完全来自结构项（自旋/同位旋排列），源数项零贡献。这是结构项必须编码的最干净判据，也是本稿最有价值的定量结论。</w:t>
      </w:r>
    </w:p>
    <w:p>
      <w:pPr>
        <w:pStyle w:val="Heading1"/>
      </w:pPr>
      <w:r>
        <w:t>5 超线性结构律数值检验</w:t>
      </w:r>
    </w:p>
    <w:p>
      <w:r>
        <w:t>假设 m_c(σ)=925.34+a·N_s^p+c·I（I 为同位旋指数：Λ0、Σ1、Ξ½、Ω0），最小二乘拟合 a、c（p 与 s 扫描）。逐点偏差（MeV）：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结构律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Λ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Σ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Ω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RMS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线性 p=1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+50.0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−36.7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+73.3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−53.3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54.9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二次 p=2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−94.1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−14.8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+29.6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−1.1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49.9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幂律 p=1.4（最优）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−21.9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−31.4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+62.7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−24.1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38.6</w:t>
            </w:r>
          </w:p>
        </w:tc>
      </w:tr>
    </w:tbl>
    <w:p/>
    <w:p>
      <w:r>
        <w:t>结论：线性律在 Ω（对称 sss）大幅偏离，结构项增长快于线性；二次律在 Λ 大幅偏离，增长慢于二次；幂律最优 p≈1.4 但 s=9（每 s 夸克 9 源）几何上不成立，且 RMS 仍约 39 MeV。→ 在现框架内，没有任何简单超线性结构律能同时复现 Λ/Σ/Ξ/Ω。</w:t>
      </w:r>
    </w:p>
    <w:p>
      <w:pPr>
        <w:pStyle w:val="Heading1"/>
      </w:pPr>
      <w:r>
        <w:t>6 结论与开放项</w:t>
      </w:r>
    </w:p>
    <w:p>
      <w:r>
        <w:t>已确立：①奇异重子的质量差无法由源数项 μN 产生，必须由结构项承担；②Λ−Σ 分裂 76.96 MeV 为纯结构效应（同夸克含量、同源数）；③结构项相对 p/n 基线超线性（线性律在 Ω 上失败、二次律在 Λ 上失败）。</w:t>
      </w:r>
    </w:p>
    <w:p>
      <w:r>
        <w:t>开放项（诚实标注）：①结构项的确切形式无法由四个质量数据唯一确定，需额外的几何/对称性原理；②N_s 无法从数据单独定出；③s 型源是否应使用与 u/d 不同的质量量子 μ_s，本稿未建模；④同位旋指数 I 的取值（Λ0/Σ1/Ξ½/Ω0）为输入假设，非框架导出。</w:t>
      </w:r>
    </w:p>
    <w:p>
      <w:r>
        <w:t>本稿是诊断性结论（排除简单律、锁定结构项需超线性+同位旋），不构成对奇异重子质量机制的替代解释。</w:t>
      </w:r>
    </w:p>
    <w:p>
      <w:pPr>
        <w:ind w:firstLine="0"/>
        <w:jc w:val="center"/>
      </w:pPr>
      <w:r>
        <w:rPr>
          <w:rFonts w:ascii="宋体" w:hAnsi="宋体"/>
          <w:sz w:val="21"/>
        </w:rPr>
        <w:t>本稿为波源理论形式化推导文档，忠实提取理论框架与数值结果，不构成对理论真伪的判定。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cs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