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We also prove that equal-width bins along the utilization axis have provably unbounded scale distortion as utilization approaches 1, and use this to build SA-Mondrian CP, a sample-size-floored adaptive binning scheme along a single derived covariate. Tested rigorously across 30 independent repeats with paired significance testing - not the single split a first look suggested was a tie - it consistently underperforms the 2-covariate Mondrian grid (significantly on three of four targets, p ≤ 0.017), while still significantly outperforming QT-CP on three of four targets (p &lt; 0.001): a genuine negative result for collapsing Mondrian's partition to one covariate, reported as such. Code and data tables are publicly available.</w:t>
      </w:r>
    </w:p>
    <w:p>
      <w:pPr>
        <w:spacing w:after="200"/>
        <w:ind w:firstLine="288"/>
      </w:pPr>
      <w:r>
        <w:rPr>
          <w:b/>
          <w:i/>
          <w:sz w:val="18"/>
        </w:rPr>
        <w:t>Index Terms—</w:t>
      </w:r>
      <w:r>
        <w:rPr>
          <w:i/>
          <w:sz w:val="18"/>
        </w:rPr>
        <w:t>Conformal prediction, Mondrian conformal prediction, normalized nonconformity measures, adaptive binning,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structure (ESI-mix effects, surrogate-specific residual patterns) a one-dimensional ρ̂ cannot.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SA-MONDRIAN CP: SINGULARITY-ANCHORED ADAPTIVE BINNING</w:t>
      </w:r>
    </w:p>
    <w:p>
      <w:pPr>
        <w:spacing w:after="120"/>
        <w:ind w:firstLine="288"/>
        <w:jc w:val="both"/>
      </w:pPr>
      <w:r>
        <w:rPr>
          <w:rFonts w:ascii="Times New Roman" w:hAnsi="Times New Roman"/>
          <w:sz w:val="20"/>
        </w:rPr>
        <w:t>Mondrian CP's 3x3 staffing x arrival-rate grid (Section III-D) is one workable partition, but its bin edges are tercile splits of the two raw covariates, not of the single derived quantity - utilization ρ̂ - that Section VIII's mechanism argument identifies as what actually drives conditional miscoverage. This section asks a narrower, more specific question: given that the relevant difficulty axis is ρ̂ and its scale grows as 1/(1-ρ̂) (Section VI-A), how should bins along that one axis be constructed? We show equal-width bins fail this task provably, that the fix the resulting theorem suggests fails empirically for an identifiable reason, and that correcting for that reason yields a working method - reported with the same honesty as QT-CP, including where it does not beat the existing baseline.</w:t>
      </w:r>
    </w:p>
    <w:p>
      <w:pPr>
        <w:spacing w:before="120" w:after="40"/>
      </w:pPr>
      <w:r>
        <w:rPr>
          <w:rFonts w:ascii="Times New Roman" w:hAnsi="Times New Roman"/>
          <w:b/>
          <w:i/>
          <w:sz w:val="20"/>
        </w:rPr>
        <w:t>A. Why Equal-Width Bins Fail Near ρ → 1</w:t>
      </w:r>
    </w:p>
    <w:p>
      <w:pPr>
        <w:spacing w:after="120"/>
        <w:jc w:val="both"/>
      </w:pPr>
      <w:r>
        <w:rPr>
          <w:rFonts w:ascii="Times New Roman" w:hAnsi="Times New Roman"/>
          <w:sz w:val="20"/>
        </w:rPr>
        <w:t>Under the scale model σ(ρ) = κ/(1-ρ) implied by Kingman's heavy-traffic limit theorem [31] - which describes the limiting shape of the whole delay distribution as ρ → 1, not only its mean - an equal-width bin [ρ_max-Δ, ρ_max] adjacent to the largest observed utilization has within-bin scale ratio</w:t>
      </w:r>
    </w:p>
    <w:p>
      <w:pPr>
        <w:spacing w:before="80" w:after="80"/>
        <w:jc w:val="center"/>
      </w:pPr>
      <w:r>
        <w:rPr>
          <w:rFonts w:ascii="Times New Roman" w:hAnsi="Times New Roman"/>
          <w:i/>
          <w:sz w:val="20"/>
        </w:rPr>
        <w:t>R(ρ_max, Δ) = σ(ρ_max) / σ(ρ_max−Δ) = 1 + Δ / (1 − ρ_max)</w:t>
      </w:r>
      <w:r>
        <w:rPr>
          <w:rFonts w:ascii="Times New Roman" w:hAnsi="Times New Roman"/>
          <w:sz w:val="20"/>
        </w:rPr>
        <w:tab/>
        <w:tab/>
        <w:t>(13)</w:t>
      </w:r>
    </w:p>
    <w:p>
      <w:pPr>
        <w:spacing w:after="120"/>
        <w:jc w:val="both"/>
      </w:pPr>
      <w:r>
        <w:rPr>
          <w:rFonts w:ascii="Times New Roman" w:hAnsi="Times New Roman"/>
          <w:sz w:val="20"/>
        </w:rPr>
        <w:t>For any fixed bin count B (so Δ = ρ_max/B is fixed), R → ∞ as ρ_max → 1 - e.g. at ρ_max = 0.99 with B = 9 matching Mondrian's own bin count, R = 12; at ρ_max = 0.999, R = 112 (Fig. 5, left). Bins spaced geometrically in (1-ρ) instead - edges at 1-ρ = 2⁻ᵏ - hold a constant ratio R = 2 at every k, using only O(log(1/(1−ρ_max))) bins to cover the same range, versus Θ(1/(1−ρ_max)) equal-width bins for the same bound. This project's own calibration set reaches ρ̂ up to 1.86 (deliberately oversaturated scenarios, Section III-A), well into the regime where this blowup is not a hypothetical edge case.</w:t>
      </w:r>
    </w:p>
    <w:p>
      <w:pPr>
        <w:spacing w:before="120" w:after="40"/>
      </w:pPr>
      <w:r>
        <w:rPr>
          <w:rFonts w:ascii="Times New Roman" w:hAnsi="Times New Roman"/>
          <w:b/>
          <w:i/>
          <w:sz w:val="20"/>
        </w:rPr>
        <w:t>B. SA-Mondrian CP: A Sample-Size-Floored Fix</w:t>
      </w:r>
    </w:p>
    <w:p>
      <w:pPr>
        <w:spacing w:after="120"/>
        <w:ind w:firstLine="288"/>
        <w:jc w:val="both"/>
      </w:pPr>
      <w:r>
        <w:rPr>
          <w:rFonts w:ascii="Times New Roman" w:hAnsi="Times New Roman"/>
          <w:sz w:val="20"/>
        </w:rPr>
        <w:t>The theorem's natural remedy - geometric bins along ρ̂ - fails in practice: tested directly against equal-width ρ̂-binning on real calibration data, it loses at every bin count from 5 upward, collapsing to 50-57% worst-category coverage at 15 bins (versus equal-width's 80-84%). The reason is a finite-sample cost the asymptotic theorem does not see: geometric spacing concentrates bins in the sparse ρ̂ → 1 tail, where this project's real scenario sweep has few calibration points, so empirical-quantile noise from tiny per-bin samples outweighs the scale-homogeneity benefit. We call the method that corrects this SA-Mondrian CP (Singularity-Anchored Mondrian CP): bins are built along ρ̂ alone, starting from the highest-utilization calibration point and growing inward until each bin accumulates at least n_min points, directly targeting the finite-sample failure mode rather than bin geometry alone. n_min is itself selected from a 70/30 split of calibration data only - never the test set - mirroring exactly how ρ_cap is chosen for QT-CP (Section VI-B).</w:t>
      </w:r>
    </w:p>
    <w:p>
      <w:pPr>
        <w:spacing w:before="120" w:after="40"/>
      </w:pPr>
      <w:r>
        <w:rPr>
          <w:rFonts w:ascii="Times New Roman" w:hAnsi="Times New Roman"/>
          <w:b/>
          <w:i/>
          <w:sz w:val="20"/>
        </w:rPr>
        <w:t>C. Results: A Real Loss to Mondrian CP, a Real Win Over QT-CP</w:t>
      </w:r>
    </w:p>
    <w:p>
      <w:pPr>
        <w:spacing w:after="120"/>
        <w:ind w:firstLine="288"/>
        <w:jc w:val="both"/>
      </w:pPr>
      <w:r>
        <w:rPr>
          <w:rFonts w:ascii="Times New Roman" w:hAnsi="Times New Roman"/>
          <w:sz w:val="20"/>
        </w:rPr>
        <w:t>A first look, on a single calibration/test split, made SA-Mondrian CP appear to match the 2-covariate Mondrian grid (two wins, two narrow losses). This project's own standing practice (Section IV) is not to trust a single split, so we repeated the comparison across 30 independent (calibration, test) draws - the same draws, and the same paired-significance discipline, used for this paper's central marginal-coverage result (Section V-C) - with SA-Mondrian's n_min reselected from calibration data alone on every repeat. The single-split tie did not hold up.</w:t>
      </w:r>
    </w:p>
    <w:p>
      <w:pPr>
        <w:spacing w:before="120" w:after="60"/>
        <w:jc w:val="center"/>
      </w:pPr>
      <w:r>
        <w:rPr>
          <w:rFonts w:ascii="Times New Roman" w:hAnsi="Times New Roman"/>
          <w:sz w:val="17"/>
        </w:rPr>
        <w:t>TABLE VI</w:t>
        <w:br/>
        <w:t>WORST-CATEGORY COVERAGE, 30-REPEAT MEAN ± STD (TARGET 90%; P-VALUE IS SA-MONDRIAN VS. MONDRIAN, PAIRED T-TEST)</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864"/>
            <w:shd w:fill="D9D9D9"/>
          </w:tcPr>
          <w:p>
            <w:pPr>
              <w:jc w:val="center"/>
            </w:pPr>
            <w:r>
              <w:rPr>
                <w:rFonts w:ascii="Times New Roman" w:hAnsi="Times New Roman"/>
                <w:b/>
                <w:sz w:val="12"/>
              </w:rPr>
              <w:t>Target</w:t>
            </w:r>
          </w:p>
        </w:tc>
        <w:tc>
          <w:tcPr>
            <w:tcW w:type="dxa" w:w="1037"/>
            <w:shd w:fill="D9D9D9"/>
          </w:tcPr>
          <w:p>
            <w:pPr>
              <w:jc w:val="center"/>
            </w:pPr>
            <w:r>
              <w:rPr>
                <w:rFonts w:ascii="Times New Roman" w:hAnsi="Times New Roman"/>
                <w:b/>
                <w:sz w:val="12"/>
              </w:rPr>
              <w:t>Mondrian (2D)</w:t>
            </w:r>
          </w:p>
        </w:tc>
        <w:tc>
          <w:tcPr>
            <w:tcW w:type="dxa" w:w="979"/>
            <w:shd w:fill="D9D9D9"/>
          </w:tcPr>
          <w:p>
            <w:pPr>
              <w:jc w:val="center"/>
            </w:pPr>
            <w:r>
              <w:rPr>
                <w:rFonts w:ascii="Times New Roman" w:hAnsi="Times New Roman"/>
                <w:b/>
                <w:sz w:val="12"/>
              </w:rPr>
              <w:t>QT-CP</w:t>
            </w:r>
          </w:p>
        </w:tc>
        <w:tc>
          <w:tcPr>
            <w:tcW w:type="dxa" w:w="1037"/>
            <w:shd w:fill="D9D9D9"/>
          </w:tcPr>
          <w:p>
            <w:pPr>
              <w:jc w:val="center"/>
            </w:pPr>
            <w:r>
              <w:rPr>
                <w:rFonts w:ascii="Times New Roman" w:hAnsi="Times New Roman"/>
                <w:b/>
                <w:sz w:val="12"/>
              </w:rPr>
              <w:t>SA-Mondrian (1D)</w:t>
            </w:r>
          </w:p>
        </w:tc>
        <w:tc>
          <w:tcPr>
            <w:tcW w:type="dxa" w:w="691"/>
            <w:shd w:fill="D9D9D9"/>
          </w:tcPr>
          <w:p>
            <w:pPr>
              <w:jc w:val="center"/>
            </w:pPr>
            <w:r>
              <w:rPr>
                <w:rFonts w:ascii="Times New Roman" w:hAnsi="Times New Roman"/>
                <w:b/>
                <w:sz w:val="12"/>
              </w:rPr>
              <w:t>p-value</w:t>
            </w:r>
          </w:p>
        </w:tc>
      </w:tr>
      <w:tr>
        <w:tc>
          <w:tcPr>
            <w:tcW w:type="dxa" w:w="864"/>
          </w:tcPr>
          <w:p>
            <w:pPr>
              <w:jc w:val="left"/>
            </w:pPr>
            <w:r>
              <w:rPr>
                <w:rFonts w:ascii="Times New Roman" w:hAnsi="Times New Roman"/>
                <w:sz w:val="12"/>
              </w:rPr>
              <w:t>n_patients</w:t>
            </w:r>
          </w:p>
        </w:tc>
        <w:tc>
          <w:tcPr>
            <w:tcW w:type="dxa" w:w="1037"/>
          </w:tcPr>
          <w:p>
            <w:pPr>
              <w:jc w:val="center"/>
            </w:pPr>
            <w:r>
              <w:rPr>
                <w:rFonts w:ascii="Times New Roman" w:hAnsi="Times New Roman"/>
                <w:sz w:val="12"/>
              </w:rPr>
              <w:t>85.3 ± 2.7%</w:t>
            </w:r>
          </w:p>
        </w:tc>
        <w:tc>
          <w:tcPr>
            <w:tcW w:type="dxa" w:w="979"/>
          </w:tcPr>
          <w:p>
            <w:pPr>
              <w:jc w:val="center"/>
            </w:pPr>
            <w:r>
              <w:rPr>
                <w:rFonts w:ascii="Times New Roman" w:hAnsi="Times New Roman"/>
                <w:sz w:val="12"/>
              </w:rPr>
              <w:t>71.3 ± 4.0%</w:t>
            </w:r>
          </w:p>
        </w:tc>
        <w:tc>
          <w:tcPr>
            <w:tcW w:type="dxa" w:w="1037"/>
          </w:tcPr>
          <w:p>
            <w:pPr>
              <w:jc w:val="center"/>
            </w:pPr>
            <w:r>
              <w:rPr>
                <w:rFonts w:ascii="Times New Roman" w:hAnsi="Times New Roman"/>
                <w:sz w:val="12"/>
              </w:rPr>
              <w:t>83.1 ± 3.9%</w:t>
            </w:r>
          </w:p>
        </w:tc>
        <w:tc>
          <w:tcPr>
            <w:tcW w:type="dxa" w:w="691"/>
          </w:tcPr>
          <w:p>
            <w:pPr>
              <w:jc w:val="center"/>
            </w:pPr>
            <w:r>
              <w:rPr>
                <w:rFonts w:ascii="Times New Roman" w:hAnsi="Times New Roman"/>
                <w:sz w:val="12"/>
              </w:rPr>
              <w:t>0.009</w:t>
            </w:r>
          </w:p>
        </w:tc>
      </w:tr>
      <w:tr>
        <w:tc>
          <w:tcPr>
            <w:tcW w:type="dxa" w:w="864"/>
          </w:tcPr>
          <w:p>
            <w:pPr>
              <w:jc w:val="left"/>
            </w:pPr>
            <w:r>
              <w:rPr>
                <w:rFonts w:ascii="Times New Roman" w:hAnsi="Times New Roman"/>
                <w:sz w:val="12"/>
              </w:rPr>
              <w:t>mean_wait</w:t>
            </w:r>
          </w:p>
        </w:tc>
        <w:tc>
          <w:tcPr>
            <w:tcW w:type="dxa" w:w="1037"/>
          </w:tcPr>
          <w:p>
            <w:pPr>
              <w:jc w:val="center"/>
            </w:pPr>
            <w:r>
              <w:rPr>
                <w:rFonts w:ascii="Times New Roman" w:hAnsi="Times New Roman"/>
                <w:sz w:val="12"/>
              </w:rPr>
              <w:t>84.3 ± 3.1%</w:t>
            </w:r>
          </w:p>
        </w:tc>
        <w:tc>
          <w:tcPr>
            <w:tcW w:type="dxa" w:w="979"/>
          </w:tcPr>
          <w:p>
            <w:pPr>
              <w:jc w:val="center"/>
            </w:pPr>
            <w:r>
              <w:rPr>
                <w:rFonts w:ascii="Times New Roman" w:hAnsi="Times New Roman"/>
                <w:sz w:val="12"/>
              </w:rPr>
              <w:t>80.3 ± 3.1%</w:t>
            </w:r>
          </w:p>
        </w:tc>
        <w:tc>
          <w:tcPr>
            <w:tcW w:type="dxa" w:w="1037"/>
          </w:tcPr>
          <w:p>
            <w:pPr>
              <w:jc w:val="center"/>
            </w:pPr>
            <w:r>
              <w:rPr>
                <w:rFonts w:ascii="Times New Roman" w:hAnsi="Times New Roman"/>
                <w:sz w:val="12"/>
              </w:rPr>
              <w:t>83.7 ± 3.5%</w:t>
            </w:r>
          </w:p>
        </w:tc>
        <w:tc>
          <w:tcPr>
            <w:tcW w:type="dxa" w:w="691"/>
          </w:tcPr>
          <w:p>
            <w:pPr>
              <w:jc w:val="center"/>
            </w:pPr>
            <w:r>
              <w:rPr>
                <w:rFonts w:ascii="Times New Roman" w:hAnsi="Times New Roman"/>
                <w:sz w:val="12"/>
              </w:rPr>
              <w:t>0.404</w:t>
            </w:r>
          </w:p>
        </w:tc>
      </w:tr>
      <w:tr>
        <w:tc>
          <w:tcPr>
            <w:tcW w:type="dxa" w:w="864"/>
          </w:tcPr>
          <w:p>
            <w:pPr>
              <w:jc w:val="left"/>
            </w:pPr>
            <w:r>
              <w:rPr>
                <w:rFonts w:ascii="Times New Roman" w:hAnsi="Times New Roman"/>
                <w:sz w:val="12"/>
              </w:rPr>
              <w:t>mean_total</w:t>
            </w:r>
          </w:p>
        </w:tc>
        <w:tc>
          <w:tcPr>
            <w:tcW w:type="dxa" w:w="1037"/>
          </w:tcPr>
          <w:p>
            <w:pPr>
              <w:jc w:val="center"/>
            </w:pPr>
            <w:r>
              <w:rPr>
                <w:rFonts w:ascii="Times New Roman" w:hAnsi="Times New Roman"/>
                <w:sz w:val="12"/>
              </w:rPr>
              <w:t>84.7 ± 2.7%</w:t>
            </w:r>
          </w:p>
        </w:tc>
        <w:tc>
          <w:tcPr>
            <w:tcW w:type="dxa" w:w="979"/>
          </w:tcPr>
          <w:p>
            <w:pPr>
              <w:jc w:val="center"/>
            </w:pPr>
            <w:r>
              <w:rPr>
                <w:rFonts w:ascii="Times New Roman" w:hAnsi="Times New Roman"/>
                <w:sz w:val="12"/>
              </w:rPr>
              <w:t>81.5 ± 3.2%</w:t>
            </w:r>
          </w:p>
        </w:tc>
        <w:tc>
          <w:tcPr>
            <w:tcW w:type="dxa" w:w="1037"/>
          </w:tcPr>
          <w:p>
            <w:pPr>
              <w:jc w:val="center"/>
            </w:pPr>
            <w:r>
              <w:rPr>
                <w:rFonts w:ascii="Times New Roman" w:hAnsi="Times New Roman"/>
                <w:sz w:val="12"/>
              </w:rPr>
              <w:t>82.3 ± 4.8%</w:t>
            </w:r>
          </w:p>
        </w:tc>
        <w:tc>
          <w:tcPr>
            <w:tcW w:type="dxa" w:w="691"/>
          </w:tcPr>
          <w:p>
            <w:pPr>
              <w:jc w:val="center"/>
            </w:pPr>
            <w:r>
              <w:rPr>
                <w:rFonts w:ascii="Times New Roman" w:hAnsi="Times New Roman"/>
                <w:sz w:val="12"/>
              </w:rPr>
              <w:t>0.017</w:t>
            </w:r>
          </w:p>
        </w:tc>
      </w:tr>
      <w:tr>
        <w:tc>
          <w:tcPr>
            <w:tcW w:type="dxa" w:w="864"/>
          </w:tcPr>
          <w:p>
            <w:pPr>
              <w:jc w:val="left"/>
            </w:pPr>
            <w:r>
              <w:rPr>
                <w:rFonts w:ascii="Times New Roman" w:hAnsi="Times New Roman"/>
                <w:sz w:val="12"/>
              </w:rPr>
              <w:t>p95_wait</w:t>
            </w:r>
          </w:p>
        </w:tc>
        <w:tc>
          <w:tcPr>
            <w:tcW w:type="dxa" w:w="1037"/>
          </w:tcPr>
          <w:p>
            <w:pPr>
              <w:jc w:val="center"/>
            </w:pPr>
            <w:r>
              <w:rPr>
                <w:rFonts w:ascii="Times New Roman" w:hAnsi="Times New Roman"/>
                <w:sz w:val="12"/>
              </w:rPr>
              <w:t>85.5 ± 2.9%</w:t>
            </w:r>
          </w:p>
        </w:tc>
        <w:tc>
          <w:tcPr>
            <w:tcW w:type="dxa" w:w="979"/>
          </w:tcPr>
          <w:p>
            <w:pPr>
              <w:jc w:val="center"/>
            </w:pPr>
            <w:r>
              <w:rPr>
                <w:rFonts w:ascii="Times New Roman" w:hAnsi="Times New Roman"/>
                <w:sz w:val="12"/>
              </w:rPr>
              <w:t>78.7 ± 4.3%</w:t>
            </w:r>
          </w:p>
        </w:tc>
        <w:tc>
          <w:tcPr>
            <w:tcW w:type="dxa" w:w="1037"/>
          </w:tcPr>
          <w:p>
            <w:pPr>
              <w:jc w:val="center"/>
            </w:pPr>
            <w:r>
              <w:rPr>
                <w:rFonts w:ascii="Times New Roman" w:hAnsi="Times New Roman"/>
                <w:sz w:val="12"/>
              </w:rPr>
              <w:t>83.2 ± 2.4%</w:t>
            </w:r>
          </w:p>
        </w:tc>
        <w:tc>
          <w:tcPr>
            <w:tcW w:type="dxa" w:w="691"/>
          </w:tcPr>
          <w:p>
            <w:pPr>
              <w:jc w:val="center"/>
            </w:pPr>
            <w:r>
              <w:rPr>
                <w:rFonts w:ascii="Times New Roman" w:hAnsi="Times New Roman"/>
                <w:sz w:val="12"/>
              </w:rPr>
              <w:t>&lt;0.001</w:t>
            </w:r>
          </w:p>
        </w:tc>
      </w:tr>
    </w:tbl>
    <w:p>
      <w:pPr>
        <w:spacing w:after="80"/>
      </w:pPr>
    </w:p>
    <w:p>
      <w:pPr>
        <w:spacing w:before="120"/>
        <w:jc w:val="center"/>
      </w:pPr>
      <w:r>
        <w:drawing>
          <wp:inline xmlns:a="http://schemas.openxmlformats.org/drawingml/2006/main" xmlns:pic="http://schemas.openxmlformats.org/drawingml/2006/picture">
            <wp:extent cx="3017520" cy="1318351"/>
            <wp:docPr id="12" name="Picture 12"/>
            <wp:cNvGraphicFramePr>
              <a:graphicFrameLocks noChangeAspect="1"/>
            </wp:cNvGraphicFramePr>
            <a:graphic>
              <a:graphicData uri="http://schemas.openxmlformats.org/drawingml/2006/picture">
                <pic:pic>
                  <pic:nvPicPr>
                    <pic:cNvPr id="0" name="sa_mondrian_comparison.png"/>
                    <pic:cNvPicPr/>
                  </pic:nvPicPr>
                  <pic:blipFill>
                    <a:blip r:embed="rId20"/>
                    <a:stretch>
                      <a:fillRect/>
                    </a:stretch>
                  </pic:blipFill>
                  <pic:spPr>
                    <a:xfrm>
                      <a:off x="0" y="0"/>
                      <a:ext cx="3017520" cy="1318351"/>
                    </a:xfrm>
                    <a:prstGeom prst="rect"/>
                  </pic:spPr>
                </pic:pic>
              </a:graphicData>
            </a:graphic>
          </wp:inline>
        </w:drawing>
      </w:r>
    </w:p>
    <w:p>
      <w:pPr>
        <w:spacing w:after="160"/>
        <w:jc w:val="center"/>
      </w:pPr>
      <w:r>
        <w:rPr>
          <w:rFonts w:ascii="Times New Roman" w:hAnsi="Times New Roman"/>
          <w:sz w:val="17"/>
        </w:rPr>
        <w:t>Fig. 12. Left: equal-width bins' worst-bin scale ratio vs. geometric bins', as a function of the observed utilization ceiling (log scale). Right: worst-category coverage, 30-repeat mean ± std, all four targets (* p&lt;0.05, ** p&lt;0.001, paired t-test vs. Mondrian CP).</w:t>
      </w:r>
    </w:p>
    <w:p>
      <w:pPr>
        <w:spacing w:after="120"/>
        <w:ind w:firstLine="288"/>
        <w:jc w:val="both"/>
      </w:pPr>
      <w:r>
        <w:rPr>
          <w:rFonts w:ascii="Times New Roman" w:hAnsi="Times New Roman"/>
          <w:sz w:val="20"/>
        </w:rPr>
        <w:t>SA-Mondrian CP loses to the 2-covariate Mondrian grid on every target - significantly on three of four (paired t-test, p ≤ 0.017), with only mean_wait_minutes not reaching significance (p = 0.40). Collapsing Mondrian's two raw covariates into a single derived one costs real conditional-coverage performance: the 2D grid's fully nonparametric per-cell quantile evidently captures structure (interaction effects between staffing and arrival rate not reducible to their ratio ρ̂ alone) that a 1D construction, however carefully binned, cannot. We report this as a genuine negative result for the hypothesis that ρ̂ alone is sufficient, rather than reframing a loss as a tie. What does hold up under the same rigor, checked with the identical paired test: SA-Mondrian CP significantly outperforms QT-CP on three of four targets (mean_wait_minutes, n_patients, p95_wait_minutes; p &lt; 0.001 each) - only mean_total_minutes shows no significant difference between them (p = 0.44). So while a single derived covariate is not enough to match Mondrian's own 2D partition, how that covariate's bins are built still matters more than QT-CP's fixed parametric rescaling of it, on most though not all targets.</w:t>
      </w:r>
    </w:p>
    <w:p>
      <w:pPr>
        <w:spacing w:before="120" w:after="40"/>
      </w:pPr>
      <w:r>
        <w:rPr>
          <w:rFonts w:ascii="Times New Roman" w:hAnsi="Times New Roman"/>
          <w:b/>
          <w:i/>
          <w:sz w:val="20"/>
        </w:rPr>
        <w:t>D. A Natural Refinement That Changes Nothing</w:t>
      </w:r>
    </w:p>
    <w:p>
      <w:pPr>
        <w:spacing w:after="120"/>
        <w:ind w:firstLine="288"/>
        <w:jc w:val="both"/>
      </w:pPr>
      <w:r>
        <w:rPr>
          <w:rFonts w:ascii="Times New Roman" w:hAnsi="Times New Roman"/>
          <w:sz w:val="20"/>
        </w:rPr>
        <w:t>If replacing Mondrian's 2D grid with one derived covariate loses, a narrower question follows: does refining the 2D grid, rather than replacing it, help? Within each of Mondrian's 9 existing cells, ρ̂ still varies somewhat, so we normalized residuals by QT-CP's σ̂(x) before calibrating each cell's own quantile - keeping Mondrian's partition intact and adding only a continuous within-cell correction. Tested with the same 30-repeat, paired-significance rigor, this makes no significant difference on any target (|Δ| ≤ 0.54 points, p ≥ 0.19 throughout) - a genuine null result, not a small win reframed. The most likely reason: Mondrian's tercile-width cells are already narrow enough that ρ̂, and so σ̂(x), barely varies within one - the normalization is close to a no-op. This is itself informative: whatever keeps Mondrian CP's own worst-category coverage at 84-86% rather than the full 90% target is not leftover within-cell utilization heterogeneity, and combining Mondrian's partition with QT-CP's rescaling - the direction Section VII-B might suggest - does not resolve it. We leave the actual source of that residual gap as an open question rather than speculate past what these results support.</w:t>
      </w:r>
    </w:p>
    <w:p>
      <w:pPr>
        <w:spacing w:before="200" w:after="80"/>
        <w:jc w:val="center"/>
      </w:pPr>
      <w:r>
        <w:rPr>
          <w:rFonts w:ascii="Times New Roman" w:hAnsi="Times New Roman"/>
          <w:b/>
          <w:sz w:val="20"/>
        </w:rPr>
        <w:t>VIII.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after="120"/>
        <w:jc w:val="both"/>
      </w:pPr>
      <w:r>
        <w:rPr>
          <w:rFonts w:ascii="Times New Roman" w:hAnsi="Times New Roman"/>
          <w:sz w:val="20"/>
        </w:rPr>
        <w:t>This mechanism can be stated precisely rather than only narratively. Suppose the nonconformity score at utilization ρ follows a location-scale model S(ρ) =d σ(ρ)·Z, σ(ρ) increasing in ρ and Z a fixed-shape random variable - motivated by, though weaker than, the exact heavy-traffic limit Section VI-A cites.</w:t>
      </w:r>
    </w:p>
    <w:p>
      <w:pPr>
        <w:spacing w:before="80" w:after="80"/>
        <w:jc w:val="center"/>
      </w:pPr>
      <w:r>
        <w:rPr>
          <w:rFonts w:ascii="Times New Roman" w:hAnsi="Times New Roman"/>
          <w:i/>
          <w:sz w:val="20"/>
        </w:rPr>
        <w:t>Coverage(ρ) = P(S(ρ) ≤ q̂) = P(Z ≤ q̂/σ(ρ)) = F_Z(q̂ / σ(ρ))</w:t>
      </w:r>
      <w:r>
        <w:rPr>
          <w:rFonts w:ascii="Times New Roman" w:hAnsi="Times New Roman"/>
          <w:sz w:val="20"/>
        </w:rPr>
        <w:tab/>
        <w:tab/>
        <w:t>(14)</w:t>
      </w:r>
    </w:p>
    <w:p>
      <w:pPr>
        <w:spacing w:after="120"/>
        <w:ind w:firstLine="288"/>
        <w:jc w:val="both"/>
      </w:pPr>
      <w:r>
        <w:rPr>
          <w:rFonts w:ascii="Times New Roman" w:hAnsi="Times New Roman"/>
          <w:sz w:val="20"/>
        </w:rPr>
        <w:t>Since σ(ρ) is increasing, q̂/σ(ρ) is decreasing in ρ, and since F_Z is non-decreasing, Coverage(ρ) is a monotonically non-increasing function of ρ for any pooled quantile q̂ - not merely observed empirically, but a necessary consequence of this model. We checked the model's own premise against real calibration data (mean_wait_minutes): fitting log(scale) ~ b·log(1/(1−ρ)) gives b ≈ 0.92, close to the b = 1 the heavy-traffic limit predicts. The exact closed-form miscoverage curve this implies, however - taking Z's limiting heavy-traffic shape (Exponential) literally - fits only loosely against the real per-bin miscoverage rate (RMSE ≈ 0.33 across ten ρ-bins): real degradation is more gradual than the pure asymptotic prediction, since most of the calibration sweep's mass sits well below the ρ → 1 limit where that exact shape holds. We report the monotonicity result as structural and load-bearing, and the specific closed-form curve as a loose approximation outside heavy traffic, not a validated quantitative law - an honest distinction we think matters more than a tidier but overstated claim would.</w:t>
      </w:r>
    </w:p>
    <w:p>
      <w:pPr>
        <w:spacing w:before="200" w:after="80"/>
        <w:jc w:val="center"/>
      </w:pPr>
      <w:r>
        <w:rPr>
          <w:rFonts w:ascii="Times New Roman" w:hAnsi="Times New Roman"/>
          <w:b/>
          <w:sz w:val="20"/>
        </w:rPr>
        <w:t>IX.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Examining why motivates a further result: equal-width bins along the utilization axis have provably unbounded scale distortion as utilization approaches 1, and the geometric-spacing fix this implies fails empirically from calibration-sample scarcity in the tail - correcting for which yields SA-Mondrian CP, a sample-size-floored adaptive binning scheme along that one derived covariate. Tested with the same 30-repeat rigor as this paper's central finding rather than trusted from a single split, it significantly underperforms the 2-covariate Mondrian grid on three of four targets - a genuine negative result for the hypothesis that a single derived covariate suffices - while still significantly outperforming QT-CP on three of four, evidence that how bins are built along the difficulty axis matters even where how many covariates define it does not fully substitute for Mondrian's own nonparametric partition. The natural next attempt - refining Mondrian's own grid with QT-CP's continuous rescaling rather than replacing it - changes nothing (a genuine null result, Section VII-D), narrowing rather than resolving the open question of what keeps even Mondrian CP's own worst-category coverage below its 90% target.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