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We formalize the paper's mechanism account as a proposition - under a heavy-traffic-motivated scale model, conditional coverage is provably monotonic in utilization for any pooled quantile - and distinguish this structural claim from a looser quantitative approximation of it, checked honestly against the data rather than assumed. A further natural refinement, rescaling within Mondrian's own categories rather than replacing them, changes nothing (a genuine null result, p ≥ 0.19 throughout), narrowing rather than resolving what still limits Mondrian CP's own worst-category coverage.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interaction effects between staffing and arrival rate not reducible to their ratio ρ̂ alone - Section VII-C provides direct evidence for exactly this: SA-Mondrian CP, built on ρ̂ alone, measurably loses to the 2-covariate grid.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120" w:after="40"/>
      </w:pPr>
      <w:r>
        <w:rPr>
          <w:rFonts w:ascii="Times New Roman" w:hAnsi="Times New Roman"/>
          <w:b/>
          <w:i/>
          <w:sz w:val="20"/>
        </w:rPr>
        <w:t>D. A Natural Refinement That Changes Nothing</w:t>
      </w:r>
    </w:p>
    <w:p>
      <w:pPr>
        <w:spacing w:after="120"/>
        <w:ind w:firstLine="288"/>
        <w:jc w:val="both"/>
      </w:pPr>
      <w:r>
        <w:rPr>
          <w:rFonts w:ascii="Times New Roman" w:hAnsi="Times New Roman"/>
          <w:sz w:val="20"/>
        </w:rPr>
        <w:t>If replacing Mondrian's 2D grid with one derived covariate loses, a narrower question follows: does refining the 2D grid, rather than replacing it, help? Within each of Mondrian's 9 existing cells, ρ̂ still varies somewhat, so we normalized residuals by QT-CP's σ̂(x) before calibrating each cell's own quantile - keeping Mondrian's partition intact and adding only a continuous within-cell correction. Tested with the same 30-repeat, paired-significance rigor, this makes no significant difference on any target (|Δ| ≤ 0.54 points, p ≥ 0.19 throughout) - a genuine null result, not a small win reframed. The most likely reason: Mondrian's tercile-width cells are already narrow enough that ρ̂, and so σ̂(x), barely varies within one - the normalization is close to a no-op. This is itself informative: whatever keeps Mondrian CP's own worst-category coverage at 84-86% rather than the full 90% target is not leftover within-cell utilization heterogeneity, and combining Mondrian's partition with QT-CP's rescaling - the direction Section VII-B might suggest - does not resolve it. We leave the actual source of that residual gap as an open question rather than speculate past what these results support.</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and it is checkable directly against calibration-set residual variance per category, not left as narrative: n_patients' per-category residual standard deviation ranges only 5.1-9.3 (a 1.8x spread) across the 9 categories and shows no significant conditional gap to correct, while wait-time targets' residual spread is far more regime-dependent - 4.1x for mean_total_minutes, 19.1x for mean_wait_minutes, 23.9x for p95_wait_minutes - tracking directly with the size of each target's own conditional coverage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after="120"/>
        <w:jc w:val="both"/>
      </w:pPr>
      <w:r>
        <w:rPr>
          <w:rFonts w:ascii="Times New Roman" w:hAnsi="Times New Roman"/>
          <w:sz w:val="20"/>
        </w:rPr>
        <w:t>This mechanism can be stated precisely rather than only narratively. Suppose the nonconformity score at utilization ρ follows a location-scale model S(ρ) =d σ(ρ)·Z, σ(ρ) increasing in ρ and Z a fixed-shape random variable - motivated by, though weaker than, the exact heavy-traffic limit Section VI-A cites.</w:t>
      </w:r>
    </w:p>
    <w:p>
      <w:pPr>
        <w:spacing w:before="80" w:after="80"/>
        <w:jc w:val="center"/>
      </w:pPr>
      <w:r>
        <w:rPr>
          <w:rFonts w:ascii="Times New Roman" w:hAnsi="Times New Roman"/>
          <w:i/>
          <w:sz w:val="20"/>
        </w:rPr>
        <w:t>Coverage(ρ) = P(S(ρ) ≤ q̂) = P(Z ≤ q̂/σ(ρ)) = F_Z(q̂ / σ(ρ))</w:t>
      </w:r>
      <w:r>
        <w:rPr>
          <w:rFonts w:ascii="Times New Roman" w:hAnsi="Times New Roman"/>
          <w:sz w:val="20"/>
        </w:rPr>
        <w:tab/>
        <w:tab/>
        <w:t>(14)</w:t>
      </w:r>
    </w:p>
    <w:p>
      <w:pPr>
        <w:spacing w:after="120"/>
        <w:ind w:firstLine="288"/>
        <w:jc w:val="both"/>
      </w:pPr>
      <w:r>
        <w:rPr>
          <w:rFonts w:ascii="Times New Roman" w:hAnsi="Times New Roman"/>
          <w:sz w:val="20"/>
        </w:rPr>
        <w:t>Since σ(ρ) is increasing, q̂/σ(ρ) is decreasing in ρ, and since F_Z is non-decreasing, Coverage(ρ) is a monotonically non-increasing function of ρ for any pooled quantile q̂ - not merely observed empirically, but a necessary consequence of this model. We checked the model's own premise against real calibration data (mean_wait_minutes): fitting log(scale) ~ b·log(1/(1−ρ)) gives b ≈ 0.92, close to the b = 1 the heavy-traffic limit predicts. The exact closed-form miscoverage curve this implies, however - taking Z's limiting heavy-traffic shape (Exponential) literally - fits only loosely against the real per-bin miscoverage rate (RMSE ≈ 0.33 across ten ρ-bins): real degradation is more gradual than the pure asymptotic prediction, since most of the calibration sweep's mass sits well below the ρ → 1 limit where that exact shape holds. We report the monotonicity result as structural and load-bearing, and the specific closed-form curve as a loose approximation outside heavy traffic, not a validated quantitative law - an honest distinction we think matters more than a tidier but overstated claim would.</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The natural next attempt - refining Mondrian's own grid with QT-CP's continuous rescaling rather than replacing it - changes nothing (a genuine null result, Section VII-D), narrowing rather than resolving the open question of what keeps even Mondrian CP's own worst-category coverage below its 90% target.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