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240" w:lineRule="auto"/>
        <w:rPr>
          <w:rFonts w:ascii="Oswald" w:cs="Oswald" w:eastAsia="Oswald" w:hAnsi="Oswald"/>
          <w:b w:val="0"/>
          <w:color w:val="424242"/>
        </w:rPr>
      </w:pPr>
      <w:bookmarkStart w:colFirst="0" w:colLast="0" w:name="_heading=h.xg4y2kw56mgv"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2044065</wp:posOffset>
            </wp:positionH>
            <wp:positionV relativeFrom="paragraph">
              <wp:posOffset>0</wp:posOffset>
            </wp:positionV>
            <wp:extent cx="1519238" cy="779096"/>
            <wp:effectExtent b="0" l="0" r="0" t="0"/>
            <wp:wrapSquare wrapText="bothSides" distB="0" distT="0" distL="0" distR="0"/>
            <wp:docPr descr="https://lh6.googleusercontent.com/4VoQdJUfAndKVua2nQo8BlyUnFcDIcpz5J85La3J6HVaLzFID-K0kzmRxZsqUgsLFLwxwoEGUl_M1k0yGy2PXRA6vvIZSvwOU7hHV3v5H3xUgKPwTYclhEvCsxFSaQ" id="4" name="image2.jpg"/>
            <a:graphic>
              <a:graphicData uri="http://schemas.openxmlformats.org/drawingml/2006/picture">
                <pic:pic>
                  <pic:nvPicPr>
                    <pic:cNvPr descr="https://lh6.googleusercontent.com/4VoQdJUfAndKVua2nQo8BlyUnFcDIcpz5J85La3J6HVaLzFID-K0kzmRxZsqUgsLFLwxwoEGUl_M1k0yGy2PXRA6vvIZSvwOU7hHV3v5H3xUgKPwTYclhEvCsxFSaQ" id="0" name="image2.jpg"/>
                    <pic:cNvPicPr preferRelativeResize="0"/>
                  </pic:nvPicPr>
                  <pic:blipFill>
                    <a:blip r:embed="rId7"/>
                    <a:srcRect b="0" l="0" r="0" t="0"/>
                    <a:stretch>
                      <a:fillRect/>
                    </a:stretch>
                  </pic:blipFill>
                  <pic:spPr>
                    <a:xfrm>
                      <a:off x="0" y="0"/>
                      <a:ext cx="1519238" cy="779096"/>
                    </a:xfrm>
                    <a:prstGeom prst="rect"/>
                    <a:ln/>
                  </pic:spPr>
                </pic:pic>
              </a:graphicData>
            </a:graphic>
          </wp:anchor>
        </w:drawing>
      </w:r>
    </w:p>
    <w:p w:rsidR="00000000" w:rsidDel="00000000" w:rsidP="00000000" w:rsidRDefault="00000000" w:rsidRPr="00000000" w14:paraId="00000002">
      <w:pPr>
        <w:pStyle w:val="Title"/>
        <w:keepNext w:val="0"/>
        <w:keepLines w:val="0"/>
        <w:spacing w:after="0" w:before="0" w:line="240" w:lineRule="auto"/>
        <w:rPr>
          <w:rFonts w:ascii="Oswald" w:cs="Oswald" w:eastAsia="Oswald" w:hAnsi="Oswald"/>
          <w:b w:val="0"/>
          <w:color w:val="424242"/>
        </w:rPr>
      </w:pPr>
      <w:bookmarkStart w:colFirst="0" w:colLast="0" w:name="_heading=h.5ygf49bmshz5"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before="0" w:line="240" w:lineRule="auto"/>
        <w:rPr>
          <w:rFonts w:ascii="Oswald" w:cs="Oswald" w:eastAsia="Oswald" w:hAnsi="Oswald"/>
          <w:b w:val="0"/>
          <w:color w:val="666666"/>
        </w:rPr>
      </w:pPr>
      <w:bookmarkStart w:colFirst="0" w:colLast="0" w:name="_heading=h.g1eod1nsgaj8" w:id="2"/>
      <w:bookmarkEnd w:id="2"/>
      <w:r w:rsidDel="00000000" w:rsidR="00000000" w:rsidRPr="00000000">
        <w:rPr>
          <w:rFonts w:ascii="Oswald" w:cs="Oswald" w:eastAsia="Oswald" w:hAnsi="Oswald"/>
          <w:b w:val="0"/>
          <w:color w:val="424242"/>
          <w:rtl w:val="0"/>
        </w:rPr>
        <w:t xml:space="preserve">GUÍA DE DESPLIEGUE DE LA APLICACIÓN</w:t>
      </w:r>
      <w:r w:rsidDel="00000000" w:rsidR="00000000" w:rsidRPr="00000000">
        <w:rPr>
          <w:rtl w:val="0"/>
        </w:rPr>
      </w:r>
    </w:p>
    <w:p w:rsidR="00000000" w:rsidDel="00000000" w:rsidP="00000000" w:rsidRDefault="00000000" w:rsidRPr="00000000" w14:paraId="00000004">
      <w:pPr>
        <w:spacing w:after="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612130" cy="50800"/>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8"/>
                    <a:srcRect b="0" l="0" r="0" t="0"/>
                    <a:stretch>
                      <a:fillRect/>
                    </a:stretch>
                  </pic:blipFill>
                  <pic:spPr>
                    <a:xfrm>
                      <a:off x="0" y="0"/>
                      <a:ext cx="561213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rPr>
          <w:rFonts w:ascii="Arial" w:cs="Arial" w:eastAsia="Arial" w:hAnsi="Arial"/>
        </w:rPr>
      </w:pPr>
      <w:bookmarkStart w:colFirst="0" w:colLast="0" w:name="_heading=h.gy44v89fb2gv" w:id="3"/>
      <w:bookmarkEnd w:id="3"/>
      <w:r w:rsidDel="00000000" w:rsidR="00000000" w:rsidRPr="00000000">
        <w:rPr>
          <w:rFonts w:ascii="Source Code Pro" w:cs="Source Code Pro" w:eastAsia="Source Code Pro" w:hAnsi="Source Code Pro"/>
          <w:b w:val="1"/>
          <w:i w:val="0"/>
          <w:color w:val="38761d"/>
          <w:sz w:val="22"/>
          <w:szCs w:val="22"/>
          <w:rtl w:val="0"/>
        </w:rPr>
        <w:t xml:space="preserve">27 DE SEPTIEMBRE DEL 2019</w:t>
        <w:tab/>
        <w:tab/>
        <w:tab/>
        <w:tab/>
        <w:tab/>
        <w:t xml:space="preserve">    REVISIÓN: 1.0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CONFIGURACIÓN Y DESPLIEGUE DE EQUIPAMIENTO. (INSTALACIÓN)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obtención y configuración del equipamiento necesario para el proceso de despliegue de software es una actividad fundamental para el desarrollo satisfactorio de este. Este comprende algunos aspectos relevantes que deben ser tomados en cuenta para evitar percances durante el proceso de instalación: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Instalación y prueba de la solución de software pre­-despliegue.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 Después de adquirido el equipamiento necesario, se debe realizar la instalación de las aplicaciones en este y complementar el proceso con la realización de pruebas que aseguren que este equipamiento cumple con los requerimientos necesarios.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24"/>
          <w:szCs w:val="24"/>
          <w:rtl w:val="0"/>
        </w:rPr>
        <w:t xml:space="preserve">• Equipo de especialistas.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Es necesario que para la realización de las labores que tengan que ver con el equipamiento se disponga de un grupo de especialistas de hardware y software que garanticen un proceso lo más satisfactorio posible.</w:t>
      </w:r>
      <w:r w:rsidDel="00000000" w:rsidR="00000000" w:rsidRPr="00000000">
        <w:rPr>
          <w:sz w:val="24"/>
          <w:szCs w:val="24"/>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24"/>
          <w:szCs w:val="24"/>
          <w:rtl w:val="0"/>
        </w:rPr>
        <w:t xml:space="preserve">• Aseguramiento de locales finales del equipamiento.</w:t>
      </w:r>
      <w:r w:rsidDel="00000000" w:rsidR="00000000" w:rsidRPr="00000000">
        <w:rPr>
          <w:sz w:val="24"/>
          <w:szCs w:val="24"/>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Antes del inicio del despliegue del equipamiento en los locales de los usuarios finales del software se impone la necesidad de investigar y describir las características de estos locales y de identificar y reparar los problemas que estos presenten que puedan comprometer la seguridad o la utilización del equipamiento</w:t>
      </w:r>
      <w:r w:rsidDel="00000000" w:rsidR="00000000" w:rsidRPr="00000000">
        <w:rPr>
          <w:sz w:val="24"/>
          <w:szCs w:val="24"/>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24"/>
          <w:szCs w:val="24"/>
          <w:rtl w:val="0"/>
        </w:rPr>
        <w:t xml:space="preserve">• Medio de transporte seguro y disponible.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Como colofón a las actividades que implican el manejo de equipamiento, la transportación de este hasta sus locales finales requiere de la disponibilidad de un medio de transporte seguro que evite que se provoquen desperfectos en el equipamiento a causa de la transportación de este.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34"/>
          <w:szCs w:val="34"/>
          <w:rtl w:val="0"/>
        </w:rPr>
        <w:t xml:space="preserve">PUESTA EN MARCHA DEL EQUIPAMIENTO. (INSTALACIÓN Y ACTIVACIÓN).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Una vez que el equipamiento está en los locales finales, es necesaria la realización de algunas de las siguientes actividades para asegurar el funcionamiento óptimo de las aplicaciones de software a desplegar.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24"/>
          <w:szCs w:val="24"/>
          <w:rtl w:val="0"/>
        </w:rPr>
        <w:t xml:space="preserve">• Prueba final al equipamiento.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Luego de su ubicación final es necesario realizar una última prueba al funcionamiento del equipamiento para identificar problemas que se hayan producido durante la transportación de este y resolverlos antes de las futuras actividades planificadas.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b w:val="1"/>
          <w:i w:val="1"/>
          <w:sz w:val="24"/>
          <w:szCs w:val="24"/>
          <w:rtl w:val="0"/>
        </w:rPr>
        <w:t xml:space="preserve">• Configuración final de las aplicaciones.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Fonts w:ascii="Times New Roman" w:cs="Times New Roman" w:eastAsia="Times New Roman" w:hAnsi="Times New Roman"/>
          <w:i w:val="1"/>
          <w:sz w:val="24"/>
          <w:szCs w:val="24"/>
          <w:rtl w:val="0"/>
        </w:rPr>
        <w:t xml:space="preserve">Luego   de   probar   el   funcionamiento   se   debe   proceder   a   activar   el   software.   Esta   actividad   incluye   la configuración final de las aplicaciones su conexión con centros de datos en caso de aplicaciones distribuidas.</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E4F74"/>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E4F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E4F7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pz7DGAJaFoKj/pF52lkjV9TpIQ==">AMUW2mUgl6LY0+W4Oy5LN7OfmnMf8vKIEwOCFpadGsq2InyHPOeurPj7IcEtafDQrgDU59N9syhKAy6qNt6ITq24Ls3Sd7ShmTcWr1JZVRSFFugpS6T7hfedG6BMdhgQXAtv4Dlnw/wGpg1j9Kgd95ZdB2gImp3Yjzs1FaqYRDF2ELoE+FeTEjc651YqrRDMvINcZyDLbF+1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2019-06-29T18:53:00Z</dcterms:created>
  <dc:creator>Estefano</dc:creator>
</cp:coreProperties>
</file>