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proofErr w:type="spellStart"/>
      <w:r w:rsidRPr="001B755F">
        <w:rPr>
          <w:rFonts w:ascii="Arial" w:hAnsi="Arial" w:cs="Arial"/>
          <w:b/>
          <w:color w:val="0033A0"/>
          <w:sz w:val="44"/>
          <w:szCs w:val="48"/>
        </w:rPr>
        <w:t>GenC</w:t>
      </w:r>
      <w:proofErr w:type="spellEnd"/>
      <w:r w:rsidRPr="001B755F">
        <w:rPr>
          <w:rFonts w:ascii="Arial" w:hAnsi="Arial" w:cs="Arial"/>
          <w:b/>
          <w:color w:val="0033A0"/>
          <w:sz w:val="44"/>
          <w:szCs w:val="48"/>
        </w:rPr>
        <w:t xml:space="preserve">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w:t>
      </w:r>
      <w:proofErr w:type="spellStart"/>
      <w:r w:rsidR="003D4BC4" w:rsidRPr="001B755F">
        <w:rPr>
          <w:rFonts w:ascii="Arial" w:hAnsi="Arial" w:cs="Arial"/>
          <w:color w:val="000048"/>
          <w:sz w:val="20"/>
          <w:szCs w:val="20"/>
        </w:rPr>
        <w:t>GenC</w:t>
      </w:r>
      <w:proofErr w:type="spellEnd"/>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proofErr w:type="spellStart"/>
      <w:r w:rsidR="00A34C83" w:rsidRPr="001B755F">
        <w:rPr>
          <w:rFonts w:ascii="Arial" w:hAnsi="Arial" w:cs="Arial"/>
          <w:b/>
          <w:bCs/>
          <w:color w:val="000048"/>
          <w:sz w:val="20"/>
          <w:szCs w:val="20"/>
        </w:rPr>
        <w:t>GenC</w:t>
      </w:r>
      <w:proofErr w:type="spellEnd"/>
      <w:r w:rsidR="00A34C83" w:rsidRPr="001B755F">
        <w:rPr>
          <w:rFonts w:ascii="Arial" w:hAnsi="Arial" w:cs="Arial"/>
          <w:b/>
          <w:bCs/>
          <w:color w:val="000048"/>
          <w:sz w:val="20"/>
          <w:szCs w:val="20"/>
        </w:rPr>
        <w:t xml:space="preserve">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w:t>
      </w:r>
      <w:proofErr w:type="spellStart"/>
      <w:r w:rsidR="0081499E" w:rsidRPr="001B755F">
        <w:rPr>
          <w:rFonts w:ascii="Arial" w:hAnsi="Arial" w:cs="Arial"/>
          <w:color w:val="000048"/>
          <w:sz w:val="20"/>
          <w:szCs w:val="20"/>
        </w:rPr>
        <w:t>GenC</w:t>
      </w:r>
      <w:proofErr w:type="spellEnd"/>
      <w:r w:rsidR="0081499E" w:rsidRPr="001B755F">
        <w:rPr>
          <w:rFonts w:ascii="Arial" w:hAnsi="Arial" w:cs="Arial"/>
          <w:color w:val="000048"/>
          <w:sz w:val="20"/>
          <w:szCs w:val="20"/>
        </w:rPr>
        <w:t xml:space="preserve">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proofErr w:type="spellStart"/>
      <w:r w:rsidRPr="001B755F">
        <w:rPr>
          <w:rFonts w:ascii="Arial" w:hAnsi="Arial" w:cs="Arial"/>
          <w:b/>
          <w:bCs/>
          <w:color w:val="000048"/>
          <w:sz w:val="20"/>
          <w:szCs w:val="20"/>
        </w:rPr>
        <w:t>GenC</w:t>
      </w:r>
      <w:proofErr w:type="spellEnd"/>
      <w:r w:rsidRPr="001B755F">
        <w:rPr>
          <w:rFonts w:ascii="Arial" w:hAnsi="Arial" w:cs="Arial"/>
          <w:b/>
          <w:bCs/>
          <w:color w:val="000048"/>
          <w:sz w:val="20"/>
          <w:szCs w:val="20"/>
        </w:rPr>
        <w:t xml:space="preserve"> Internship </w:t>
      </w:r>
      <w:r w:rsidRPr="001B755F">
        <w:rPr>
          <w:rFonts w:ascii="Arial" w:hAnsi="Arial" w:cs="Arial"/>
          <w:color w:val="000048"/>
          <w:sz w:val="20"/>
          <w:szCs w:val="20"/>
        </w:rPr>
        <w:t xml:space="preserve">will be determined by the curriculum track to which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curriculum is designed to with the focus to enable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to incorporate the skills </w:t>
      </w:r>
      <w:proofErr w:type="gramStart"/>
      <w:r w:rsidRPr="001B755F">
        <w:rPr>
          <w:rFonts w:ascii="Arial" w:hAnsi="Arial" w:cs="Arial"/>
          <w:color w:val="000048"/>
          <w:sz w:val="20"/>
          <w:szCs w:val="20"/>
        </w:rPr>
        <w:t>acquired,</w:t>
      </w:r>
      <w:proofErr w:type="gramEnd"/>
      <w:r w:rsidRPr="001B755F">
        <w:rPr>
          <w:rFonts w:ascii="Arial" w:hAnsi="Arial" w:cs="Arial"/>
          <w:color w:val="000048"/>
          <w:sz w:val="20"/>
          <w:szCs w:val="20"/>
        </w:rPr>
        <w:t xml:space="preserve">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proofErr w:type="spellStart"/>
      <w:r w:rsidRPr="001B755F">
        <w:rPr>
          <w:rFonts w:ascii="Arial" w:hAnsi="Arial" w:cs="Arial"/>
          <w:color w:val="000048"/>
        </w:rPr>
        <w:t>GenC</w:t>
      </w:r>
      <w:proofErr w:type="spellEnd"/>
      <w:r w:rsidRPr="001B755F">
        <w:rPr>
          <w:rFonts w:ascii="Arial" w:hAnsi="Arial" w:cs="Arial"/>
          <w:color w:val="000048"/>
        </w:rPr>
        <w:t xml:space="preserve">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(Generation Cognizant) Program assures skill capability in our fresh hires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towards business readiness at Cognizant. This program spans the entire duration of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learning journey from the time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1C9831E0">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 xml:space="preserve">Few of the acronyms and / or its definitions provided here may not have been used in this document but </w:t>
      </w:r>
      <w:proofErr w:type="gramStart"/>
      <w:r w:rsidRPr="001B755F">
        <w:rPr>
          <w:rFonts w:ascii="Arial" w:hAnsi="Arial" w:cs="Arial"/>
          <w:color w:val="000048"/>
          <w:sz w:val="20"/>
          <w:szCs w:val="20"/>
        </w:rPr>
        <w:t>has</w:t>
      </w:r>
      <w:proofErr w:type="gramEnd"/>
      <w:r w:rsidRPr="001B755F">
        <w:rPr>
          <w:rFonts w:ascii="Arial" w:hAnsi="Arial" w:cs="Arial"/>
          <w:color w:val="000048"/>
          <w:sz w:val="20"/>
          <w:szCs w:val="20"/>
        </w:rPr>
        <w:t xml:space="preserve">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proofErr w:type="spellStart"/>
            <w:r w:rsidRPr="001B755F">
              <w:rPr>
                <w:rFonts w:cs="Arial"/>
              </w:rPr>
              <w:t>GenC</w:t>
            </w:r>
            <w:proofErr w:type="spellEnd"/>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w:t>
      </w:r>
      <w:proofErr w:type="spellStart"/>
      <w:r w:rsidRPr="001B755F">
        <w:rPr>
          <w:color w:val="000048"/>
          <w:sz w:val="20"/>
          <w:szCs w:val="20"/>
        </w:rPr>
        <w:t>GenC</w:t>
      </w:r>
      <w:proofErr w:type="spellEnd"/>
      <w:r w:rsidRPr="001B755F">
        <w:rPr>
          <w:color w:val="000048"/>
          <w:sz w:val="20"/>
          <w:szCs w:val="20"/>
        </w:rPr>
        <w:t xml:space="preserve">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w:t>
      </w:r>
      <w:proofErr w:type="spellStart"/>
      <w:r w:rsidRPr="001B755F">
        <w:rPr>
          <w:color w:val="000048"/>
          <w:sz w:val="20"/>
          <w:szCs w:val="20"/>
        </w:rPr>
        <w:t>GenC</w:t>
      </w:r>
      <w:proofErr w:type="spellEnd"/>
      <w:r w:rsidRPr="001B755F">
        <w:rPr>
          <w:color w:val="000048"/>
          <w:sz w:val="20"/>
          <w:szCs w:val="20"/>
        </w:rPr>
        <w:t xml:space="preserve">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 xml:space="preserve">killing completion criteria for </w:t>
      </w:r>
      <w:proofErr w:type="spellStart"/>
      <w:r w:rsidR="00771740" w:rsidRPr="001B755F">
        <w:rPr>
          <w:rFonts w:ascii="Arial" w:hAnsi="Arial" w:cs="Arial"/>
          <w:color w:val="000048"/>
        </w:rPr>
        <w:t>GenC</w:t>
      </w:r>
      <w:proofErr w:type="spellEnd"/>
      <w:r w:rsidR="00771740" w:rsidRPr="001B755F">
        <w:rPr>
          <w:rFonts w:ascii="Arial" w:hAnsi="Arial" w:cs="Arial"/>
          <w:color w:val="000048"/>
        </w:rPr>
        <w:t xml:space="preserve">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Every </w:t>
      </w:r>
      <w:proofErr w:type="spellStart"/>
      <w:r w:rsidRPr="00A71E9A">
        <w:rPr>
          <w:rFonts w:ascii="Arial" w:hAnsi="Arial" w:cs="Arial"/>
          <w:color w:val="000048"/>
          <w:sz w:val="20"/>
          <w:szCs w:val="20"/>
        </w:rPr>
        <w:t>GenC</w:t>
      </w:r>
      <w:proofErr w:type="spellEnd"/>
      <w:r w:rsidRPr="00A71E9A">
        <w:rPr>
          <w:rFonts w:ascii="Arial" w:hAnsi="Arial" w:cs="Arial"/>
          <w:color w:val="000048"/>
          <w:sz w:val="20"/>
          <w:szCs w:val="20"/>
        </w:rPr>
        <w:t xml:space="preserve">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 xml:space="preserve">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w:t>
      </w:r>
      <w:proofErr w:type="gramStart"/>
      <w:r w:rsidR="000A33A1" w:rsidRPr="001B755F">
        <w:rPr>
          <w:rFonts w:ascii="Arial" w:hAnsi="Arial" w:cs="Arial"/>
          <w:color w:val="000048"/>
          <w:sz w:val="20"/>
          <w:szCs w:val="20"/>
        </w:rPr>
        <w:t>instance</w:t>
      </w:r>
      <w:proofErr w:type="gramEnd"/>
      <w:r w:rsidR="000A33A1" w:rsidRPr="001B755F">
        <w:rPr>
          <w:rFonts w:ascii="Arial" w:hAnsi="Arial" w:cs="Arial"/>
          <w:color w:val="000048"/>
          <w:sz w:val="20"/>
          <w:szCs w:val="20"/>
        </w:rPr>
        <w:t xml:space="preserv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proofErr w:type="spellStart"/>
            <w:r w:rsidRPr="001B755F">
              <w:rPr>
                <w:rFonts w:ascii="Arial" w:hAnsi="Arial" w:cs="Arial"/>
                <w:b/>
                <w:bCs/>
                <w:color w:val="000048"/>
                <w:kern w:val="24"/>
                <w:sz w:val="20"/>
                <w:szCs w:val="20"/>
              </w:rPr>
              <w:t>GenC</w:t>
            </w:r>
            <w:proofErr w:type="spellEnd"/>
            <w:r w:rsidRPr="001B755F">
              <w:rPr>
                <w:rFonts w:ascii="Arial" w:hAnsi="Arial" w:cs="Arial"/>
                <w:b/>
                <w:bCs/>
                <w:color w:val="000048"/>
                <w:kern w:val="24"/>
                <w:sz w:val="20"/>
                <w:szCs w:val="20"/>
              </w:rPr>
              <w:t xml:space="preserve">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 xml:space="preserve">Pass </w:t>
            </w:r>
            <w:proofErr w:type="gramStart"/>
            <w:r w:rsidRPr="00F335FC">
              <w:rPr>
                <w:rFonts w:ascii="Arial" w:hAnsi="Arial" w:cs="Arial"/>
                <w:color w:val="000048"/>
                <w:sz w:val="20"/>
                <w:szCs w:val="20"/>
              </w:rPr>
              <w:t>stage1</w:t>
            </w:r>
            <w:proofErr w:type="gramEnd"/>
            <w:r w:rsidRPr="00F335FC">
              <w:rPr>
                <w:rFonts w:ascii="Arial" w:hAnsi="Arial" w:cs="Arial"/>
                <w:color w:val="000048"/>
                <w:sz w:val="20"/>
                <w:szCs w:val="20"/>
              </w:rPr>
              <w:t xml:space="preserve">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proofErr w:type="gramStart"/>
      <w:r>
        <w:t>d</w:t>
      </w:r>
      <w:r w:rsidRPr="001D73BC">
        <w:t>epending</w:t>
      </w:r>
      <w:proofErr w:type="gramEnd"/>
      <w:r w:rsidRPr="001D73BC">
        <w:t xml:space="preserve"> on the SL track, trainees may be </w:t>
      </w:r>
      <w:r>
        <w:t>detained</w:t>
      </w:r>
      <w:r w:rsidRPr="001D73BC">
        <w:t xml:space="preserve"> from taking the final evaluation if they fail Stage 1, which could result </w:t>
      </w:r>
      <w:proofErr w:type="gramStart"/>
      <w:r w:rsidRPr="001D73BC">
        <w:t>in</w:t>
      </w:r>
      <w:proofErr w:type="gramEnd"/>
      <w:r w:rsidRPr="001D73BC">
        <w:t xml:space="preserve">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w:t>
      </w:r>
      <w:proofErr w:type="spellStart"/>
      <w:r w:rsidR="00B508B9" w:rsidRPr="001B755F">
        <w:rPr>
          <w:rFonts w:ascii="Arial" w:hAnsi="Arial" w:cs="Arial"/>
          <w:color w:val="000048"/>
          <w:sz w:val="20"/>
          <w:szCs w:val="20"/>
        </w:rPr>
        <w:t>i</w:t>
      </w:r>
      <w:proofErr w:type="spellEnd"/>
      <w:r w:rsidR="00B508B9" w:rsidRPr="001B755F">
        <w:rPr>
          <w:rFonts w:ascii="Arial" w:hAnsi="Arial" w:cs="Arial"/>
          <w:color w:val="000048"/>
          <w:sz w:val="20"/>
          <w:szCs w:val="20"/>
        </w:rPr>
        <w:t>)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proofErr w:type="spellStart"/>
            <w:r w:rsidRPr="001B755F">
              <w:rPr>
                <w:rFonts w:ascii="Arial" w:hAnsi="Arial" w:cs="Arial"/>
                <w:color w:val="000048"/>
                <w:kern w:val="24"/>
                <w:sz w:val="18"/>
                <w:szCs w:val="18"/>
                <w:lang w:val="en-GB"/>
              </w:rPr>
              <w:t>GenC</w:t>
            </w:r>
            <w:proofErr w:type="spellEnd"/>
            <w:r w:rsidRPr="001B755F">
              <w:rPr>
                <w:rFonts w:ascii="Arial" w:hAnsi="Arial" w:cs="Arial"/>
                <w:color w:val="000048"/>
                <w:kern w:val="24"/>
                <w:sz w:val="18"/>
                <w:szCs w:val="18"/>
                <w:lang w:val="en-GB"/>
              </w:rPr>
              <w:t>/Intern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w:t>
      </w:r>
      <w:proofErr w:type="gramStart"/>
      <w:r w:rsidRPr="00FC3E1C">
        <w:rPr>
          <w:rFonts w:ascii="Arial" w:hAnsi="Arial" w:cs="Arial"/>
          <w:color w:val="000048"/>
          <w:sz w:val="20"/>
          <w:szCs w:val="20"/>
        </w:rPr>
        <w:t>selects</w:t>
      </w:r>
      <w:proofErr w:type="gramEnd"/>
      <w:r w:rsidRPr="00FC3E1C">
        <w:rPr>
          <w:rFonts w:ascii="Arial" w:hAnsi="Arial" w:cs="Arial"/>
          <w:color w:val="000048"/>
          <w:sz w:val="20"/>
          <w:szCs w:val="20"/>
        </w:rPr>
        <w:t xml:space="preserve">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w:t>
      </w:r>
      <w:proofErr w:type="spellStart"/>
      <w:r w:rsidRPr="001B755F">
        <w:rPr>
          <w:rFonts w:ascii="Arial" w:hAnsi="Arial" w:cs="Arial"/>
          <w:i/>
          <w:color w:val="000048"/>
          <w:sz w:val="20"/>
          <w:szCs w:val="20"/>
        </w:rPr>
        <w:t>GenC</w:t>
      </w:r>
      <w:proofErr w:type="spellEnd"/>
      <w:r w:rsidRPr="001B755F">
        <w:rPr>
          <w:rFonts w:ascii="Arial" w:hAnsi="Arial" w:cs="Arial"/>
          <w:i/>
          <w:color w:val="000048"/>
          <w:sz w:val="20"/>
          <w:szCs w:val="20"/>
        </w:rPr>
        <w:t xml:space="preserve">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w:t>
      </w:r>
      <w:proofErr w:type="spellStart"/>
      <w:r w:rsidRPr="001B755F">
        <w:rPr>
          <w:rFonts w:ascii="Arial" w:hAnsi="Arial" w:cs="Arial"/>
          <w:iCs/>
          <w:color w:val="000048"/>
          <w:sz w:val="20"/>
          <w:szCs w:val="20"/>
        </w:rPr>
        <w:t>GenC</w:t>
      </w:r>
      <w:proofErr w:type="spellEnd"/>
      <w:r w:rsidRPr="001B755F">
        <w:rPr>
          <w:rFonts w:ascii="Arial" w:hAnsi="Arial" w:cs="Arial"/>
          <w:iCs/>
          <w:color w:val="000048"/>
          <w:sz w:val="20"/>
          <w:szCs w:val="20"/>
        </w:rPr>
        <w:t xml:space="preserve">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w:t>
      </w:r>
      <w:proofErr w:type="spellStart"/>
      <w:r w:rsidRPr="00FC3E1C">
        <w:rPr>
          <w:rFonts w:ascii="Arial" w:hAnsi="Arial" w:cs="Arial"/>
          <w:iCs/>
          <w:color w:val="000048"/>
          <w:sz w:val="20"/>
          <w:szCs w:val="20"/>
        </w:rPr>
        <w:t>GenC</w:t>
      </w:r>
      <w:proofErr w:type="spellEnd"/>
      <w:r w:rsidRPr="00FC3E1C">
        <w:rPr>
          <w:rFonts w:ascii="Arial" w:hAnsi="Arial" w:cs="Arial"/>
          <w:iCs/>
          <w:color w:val="000048"/>
          <w:sz w:val="20"/>
          <w:szCs w:val="20"/>
        </w:rPr>
        <w:t xml:space="preserve">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w:t>
      </w:r>
      <w:proofErr w:type="spellStart"/>
      <w:r w:rsidRPr="00FC3E1C">
        <w:rPr>
          <w:rFonts w:ascii="Arial" w:hAnsi="Arial" w:cs="Arial"/>
          <w:b/>
          <w:iCs/>
          <w:color w:val="000048"/>
          <w:sz w:val="20"/>
          <w:szCs w:val="20"/>
        </w:rPr>
        <w:t>GenC</w:t>
      </w:r>
      <w:proofErr w:type="spellEnd"/>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w:t>
      </w:r>
      <w:proofErr w:type="spellStart"/>
      <w:r w:rsidRPr="00FC3E1C">
        <w:rPr>
          <w:rFonts w:ascii="Arial" w:hAnsi="Arial" w:cs="Arial"/>
          <w:b/>
          <w:iCs/>
          <w:color w:val="000048"/>
          <w:sz w:val="20"/>
          <w:szCs w:val="20"/>
        </w:rPr>
        <w:t>GenC</w:t>
      </w:r>
      <w:proofErr w:type="spellEnd"/>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w:t>
      </w:r>
      <w:proofErr w:type="spellStart"/>
      <w:r w:rsidRPr="00FC3E1C">
        <w:rPr>
          <w:rFonts w:ascii="Arial" w:hAnsi="Arial" w:cs="Arial"/>
          <w:iCs/>
          <w:color w:val="000048"/>
          <w:sz w:val="20"/>
          <w:szCs w:val="20"/>
        </w:rPr>
        <w:t>GenC</w:t>
      </w:r>
      <w:proofErr w:type="spellEnd"/>
      <w:r w:rsidRPr="00FC3E1C">
        <w:rPr>
          <w:rFonts w:ascii="Arial" w:hAnsi="Arial" w:cs="Arial"/>
          <w:iCs/>
          <w:color w:val="000048"/>
          <w:sz w:val="20"/>
          <w:szCs w:val="20"/>
        </w:rPr>
        <w:t xml:space="preserve">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 xml:space="preserve">and </w:t>
      </w:r>
      <w:proofErr w:type="spellStart"/>
      <w:r w:rsidR="00EA04D1" w:rsidRPr="001B755F">
        <w:rPr>
          <w:rFonts w:ascii="Arial" w:hAnsi="Arial" w:cs="Arial"/>
          <w:iCs/>
          <w:color w:val="000048"/>
          <w:sz w:val="20"/>
          <w:szCs w:val="20"/>
        </w:rPr>
        <w:t>GenC</w:t>
      </w:r>
      <w:proofErr w:type="spellEnd"/>
      <w:r w:rsidR="00EA04D1" w:rsidRPr="001B755F">
        <w:rPr>
          <w:rFonts w:ascii="Arial" w:hAnsi="Arial" w:cs="Arial"/>
          <w:iCs/>
          <w:color w:val="000048"/>
          <w:sz w:val="20"/>
          <w:szCs w:val="20"/>
        </w:rPr>
        <w:t xml:space="preserve">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 xml:space="preserve">Progressive level movement refers to advancement shown by the associate in their CEFR scores from the time of </w:t>
      </w:r>
      <w:proofErr w:type="spellStart"/>
      <w:r w:rsidRPr="001B755F">
        <w:rPr>
          <w:rFonts w:ascii="Arial" w:hAnsi="Arial" w:cs="Arial"/>
          <w:i/>
          <w:iCs/>
          <w:color w:val="000048"/>
          <w:sz w:val="20"/>
          <w:szCs w:val="20"/>
        </w:rPr>
        <w:t>GenC</w:t>
      </w:r>
      <w:proofErr w:type="spellEnd"/>
      <w:r w:rsidRPr="001B755F">
        <w:rPr>
          <w:rFonts w:ascii="Arial" w:hAnsi="Arial" w:cs="Arial"/>
          <w:i/>
          <w:iCs/>
          <w:color w:val="000048"/>
          <w:sz w:val="20"/>
          <w:szCs w:val="20"/>
        </w:rPr>
        <w:t xml:space="preserve">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w:t>
      </w:r>
      <w:proofErr w:type="gramStart"/>
      <w:r w:rsidRPr="001B755F">
        <w:rPr>
          <w:rFonts w:ascii="Arial" w:hAnsi="Arial" w:cs="Arial"/>
          <w:color w:val="000048"/>
          <w:sz w:val="20"/>
          <w:szCs w:val="20"/>
        </w:rPr>
        <w:t>candidate</w:t>
      </w:r>
      <w:proofErr w:type="gramEnd"/>
      <w:r w:rsidRPr="001B755F">
        <w:rPr>
          <w:rFonts w:ascii="Arial" w:hAnsi="Arial" w:cs="Arial"/>
          <w:color w:val="000048"/>
          <w:sz w:val="20"/>
          <w:szCs w:val="20"/>
        </w:rPr>
        <w:t xml:space="preserv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2B349DD8">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51662A3C" w:rsidR="006827C4" w:rsidRPr="0026782B" w:rsidRDefault="006827C4" w:rsidP="00AD593F">
      <w:pPr>
        <w:pStyle w:val="Heading1"/>
        <w:rPr>
          <w:rFonts w:ascii="Arial" w:hAnsi="Arial" w:cs="Arial"/>
          <w:color w:val="000048"/>
          <w:sz w:val="32"/>
          <w:szCs w:val="32"/>
        </w:rPr>
      </w:pPr>
      <w:bookmarkStart w:id="41" w:name="_Toc193970866"/>
      <w:r>
        <w:rPr>
          <w:rFonts w:ascii="Arial" w:hAnsi="Arial" w:cs="Arial"/>
          <w:color w:val="000048"/>
        </w:rPr>
        <w:t>Internship Stipend</w:t>
      </w:r>
      <w:bookmarkEnd w:id="41"/>
      <w:r w:rsidR="0026782B">
        <w:rPr>
          <w:rFonts w:ascii="Arial" w:hAnsi="Arial" w:cs="Arial"/>
          <w:color w:val="000048"/>
        </w:rPr>
        <w:t xml:space="preserve"> </w:t>
      </w:r>
      <w:r w:rsidR="0026782B" w:rsidRPr="0026782B">
        <w:rPr>
          <w:rFonts w:ascii="Arial" w:hAnsi="Arial" w:cs="Arial"/>
          <w:color w:val="000048"/>
          <w:sz w:val="32"/>
          <w:szCs w:val="32"/>
        </w:rPr>
        <w:t>(n</w:t>
      </w:r>
      <w:r w:rsidR="0026782B">
        <w:rPr>
          <w:rFonts w:ascii="Arial" w:hAnsi="Arial" w:cs="Arial"/>
          <w:color w:val="000048"/>
          <w:sz w:val="32"/>
          <w:szCs w:val="32"/>
        </w:rPr>
        <w:t>ot</w:t>
      </w:r>
      <w:r w:rsidR="0026782B" w:rsidRPr="0026782B">
        <w:rPr>
          <w:rFonts w:ascii="Arial" w:hAnsi="Arial" w:cs="Arial"/>
          <w:color w:val="000048"/>
          <w:sz w:val="32"/>
          <w:szCs w:val="32"/>
        </w:rPr>
        <w:t xml:space="preserve"> applicable for full time employees – </w:t>
      </w:r>
      <w:proofErr w:type="spellStart"/>
      <w:r w:rsidR="0026782B" w:rsidRPr="0026782B">
        <w:rPr>
          <w:rFonts w:ascii="Arial" w:hAnsi="Arial" w:cs="Arial"/>
          <w:color w:val="000048"/>
          <w:sz w:val="32"/>
          <w:szCs w:val="32"/>
        </w:rPr>
        <w:t>ftes</w:t>
      </w:r>
      <w:proofErr w:type="spellEnd"/>
      <w:r w:rsidR="0026782B" w:rsidRPr="0026782B">
        <w:rPr>
          <w:rFonts w:ascii="Arial" w:hAnsi="Arial" w:cs="Arial"/>
          <w:color w:val="000048"/>
          <w:sz w:val="32"/>
          <w:szCs w:val="32"/>
        </w:rPr>
        <w:t>)</w:t>
      </w:r>
    </w:p>
    <w:p w14:paraId="68722624" w14:textId="5AB2E705" w:rsidR="008B4CE4" w:rsidRDefault="004256D8" w:rsidP="006827C4">
      <w:pPr>
        <w:pStyle w:val="Default"/>
        <w:rPr>
          <w:color w:val="000048"/>
          <w:sz w:val="20"/>
          <w:szCs w:val="20"/>
        </w:rPr>
      </w:pPr>
      <w:r>
        <w:rPr>
          <w:color w:val="000048"/>
          <w:sz w:val="20"/>
          <w:szCs w:val="20"/>
        </w:rPr>
        <w:t xml:space="preserve">All the </w:t>
      </w:r>
      <w:proofErr w:type="spellStart"/>
      <w:r>
        <w:rPr>
          <w:color w:val="000048"/>
          <w:sz w:val="20"/>
          <w:szCs w:val="20"/>
        </w:rPr>
        <w:t>GenC</w:t>
      </w:r>
      <w:proofErr w:type="spellEnd"/>
      <w:r>
        <w:rPr>
          <w:color w:val="000048"/>
          <w:sz w:val="20"/>
          <w:szCs w:val="20"/>
        </w:rPr>
        <w:t xml:space="preserve"> Interns</w:t>
      </w:r>
      <w:r w:rsidR="006827C4" w:rsidRPr="006827C4">
        <w:rPr>
          <w:color w:val="000048"/>
          <w:sz w:val="20"/>
          <w:szCs w:val="20"/>
        </w:rPr>
        <w:t xml:space="preserve"> will receive a monthly stipend of </w:t>
      </w:r>
      <w:r>
        <w:rPr>
          <w:color w:val="000048"/>
          <w:sz w:val="20"/>
          <w:szCs w:val="20"/>
        </w:rPr>
        <w:t>INR.1</w:t>
      </w:r>
      <w:r w:rsidR="00BD5B53">
        <w:rPr>
          <w:color w:val="000048"/>
          <w:sz w:val="20"/>
          <w:szCs w:val="20"/>
        </w:rPr>
        <w:t>2</w:t>
      </w:r>
      <w:r>
        <w:rPr>
          <w:color w:val="000048"/>
          <w:sz w:val="20"/>
          <w:szCs w:val="20"/>
        </w:rPr>
        <w:t>,000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 xml:space="preserve">Intern attendance and performance </w:t>
      </w:r>
      <w:proofErr w:type="gramStart"/>
      <w:r w:rsidR="006827C4" w:rsidRPr="006827C4">
        <w:rPr>
          <w:color w:val="000048"/>
          <w:sz w:val="20"/>
          <w:szCs w:val="20"/>
        </w:rPr>
        <w:t>plays</w:t>
      </w:r>
      <w:proofErr w:type="gramEnd"/>
      <w:r w:rsidR="006827C4" w:rsidRPr="006827C4">
        <w:rPr>
          <w:color w:val="000048"/>
          <w:sz w:val="20"/>
          <w:szCs w:val="20"/>
        </w:rPr>
        <w:t xml:space="preserve"> a crucial role in determining the stipend amount, highlighting the importance of active participation and engagement in </w:t>
      </w:r>
      <w:proofErr w:type="gramStart"/>
      <w:r w:rsidR="006827C4" w:rsidRPr="006827C4">
        <w:rPr>
          <w:color w:val="000048"/>
          <w:sz w:val="20"/>
          <w:szCs w:val="20"/>
        </w:rPr>
        <w:t>the internship</w:t>
      </w:r>
      <w:proofErr w:type="gramEnd"/>
      <w:r w:rsidR="006827C4" w:rsidRPr="006827C4">
        <w:rPr>
          <w:color w:val="000048"/>
          <w:sz w:val="20"/>
          <w:szCs w:val="20"/>
        </w:rPr>
        <w:t xml:space="preserve">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proofErr w:type="spellStart"/>
      <w:r w:rsidRPr="001B755F">
        <w:rPr>
          <w:rFonts w:ascii="Arial" w:hAnsi="Arial" w:cs="Arial"/>
          <w:color w:val="000048"/>
        </w:rPr>
        <w:lastRenderedPageBreak/>
        <w:t>GenC</w:t>
      </w:r>
      <w:proofErr w:type="spellEnd"/>
      <w:r w:rsidRPr="001B755F">
        <w:rPr>
          <w:rFonts w:ascii="Arial" w:hAnsi="Arial" w:cs="Arial"/>
          <w:color w:val="000048"/>
        </w:rPr>
        <w:t xml:space="preserve">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proofErr w:type="spellStart"/>
      <w:r w:rsidR="000D492C" w:rsidRPr="001B755F">
        <w:rPr>
          <w:color w:val="000048"/>
          <w:sz w:val="20"/>
          <w:szCs w:val="20"/>
        </w:rPr>
        <w:t>GenCs</w:t>
      </w:r>
      <w:proofErr w:type="spellEnd"/>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 xml:space="preserve">The guidelines are to support the </w:t>
      </w:r>
      <w:proofErr w:type="spellStart"/>
      <w:r w:rsidRPr="001B755F">
        <w:rPr>
          <w:color w:val="000048"/>
          <w:sz w:val="20"/>
          <w:szCs w:val="20"/>
        </w:rPr>
        <w:t>GenC</w:t>
      </w:r>
      <w:proofErr w:type="spellEnd"/>
      <w:r w:rsidRPr="001B755F">
        <w:rPr>
          <w:color w:val="000048"/>
          <w:sz w:val="20"/>
          <w:szCs w:val="20"/>
        </w:rPr>
        <w:t xml:space="preserve">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w:t>
      </w:r>
      <w:proofErr w:type="spellStart"/>
      <w:r w:rsidR="00953744" w:rsidRPr="001B755F">
        <w:rPr>
          <w:rFonts w:ascii="Arial" w:hAnsi="Arial" w:cs="Arial"/>
          <w:color w:val="000048"/>
          <w:sz w:val="20"/>
          <w:szCs w:val="20"/>
        </w:rPr>
        <w:t>GenC</w:t>
      </w:r>
      <w:proofErr w:type="spellEnd"/>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proofErr w:type="gramStart"/>
      <w:r w:rsidR="006E2845">
        <w:rPr>
          <w:rFonts w:ascii="Arial" w:hAnsi="Arial" w:cs="Arial"/>
          <w:color w:val="000048"/>
          <w:sz w:val="20"/>
          <w:szCs w:val="20"/>
        </w:rPr>
        <w:t>.</w:t>
      </w:r>
      <w:r w:rsidR="000103CD" w:rsidRPr="006E2845">
        <w:rPr>
          <w:rFonts w:ascii="Arial" w:hAnsi="Arial" w:cs="Arial"/>
          <w:color w:val="000048"/>
          <w:sz w:val="20"/>
          <w:szCs w:val="20"/>
        </w:rPr>
        <w:t>Below</w:t>
      </w:r>
      <w:proofErr w:type="spellEnd"/>
      <w:proofErr w:type="gramEnd"/>
      <w:r w:rsidR="000103CD" w:rsidRPr="006E2845">
        <w:rPr>
          <w:rFonts w:ascii="Arial" w:hAnsi="Arial" w:cs="Arial"/>
          <w:color w:val="000048"/>
          <w:sz w:val="20"/>
          <w:szCs w:val="20"/>
        </w:rPr>
        <w:t xml:space="preserve"> are the details and links of the policies and guidelines which will govern the </w:t>
      </w:r>
      <w:proofErr w:type="spellStart"/>
      <w:r w:rsidR="000103CD" w:rsidRPr="006E2845">
        <w:rPr>
          <w:rFonts w:ascii="Arial" w:hAnsi="Arial" w:cs="Arial"/>
          <w:color w:val="000048"/>
          <w:sz w:val="20"/>
          <w:szCs w:val="20"/>
        </w:rPr>
        <w:t>GenC</w:t>
      </w:r>
      <w:proofErr w:type="spellEnd"/>
      <w:r w:rsidR="000103CD" w:rsidRPr="006E2845">
        <w:rPr>
          <w:rFonts w:ascii="Arial" w:hAnsi="Arial" w:cs="Arial"/>
          <w:color w:val="000048"/>
          <w:sz w:val="20"/>
          <w:szCs w:val="20"/>
        </w:rPr>
        <w:t xml:space="preserve">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Any learning and assessment are expected to be given by the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 xml:space="preserve">orrowing and lending money </w:t>
      </w:r>
      <w:proofErr w:type="gramStart"/>
      <w:r w:rsidR="006D29CF" w:rsidRPr="001B755F">
        <w:rPr>
          <w:color w:val="000048"/>
          <w:sz w:val="20"/>
          <w:szCs w:val="20"/>
        </w:rPr>
        <w:t>within</w:t>
      </w:r>
      <w:proofErr w:type="gramEnd"/>
      <w:r w:rsidR="006D29CF" w:rsidRPr="001B755F">
        <w:rPr>
          <w:color w:val="000048"/>
          <w:sz w:val="20"/>
          <w:szCs w:val="20"/>
        </w:rPr>
        <w:t xml:space="preserve">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w:t>
      </w:r>
      <w:proofErr w:type="spellStart"/>
      <w:r w:rsidRPr="001B755F">
        <w:rPr>
          <w:color w:val="000048"/>
          <w:sz w:val="20"/>
          <w:szCs w:val="20"/>
        </w:rPr>
        <w:t>GenC</w:t>
      </w:r>
      <w:proofErr w:type="spellEnd"/>
      <w:r w:rsidRPr="001B755F">
        <w:rPr>
          <w:color w:val="000048"/>
          <w:sz w:val="20"/>
          <w:szCs w:val="20"/>
        </w:rPr>
        <w:t xml:space="preserve">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xml:space="preserve">% every month to continue in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 xml:space="preserve">/HR </w:t>
      </w:r>
      <w:proofErr w:type="spellStart"/>
      <w:r w:rsidR="00777A11"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w:t>
      </w:r>
      <w:proofErr w:type="gramStart"/>
      <w:r w:rsidRPr="001B755F">
        <w:rPr>
          <w:rFonts w:ascii="Arial" w:hAnsi="Arial" w:cs="Arial"/>
          <w:color w:val="000048"/>
          <w:sz w:val="20"/>
          <w:szCs w:val="20"/>
        </w:rPr>
        <w:t>office</w:t>
      </w:r>
      <w:proofErr w:type="gramEnd"/>
      <w:r w:rsidRPr="001B755F">
        <w:rPr>
          <w:rFonts w:ascii="Arial" w:hAnsi="Arial" w:cs="Arial"/>
          <w:color w:val="000048"/>
          <w:sz w:val="20"/>
          <w:szCs w:val="20"/>
        </w:rPr>
        <w:t xml:space="preserve"> </w:t>
      </w:r>
      <w:proofErr w:type="gramStart"/>
      <w:r w:rsidRPr="001B755F">
        <w:rPr>
          <w:rFonts w:ascii="Arial" w:hAnsi="Arial" w:cs="Arial"/>
          <w:color w:val="000048"/>
          <w:sz w:val="20"/>
          <w:szCs w:val="20"/>
        </w:rPr>
        <w:t>is</w:t>
      </w:r>
      <w:proofErr w:type="gramEnd"/>
      <w:r w:rsidRPr="001B755F">
        <w:rPr>
          <w:rFonts w:ascii="Arial" w:hAnsi="Arial" w:cs="Arial"/>
          <w:color w:val="000048"/>
          <w:sz w:val="20"/>
          <w:szCs w:val="20"/>
        </w:rPr>
        <w:t xml:space="preserve">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 approvals to be taken in advance through their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Notify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All other leaves in any other reasons/categories would have an impact </w:t>
      </w:r>
      <w:proofErr w:type="gramStart"/>
      <w:r w:rsidRPr="001B755F">
        <w:rPr>
          <w:rFonts w:ascii="Arial" w:hAnsi="Arial" w:cs="Arial"/>
          <w:color w:val="000048"/>
          <w:sz w:val="20"/>
          <w:szCs w:val="20"/>
        </w:rPr>
        <w:t>in</w:t>
      </w:r>
      <w:proofErr w:type="gramEnd"/>
      <w:r w:rsidRPr="001B755F">
        <w:rPr>
          <w:rFonts w:ascii="Arial" w:hAnsi="Arial" w:cs="Arial"/>
          <w:color w:val="000048"/>
          <w:sz w:val="20"/>
          <w:szCs w:val="20"/>
        </w:rPr>
        <w:t xml:space="preserve">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 xml:space="preserve">abandonment will be initiated for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w:t>
      </w:r>
      <w:proofErr w:type="spellStart"/>
      <w:r w:rsidRPr="001B755F">
        <w:rPr>
          <w:rFonts w:ascii="Arial" w:hAnsi="Arial" w:cs="Arial"/>
          <w:color w:val="000048"/>
          <w:sz w:val="20"/>
          <w:szCs w:val="20"/>
        </w:rPr>
        <w:t>GenCs</w:t>
      </w:r>
      <w:proofErr w:type="spellEnd"/>
      <w:r w:rsidRPr="001B755F">
        <w:rPr>
          <w:rFonts w:ascii="Arial" w:hAnsi="Arial" w:cs="Arial"/>
          <w:color w:val="000048"/>
          <w:sz w:val="20"/>
          <w:szCs w:val="20"/>
        </w:rPr>
        <w:t xml:space="preserve"> in a very honest way. Plagiarism / copying / any malpractice has </w:t>
      </w:r>
      <w:proofErr w:type="gramStart"/>
      <w:r w:rsidRPr="001B755F">
        <w:rPr>
          <w:rFonts w:ascii="Arial" w:hAnsi="Arial" w:cs="Arial"/>
          <w:color w:val="000048"/>
          <w:sz w:val="20"/>
          <w:szCs w:val="20"/>
        </w:rPr>
        <w:t>a zero</w:t>
      </w:r>
      <w:proofErr w:type="gramEnd"/>
      <w:r w:rsidRPr="001B755F">
        <w:rPr>
          <w:rFonts w:ascii="Arial" w:hAnsi="Arial" w:cs="Arial"/>
          <w:color w:val="000048"/>
          <w:sz w:val="20"/>
          <w:szCs w:val="20"/>
        </w:rPr>
        <w:t xml:space="preserve">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 xml:space="preserve">During the internship period </w:t>
      </w:r>
      <w:proofErr w:type="gramStart"/>
      <w:r w:rsidRPr="00B44E39">
        <w:rPr>
          <w:rFonts w:ascii="Arial" w:hAnsi="Arial" w:cs="Arial"/>
          <w:color w:val="000048"/>
          <w:sz w:val="20"/>
          <w:szCs w:val="20"/>
        </w:rPr>
        <w:t>and on</w:t>
      </w:r>
      <w:proofErr w:type="gramEnd"/>
      <w:r w:rsidRPr="00B44E39">
        <w:rPr>
          <w:rFonts w:ascii="Arial" w:hAnsi="Arial" w:cs="Arial"/>
          <w:color w:val="000048"/>
          <w:sz w:val="20"/>
          <w:szCs w:val="20"/>
        </w:rPr>
        <w:t xml:space="preserve"> onboarding as full-time</w:t>
      </w:r>
      <w:r w:rsidR="00D25AAB" w:rsidRPr="00B44E39">
        <w:rPr>
          <w:rFonts w:ascii="Arial" w:hAnsi="Arial" w:cs="Arial"/>
          <w:color w:val="000048"/>
          <w:sz w:val="20"/>
          <w:szCs w:val="20"/>
        </w:rPr>
        <w:t xml:space="preserve"> </w:t>
      </w:r>
      <w:proofErr w:type="gramStart"/>
      <w:r w:rsidR="00D25AAB" w:rsidRPr="00B44E39">
        <w:rPr>
          <w:rFonts w:ascii="Arial" w:hAnsi="Arial" w:cs="Arial"/>
          <w:color w:val="000048"/>
          <w:sz w:val="20"/>
          <w:szCs w:val="20"/>
        </w:rPr>
        <w:t>employee</w:t>
      </w:r>
      <w:proofErr w:type="gramEnd"/>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w:t>
      </w:r>
      <w:proofErr w:type="gramStart"/>
      <w:r w:rsidRPr="00B44E39">
        <w:rPr>
          <w:rFonts w:ascii="Arial" w:hAnsi="Arial" w:cs="Arial"/>
          <w:color w:val="000048"/>
          <w:sz w:val="20"/>
          <w:szCs w:val="20"/>
        </w:rPr>
        <w:t>the technology</w:t>
      </w:r>
      <w:proofErr w:type="gramEnd"/>
      <w:r w:rsidRPr="00B44E39">
        <w:rPr>
          <w:rFonts w:ascii="Arial" w:hAnsi="Arial" w:cs="Arial"/>
          <w:color w:val="000048"/>
          <w:sz w:val="20"/>
          <w:szCs w:val="20"/>
        </w:rPr>
        <w:t xml:space="preserve">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w:t>
      </w:r>
      <w:proofErr w:type="spellStart"/>
      <w:r w:rsidRPr="001B6203">
        <w:rPr>
          <w:rFonts w:ascii="Arial" w:hAnsi="Arial" w:cs="Arial"/>
          <w:color w:val="202124"/>
          <w:sz w:val="20"/>
          <w:szCs w:val="20"/>
          <w:lang w:val="en-GB" w:eastAsia="en-GB"/>
        </w:rPr>
        <w:t>GenC</w:t>
      </w:r>
      <w:proofErr w:type="spellEnd"/>
      <w:r w:rsidRPr="001B6203">
        <w:rPr>
          <w:rFonts w:ascii="Arial" w:hAnsi="Arial" w:cs="Arial"/>
          <w:color w:val="202124"/>
          <w:sz w:val="20"/>
          <w:szCs w:val="20"/>
          <w:lang w:val="en-GB" w:eastAsia="en-GB"/>
        </w:rPr>
        <w:t xml:space="preserve">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proofErr w:type="spellStart"/>
      <w:r w:rsidRPr="001B755F">
        <w:t>GenC</w:t>
      </w:r>
      <w:proofErr w:type="spellEnd"/>
      <w:r w:rsidRPr="001B755F">
        <w:t xml:space="preserve"> Program </w:t>
      </w:r>
      <w:proofErr w:type="gramStart"/>
      <w:r w:rsidRPr="001B755F">
        <w:t>c</w:t>
      </w:r>
      <w:r w:rsidR="00F70B9D" w:rsidRPr="001B755F">
        <w:t>ommunication</w:t>
      </w:r>
      <w:proofErr w:type="gramEnd"/>
      <w:r w:rsidR="00F70B9D" w:rsidRPr="001B755F">
        <w:t xml:space="preserve">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0F402769">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 xml:space="preserve">It is highly recommended that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w:t>
      </w:r>
      <w:proofErr w:type="gramStart"/>
      <w:r w:rsidR="00D32070" w:rsidRPr="001B755F">
        <w:rPr>
          <w:rFonts w:ascii="Arial" w:hAnsi="Arial" w:cs="Arial"/>
          <w:color w:val="000048"/>
          <w:sz w:val="20"/>
          <w:szCs w:val="20"/>
        </w:rPr>
        <w:t>below format</w:t>
      </w:r>
      <w:proofErr w:type="gramEnd"/>
      <w:r w:rsidR="00D32070" w:rsidRPr="001B755F">
        <w:rPr>
          <w:rFonts w:ascii="Arial" w:hAnsi="Arial" w:cs="Arial"/>
          <w:color w:val="000048"/>
          <w:sz w:val="20"/>
          <w:szCs w:val="20"/>
        </w:rPr>
        <w:t xml:space="preserve">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 xml:space="preserve">If no, reach out to your respective PoC. Please send this query to DL only if it is not addressed by </w:t>
            </w:r>
            <w:proofErr w:type="gramStart"/>
            <w:r w:rsidRPr="001B755F">
              <w:rPr>
                <w:rFonts w:ascii="Arial" w:hAnsi="Arial" w:cs="Arial"/>
                <w:color w:val="000048"/>
                <w:sz w:val="20"/>
                <w:szCs w:val="20"/>
              </w:rPr>
              <w:t>both</w:t>
            </w:r>
            <w:proofErr w:type="gramEnd"/>
            <w:r w:rsidRPr="001B755F">
              <w:rPr>
                <w:rFonts w:ascii="Arial" w:hAnsi="Arial" w:cs="Arial"/>
                <w:color w:val="000048"/>
                <w:sz w:val="20"/>
                <w:szCs w:val="20"/>
              </w:rPr>
              <w:t xml:space="preserve">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proofErr w:type="spellStart"/>
      <w:r w:rsidRPr="001B755F">
        <w:rPr>
          <w:rFonts w:ascii="Arial" w:hAnsi="Arial" w:cs="Arial"/>
          <w:color w:val="000048"/>
        </w:rPr>
        <w:t>GenC</w:t>
      </w:r>
      <w:proofErr w:type="spellEnd"/>
      <w:r w:rsidRPr="001B755F">
        <w:rPr>
          <w:rFonts w:ascii="Arial" w:hAnsi="Arial" w:cs="Arial"/>
          <w:color w:val="000048"/>
        </w:rPr>
        <w:t xml:space="preserve">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objective of the grievance cell is to provide </w:t>
      </w:r>
      <w:proofErr w:type="gramStart"/>
      <w:r w:rsidRPr="001B755F">
        <w:rPr>
          <w:rFonts w:ascii="Arial" w:hAnsi="Arial" w:cs="Arial"/>
          <w:color w:val="000048"/>
          <w:sz w:val="20"/>
          <w:szCs w:val="20"/>
        </w:rPr>
        <w:t>a good</w:t>
      </w:r>
      <w:proofErr w:type="gramEnd"/>
      <w:r w:rsidRPr="001B755F">
        <w:rPr>
          <w:rFonts w:ascii="Arial" w:hAnsi="Arial" w:cs="Arial"/>
          <w:color w:val="000048"/>
          <w:sz w:val="20"/>
          <w:szCs w:val="20"/>
        </w:rPr>
        <w:t xml:space="preserve"> learning experience &amp; working relationship for the </w:t>
      </w:r>
      <w:proofErr w:type="spellStart"/>
      <w:r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POCs</w:t>
      </w:r>
      <w:r w:rsidR="00BF3D2B" w:rsidRPr="001B755F">
        <w:rPr>
          <w:rFonts w:ascii="Arial" w:hAnsi="Arial" w:cs="Arial"/>
          <w:color w:val="000048"/>
          <w:sz w:val="20"/>
          <w:szCs w:val="20"/>
        </w:rPr>
        <w:t xml:space="preserve"> to be more approachable to the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proofErr w:type="spellStart"/>
      <w:r w:rsidR="00427EB9" w:rsidRPr="001B755F">
        <w:rPr>
          <w:rFonts w:ascii="Arial" w:hAnsi="Arial" w:cs="Arial"/>
          <w:color w:val="000048"/>
          <w:sz w:val="20"/>
          <w:szCs w:val="20"/>
        </w:rPr>
        <w:t>GenC</w:t>
      </w:r>
      <w:proofErr w:type="spellEnd"/>
      <w:r w:rsidR="00427EB9" w:rsidRPr="001B755F">
        <w:rPr>
          <w:rFonts w:ascii="Arial" w:hAnsi="Arial" w:cs="Arial"/>
          <w:color w:val="000048"/>
          <w:sz w:val="20"/>
          <w:szCs w:val="20"/>
        </w:rPr>
        <w:t xml:space="preserve">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w:t>
      </w:r>
      <w:proofErr w:type="spellStart"/>
      <w:r w:rsidRPr="001B755F">
        <w:rPr>
          <w:rFonts w:ascii="Arial" w:hAnsi="Arial" w:cs="Arial"/>
          <w:color w:val="000048"/>
          <w:sz w:val="20"/>
          <w:szCs w:val="20"/>
        </w:rPr>
        <w:t>GenCs</w:t>
      </w:r>
      <w:proofErr w:type="spellEnd"/>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 xml:space="preserve">Feedback communication to the </w:t>
      </w:r>
      <w:proofErr w:type="spellStart"/>
      <w:r w:rsidR="00771740" w:rsidRPr="001B755F">
        <w:rPr>
          <w:rFonts w:ascii="Arial" w:hAnsi="Arial" w:cs="Arial"/>
          <w:color w:val="000048"/>
        </w:rPr>
        <w:t>GenC</w:t>
      </w:r>
      <w:bookmarkEnd w:id="80"/>
      <w:bookmarkEnd w:id="81"/>
      <w:proofErr w:type="spellEnd"/>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 xml:space="preserve">at the appropriate checkpoints and will be available on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proofErr w:type="spellStart"/>
      <w:r w:rsidRPr="001B755F">
        <w:rPr>
          <w:rFonts w:ascii="Arial" w:hAnsi="Arial" w:cs="Arial"/>
          <w:color w:val="000048"/>
          <w:sz w:val="20"/>
          <w:szCs w:val="20"/>
          <w:lang w:val="en-IN"/>
        </w:rPr>
        <w:t>GenC</w:t>
      </w:r>
      <w:proofErr w:type="spellEnd"/>
      <w:r w:rsidRPr="001B755F">
        <w:rPr>
          <w:rFonts w:ascii="Arial" w:hAnsi="Arial" w:cs="Arial"/>
          <w:color w:val="000048"/>
          <w:sz w:val="20"/>
          <w:szCs w:val="20"/>
          <w:lang w:val="en-IN"/>
        </w:rPr>
        <w:t xml:space="preserve">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NOT falling under ‘Successfully completed’ or ‘Alternate Service Line’ will not be applicable for the report card from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w:t>
            </w:r>
            <w:proofErr w:type="gramStart"/>
            <w:r w:rsidRPr="001B755F">
              <w:rPr>
                <w:rFonts w:ascii="Arial" w:hAnsi="Arial" w:cs="Arial"/>
                <w:color w:val="000048"/>
                <w:sz w:val="20"/>
                <w:szCs w:val="20"/>
              </w:rPr>
              <w:t>structure</w:t>
            </w:r>
            <w:proofErr w:type="gramEnd"/>
            <w:r w:rsidRPr="001B755F">
              <w:rPr>
                <w:rFonts w:ascii="Arial" w:hAnsi="Arial" w:cs="Arial"/>
                <w:color w:val="000048"/>
                <w:sz w:val="20"/>
                <w:szCs w:val="20"/>
              </w:rPr>
              <w:t xml:space="preserve"> as designed by Cognizant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w:t>
            </w:r>
            <w:proofErr w:type="gramStart"/>
            <w:r w:rsidRPr="001B755F">
              <w:rPr>
                <w:rFonts w:ascii="Arial" w:hAnsi="Arial" w:cs="Arial"/>
                <w:color w:val="000048"/>
                <w:sz w:val="20"/>
                <w:szCs w:val="20"/>
              </w:rPr>
              <w:t>applied</w:t>
            </w:r>
            <w:proofErr w:type="gramEnd"/>
            <w:r w:rsidRPr="001B755F">
              <w:rPr>
                <w:rFonts w:ascii="Arial" w:hAnsi="Arial" w:cs="Arial"/>
                <w:color w:val="000048"/>
                <w:sz w:val="20"/>
                <w:szCs w:val="20"/>
              </w:rPr>
              <w:t xml:space="preserve"> the existing defined learning path [a joint venture between the Service Line (SL) and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 xml:space="preserve">A completely niche learning path could be designed by </w:t>
            </w:r>
            <w:proofErr w:type="gramStart"/>
            <w:r w:rsidRPr="001B755F">
              <w:rPr>
                <w:rFonts w:ascii="Arial" w:hAnsi="Arial" w:cs="Arial"/>
                <w:color w:val="000048"/>
                <w:sz w:val="20"/>
                <w:szCs w:val="20"/>
              </w:rPr>
              <w:t>Business</w:t>
            </w:r>
            <w:proofErr w:type="gramEnd"/>
            <w:r w:rsidRPr="001B755F">
              <w:rPr>
                <w:rFonts w:ascii="Arial" w:hAnsi="Arial" w:cs="Arial"/>
                <w:color w:val="000048"/>
                <w:sz w:val="20"/>
                <w:szCs w:val="20"/>
              </w:rPr>
              <w:t xml:space="preserve">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who has not obtained the pre-defined minimum percentage to clear the Evaluation components will be eligible for reattempt, as applicable. The number of reattempts would </w:t>
            </w:r>
            <w:proofErr w:type="gramStart"/>
            <w:r w:rsidRPr="001B755F">
              <w:rPr>
                <w:rFonts w:ascii="Arial" w:hAnsi="Arial" w:cs="Arial"/>
                <w:color w:val="000048"/>
                <w:sz w:val="20"/>
                <w:szCs w:val="20"/>
              </w:rPr>
              <w:t>be as</w:t>
            </w:r>
            <w:proofErr w:type="gramEnd"/>
            <w:r w:rsidRPr="001B755F">
              <w:rPr>
                <w:rFonts w:ascii="Arial" w:hAnsi="Arial" w:cs="Arial"/>
                <w:color w:val="000048"/>
                <w:sz w:val="20"/>
                <w:szCs w:val="20"/>
              </w:rPr>
              <w:t xml:space="preserve">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w:t>
            </w:r>
            <w:proofErr w:type="spellStart"/>
            <w:r w:rsidR="0081499E" w:rsidRPr="001B755F">
              <w:rPr>
                <w:rFonts w:ascii="Arial" w:hAnsi="Arial" w:cs="Arial"/>
                <w:color w:val="000048"/>
                <w:sz w:val="20"/>
                <w:szCs w:val="20"/>
              </w:rPr>
              <w:t>GenC</w:t>
            </w:r>
            <w:proofErr w:type="spellEnd"/>
            <w:r w:rsidR="0081499E" w:rsidRPr="001B755F">
              <w:rPr>
                <w:rFonts w:ascii="Arial" w:hAnsi="Arial" w:cs="Arial"/>
                <w:color w:val="000048"/>
                <w:sz w:val="20"/>
                <w:szCs w:val="20"/>
              </w:rPr>
              <w:t xml:space="preserve">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w:t>
            </w:r>
            <w:proofErr w:type="spellStart"/>
            <w:r w:rsidRPr="001B755F">
              <w:rPr>
                <w:rFonts w:ascii="Arial" w:hAnsi="Arial" w:cs="Arial"/>
                <w:color w:val="000048"/>
                <w:sz w:val="20"/>
                <w:szCs w:val="20"/>
              </w:rPr>
              <w:t>GenC</w:t>
            </w:r>
            <w:proofErr w:type="spellEnd"/>
            <w:r w:rsidRPr="001B755F">
              <w:rPr>
                <w:rFonts w:ascii="Arial" w:hAnsi="Arial" w:cs="Arial"/>
                <w:color w:val="000048"/>
                <w:sz w:val="20"/>
                <w:szCs w:val="20"/>
              </w:rPr>
              <w:t xml:space="preserve">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proofErr w:type="spellStart"/>
            <w:r w:rsidRPr="001B755F">
              <w:rPr>
                <w:rFonts w:ascii="Arial" w:hAnsi="Arial" w:cs="Arial"/>
                <w:color w:val="000048"/>
                <w:sz w:val="20"/>
                <w:szCs w:val="20"/>
              </w:rPr>
              <w:t>TruTime</w:t>
            </w:r>
            <w:proofErr w:type="spellEnd"/>
            <w:r w:rsidRPr="001B755F">
              <w:rPr>
                <w:rFonts w:ascii="Arial" w:hAnsi="Arial" w:cs="Arial"/>
                <w:color w:val="000048"/>
                <w:sz w:val="20"/>
                <w:szCs w:val="20"/>
              </w:rPr>
              <w:t xml:space="preserv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proofErr w:type="gramStart"/>
      <w:r w:rsidRPr="001B755F">
        <w:rPr>
          <w:rFonts w:ascii="Arial" w:hAnsi="Arial" w:cs="Arial"/>
          <w:color w:val="000048"/>
          <w:sz w:val="20"/>
          <w:szCs w:val="20"/>
        </w:rPr>
        <w:t>The CEFR</w:t>
      </w:r>
      <w:proofErr w:type="gramEnd"/>
      <w:r w:rsidRPr="001B755F">
        <w:rPr>
          <w:rFonts w:ascii="Arial" w:hAnsi="Arial" w:cs="Arial"/>
          <w:color w:val="000048"/>
          <w:sz w:val="20"/>
          <w:szCs w:val="20"/>
        </w:rPr>
        <w:t xml:space="preserve">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with ease virtually </w:t>
            </w:r>
            <w:proofErr w:type="gramStart"/>
            <w:r w:rsidRPr="001B755F">
              <w:rPr>
                <w:rFonts w:ascii="Arial" w:hAnsi="Arial" w:cs="Arial"/>
                <w:color w:val="000048"/>
                <w:sz w:val="20"/>
                <w:szCs w:val="20"/>
              </w:rPr>
              <w:t>everything</w:t>
            </w:r>
            <w:proofErr w:type="gramEnd"/>
            <w:r w:rsidRPr="001B755F">
              <w:rPr>
                <w:rFonts w:ascii="Arial" w:hAnsi="Arial" w:cs="Arial"/>
                <w:color w:val="000048"/>
                <w:sz w:val="20"/>
                <w:szCs w:val="20"/>
              </w:rPr>
              <w:t xml:space="preserve"> heard or </w:t>
            </w:r>
            <w:proofErr w:type="gramStart"/>
            <w:r w:rsidRPr="001B755F">
              <w:rPr>
                <w:rFonts w:ascii="Arial" w:hAnsi="Arial" w:cs="Arial"/>
                <w:color w:val="000048"/>
                <w:sz w:val="20"/>
                <w:szCs w:val="20"/>
              </w:rPr>
              <w:t>read</w:t>
            </w:r>
            <w:proofErr w:type="gramEnd"/>
            <w:r w:rsidRPr="001B755F">
              <w:rPr>
                <w:rFonts w:ascii="Arial" w:hAnsi="Arial" w:cs="Arial"/>
                <w:color w:val="000048"/>
                <w:sz w:val="20"/>
                <w:szCs w:val="20"/>
              </w:rPr>
              <w:t>.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 xml:space="preserve">Can understand the main points of clear standard input on familiar matters regularly encountered in work, school, leisure, etc. Can speak on topics that they are familiar </w:t>
            </w:r>
            <w:proofErr w:type="gramStart"/>
            <w:r w:rsidRPr="001B755F">
              <w:rPr>
                <w:rFonts w:ascii="Arial" w:hAnsi="Arial" w:cs="Arial"/>
                <w:color w:val="000048"/>
                <w:sz w:val="20"/>
                <w:szCs w:val="20"/>
              </w:rPr>
              <w:t>with for</w:t>
            </w:r>
            <w:proofErr w:type="gramEnd"/>
            <w:r w:rsidRPr="001B755F">
              <w:rPr>
                <w:rFonts w:ascii="Arial" w:hAnsi="Arial" w:cs="Arial"/>
                <w:color w:val="000048"/>
                <w:sz w:val="20"/>
                <w:szCs w:val="20"/>
              </w:rPr>
              <w:t xml:space="preserve">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w:t>
            </w:r>
            <w:proofErr w:type="gramStart"/>
            <w:r w:rsidRPr="001B755F">
              <w:rPr>
                <w:rFonts w:ascii="Arial" w:hAnsi="Arial" w:cs="Arial"/>
                <w:color w:val="000048"/>
                <w:sz w:val="20"/>
                <w:szCs w:val="20"/>
              </w:rPr>
              <w:t>Can</w:t>
            </w:r>
            <w:proofErr w:type="gramEnd"/>
            <w:r w:rsidRPr="001B755F">
              <w:rPr>
                <w:rFonts w:ascii="Arial" w:hAnsi="Arial" w:cs="Arial"/>
                <w:color w:val="000048"/>
                <w:sz w:val="20"/>
                <w:szCs w:val="20"/>
              </w:rPr>
              <w:t xml:space="preserve">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proofErr w:type="spellStart"/>
      <w:r w:rsidRPr="00A04B35">
        <w:rPr>
          <w:rFonts w:ascii="Arial" w:hAnsi="Arial" w:cs="Arial"/>
          <w:b/>
          <w:color w:val="000048"/>
          <w:u w:val="single"/>
        </w:rPr>
        <w:lastRenderedPageBreak/>
        <w:t>GenC</w:t>
      </w:r>
      <w:proofErr w:type="spellEnd"/>
      <w:r w:rsidRPr="00A04B35">
        <w:rPr>
          <w:rFonts w:ascii="Arial" w:hAnsi="Arial" w:cs="Arial"/>
          <w:b/>
          <w:color w:val="000048"/>
          <w:u w:val="single"/>
        </w:rPr>
        <w:t xml:space="preserve">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2713431D" w:rsidR="0017595D" w:rsidRPr="00A04B35" w:rsidRDefault="0017595D" w:rsidP="0017595D">
      <w:pPr>
        <w:spacing w:line="240" w:lineRule="auto"/>
        <w:rPr>
          <w:rFonts w:ascii="Arial" w:hAnsi="Arial" w:cs="Arial"/>
          <w:color w:val="000048"/>
          <w:sz w:val="20"/>
          <w:szCs w:val="20"/>
        </w:rPr>
      </w:pPr>
      <w:proofErr w:type="gramStart"/>
      <w:r w:rsidRPr="00A04B35">
        <w:rPr>
          <w:rFonts w:ascii="Arial" w:hAnsi="Arial" w:cs="Arial"/>
          <w:color w:val="000048"/>
          <w:sz w:val="20"/>
          <w:szCs w:val="20"/>
        </w:rPr>
        <w:t xml:space="preserve">I </w:t>
      </w:r>
      <w:r w:rsidR="009831FD">
        <w:rPr>
          <w:rFonts w:ascii="Arial" w:hAnsi="Arial" w:cs="Arial"/>
          <w:color w:val="000048"/>
          <w:sz w:val="20"/>
          <w:szCs w:val="20"/>
        </w:rPr>
        <w:t xml:space="preserve"> SANDYA</w:t>
      </w:r>
      <w:proofErr w:type="gramEnd"/>
      <w:r w:rsidR="009831FD">
        <w:rPr>
          <w:rFonts w:ascii="Arial" w:hAnsi="Arial" w:cs="Arial"/>
          <w:color w:val="000048"/>
          <w:sz w:val="20"/>
          <w:szCs w:val="20"/>
        </w:rPr>
        <w:t xml:space="preserve"> </w:t>
      </w:r>
      <w:proofErr w:type="gramStart"/>
      <w:r w:rsidR="009831FD">
        <w:rPr>
          <w:rFonts w:ascii="Arial" w:hAnsi="Arial" w:cs="Arial"/>
          <w:color w:val="000048"/>
          <w:sz w:val="20"/>
          <w:szCs w:val="20"/>
        </w:rPr>
        <w:t xml:space="preserve">NALLASIVAM </w:t>
      </w:r>
      <w:r w:rsidR="0048089A">
        <w:rPr>
          <w:rFonts w:ascii="Arial" w:hAnsi="Arial" w:cs="Arial"/>
          <w:color w:val="000048"/>
          <w:sz w:val="20"/>
          <w:szCs w:val="20"/>
        </w:rPr>
        <w:t>,</w:t>
      </w:r>
      <w:proofErr w:type="gramEnd"/>
      <w:r w:rsidRPr="00A04B35">
        <w:rPr>
          <w:rFonts w:ascii="Arial" w:hAnsi="Arial" w:cs="Arial"/>
          <w:color w:val="000048"/>
          <w:sz w:val="20"/>
          <w:szCs w:val="20"/>
        </w:rPr>
        <w:t xml:space="preserve"> undergoing skilling in the </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proofErr w:type="spellStart"/>
      <w:r w:rsidRPr="00A04B35">
        <w:rPr>
          <w:rFonts w:ascii="Arial" w:hAnsi="Arial" w:cs="Arial"/>
          <w:color w:val="000048"/>
          <w:sz w:val="20"/>
          <w:szCs w:val="20"/>
        </w:rPr>
        <w:t>GenC</w:t>
      </w:r>
      <w:proofErr w:type="spellEnd"/>
      <w:r w:rsidRPr="00A04B35">
        <w:rPr>
          <w:rFonts w:ascii="Arial" w:hAnsi="Arial" w:cs="Arial"/>
          <w:color w:val="000048"/>
          <w:sz w:val="20"/>
          <w:szCs w:val="20"/>
        </w:rPr>
        <w:t xml:space="preserve"> Internship skilling completion guidelines 2025</w:t>
      </w:r>
      <w:r w:rsidRPr="00A01F52">
        <w:rPr>
          <w:rFonts w:ascii="Arial" w:hAnsi="Arial" w:cs="Arial"/>
          <w:color w:val="000048"/>
          <w:sz w:val="20"/>
          <w:szCs w:val="20"/>
        </w:rPr>
        <w:t xml:space="preserve"> document outlines the guidelines and criteria for successful completion of the </w:t>
      </w:r>
      <w:proofErr w:type="spellStart"/>
      <w:r w:rsidRPr="00A01F52">
        <w:rPr>
          <w:rFonts w:ascii="Arial" w:hAnsi="Arial" w:cs="Arial"/>
          <w:color w:val="000048"/>
          <w:sz w:val="20"/>
          <w:szCs w:val="20"/>
        </w:rPr>
        <w:t>GenC</w:t>
      </w:r>
      <w:proofErr w:type="spellEnd"/>
      <w:r w:rsidRPr="00A01F52">
        <w:rPr>
          <w:rFonts w:ascii="Arial" w:hAnsi="Arial" w:cs="Arial"/>
          <w:color w:val="000048"/>
          <w:sz w:val="20"/>
          <w:szCs w:val="20"/>
        </w:rPr>
        <w:t xml:space="preserve">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 xml:space="preserve">Performance indicators such as Performance Health Status (PHS - GREEN), Behavioral rating (CEFR &gt; = B2), and Attendance Health Status (AHS – 85%) are mandatory for successful completion. If a </w:t>
            </w:r>
            <w:proofErr w:type="spellStart"/>
            <w:r w:rsidRPr="00AA6ED9">
              <w:rPr>
                <w:rFonts w:ascii="Arial" w:hAnsi="Arial" w:cs="Arial"/>
                <w:color w:val="000048"/>
                <w:sz w:val="20"/>
                <w:szCs w:val="20"/>
              </w:rPr>
              <w:t>GenC</w:t>
            </w:r>
            <w:proofErr w:type="spellEnd"/>
            <w:r w:rsidRPr="00AA6ED9">
              <w:rPr>
                <w:rFonts w:ascii="Arial" w:hAnsi="Arial" w:cs="Arial"/>
                <w:color w:val="000048"/>
                <w:sz w:val="20"/>
                <w:szCs w:val="20"/>
              </w:rPr>
              <w:t xml:space="preserve">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 xml:space="preserve">nterns must maintain </w:t>
            </w:r>
            <w:proofErr w:type="gramStart"/>
            <w:r w:rsidRPr="00AA6ED9">
              <w:rPr>
                <w:rFonts w:ascii="Arial" w:hAnsi="Arial" w:cs="Arial"/>
                <w:color w:val="000048"/>
                <w:sz w:val="20"/>
                <w:szCs w:val="20"/>
              </w:rPr>
              <w:t>minimum</w:t>
            </w:r>
            <w:proofErr w:type="gramEnd"/>
            <w:r w:rsidRPr="00AA6ED9">
              <w:rPr>
                <w:rFonts w:ascii="Arial" w:hAnsi="Arial" w:cs="Arial"/>
                <w:color w:val="000048"/>
                <w:sz w:val="20"/>
                <w:szCs w:val="20"/>
              </w:rPr>
              <w:t xml:space="preserve">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 xml:space="preserve">There could be exceptions to the applicability of evaluation components and deployment clauses based on demand and training outcomes, subject to ISL discretion and </w:t>
            </w:r>
            <w:proofErr w:type="spellStart"/>
            <w:r w:rsidRPr="00AA6ED9">
              <w:rPr>
                <w:rFonts w:ascii="Arial" w:hAnsi="Arial" w:cs="Arial"/>
                <w:color w:val="000048"/>
                <w:sz w:val="20"/>
                <w:szCs w:val="20"/>
              </w:rPr>
              <w:t>GenC</w:t>
            </w:r>
            <w:proofErr w:type="spellEnd"/>
            <w:r w:rsidRPr="00AA6ED9">
              <w:rPr>
                <w:rFonts w:ascii="Arial" w:hAnsi="Arial" w:cs="Arial"/>
                <w:color w:val="000048"/>
                <w:sz w:val="20"/>
                <w:szCs w:val="20"/>
              </w:rPr>
              <w:t xml:space="preserve">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777777" w:rsidR="0017595D" w:rsidRPr="00A04B35" w:rsidRDefault="0017595D" w:rsidP="0017595D">
      <w:pPr>
        <w:rPr>
          <w:rFonts w:ascii="Arial" w:hAnsi="Arial" w:cs="Arial"/>
        </w:rPr>
      </w:pPr>
    </w:p>
    <w:p w14:paraId="3327A176" w14:textId="77777777" w:rsidR="0017595D" w:rsidRPr="00A04B35" w:rsidRDefault="001759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7CB024B6">
                <wp:simplePos x="0" y="0"/>
                <wp:positionH relativeFrom="column">
                  <wp:posOffset>0</wp:posOffset>
                </wp:positionH>
                <wp:positionV relativeFrom="paragraph">
                  <wp:posOffset>0</wp:posOffset>
                </wp:positionV>
                <wp:extent cx="6191250" cy="828675"/>
                <wp:effectExtent l="0" t="0" r="19050" b="28575"/>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11C97E7B"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F60676">
                              <w:rPr>
                                <w:rFonts w:ascii="Arial" w:hAnsi="Arial" w:cs="Arial"/>
                                <w:color w:val="000048"/>
                                <w:sz w:val="20"/>
                                <w:szCs w:val="20"/>
                              </w:rPr>
                              <w:t>SANDYA NALLASIVAM</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r>
                            <w:r w:rsidR="007E685F">
                              <w:rPr>
                                <w:rFonts w:ascii="Arial" w:hAnsi="Arial" w:cs="Arial"/>
                                <w:color w:val="000048"/>
                                <w:sz w:val="20"/>
                                <w:szCs w:val="20"/>
                              </w:rPr>
                              <w:t>:   2401223</w:t>
                            </w:r>
                          </w:p>
                          <w:p w14:paraId="40B22021" w14:textId="3DB71DFC"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proofErr w:type="gramStart"/>
                            <w:r w:rsidRPr="00862E3F">
                              <w:rPr>
                                <w:rFonts w:ascii="Arial" w:hAnsi="Arial" w:cs="Arial"/>
                                <w:color w:val="000048"/>
                                <w:sz w:val="20"/>
                                <w:szCs w:val="20"/>
                              </w:rPr>
                              <w:tab/>
                            </w:r>
                            <w:r w:rsidR="00E34AA7">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7E685F">
                              <w:rPr>
                                <w:rFonts w:ascii="Arial" w:hAnsi="Arial" w:cs="Arial"/>
                                <w:color w:val="000048"/>
                                <w:sz w:val="20"/>
                                <w:szCs w:val="20"/>
                              </w:rPr>
                              <w:t>CHENNAI</w:t>
                            </w:r>
                            <w:r w:rsidRPr="00862E3F">
                              <w:rPr>
                                <w:rFonts w:ascii="Arial" w:hAnsi="Arial" w:cs="Arial"/>
                                <w:color w:val="000048"/>
                                <w:sz w:val="20"/>
                                <w:szCs w:val="20"/>
                              </w:rPr>
                              <w:tab/>
                            </w:r>
                            <w:r w:rsidR="00E34AA7">
                              <w:rPr>
                                <w:rFonts w:ascii="Arial" w:hAnsi="Arial" w:cs="Arial"/>
                                <w:color w:val="000048"/>
                                <w:sz w:val="20"/>
                                <w:szCs w:val="20"/>
                              </w:rPr>
                              <w:t xml:space="preserve">    </w:t>
                            </w:r>
                            <w:r w:rsidRPr="00862E3F">
                              <w:rPr>
                                <w:rFonts w:ascii="Arial" w:hAnsi="Arial" w:cs="Arial"/>
                                <w:color w:val="000048"/>
                                <w:sz w:val="20"/>
                                <w:szCs w:val="20"/>
                              </w:rPr>
                              <w:t xml:space="preserve">Date:  </w:t>
                            </w:r>
                            <w:r w:rsidR="007E685F">
                              <w:rPr>
                                <w:rFonts w:ascii="Arial" w:hAnsi="Arial" w:cs="Arial"/>
                                <w:color w:val="000048"/>
                                <w:sz w:val="20"/>
                                <w:szCs w:val="20"/>
                              </w:rPr>
                              <w:t>17/03/25</w:t>
                            </w:r>
                            <w:r w:rsidR="00E34AA7">
                              <w:rPr>
                                <w:rFonts w:ascii="Arial" w:hAnsi="Arial" w:cs="Arial"/>
                                <w:color w:val="000048"/>
                                <w:sz w:val="20"/>
                                <w:szCs w:val="20"/>
                              </w:rPr>
                              <w:t xml:space="preserve">   </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E34AA7">
                              <w:rPr>
                                <w:rFonts w:ascii="Arial" w:hAnsi="Arial" w:cs="Arial"/>
                                <w:color w:val="000048"/>
                                <w:sz w:val="20"/>
                                <w:szCs w:val="20"/>
                              </w:rPr>
                              <w:t xml:space="preserve">   </w:t>
                            </w:r>
                            <w:r w:rsidR="0048089A">
                              <w:rPr>
                                <w:rFonts w:ascii="Arial" w:hAnsi="Arial" w:cs="Arial"/>
                                <w:noProof/>
                                <w:color w:val="000048"/>
                                <w:sz w:val="20"/>
                                <w:szCs w:val="20"/>
                              </w:rPr>
                              <w:drawing>
                                <wp:inline distT="0" distB="0" distL="0" distR="0" wp14:anchorId="35063393" wp14:editId="6974049B">
                                  <wp:extent cx="1666353" cy="372794"/>
                                  <wp:effectExtent l="0" t="0" r="0" b="8255"/>
                                  <wp:docPr id="2006522975" name="Picture 1"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2975" name="Picture 1" descr="A close up of a not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1796413" cy="401891"/>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87.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" fillcolor="white [3201]" strokecolor="#4472c4 [3204]" strokeweight="1pt">
                <v:path arrowok="t"/>
                <v:textbox>
                  <w:txbxContent>
                    <w:p w14:paraId="74497248" w14:textId="11C97E7B"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F60676">
                        <w:rPr>
                          <w:rFonts w:ascii="Arial" w:hAnsi="Arial" w:cs="Arial"/>
                          <w:color w:val="000048"/>
                          <w:sz w:val="20"/>
                          <w:szCs w:val="20"/>
                        </w:rPr>
                        <w:t>SANDYA NALLASIVAM</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r>
                      <w:r w:rsidR="007E685F">
                        <w:rPr>
                          <w:rFonts w:ascii="Arial" w:hAnsi="Arial" w:cs="Arial"/>
                          <w:color w:val="000048"/>
                          <w:sz w:val="20"/>
                          <w:szCs w:val="20"/>
                        </w:rPr>
                        <w:t>:   2401223</w:t>
                      </w:r>
                    </w:p>
                    <w:p w14:paraId="40B22021" w14:textId="3DB71DFC"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proofErr w:type="gramStart"/>
                      <w:r w:rsidRPr="00862E3F">
                        <w:rPr>
                          <w:rFonts w:ascii="Arial" w:hAnsi="Arial" w:cs="Arial"/>
                          <w:color w:val="000048"/>
                          <w:sz w:val="20"/>
                          <w:szCs w:val="20"/>
                        </w:rPr>
                        <w:tab/>
                      </w:r>
                      <w:r w:rsidR="00E34AA7">
                        <w:rPr>
                          <w:rFonts w:ascii="Arial" w:hAnsi="Arial" w:cs="Arial"/>
                          <w:color w:val="000048"/>
                          <w:sz w:val="20"/>
                          <w:szCs w:val="20"/>
                        </w:rPr>
                        <w:t xml:space="preserve"> </w:t>
                      </w:r>
                      <w:r w:rsidRPr="00862E3F">
                        <w:rPr>
                          <w:rFonts w:ascii="Arial" w:hAnsi="Arial" w:cs="Arial"/>
                          <w:color w:val="000048"/>
                          <w:sz w:val="20"/>
                          <w:szCs w:val="20"/>
                        </w:rPr>
                        <w:t>:</w:t>
                      </w:r>
                      <w:proofErr w:type="gramEnd"/>
                      <w:r w:rsidRPr="00862E3F">
                        <w:rPr>
                          <w:rFonts w:ascii="Arial" w:hAnsi="Arial" w:cs="Arial"/>
                          <w:color w:val="000048"/>
                          <w:sz w:val="20"/>
                          <w:szCs w:val="20"/>
                        </w:rPr>
                        <w:t xml:space="preserve">    </w:t>
                      </w:r>
                      <w:r w:rsidR="007E685F">
                        <w:rPr>
                          <w:rFonts w:ascii="Arial" w:hAnsi="Arial" w:cs="Arial"/>
                          <w:color w:val="000048"/>
                          <w:sz w:val="20"/>
                          <w:szCs w:val="20"/>
                        </w:rPr>
                        <w:t>CHENNAI</w:t>
                      </w:r>
                      <w:r w:rsidRPr="00862E3F">
                        <w:rPr>
                          <w:rFonts w:ascii="Arial" w:hAnsi="Arial" w:cs="Arial"/>
                          <w:color w:val="000048"/>
                          <w:sz w:val="20"/>
                          <w:szCs w:val="20"/>
                        </w:rPr>
                        <w:tab/>
                      </w:r>
                      <w:r w:rsidR="00E34AA7">
                        <w:rPr>
                          <w:rFonts w:ascii="Arial" w:hAnsi="Arial" w:cs="Arial"/>
                          <w:color w:val="000048"/>
                          <w:sz w:val="20"/>
                          <w:szCs w:val="20"/>
                        </w:rPr>
                        <w:t xml:space="preserve">    </w:t>
                      </w:r>
                      <w:r w:rsidRPr="00862E3F">
                        <w:rPr>
                          <w:rFonts w:ascii="Arial" w:hAnsi="Arial" w:cs="Arial"/>
                          <w:color w:val="000048"/>
                          <w:sz w:val="20"/>
                          <w:szCs w:val="20"/>
                        </w:rPr>
                        <w:t xml:space="preserve">Date:  </w:t>
                      </w:r>
                      <w:r w:rsidR="007E685F">
                        <w:rPr>
                          <w:rFonts w:ascii="Arial" w:hAnsi="Arial" w:cs="Arial"/>
                          <w:color w:val="000048"/>
                          <w:sz w:val="20"/>
                          <w:szCs w:val="20"/>
                        </w:rPr>
                        <w:t>17/03/25</w:t>
                      </w:r>
                      <w:r w:rsidR="00E34AA7">
                        <w:rPr>
                          <w:rFonts w:ascii="Arial" w:hAnsi="Arial" w:cs="Arial"/>
                          <w:color w:val="000048"/>
                          <w:sz w:val="20"/>
                          <w:szCs w:val="20"/>
                        </w:rPr>
                        <w:t xml:space="preserve">   </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E34AA7">
                        <w:rPr>
                          <w:rFonts w:ascii="Arial" w:hAnsi="Arial" w:cs="Arial"/>
                          <w:color w:val="000048"/>
                          <w:sz w:val="20"/>
                          <w:szCs w:val="20"/>
                        </w:rPr>
                        <w:t xml:space="preserve">   </w:t>
                      </w:r>
                      <w:r w:rsidR="0048089A">
                        <w:rPr>
                          <w:rFonts w:ascii="Arial" w:hAnsi="Arial" w:cs="Arial"/>
                          <w:noProof/>
                          <w:color w:val="000048"/>
                          <w:sz w:val="20"/>
                          <w:szCs w:val="20"/>
                        </w:rPr>
                        <w:drawing>
                          <wp:inline distT="0" distB="0" distL="0" distR="0" wp14:anchorId="35063393" wp14:editId="6974049B">
                            <wp:extent cx="1666353" cy="372794"/>
                            <wp:effectExtent l="0" t="0" r="0" b="8255"/>
                            <wp:docPr id="2006522975" name="Picture 1"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2975" name="Picture 1" descr="A close up of a not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1796413" cy="401891"/>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20F7" w14:textId="77777777" w:rsidR="00D01DF8" w:rsidRDefault="00D01DF8" w:rsidP="00066922">
      <w:pPr>
        <w:spacing w:after="0" w:line="240" w:lineRule="auto"/>
      </w:pPr>
      <w:r>
        <w:separator/>
      </w:r>
    </w:p>
  </w:endnote>
  <w:endnote w:type="continuationSeparator" w:id="0">
    <w:p w14:paraId="08026A67" w14:textId="77777777" w:rsidR="00D01DF8" w:rsidRDefault="00D01DF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AE2B" w14:textId="77777777" w:rsidR="00D01DF8" w:rsidRDefault="00D01DF8" w:rsidP="00066922">
      <w:pPr>
        <w:spacing w:after="0" w:line="240" w:lineRule="auto"/>
      </w:pPr>
      <w:r>
        <w:separator/>
      </w:r>
    </w:p>
  </w:footnote>
  <w:footnote w:type="continuationSeparator" w:id="0">
    <w:p w14:paraId="6E515DB9" w14:textId="77777777" w:rsidR="00D01DF8" w:rsidRDefault="00D01DF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proofErr w:type="spellStart"/>
    <w:r>
      <w:rPr>
        <w:rFonts w:cs="Arial"/>
        <w:b/>
        <w:sz w:val="18"/>
      </w:rPr>
      <w:t>GenC</w:t>
    </w:r>
    <w:proofErr w:type="spellEnd"/>
    <w:r>
      <w:rPr>
        <w:rFonts w:cs="Arial"/>
        <w:b/>
        <w:sz w:val="18"/>
      </w:rPr>
      <w:t xml:space="preserve">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259F8"/>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6782B"/>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089A"/>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8E9"/>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E685F"/>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B7287"/>
    <w:rsid w:val="008C0A13"/>
    <w:rsid w:val="008C16B3"/>
    <w:rsid w:val="008C4EBF"/>
    <w:rsid w:val="008D0588"/>
    <w:rsid w:val="008D0C3B"/>
    <w:rsid w:val="008D20DC"/>
    <w:rsid w:val="008D6343"/>
    <w:rsid w:val="008E54CF"/>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1FD"/>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D5B53"/>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646A3"/>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C7571"/>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4AA7"/>
    <w:rsid w:val="00E35C25"/>
    <w:rsid w:val="00E4062E"/>
    <w:rsid w:val="00E41C0E"/>
    <w:rsid w:val="00E42F9B"/>
    <w:rsid w:val="00E445DA"/>
    <w:rsid w:val="00E47611"/>
    <w:rsid w:val="00E47EAE"/>
    <w:rsid w:val="00E500A4"/>
    <w:rsid w:val="00E50764"/>
    <w:rsid w:val="00E521A7"/>
    <w:rsid w:val="00E5303C"/>
    <w:rsid w:val="00E53CBE"/>
    <w:rsid w:val="00E55B01"/>
    <w:rsid w:val="00E56C76"/>
    <w:rsid w:val="00E60B4A"/>
    <w:rsid w:val="00E62769"/>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60676"/>
    <w:rsid w:val="00F62351"/>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customXml/itemProps2.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3.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C5280F-1E07-43D9-9C7A-6DBF623134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37790</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Nallasivam, Sandya (Contractor)</cp:lastModifiedBy>
  <cp:revision>10</cp:revision>
  <dcterms:created xsi:type="dcterms:W3CDTF">2025-04-10T06:47:00Z</dcterms:created>
  <dcterms:modified xsi:type="dcterms:W3CDTF">2025-04-21T08:55:00Z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