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color w:val="000000"/>
        </w:rPr>
        <w:t xml:space="preserve">康养系统代码运行说明</w:t>
      </w:r>
    </w:p>
    <w:p>
      <w:pPr>
        <w:pStyle w:val="FirstParagraph"/>
      </w:pPr>
      <w:r>
        <w:rPr>
          <w:color w:val="000000"/>
        </w:rPr>
        <w:t xml:space="preserve">版本 1.0，日期 2026-10-08。本文供项目成员启动、联调和演示当前代码。老人、家属、护工、管理员四端均调用真实后端；健康指标经配置规则自动生成预警，家属或护工处理后留下记录。AI 未配置或失败时，该业务闭环仍可运行。</w:t>
      </w:r>
    </w:p>
    <w:bookmarkStart w:id="20" w:name="环境与启动"/>
    <w:p>
      <w:pPr>
        <w:pStyle w:val="Heading2"/>
      </w:pPr>
      <w:r>
        <w:rPr>
          <w:color w:val="000000"/>
        </w:rPr>
        <w:t xml:space="preserve">环境与启动</w:t>
      </w:r>
    </w:p>
    <w:p>
      <w:pPr>
        <w:pStyle w:val="FirstParagraph"/>
      </w:pPr>
      <w:r>
        <w:rPr>
          <w:color w:val="000000"/>
        </w:rPr>
        <w:t xml:space="preserve">使用 Python 3.11、Node.js 18 或以上及 MySQL 8。后端依赖在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04.编码/后端/.venv</w:t>
      </w:r>
      <w:r>
        <w:rPr>
          <w:color w:val="000000"/>
        </w:rPr>
        <w:t xml:space="preserve">，前端依赖在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04.编码/前端/node_modules</w:t>
      </w:r>
      <w:r>
        <w:rPr>
          <w:color w:val="000000"/>
        </w:rPr>
        <w:t xml:space="preserve">。本次已经安装并通过测试；重新部署可使用启动脚本的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-Install</w:t>
      </w:r>
      <w:r>
        <w:rPr>
          <w:color w:val="000000"/>
        </w:rPr>
        <w:t xml:space="preserve"> </w:t>
      </w:r>
      <w:r>
        <w:rPr>
          <w:color w:val="000000"/>
        </w:rPr>
        <w:t xml:space="preserve">参数安装。</w:t>
      </w:r>
    </w:p>
    <w:p>
      <w:pPr>
        <w:pStyle w:val="BodyText"/>
      </w:pPr>
      <w:r>
        <w:rPr>
          <w:color w:val="000000"/>
        </w:rPr>
        <w:t xml:space="preserve">在项目根目录打开 PowerShell，启动后端：</w:t>
      </w:r>
    </w:p>
    <w:p>
      <w:pPr>
        <w:pStyle w:val="SourceCode"/>
        <w:keepLines/>
        <w:spacing w:before="60" w:after="100"/>
      </w:pPr>
      <w:r>
        <w:rPr>
          <w:rStyle w:val="OperatorTok"/>
          <w:rFonts w:ascii="Consolas" w:hAnsi="Consolas" w:eastAsia="宋体"/>
          <w:color w:val="000000"/>
          <w:sz w:val="19"/>
        </w:rPr>
        <w:t xml:space="preserve">&amp;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StringTok"/>
          <w:rFonts w:ascii="Consolas" w:hAnsi="Consolas" w:eastAsia="宋体"/>
          <w:color w:val="000000"/>
          <w:sz w:val="19"/>
        </w:rPr>
        <w:t xml:space="preserve">'./04.编码/后端/start.ps1'</w:t>
      </w:r>
    </w:p>
    <w:p>
      <w:pPr>
        <w:pStyle w:val="FirstParagraph"/>
      </w:pPr>
      <w:r>
        <w:rPr>
          <w:color w:val="000000"/>
        </w:rPr>
        <w:t xml:space="preserve">另开一个 PowerShell，启动前端：</w:t>
      </w:r>
    </w:p>
    <w:p>
      <w:pPr>
        <w:pStyle w:val="SourceCode"/>
        <w:keepLines/>
        <w:spacing w:before="60" w:after="100"/>
      </w:pPr>
      <w:r>
        <w:rPr>
          <w:rStyle w:val="OperatorTok"/>
          <w:rFonts w:ascii="Consolas" w:hAnsi="Consolas" w:eastAsia="宋体"/>
          <w:color w:val="000000"/>
          <w:sz w:val="19"/>
        </w:rPr>
        <w:t xml:space="preserve">&amp;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StringTok"/>
          <w:rFonts w:ascii="Consolas" w:hAnsi="Consolas" w:eastAsia="宋体"/>
          <w:color w:val="000000"/>
          <w:sz w:val="19"/>
        </w:rPr>
        <w:t xml:space="preserve">'./04.编码/前端/start.ps1'</w:t>
      </w:r>
    </w:p>
    <w:p>
      <w:pPr>
        <w:pStyle w:val="FirstParagraph"/>
      </w:pPr>
      <w:r>
        <w:rPr>
          <w:color w:val="000000"/>
        </w:rPr>
        <w:t xml:space="preserve">访问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http://127.0.0.1:5173</w:t>
      </w:r>
      <w:r>
        <w:rPr>
          <w:color w:val="000000"/>
        </w:rPr>
        <w:t xml:space="preserve">。后端接口文档为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http://127.0.0.1:8000/docs</w:t>
      </w:r>
      <w:r>
        <w:rPr>
          <w:color w:val="000000"/>
        </w:rPr>
        <w:t xml:space="preserve">，健康检查为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/api/healthz</w:t>
      </w:r>
      <w:r>
        <w:rPr>
          <w:color w:val="000000"/>
        </w:rPr>
        <w:t xml:space="preserve">。前端默认将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/api</w:t>
      </w:r>
      <w:r>
        <w:rPr>
          <w:color w:val="000000"/>
        </w:rPr>
        <w:t xml:space="preserve"> </w:t>
      </w:r>
      <w:r>
        <w:rPr>
          <w:color w:val="000000"/>
        </w:rPr>
        <w:t xml:space="preserve">代理至本机 8000；需要其他地址时，仅为前端进程设置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VITE_BACKEND_URL</w:t>
      </w:r>
      <w:r>
        <w:rPr>
          <w:color w:val="000000"/>
        </w:rPr>
        <w:t xml:space="preserve">。</w:t>
      </w:r>
    </w:p>
    <w:p>
      <w:pPr>
        <w:pStyle w:val="BodyText"/>
      </w:pPr>
      <w:r>
        <w:rPr>
          <w:color w:val="000000"/>
        </w:rPr>
        <w:t xml:space="preserve">后端读取本机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.env</w:t>
      </w:r>
      <w:r>
        <w:rPr>
          <w:color w:val="000000"/>
        </w:rPr>
        <w:t xml:space="preserve"> </w:t>
      </w:r>
      <w:r>
        <w:rPr>
          <w:color w:val="000000"/>
        </w:rPr>
        <w:t xml:space="preserve">中的 DB_HOST、DB_PORT、DB_USER、DB_PASSWORD、DB_NAME，或完整 DATABASE_URL。启动脚本只在 JWT 密钥缺失时生成 SECRET_KEY，保留已有密钥，不输出值。真实密码和 API Key 不进入前端或 Git。更改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.env</w:t>
      </w:r>
      <w:r>
        <w:rPr>
          <w:color w:val="000000"/>
        </w:rPr>
        <w:t xml:space="preserve"> </w:t>
      </w:r>
      <w:r>
        <w:rPr>
          <w:color w:val="000000"/>
        </w:rPr>
        <w:t xml:space="preserve">后需重启后端。</w:t>
      </w:r>
    </w:p>
    <w:p>
      <w:pPr>
        <w:pStyle w:val="BodyText"/>
      </w:pPr>
      <w:r>
        <w:rPr>
          <w:color w:val="000000"/>
        </w:rPr>
        <w:t xml:space="preserve">本机 MySQL 连接和现有 15 表字段已经核对成功。应用启动不执行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schema.sql</w:t>
      </w:r>
      <w:r>
        <w:rPr>
          <w:color w:val="000000"/>
        </w:rPr>
        <w:t xml:space="preserve">、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init_data.sql</w:t>
      </w:r>
      <w:r>
        <w:rPr>
          <w:color w:val="000000"/>
        </w:rPr>
        <w:t xml:space="preserve"> </w:t>
      </w:r>
      <w:r>
        <w:rPr>
          <w:color w:val="000000"/>
        </w:rPr>
        <w:t xml:space="preserve">或导出备份，不创建、重建或清空现有 MySQL。</w:t>
      </w:r>
    </w:p>
    <w:bookmarkEnd w:id="20"/>
    <w:bookmarkStart w:id="21" w:name="独立演示库"/>
    <w:p>
      <w:pPr>
        <w:pStyle w:val="Heading2"/>
      </w:pPr>
      <w:r>
        <w:rPr>
          <w:color w:val="000000"/>
        </w:rPr>
        <w:t xml:space="preserve">独立演示库</w:t>
      </w:r>
    </w:p>
    <w:p>
      <w:pPr>
        <w:pStyle w:val="FirstParagraph"/>
      </w:pPr>
      <w:r>
        <w:rPr>
          <w:color w:val="000000"/>
        </w:rPr>
        <w:t xml:space="preserve">希望演练而不写入现有 MySQL 时，关闭原来的后端，用下列命令启动独立 SQLite 演示库：</w:t>
      </w:r>
    </w:p>
    <w:p>
      <w:pPr>
        <w:pStyle w:val="SourceCode"/>
        <w:keepLines/>
        <w:spacing w:before="60" w:after="100"/>
      </w:pPr>
      <w:r>
        <w:rPr>
          <w:rStyle w:val="OperatorTok"/>
          <w:rFonts w:ascii="Consolas" w:hAnsi="Consolas" w:eastAsia="宋体"/>
          <w:color w:val="000000"/>
          <w:sz w:val="19"/>
        </w:rPr>
        <w:t xml:space="preserve">&amp;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StringTok"/>
          <w:rFonts w:ascii="Consolas" w:hAnsi="Consolas" w:eastAsia="宋体"/>
          <w:color w:val="000000"/>
          <w:sz w:val="19"/>
        </w:rPr>
        <w:t xml:space="preserve">'./04.编码/后端/start.ps1'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Demo</w:t>
      </w:r>
    </w:p>
    <w:p>
      <w:pPr>
        <w:pStyle w:val="FirstParagraph"/>
      </w:pPr>
      <w:r>
        <w:rPr>
          <w:color w:val="000000"/>
        </w:rPr>
        <w:t xml:space="preserve">演示库为后端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config.local.demo.db</w:t>
      </w:r>
      <w:r>
        <w:rPr>
          <w:color w:val="000000"/>
        </w:rPr>
        <w:t xml:space="preserve">，按已有 Git 忽略规则保存。初始化只追加缺少的演示账号、配置、档案、授权和官方知识，不清空已有记录。SQLite 是隔离演示与测试方式，正式数据库仍使用 MySQL 8。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5904"/>
      </w:tblGrid>
      <w:tr>
        <w:trPr>
          <w:tblHeader w:val="on"/>
          <w:tblHeader/>
          <w:cantSplit/>
        </w:trPr>
        <w:tc>
          <w:tcPr>
            <w:tcW w:type="dxa" w:w="4032"/>
            <w:vAlign w:val="center"/>
            <w:shd w:fill="E7EE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/>
                <w:sz w:val="21"/>
              </w:rPr>
              <w:t xml:space="preserve">角色</w:t>
            </w:r>
          </w:p>
        </w:tc>
        <w:tc>
          <w:tcPr>
            <w:tcW w:type="dxa" w:w="5904"/>
            <w:vAlign w:val="center"/>
            <w:shd w:fill="E7EE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/>
                <w:sz w:val="21"/>
              </w:rPr>
              <w:t xml:space="preserve">演示手机号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管理员</w:t>
            </w:r>
          </w:p>
        </w:tc>
        <w:tc>
          <w:tcPr>
            <w:tcW w:type="dxa" w:w="590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13000000001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老人</w:t>
            </w:r>
          </w:p>
        </w:tc>
        <w:tc>
          <w:tcPr>
            <w:tcW w:type="dxa" w:w="5904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13000000002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家属</w:t>
            </w:r>
          </w:p>
        </w:tc>
        <w:tc>
          <w:tcPr>
            <w:tcW w:type="dxa" w:w="590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13000000003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护工</w:t>
            </w:r>
          </w:p>
        </w:tc>
        <w:tc>
          <w:tcPr>
            <w:tcW w:type="dxa" w:w="5904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13000000004</w:t>
            </w:r>
          </w:p>
        </w:tc>
      </w:tr>
    </w:tbl>
    <w:p>
      <w:pPr>
        <w:pStyle w:val="BodyText"/>
      </w:pPr>
      <w:r>
        <w:rPr>
          <w:color w:val="000000"/>
        </w:rPr>
        <w:t xml:space="preserve">独立演示账号初始密码为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Abc123456</w:t>
      </w:r>
      <w:r>
        <w:rPr>
          <w:color w:val="000000"/>
        </w:rPr>
        <w:t xml:space="preserve">，只用于演示库。首次登录应通过个人中心确认隐私授权。真实部署使用实际账号，初始管理员由项目已有数据库初始化方案预置。</w:t>
      </w:r>
    </w:p>
    <w:bookmarkEnd w:id="21"/>
    <w:bookmarkStart w:id="22" w:name="预警演示步骤"/>
    <w:p>
      <w:pPr>
        <w:pStyle w:val="Heading2"/>
      </w:pPr>
      <w:r>
        <w:rPr>
          <w:color w:val="000000"/>
        </w:rPr>
        <w:t xml:space="preserve">预警演示步骤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老人登录，确认授权，选择档案并录入血压。独立演示库可使用 185/100 验证高风险预警，测量时间填写当前时间。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家属登录，进入通知中心；轮询周期为 30 秒，也可刷新。打开预警后仅标记该家属已读。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在详情查看原始指标、参考范围和趋势。未配置 AI 时摘要显示失败，仍可登记联系、复诊或其他处理结果。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提交处理说明后查看处理记录。其他接收人能看到同一处理结果，其未读状态独立保存。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解绑后再次请求该老人档案和预警，后端应立即拒绝；护工撤销分配也立即失权。</w:t>
      </w:r>
    </w:p>
    <w:p>
      <w:pPr>
        <w:pStyle w:val="FirstParagraph"/>
      </w:pPr>
      <w:r>
        <w:rPr>
          <w:color w:val="000000"/>
        </w:rPr>
        <w:t xml:space="preserve">管理员可创建护工或管理员、启禁用户、维护角色、档案、指标录入范围、预警阈值和知识库。老人及家属自助注册不能获得护工或管理员角色。护工列表支持状态和测量时段筛选，按当前异常状态排序。</w:t>
      </w:r>
    </w:p>
    <w:p>
      <w:pPr>
        <w:pStyle w:val="BodyText"/>
      </w:pPr>
      <w:r>
        <w:rPr>
          <w:color w:val="000000"/>
        </w:rPr>
        <w:t xml:space="preserve">既有 MySQL 的部分旧阈值未覆盖低血压、低血糖范围。遇到未覆盖值时系统明确返回配置错误，不能将其判成正常。由管理员根据项目确认的规则补齐范围后再录入；代码不会自动篡改旧配置。独立演示配置已覆盖这些区间，阈值仍从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sys_config</w:t>
      </w:r>
      <w:r>
        <w:rPr>
          <w:color w:val="000000"/>
        </w:rPr>
        <w:t xml:space="preserve"> </w:t>
      </w:r>
      <w:r>
        <w:rPr>
          <w:color w:val="000000"/>
        </w:rPr>
        <w:t xml:space="preserve">读取。</w:t>
      </w:r>
    </w:p>
    <w:bookmarkEnd w:id="22"/>
    <w:bookmarkStart w:id="23" w:name="ai-和知识库配置"/>
    <w:p>
      <w:pPr>
        <w:pStyle w:val="Heading2"/>
      </w:pPr>
      <w:r>
        <w:rPr>
          <w:color w:val="000000"/>
        </w:rPr>
        <w:t xml:space="preserve">AI 和知识库配置</w:t>
      </w:r>
    </w:p>
    <w:p>
      <w:pPr>
        <w:pStyle w:val="FirstParagraph"/>
      </w:pPr>
      <w:r>
        <w:rPr>
          <w:color w:val="000000"/>
        </w:rPr>
        <w:t xml:space="preserve">在后端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.env</w:t>
      </w:r>
      <w:r>
        <w:rPr>
          <w:color w:val="000000"/>
        </w:rPr>
        <w:t xml:space="preserve"> </w:t>
      </w:r>
      <w:r>
        <w:rPr>
          <w:color w:val="000000"/>
        </w:rPr>
        <w:t xml:space="preserve">设置 LLM_PROVIDER 为 deepseek、qwen 或 glm，并填写对应 DEEPSEEK_API_KEY、DASHSCOPE_API_KEY 或 ZHIPU_API_KEY。提供方切换不需要修改代码。模型地址与模型名称可通过 LLM_BASE_URL、LLM_MODEL 覆盖。</w:t>
      </w:r>
    </w:p>
    <w:p>
      <w:pPr>
        <w:pStyle w:val="BodyText"/>
      </w:pPr>
      <w:r>
        <w:rPr>
          <w:color w:val="000000"/>
        </w:rPr>
        <w:t xml:space="preserve">咨询采用 LangGraph 四条数据路径：日常问题只检索知识；数据问题查授权档案的真实指标；异常问题查具体预警和趋势；紧急表述由代码立即写预警并给出求助提示。模型不能执行 SQL、判断权限或写数据库。输入长度、日限额、超时、重试和输出安全过滤均由后端实现。</w:t>
      </w:r>
    </w:p>
    <w:p>
      <w:pPr>
        <w:pStyle w:val="BodyText"/>
      </w:pPr>
      <w:r>
        <w:rPr>
          <w:color w:val="000000"/>
        </w:rPr>
        <w:t xml:space="preserve">七类官方科普文件位于后端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data/knowledge_seed.json</w:t>
      </w:r>
      <w:r>
        <w:rPr>
          <w:color w:val="000000"/>
        </w:rPr>
        <w:t xml:space="preserve">，包含 WHO 和 NHS 的来源链接及检索日期。独立演示库自动导入。对已有数据库，在后端目录先预览缺少的条目：</w:t>
      </w:r>
    </w:p>
    <w:p>
      <w:pPr>
        <w:pStyle w:val="SourceCode"/>
        <w:keepLines/>
        <w:spacing w:before="60" w:after="100"/>
      </w:pP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venv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/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Scripts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/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python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exe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m scripts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import_knowledge</w:t>
      </w:r>
    </w:p>
    <w:p>
      <w:pPr>
        <w:pStyle w:val="FirstParagraph"/>
      </w:pPr>
      <w:r>
        <w:rPr>
          <w:color w:val="000000"/>
        </w:rPr>
        <w:t xml:space="preserve">确需追加时运行：</w:t>
      </w:r>
    </w:p>
    <w:p>
      <w:pPr>
        <w:pStyle w:val="SourceCode"/>
        <w:keepLines/>
        <w:spacing w:before="60" w:after="100"/>
      </w:pP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venv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/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Scripts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/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python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exe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m scripts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import_knowledge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apply</w:t>
      </w:r>
    </w:p>
    <w:p>
      <w:pPr>
        <w:pStyle w:val="FirstParagraph"/>
      </w:pPr>
      <w:r>
        <w:rPr>
          <w:color w:val="000000"/>
        </w:rPr>
        <w:t xml:space="preserve">导入只追加缺少的条目，不覆盖管理员编辑，也不重新启用已禁用条目。当前已有 MySQL 未执行此导入。本次未配置真实模型 Key，尚未进行外部模型回答质量验收。</w:t>
      </w:r>
    </w:p>
    <w:p>
      <w:pPr>
        <w:pStyle w:val="BodyText"/>
      </w:pPr>
      <w:r>
        <w:rPr>
          <w:color w:val="000000"/>
        </w:rPr>
        <w:t xml:space="preserve">默认哈希 Embedding 加 Chroma 可离线运行，属于词形检索。可选本地 SentenceTransformer 适配器只加载已存在的完整模型目录，不自动下载；真实语义模型尚未验证。具体参数与边界见后端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app/agent/README.md</w:t>
      </w:r>
      <w:r>
        <w:rPr>
          <w:color w:val="000000"/>
        </w:rPr>
        <w:t xml:space="preserve">。</w:t>
      </w:r>
    </w:p>
    <w:bookmarkEnd w:id="23"/>
    <w:bookmarkStart w:id="24" w:name="测试与故障定位"/>
    <w:p>
      <w:pPr>
        <w:pStyle w:val="Heading2"/>
      </w:pPr>
      <w:r>
        <w:rPr>
          <w:color w:val="000000"/>
        </w:rPr>
        <w:t xml:space="preserve">测试与故障定位</w:t>
      </w:r>
    </w:p>
    <w:p>
      <w:pPr>
        <w:pStyle w:val="FirstParagraph"/>
      </w:pPr>
      <w:r>
        <w:rPr>
          <w:color w:val="000000"/>
        </w:rPr>
        <w:t xml:space="preserve">后端目录执行单测和独立验收：</w:t>
      </w:r>
    </w:p>
    <w:p>
      <w:pPr>
        <w:pStyle w:val="SourceCode"/>
        <w:keepLines/>
        <w:spacing w:before="60" w:after="100"/>
      </w:pP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venv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/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Scripts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/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python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exe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m pytest tests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q</w:t>
      </w:r>
      <w:r>
        <w:rPr>
          <w:rFonts w:ascii="Consolas" w:hAnsi="Consolas" w:eastAsia="宋体"/>
          <w:color w:val="000000"/>
          <w:sz w:val="19"/>
        </w:rPr>
        <w:br/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venv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/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Scripts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/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python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.</w:t>
      </w:r>
      <w:r>
        <w:rPr>
          <w:rStyle w:val="FunctionTok"/>
          <w:rFonts w:ascii="Consolas" w:hAnsi="Consolas" w:eastAsia="宋体"/>
          <w:color w:val="000000"/>
          <w:sz w:val="19"/>
        </w:rPr>
        <w:t xml:space="preserve">exe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m pytest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../../</w:t>
      </w:r>
      <w:r>
        <w:rPr>
          <w:rStyle w:val="DecValTok"/>
          <w:rFonts w:ascii="Consolas" w:hAnsi="Consolas" w:eastAsia="宋体"/>
          <w:color w:val="000000"/>
          <w:sz w:val="19"/>
        </w:rPr>
        <w:t xml:space="preserve">05.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集成测试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q</w:t>
      </w:r>
    </w:p>
    <w:p>
      <w:pPr>
        <w:pStyle w:val="FirstParagraph"/>
      </w:pPr>
      <w:r>
        <w:rPr>
          <w:color w:val="000000"/>
        </w:rPr>
        <w:t xml:space="preserve">项目根目录执行 MySQL 只读核对或临时库验收：</w:t>
      </w:r>
    </w:p>
    <w:p>
      <w:pPr>
        <w:pStyle w:val="SourceCode"/>
        <w:keepLines/>
        <w:spacing w:before="60" w:after="100"/>
      </w:pPr>
      <w:r>
        <w:rPr>
          <w:rStyle w:val="VariableTok"/>
          <w:rFonts w:ascii="Consolas" w:hAnsi="Consolas" w:eastAsia="宋体"/>
          <w:color w:val="000000"/>
          <w:sz w:val="19"/>
        </w:rPr>
        <w:t xml:space="preserve">$testPython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=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StringTok"/>
          <w:rFonts w:ascii="Consolas" w:hAnsi="Consolas" w:eastAsia="宋体"/>
          <w:color w:val="000000"/>
          <w:sz w:val="19"/>
        </w:rPr>
        <w:t xml:space="preserve">'./04.编码/后端/.venv/Scripts/python.exe'</w:t>
      </w:r>
      <w:r>
        <w:rPr>
          <w:rFonts w:ascii="Consolas" w:hAnsi="Consolas" w:eastAsia="宋体"/>
          <w:color w:val="000000"/>
          <w:sz w:val="19"/>
        </w:rPr>
        <w:br/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&amp;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VariableTok"/>
          <w:rFonts w:ascii="Consolas" w:hAnsi="Consolas" w:eastAsia="宋体"/>
          <w:color w:val="000000"/>
          <w:sz w:val="19"/>
        </w:rPr>
        <w:t xml:space="preserve">$testPython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StringTok"/>
          <w:rFonts w:ascii="Consolas" w:hAnsi="Consolas" w:eastAsia="宋体"/>
          <w:color w:val="000000"/>
          <w:sz w:val="19"/>
        </w:rPr>
        <w:t xml:space="preserve">'./05.集成测试/verify_mysql.py'</w:t>
      </w:r>
      <w:r>
        <w:rPr>
          <w:rFonts w:ascii="Consolas" w:hAnsi="Consolas" w:eastAsia="宋体"/>
          <w:color w:val="000000"/>
          <w:sz w:val="19"/>
        </w:rPr>
        <w:br/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&amp;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VariableTok"/>
          <w:rFonts w:ascii="Consolas" w:hAnsi="Consolas" w:eastAsia="宋体"/>
          <w:color w:val="000000"/>
          <w:sz w:val="19"/>
        </w:rPr>
        <w:t xml:space="preserve">$testPython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StringTok"/>
          <w:rFonts w:ascii="Consolas" w:hAnsi="Consolas" w:eastAsia="宋体"/>
          <w:color w:val="000000"/>
          <w:sz w:val="19"/>
        </w:rPr>
        <w:t xml:space="preserve">'./05.集成测试/verify_mysql.py'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 </w:t>
      </w:r>
      <w:r>
        <w:rPr>
          <w:rStyle w:val="OperatorTok"/>
          <w:rFonts w:ascii="Consolas" w:hAnsi="Consolas" w:eastAsia="宋体"/>
          <w:color w:val="000000"/>
          <w:sz w:val="19"/>
        </w:rPr>
        <w:t xml:space="preserve">--</w:t>
      </w:r>
      <w:r>
        <w:rPr>
          <w:rStyle w:val="NormalTok"/>
          <w:rFonts w:ascii="Consolas" w:hAnsi="Consolas" w:eastAsia="宋体"/>
          <w:color w:val="000000"/>
          <w:sz w:val="19"/>
        </w:rPr>
        <w:t xml:space="preserve">run-tests</w:t>
      </w:r>
    </w:p>
    <w:p>
      <w:pPr>
        <w:pStyle w:val="FirstParagraph"/>
      </w:pPr>
      <w:r>
        <w:rPr>
          <w:color w:val="000000"/>
        </w:rPr>
        <w:t xml:space="preserve">后者创建随机命名的临时 MySQL 库，测试完仅删除此临时库，不重置已有业务库。浏览器测试脚本、结果和截图见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05.集成测试/前端浏览器/README.md</w:t>
      </w:r>
      <w:r>
        <w:rPr>
          <w:color w:val="000000"/>
        </w:rPr>
        <w:t xml:space="preserve">。可复现依赖快照在后端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requirements.lock.txt</w:t>
      </w:r>
      <w:r>
        <w:rPr>
          <w:color w:val="000000"/>
        </w:rPr>
        <w:t xml:space="preserve">。</w:t>
      </w:r>
    </w:p>
    <w:p>
      <w:pPr>
        <w:pStyle w:val="BodyText"/>
      </w:pPr>
      <w:r>
        <w:rPr>
          <w:color w:val="000000"/>
        </w:rPr>
        <w:t xml:space="preserve">默认生产服务不扫描遗留摘要。单进程需要时设置 SUMMARY_RECOVERY_ENABLED=true，超时遗留摘要转为失败后由用户重试；活动任务会被排除。多进程不启用此扫描，应使用外部任务协调后再部署。</w:t>
      </w:r>
    </w:p>
    <w:p>
      <w:pPr>
        <w:pStyle w:val="BodyText"/>
      </w:pPr>
      <w:r>
        <w:rPr>
          <w:color w:val="000000"/>
        </w:rPr>
        <w:t xml:space="preserve">【选配】短信验证码、电话外呼、流式输出、文档上传和 PDF 导出未接入。本地用药或打卡页面会明确标注未同步服务器，不列为核心验收成功。前端构建有 Element Plus 和 ECharts 包体较大的优化提示，不影响本次编译及浏览器验证。</w:t>
      </w:r>
    </w:p>
    <w:bookmarkEnd w:id="24"/>
    <w:sectPr>
      <w:footerReference w:type="default" r:id="rId9"/>
      <w:pgSz w:w="12240" w:h="15840"/>
      <w:pgMar w:top="1008" w:bottom="1008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00" w:before="180" w:line="276" w:lineRule="auto"/>
    </w:pPr>
    <w:rPr>
      <w:rFonts w:ascii="宋体" w:hAnsi="宋体" w:eastAsia="宋体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Compact" w:type="paragraph">
    <w:name w:val="Compact"/>
    <w:basedOn w:val="BodyText"/>
    <w:qFormat/>
    <w:pPr>
      <w:widowControl/>
      <w:spacing w:after="100" w:before="36" w:line="276" w:lineRule="auto"/>
    </w:pPr>
    <w:rPr>
      <w:rFonts w:ascii="宋体" w:hAnsi="宋体" w:eastAsia="宋体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160" w:before="0" w:line="276" w:lineRule="auto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100" w:before="240" w:line="276" w:lineRule="auto"/>
      <w:jc w:val="center"/>
    </w:pPr>
    <w:rPr>
      <w:rFonts w:ascii="宋体" w:hAnsi="宋体" w:eastAsia="宋体"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line="276" w:lineRule="auto" w:after="100"/>
      <w:jc w:val="center"/>
    </w:pPr>
    <w:rPr>
      <w:rFonts w:ascii="宋体" w:hAnsi="宋体" w:eastAsia="宋体"/>
      <w:color w:val="000000"/>
      <w:sz w:val="22"/>
    </w:rPr>
  </w:style>
  <w:style w:styleId="Date" w:type="paragraph">
    <w:name w:val="Date"/>
    <w:next w:val="BodyText"/>
    <w:qFormat/>
    <w:pPr>
      <w:keepNext/>
      <w:keepLines/>
      <w:widowControl/>
      <w:spacing w:line="276" w:lineRule="auto" w:after="100"/>
      <w:jc w:val="center"/>
    </w:pPr>
    <w:rPr>
      <w:rFonts w:ascii="宋体" w:hAnsi="宋体" w:eastAsia="宋体"/>
      <w:color w:val="000000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widowControl/>
      <w:spacing w:after="100" w:before="300" w:line="276" w:lineRule="auto"/>
      <w:jc w:val="center"/>
    </w:pPr>
    <w:rPr>
      <w:rFonts w:ascii="宋体" w:hAnsi="宋体" w:eastAsia="宋体"/>
      <w:b/>
      <w:color w:val="000000"/>
      <w:sz w:val="22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100" w:before="100" w:line="276" w:lineRule="auto"/>
    </w:pPr>
    <w:rPr>
      <w:rFonts w:ascii="宋体" w:hAnsi="宋体" w:eastAsia="宋体"/>
      <w:color w:val="000000"/>
      <w:sz w:val="22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00" w:before="480" w:line="276" w:lineRule="auto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3"/>
    </w:pPr>
    <w:rPr>
      <w:rFonts w:asciiTheme="majorHAnsi" w:cstheme="majorBidi" w:eastAsiaTheme="majorEastAsia" w:hAnsiTheme="majorHAnsi" w:ascii="宋体" w:hAnsi="宋体" w:eastAsia="宋体"/>
      <w:bCs/>
      <w:i/>
      <w:color w:val="00000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4"/>
    </w:pPr>
    <w:rPr>
      <w:rFonts w:asciiTheme="majorHAnsi" w:cstheme="majorBidi" w:eastAsiaTheme="majorEastAsia" w:hAnsiTheme="majorHAnsi" w:ascii="宋体" w:hAnsi="宋体" w:eastAsia="宋体"/>
      <w:iCs/>
      <w:color w:val="000000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5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6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7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8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00" w:before="100" w:line="276" w:lineRule="auto"/>
      <w:ind w:firstLine="0" w:left="480" w:right="480"/>
    </w:pPr>
    <w:rPr>
      <w:rFonts w:ascii="宋体" w:hAnsi="宋体" w:eastAsia="宋体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widowControl/>
      <w:spacing w:after="100" w:before="100" w:line="276" w:lineRule="auto"/>
      <w:ind w:firstLine="0" w:left="480" w:right="480"/>
    </w:pPr>
    <w:rPr>
      <w:rFonts w:ascii="宋体" w:hAnsi="宋体" w:eastAsia="宋体"/>
      <w:color w:val="000000"/>
      <w:sz w:val="2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100" w:line="276" w:lineRule="auto"/>
    </w:pPr>
    <w:rPr>
      <w:rFonts w:ascii="宋体" w:hAnsi="宋体" w:eastAsia="宋体"/>
      <w:b/>
      <w:color w:val="000000"/>
      <w:sz w:val="22"/>
    </w:rPr>
  </w:style>
  <w:style w:customStyle="1" w:styleId="Definition" w:type="paragraph">
    <w:name w:val="Definition"/>
    <w:basedOn w:val="Normal"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styleId="Caption" w:type="paragraph">
    <w:name w:val="Caption"/>
    <w:basedOn w:val="Normal"/>
    <w:link w:val="BodyTextChar"/>
    <w:pPr>
      <w:widowControl/>
      <w:spacing w:after="100" w:before="0" w:line="276" w:lineRule="auto"/>
    </w:pPr>
    <w:rPr>
      <w:rFonts w:ascii="宋体" w:hAnsi="宋体" w:eastAsia="宋体"/>
      <w:i/>
      <w:color w:val="000000"/>
      <w:sz w:val="22"/>
    </w:rPr>
  </w:style>
  <w:style w:customStyle="1" w:styleId="TableCaption" w:type="paragraph">
    <w:name w:val="Table Caption"/>
    <w:basedOn w:val="Caption"/>
    <w:pPr>
      <w:keepNext/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ImageCaption" w:type="paragraph">
    <w:name w:val="Image Caption"/>
    <w:basedOn w:val="Caption"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Figure" w:type="paragraph">
    <w:name w:val="Figure"/>
    <w:basedOn w:val="Normal"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CaptionedFigure" w:type="paragraph">
    <w:name w:val="Captioned Figure"/>
    <w:basedOn w:val="Figure"/>
    <w:pPr>
      <w:keepNext/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widowControl/>
      <w:spacing w:before="240" w:line="276" w:lineRule="auto" w:after="100"/>
      <w:outlineLvl w:val="9"/>
    </w:pPr>
    <w:rPr>
      <w:rFonts w:asciiTheme="majorHAnsi" w:cstheme="majorBidi" w:eastAsiaTheme="majorEastAsia" w:hAnsiTheme="majorHAnsi" w:ascii="宋体" w:hAnsi="宋体" w:eastAsia="宋体"/>
      <w:b w:val="0"/>
      <w:bCs w:val="0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idowControl/>
      <w:wordWrap w:val="off"/>
      <w:spacing w:line="276" w:lineRule="auto" w:after="100"/>
    </w:pPr>
    <w:rPr>
      <w:rFonts w:ascii="宋体" w:hAnsi="宋体" w:eastAsia="宋体"/>
      <w:color w:val="000000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康养系统代码运行说明</dc:title>
  <dc:creator>康养系统项目组</dc:creator>
  <cp:keywords/>
  <dcterms:created xsi:type="dcterms:W3CDTF">2026-10-08T14:10:57Z</dcterms:created>
  <dcterms:modified xsi:type="dcterms:W3CDTF">2026-10-08T14:10:57Z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