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color w:val="000000"/>
        </w:rPr>
        <w:t xml:space="preserve">康养系统代码实现与验收记录</w:t>
      </w:r>
    </w:p>
    <w:p>
      <w:pPr>
        <w:pStyle w:val="FirstParagraph"/>
      </w:pPr>
      <w:r>
        <w:rPr>
          <w:color w:val="000000"/>
        </w:rPr>
        <w:t xml:space="preserve">日期 2026-10-08。本次将既有 Vue 页面从模拟数据切换到真实接口，新增 FastAPI 后端、护工端及管理员端，完成项目核心预警闭环。验收区分代码与离线测试、隔离 MySQL 业务测试、现有数据库只读连接，以及尚未验证的真实模型能力；不将测试替身等同在线模型。</w:t>
      </w:r>
    </w:p>
    <w:bookmarkStart w:id="20" w:name="实现范围"/>
    <w:p>
      <w:pPr>
        <w:pStyle w:val="Heading2"/>
      </w:pPr>
      <w:r>
        <w:rPr>
          <w:color w:val="000000"/>
        </w:rPr>
        <w:t xml:space="preserve">实现范围</w:t>
      </w:r>
    </w:p>
    <w:p>
      <w:pPr>
        <w:pStyle w:val="FirstParagraph"/>
      </w:pPr>
      <w:r>
        <w:rPr>
          <w:color w:val="000000"/>
        </w:rPr>
        <w:t xml:space="preserve">认证包含角色白名单、bcrypt、JWT、服务端持久注销、账号禁用立即失权、改密码及角色变更撤销旧 Token、登录失败限次、隐私授权和个人资料修改。</w:t>
      </w:r>
    </w:p>
    <w:p>
      <w:pPr>
        <w:pStyle w:val="BodyText"/>
      </w:pPr>
      <w:r>
        <w:rPr>
          <w:color w:val="000000"/>
        </w:rPr>
        <w:t xml:space="preserve">健康档案支持 1 至 N 份、创建查看修改与软删除。老人、家属、护工及管理员按实时归属、已确认绑定或在管关系隔离数据；代建档案必须来自既有授权，不自动扩大其他人员权限。指标支持血压、血糖、心率、睡眠和步数，记录校验、分页历史、删除和趋势图。</w:t>
      </w:r>
    </w:p>
    <w:p>
      <w:pPr>
        <w:pStyle w:val="BodyText"/>
      </w:pPr>
      <w:r>
        <w:rPr>
          <w:color w:val="000000"/>
        </w:rPr>
        <w:t xml:space="preserve">阈值与录入配置保存于</w:t>
      </w:r>
      <w:r>
        <w:rPr>
          <w:color w:val="000000"/>
        </w:rPr>
        <w:t xml:space="preserve"> </w:t>
      </w:r>
      <w:r>
        <w:rPr>
          <w:rStyle w:val="VerbatimChar"/>
          <w:rFonts w:ascii="Consolas" w:hAnsi="Consolas" w:eastAsia="宋体"/>
          <w:color w:val="000000"/>
          <w:sz w:val="19"/>
        </w:rPr>
        <w:t xml:space="preserve">sys_config</w:t>
      </w:r>
      <w:r>
        <w:rPr>
          <w:color w:val="000000"/>
        </w:rPr>
        <w:t xml:space="preserve">。异常指标、预警、接收人由同一事务写入，模型摘要在后台生成。接收人的已读状态和全局处理状态独立；处理说明、人员及时间留痕。解绑和护工撤销分配立即收回历史访问权限。新授权人员可查看历史预警，通知状态不充当访问权限。</w:t>
      </w:r>
    </w:p>
    <w:p>
      <w:pPr>
        <w:pStyle w:val="BodyText"/>
      </w:pPr>
      <w:r>
        <w:rPr>
          <w:color w:val="000000"/>
        </w:rPr>
        <w:t xml:space="preserve">护工端包含负责老人、异常优先、测量时段筛选、详情、代录、预警与本人处理记录。管理端包含建号、启禁、角色、档案、阈值、指标范围、知识增删改及索引、周期统计与数据总量。四端包含空数据、失败、无权限和过期状态。</w:t>
      </w:r>
    </w:p>
    <w:p>
      <w:pPr>
        <w:pStyle w:val="BodyText"/>
      </w:pPr>
      <w:r>
        <w:rPr>
          <w:color w:val="000000"/>
        </w:rPr>
        <w:t xml:space="preserve">AI 包含 LangGraph 四类意图数据路径、国内三提供方环境切换、输入长度与日限额、紧急关键词及同义表达强制升级、诊断和调药输出过滤、异步摘要及重试。RAG 实现 Embedding、Chroma、分块、Top-K 与知识变更重建，附七类有官方来源的基础科普语料。</w:t>
      </w:r>
    </w:p>
    <w:bookmarkEnd w:id="20"/>
    <w:bookmarkStart w:id="21" w:name="已执行验证"/>
    <w:p>
      <w:pPr>
        <w:pStyle w:val="Heading2"/>
      </w:pPr>
      <w:r>
        <w:rPr>
          <w:color w:val="000000"/>
        </w:rPr>
        <w:t xml:space="preserve">已执行验证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04"/>
        <w:gridCol w:w="1440"/>
        <w:gridCol w:w="6192"/>
      </w:tblGrid>
      <w:tr>
        <w:trPr>
          <w:tblHeader w:val="on"/>
          <w:tblHeader/>
          <w:cantSplit/>
        </w:trPr>
        <w:tc>
          <w:tcPr>
            <w:tcW w:type="dxa" w:w="2304"/>
            <w:vAlign w:val="center"/>
            <w:shd w:fill="E7EE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spacing w:after="40" w:before="40" w:line="264" w:lineRule="auto"/>
              <w:jc w:val="left"/>
            </w:pPr>
            <w:r>
              <w:rPr>
                <w:b/>
                <w:sz w:val="21"/>
              </w:rPr>
              <w:t xml:space="preserve">验证</w:t>
            </w:r>
          </w:p>
        </w:tc>
        <w:tc>
          <w:tcPr>
            <w:tcW w:type="dxa" w:w="1440"/>
            <w:vAlign w:val="center"/>
            <w:shd w:fill="E7EE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spacing w:after="40" w:before="40" w:line="264" w:lineRule="auto"/>
              <w:jc w:val="center"/>
            </w:pPr>
            <w:r>
              <w:rPr>
                <w:b/>
                <w:sz w:val="21"/>
              </w:rPr>
              <w:t xml:space="preserve">结果</w:t>
            </w:r>
          </w:p>
        </w:tc>
        <w:tc>
          <w:tcPr>
            <w:tcW w:type="dxa" w:w="6192"/>
            <w:vAlign w:val="center"/>
            <w:shd w:fill="E7EE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spacing w:after="40" w:before="40" w:line="264" w:lineRule="auto"/>
              <w:jc w:val="left"/>
            </w:pPr>
            <w:r>
              <w:rPr>
                <w:b/>
                <w:sz w:val="21"/>
              </w:rPr>
              <w:t xml:space="preserve">实际边界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spacing w:after="40" w:before="40" w:line="264" w:lineRule="auto"/>
              <w:jc w:val="left"/>
            </w:pPr>
            <w:r>
              <w:rPr>
                <w:b w:val="0"/>
                <w:sz w:val="21"/>
              </w:rPr>
              <w:t xml:space="preserve">后端及 AI 单元与业务测试</w:t>
            </w:r>
          </w:p>
        </w:tc>
        <w:tc>
          <w:tcPr>
            <w:tcW w:type="dxa" w:w="1440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spacing w:after="40" w:before="40" w:line="264" w:lineRule="auto"/>
              <w:jc w:val="center"/>
            </w:pPr>
            <w:r>
              <w:rPr>
                <w:b w:val="0"/>
                <w:sz w:val="21"/>
              </w:rPr>
              <w:t xml:space="preserve">53 项通过</w:t>
            </w:r>
          </w:p>
        </w:tc>
        <w:tc>
          <w:tcPr>
            <w:tcW w:type="dxa" w:w="6192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spacing w:after="40" w:before="40" w:line="264" w:lineRule="auto"/>
              <w:jc w:val="left"/>
            </w:pPr>
            <w:r>
              <w:rPr>
                <w:b w:val="0"/>
                <w:sz w:val="21"/>
              </w:rPr>
              <w:t xml:space="preserve">临时 SQLite；模型显式测试替身或不可用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7F9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spacing w:after="40" w:before="40" w:line="264" w:lineRule="auto"/>
              <w:jc w:val="left"/>
            </w:pPr>
            <w:r>
              <w:rPr>
                <w:b w:val="0"/>
                <w:sz w:val="21"/>
              </w:rPr>
              <w:t xml:space="preserve">独立 SQLite 接口验收</w:t>
            </w:r>
          </w:p>
        </w:tc>
        <w:tc>
          <w:tcPr>
            <w:tcW w:type="dxa" w:w="1440"/>
            <w:vAlign w:val="center"/>
            <w:shd w:fill="F7F9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spacing w:after="40" w:before="40" w:line="264" w:lineRule="auto"/>
              <w:jc w:val="center"/>
            </w:pPr>
            <w:r>
              <w:rPr>
                <w:b w:val="0"/>
                <w:sz w:val="21"/>
              </w:rPr>
              <w:t xml:space="preserve">15 项通过</w:t>
            </w:r>
          </w:p>
        </w:tc>
        <w:tc>
          <w:tcPr>
            <w:tcW w:type="dxa" w:w="6192"/>
            <w:vAlign w:val="center"/>
            <w:shd w:fill="F7F9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spacing w:after="40" w:before="40" w:line="264" w:lineRule="auto"/>
              <w:jc w:val="left"/>
            </w:pPr>
            <w:r>
              <w:rPr>
                <w:b w:val="0"/>
                <w:sz w:val="21"/>
              </w:rPr>
              <w:t xml:space="preserve">现有 MySQL 不参与；MySQL 并发专用项跳过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spacing w:after="40" w:before="40" w:line="264" w:lineRule="auto"/>
              <w:jc w:val="left"/>
            </w:pPr>
            <w:r>
              <w:rPr>
                <w:b w:val="0"/>
                <w:sz w:val="21"/>
              </w:rPr>
              <w:t xml:space="preserve">独立 MySQL 接口验收</w:t>
            </w:r>
          </w:p>
        </w:tc>
        <w:tc>
          <w:tcPr>
            <w:tcW w:type="dxa" w:w="1440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spacing w:after="40" w:before="40" w:line="264" w:lineRule="auto"/>
              <w:jc w:val="center"/>
            </w:pPr>
            <w:r>
              <w:rPr>
                <w:b w:val="0"/>
                <w:sz w:val="21"/>
              </w:rPr>
              <w:t xml:space="preserve">17 项通过</w:t>
            </w:r>
          </w:p>
        </w:tc>
        <w:tc>
          <w:tcPr>
            <w:tcW w:type="dxa" w:w="6192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spacing w:after="40" w:before="40" w:line="264" w:lineRule="auto"/>
              <w:jc w:val="left"/>
            </w:pPr>
            <w:r>
              <w:rPr>
                <w:b w:val="0"/>
                <w:sz w:val="21"/>
              </w:rPr>
              <w:t xml:space="preserve">MySQL 8.0.42 临时库；含并发处理及重复绑定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7F9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spacing w:after="40" w:before="40" w:line="264" w:lineRule="auto"/>
              <w:jc w:val="left"/>
            </w:pPr>
            <w:r>
              <w:rPr>
                <w:b w:val="0"/>
                <w:sz w:val="21"/>
              </w:rPr>
              <w:t xml:space="preserve">Chrome 四角色与写操作检查</w:t>
            </w:r>
          </w:p>
        </w:tc>
        <w:tc>
          <w:tcPr>
            <w:tcW w:type="dxa" w:w="1440"/>
            <w:vAlign w:val="center"/>
            <w:shd w:fill="F7F9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spacing w:after="40" w:before="40" w:line="264" w:lineRule="auto"/>
              <w:jc w:val="center"/>
            </w:pPr>
            <w:r>
              <w:rPr>
                <w:b w:val="0"/>
                <w:sz w:val="21"/>
              </w:rPr>
              <w:t xml:space="preserve">45 项通过</w:t>
            </w:r>
          </w:p>
        </w:tc>
        <w:tc>
          <w:tcPr>
            <w:tcW w:type="dxa" w:w="6192"/>
            <w:vAlign w:val="center"/>
            <w:shd w:fill="F7F9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spacing w:after="40" w:before="40" w:line="264" w:lineRule="auto"/>
              <w:jc w:val="left"/>
            </w:pPr>
            <w:r>
              <w:rPr>
                <w:b w:val="0"/>
                <w:sz w:val="21"/>
              </w:rPr>
              <w:t xml:space="preserve">隔离 SQLite 与本机 Chrome，无真实模型调用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spacing w:after="40" w:before="40" w:line="264" w:lineRule="auto"/>
              <w:jc w:val="left"/>
            </w:pPr>
            <w:r>
              <w:rPr>
                <w:b w:val="0"/>
                <w:sz w:val="21"/>
              </w:rPr>
              <w:t xml:space="preserve">前端依赖安装及最终构建</w:t>
            </w:r>
          </w:p>
        </w:tc>
        <w:tc>
          <w:tcPr>
            <w:tcW w:type="dxa" w:w="1440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spacing w:after="40" w:before="40" w:line="264" w:lineRule="auto"/>
              <w:jc w:val="center"/>
            </w:pPr>
            <w:r>
              <w:rPr>
                <w:b w:val="0"/>
                <w:sz w:val="21"/>
              </w:rPr>
              <w:t xml:space="preserve">通过</w:t>
            </w:r>
          </w:p>
        </w:tc>
        <w:tc>
          <w:tcPr>
            <w:tcW w:type="dxa" w:w="6192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spacing w:after="40" w:before="40" w:line="264" w:lineRule="auto"/>
              <w:jc w:val="left"/>
            </w:pPr>
            <w:r>
              <w:rPr>
                <w:b w:val="0"/>
                <w:sz w:val="21"/>
              </w:rPr>
              <w:t xml:space="preserve">Vite 编译；包体优化提示仍存在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7F9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spacing w:after="40" w:before="40" w:line="264" w:lineRule="auto"/>
              <w:jc w:val="left"/>
            </w:pPr>
            <w:r>
              <w:rPr>
                <w:b w:val="0"/>
                <w:sz w:val="21"/>
              </w:rPr>
              <w:t xml:space="preserve">后端隔离依赖检查</w:t>
            </w:r>
          </w:p>
        </w:tc>
        <w:tc>
          <w:tcPr>
            <w:tcW w:type="dxa" w:w="1440"/>
            <w:vAlign w:val="center"/>
            <w:shd w:fill="F7F9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spacing w:after="40" w:before="40" w:line="264" w:lineRule="auto"/>
              <w:jc w:val="center"/>
            </w:pPr>
            <w:r>
              <w:rPr>
                <w:b w:val="0"/>
                <w:sz w:val="21"/>
              </w:rPr>
              <w:t xml:space="preserve">通过</w:t>
            </w:r>
          </w:p>
        </w:tc>
        <w:tc>
          <w:tcPr>
            <w:tcW w:type="dxa" w:w="6192"/>
            <w:vAlign w:val="center"/>
            <w:shd w:fill="F7F9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spacing w:after="40" w:before="40" w:line="264" w:lineRule="auto"/>
              <w:jc w:val="left"/>
            </w:pPr>
            <w:r>
              <w:rPr>
                <w:rStyle w:val="VerbatimChar"/>
                <w:b w:val="0"/>
                <w:sz w:val="21"/>
              </w:rPr>
              <w:t xml:space="preserve">pip check</w:t>
            </w:r>
            <w:r>
              <w:rPr>
                <w:b w:val="0"/>
                <w:sz w:val="21"/>
              </w:rPr>
              <w:t xml:space="preserve"> </w:t>
            </w:r>
            <w:r>
              <w:rPr>
                <w:b w:val="0"/>
                <w:sz w:val="21"/>
              </w:rPr>
              <w:t xml:space="preserve">无损坏依赖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spacing w:after="40" w:before="40" w:line="264" w:lineRule="auto"/>
              <w:jc w:val="left"/>
            </w:pPr>
            <w:r>
              <w:rPr>
                <w:b w:val="0"/>
                <w:sz w:val="21"/>
              </w:rPr>
              <w:t xml:space="preserve">现有数据库连接及表映射</w:t>
            </w:r>
          </w:p>
        </w:tc>
        <w:tc>
          <w:tcPr>
            <w:tcW w:type="dxa" w:w="1440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spacing w:after="40" w:before="40" w:line="264" w:lineRule="auto"/>
              <w:jc w:val="center"/>
            </w:pPr>
            <w:r>
              <w:rPr>
                <w:b w:val="0"/>
                <w:sz w:val="21"/>
              </w:rPr>
              <w:t xml:space="preserve">通过</w:t>
            </w:r>
          </w:p>
        </w:tc>
        <w:tc>
          <w:tcPr>
            <w:tcW w:type="dxa" w:w="6192"/>
            <w:vAlign w:val="center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spacing w:after="40" w:before="40" w:line="264" w:lineRule="auto"/>
              <w:jc w:val="left"/>
            </w:pPr>
            <w:r>
              <w:rPr>
                <w:b w:val="0"/>
                <w:sz w:val="21"/>
              </w:rPr>
              <w:t xml:space="preserve">15 表字段一致，只读核对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7F9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spacing w:after="40" w:before="40" w:line="264" w:lineRule="auto"/>
              <w:jc w:val="left"/>
            </w:pPr>
            <w:r>
              <w:rPr>
                <w:b w:val="0"/>
                <w:sz w:val="21"/>
              </w:rPr>
              <w:t xml:space="preserve">实际后端启动与健康接口</w:t>
            </w:r>
          </w:p>
        </w:tc>
        <w:tc>
          <w:tcPr>
            <w:tcW w:type="dxa" w:w="1440"/>
            <w:vAlign w:val="center"/>
            <w:shd w:fill="F7F9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spacing w:after="40" w:before="40" w:line="264" w:lineRule="auto"/>
              <w:jc w:val="center"/>
            </w:pPr>
            <w:r>
              <w:rPr>
                <w:b w:val="0"/>
                <w:sz w:val="21"/>
              </w:rPr>
              <w:t xml:space="preserve">通过</w:t>
            </w:r>
          </w:p>
        </w:tc>
        <w:tc>
          <w:tcPr>
            <w:tcW w:type="dxa" w:w="6192"/>
            <w:vAlign w:val="center"/>
            <w:shd w:fill="F7F9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spacing w:after="40" w:before="40" w:line="264" w:lineRule="auto"/>
              <w:jc w:val="left"/>
            </w:pPr>
            <w:r>
              <w:rPr>
                <w:b w:val="0"/>
                <w:sz w:val="21"/>
              </w:rPr>
              <w:t xml:space="preserve">连接用户</w:t>
            </w:r>
            <w:r>
              <w:rPr>
                <w:b w:val="0"/>
                <w:sz w:val="21"/>
              </w:rPr>
              <w:t xml:space="preserve"> </w:t>
            </w:r>
            <w:r>
              <w:rPr>
                <w:rStyle w:val="VerbatimChar"/>
                <w:b w:val="0"/>
                <w:sz w:val="21"/>
              </w:rPr>
              <w:t xml:space="preserve">.env</w:t>
            </w:r>
            <w:r>
              <w:rPr>
                <w:b w:val="0"/>
                <w:sz w:val="21"/>
              </w:rPr>
              <w:t xml:space="preserve"> </w:t>
            </w:r>
            <w:r>
              <w:rPr>
                <w:b w:val="0"/>
                <w:sz w:val="21"/>
              </w:rPr>
              <w:t xml:space="preserve">的 MySQL，healthz 返回 available</w:t>
            </w:r>
          </w:p>
        </w:tc>
      </w:tr>
    </w:tbl>
    <w:p>
      <w:pPr>
        <w:pStyle w:val="BodyText"/>
      </w:pPr>
      <w:r>
        <w:rPr>
          <w:color w:val="000000"/>
        </w:rPr>
        <w:t xml:space="preserve">两项 MySQL 并发测试分别验证：两位接收人同时处理同一预警，只写入一份最终处理记录；同一用户并发申请同一绑定，只生成一份有效申请。临时数据库在测试后删除，现有业务数据库没有被重建或清空。</w:t>
      </w:r>
    </w:p>
    <w:p>
      <w:pPr>
        <w:pStyle w:val="BodyText"/>
      </w:pPr>
      <w:r>
        <w:rPr>
          <w:color w:val="000000"/>
        </w:rPr>
        <w:t xml:space="preserve">浏览器重点路径为老人录入异常血压、家属收到通知、打开详情、登记处理和查看记录。另实测四角色登录和隐私授权、管理端建号启禁及配置写入、多档案创建与隔离、过期 Token、403、网络中断、无 Key 的 AI 降级、趋势图和统计 canvas。最终补测护工异常、已处理与中文已读标签，更新当前截图；45 项命名检查均通过，页面错误列表为空。预期触发的 400 或网络错误有显式提示。</w:t>
      </w:r>
    </w:p>
    <w:p>
      <w:pPr>
        <w:pStyle w:val="BodyText"/>
      </w:pPr>
      <w:r>
        <w:rPr>
          <w:color w:val="000000"/>
        </w:rPr>
        <w:t xml:space="preserve">测试源文件为</w:t>
      </w:r>
      <w:r>
        <w:rPr>
          <w:color w:val="000000"/>
        </w:rPr>
        <w:t xml:space="preserve"> </w:t>
      </w:r>
      <w:r>
        <w:rPr>
          <w:rStyle w:val="VerbatimChar"/>
          <w:rFonts w:ascii="Consolas" w:hAnsi="Consolas" w:eastAsia="宋体"/>
          <w:color w:val="000000"/>
          <w:sz w:val="19"/>
        </w:rPr>
        <w:t xml:space="preserve">后端/tests</w:t>
      </w:r>
      <w:r>
        <w:rPr>
          <w:color w:val="000000"/>
        </w:rPr>
        <w:t xml:space="preserve">、本目录</w:t>
      </w:r>
      <w:r>
        <w:rPr>
          <w:color w:val="000000"/>
        </w:rPr>
        <w:t xml:space="preserve"> </w:t>
      </w:r>
      <w:r>
        <w:rPr>
          <w:rStyle w:val="VerbatimChar"/>
          <w:rFonts w:ascii="Consolas" w:hAnsi="Consolas" w:eastAsia="宋体"/>
          <w:color w:val="000000"/>
          <w:sz w:val="19"/>
        </w:rPr>
        <w:t xml:space="preserve">test_acceptance.py</w:t>
      </w:r>
      <w:r>
        <w:rPr>
          <w:color w:val="000000"/>
        </w:rPr>
        <w:t xml:space="preserve"> </w:t>
      </w:r>
      <w:r>
        <w:rPr>
          <w:color w:val="000000"/>
        </w:rPr>
        <w:t xml:space="preserve">与</w:t>
      </w:r>
      <w:r>
        <w:rPr>
          <w:color w:val="000000"/>
        </w:rPr>
        <w:t xml:space="preserve"> </w:t>
      </w:r>
      <w:r>
        <w:rPr>
          <w:rStyle w:val="VerbatimChar"/>
          <w:rFonts w:ascii="Consolas" w:hAnsi="Consolas" w:eastAsia="宋体"/>
          <w:color w:val="000000"/>
          <w:sz w:val="19"/>
        </w:rPr>
        <w:t xml:space="preserve">verify_mysql.py</w:t>
      </w:r>
      <w:r>
        <w:rPr>
          <w:color w:val="000000"/>
        </w:rPr>
        <w:t xml:space="preserve">，浏览器证据为</w:t>
      </w:r>
      <w:r>
        <w:rPr>
          <w:color w:val="000000"/>
        </w:rPr>
        <w:t xml:space="preserve"> </w:t>
      </w:r>
      <w:r>
        <w:rPr>
          <w:rStyle w:val="VerbatimChar"/>
          <w:rFonts w:ascii="Consolas" w:hAnsi="Consolas" w:eastAsia="宋体"/>
          <w:color w:val="000000"/>
          <w:sz w:val="19"/>
        </w:rPr>
        <w:t xml:space="preserve">前端浏览器</w:t>
      </w:r>
      <w:r>
        <w:rPr>
          <w:color w:val="000000"/>
        </w:rPr>
        <w:t xml:space="preserve"> </w:t>
      </w:r>
      <w:r>
        <w:rPr>
          <w:color w:val="000000"/>
        </w:rPr>
        <w:t xml:space="preserve">下脚本、JSON 和 PNG。实际 OpenAPI 提供 62 个 HTTP 方法与路径组合，含兼容别名及健康检查；原契约及新增核心接口以《API 接口实现补充 v0.2》共同为准。</w:t>
      </w:r>
    </w:p>
    <w:bookmarkEnd w:id="21"/>
    <w:bookmarkStart w:id="22" w:name="验证限制与运行状态"/>
    <w:p>
      <w:pPr>
        <w:pStyle w:val="Heading2"/>
      </w:pPr>
      <w:r>
        <w:rPr>
          <w:color w:val="000000"/>
        </w:rPr>
        <w:t xml:space="preserve">验证限制与运行状态</w:t>
      </w:r>
    </w:p>
    <w:p>
      <w:pPr>
        <w:pStyle w:val="FirstParagraph"/>
      </w:pPr>
      <w:r>
        <w:rPr>
          <w:color w:val="000000"/>
        </w:rPr>
        <w:t xml:space="preserve">真实模型 Key 未配置，未验证 DeepSeek、通义千问或 GLM 在线回答、成本、延迟及模型故障恢复质量。代码缺 Key 时返回 3001；录入、预警和处理仍可运行。AI 测试中的回答不是生产成功记录。</w:t>
      </w:r>
    </w:p>
    <w:p>
      <w:pPr>
        <w:pStyle w:val="BodyText"/>
      </w:pPr>
      <w:r>
        <w:rPr>
          <w:color w:val="000000"/>
        </w:rPr>
        <w:t xml:space="preserve">默认哈希向量只验证词形检索。七类真实来源语料的典型问题在 Chroma Top-3 中命中，不代表所有近义问法均能正确召回。可选本地语义模型适配器的加载约束经过测试，真实语义模型未安装验收。七条起始科普不是完整疾病知识库，当前已有 MySQL 尚未导入它们。</w:t>
      </w:r>
    </w:p>
    <w:p>
      <w:pPr>
        <w:pStyle w:val="BodyText"/>
      </w:pPr>
      <w:r>
        <w:rPr>
          <w:color w:val="000000"/>
        </w:rPr>
        <w:t xml:space="preserve">既有 MySQL 演示阈值部分缺少低值覆盖；应用会明确提示管理员补齐，不能静默判正常。原 SQL 种子还存在异常标记及风险等级口径不一致，本次保留原有数据库及用户修改的备份，隔离演示通过实际录入生成预警，避免将旧种子当成当前逻辑证据。</w:t>
      </w:r>
    </w:p>
    <w:p>
      <w:pPr>
        <w:pStyle w:val="BodyText"/>
      </w:pPr>
      <w:r>
        <w:rPr>
          <w:color w:val="000000"/>
        </w:rPr>
        <w:t xml:space="preserve">【选配】短信、电话外呼、流式输出、文档上传及 PDF 导出未做接入验收。用药和打卡本地记录已标明没有服务器同步。遗留摘要自动恢复只适用单进程，生产默认关闭，开启方式见运行说明。</w:t>
      </w:r>
    </w:p>
    <w:bookmarkEnd w:id="22"/>
    <w:bookmarkStart w:id="23" w:name="交付与保留范围"/>
    <w:p>
      <w:pPr>
        <w:pStyle w:val="Heading2"/>
      </w:pPr>
      <w:r>
        <w:rPr>
          <w:color w:val="000000"/>
        </w:rPr>
        <w:t xml:space="preserve">交付与保留范围</w:t>
      </w:r>
    </w:p>
    <w:p>
      <w:pPr>
        <w:pStyle w:val="FirstParagraph"/>
      </w:pPr>
      <w:r>
        <w:rPr>
          <w:color w:val="000000"/>
        </w:rPr>
        <w:t xml:space="preserve">代码、配置模板、启动脚本、测试、运行说明及接口补充均已落盘。现有</w:t>
      </w:r>
      <w:r>
        <w:rPr>
          <w:color w:val="000000"/>
        </w:rPr>
        <w:t xml:space="preserve"> </w:t>
      </w:r>
      <w:r>
        <w:rPr>
          <w:rStyle w:val="VerbatimChar"/>
          <w:rFonts w:ascii="Consolas" w:hAnsi="Consolas" w:eastAsia="宋体"/>
          <w:color w:val="000000"/>
          <w:sz w:val="19"/>
        </w:rPr>
        <w:t xml:space="preserve">.gitignore</w:t>
      </w:r>
      <w:r>
        <w:rPr>
          <w:color w:val="000000"/>
        </w:rPr>
        <w:t xml:space="preserve"> </w:t>
      </w:r>
      <w:r>
        <w:rPr>
          <w:color w:val="000000"/>
        </w:rPr>
        <w:t xml:space="preserve">未修改，真实</w:t>
      </w:r>
      <w:r>
        <w:rPr>
          <w:color w:val="000000"/>
        </w:rPr>
        <w:t xml:space="preserve"> </w:t>
      </w:r>
      <w:r>
        <w:rPr>
          <w:rStyle w:val="VerbatimChar"/>
          <w:rFonts w:ascii="Consolas" w:hAnsi="Consolas" w:eastAsia="宋体"/>
          <w:color w:val="000000"/>
          <w:sz w:val="19"/>
        </w:rPr>
        <w:t xml:space="preserve">.env</w:t>
      </w:r>
      <w:r>
        <w:rPr>
          <w:color w:val="000000"/>
        </w:rPr>
        <w:t xml:space="preserve"> </w:t>
      </w:r>
      <w:r>
        <w:rPr>
          <w:color w:val="000000"/>
        </w:rPr>
        <w:t xml:space="preserve">未追踪；本机缺失的 JWT 密钥已生成并保存在</w:t>
      </w:r>
      <w:r>
        <w:rPr>
          <w:color w:val="000000"/>
        </w:rPr>
        <w:t xml:space="preserve"> </w:t>
      </w:r>
      <w:r>
        <w:rPr>
          <w:rStyle w:val="VerbatimChar"/>
          <w:rFonts w:ascii="Consolas" w:hAnsi="Consolas" w:eastAsia="宋体"/>
          <w:color w:val="000000"/>
          <w:sz w:val="19"/>
        </w:rPr>
        <w:t xml:space="preserve">.env</w:t>
      </w:r>
      <w:r>
        <w:rPr>
          <w:color w:val="000000"/>
        </w:rPr>
        <w:t xml:space="preserve">，未展示到聊天。用户原已修改的</w:t>
      </w:r>
      <w:r>
        <w:rPr>
          <w:color w:val="000000"/>
        </w:rPr>
        <w:t xml:space="preserve"> </w:t>
      </w:r>
      <w:r>
        <w:rPr>
          <w:rStyle w:val="VerbatimChar"/>
          <w:rFonts w:ascii="Consolas" w:hAnsi="Consolas" w:eastAsia="宋体"/>
          <w:color w:val="000000"/>
          <w:sz w:val="19"/>
        </w:rPr>
        <w:t xml:space="preserve">导出_kangyang_完整备份.sql</w:t>
      </w:r>
      <w:r>
        <w:rPr>
          <w:color w:val="000000"/>
        </w:rPr>
        <w:t xml:space="preserve"> </w:t>
      </w:r>
      <w:r>
        <w:rPr>
          <w:color w:val="000000"/>
        </w:rPr>
        <w:t xml:space="preserve">保留，本次未编辑该文件。</w:t>
      </w:r>
    </w:p>
    <w:p>
      <w:pPr>
        <w:pStyle w:val="BodyText"/>
      </w:pPr>
      <w:r>
        <w:rPr>
          <w:color w:val="000000"/>
        </w:rPr>
        <w:t xml:space="preserve">本次依赖安装曾误用全局 Anaconda，已按安装日志恢复原有升级项并移除新增项。最终项目使用独立</w:t>
      </w:r>
      <w:r>
        <w:rPr>
          <w:color w:val="000000"/>
        </w:rPr>
        <w:t xml:space="preserve"> </w:t>
      </w:r>
      <w:r>
        <w:rPr>
          <w:rStyle w:val="VerbatimChar"/>
          <w:rFonts w:ascii="Consolas" w:hAnsi="Consolas" w:eastAsia="宋体"/>
          <w:color w:val="000000"/>
          <w:sz w:val="19"/>
        </w:rPr>
        <w:t xml:space="preserve">.venv</w:t>
      </w:r>
      <w:r>
        <w:rPr>
          <w:color w:val="000000"/>
        </w:rPr>
        <w:t xml:space="preserve">，全局环境原有其他依赖冲突未擅自修复。</w:t>
      </w:r>
    </w:p>
    <w:p>
      <w:pPr>
        <w:pStyle w:val="BodyText"/>
      </w:pPr>
      <w:r>
        <w:rPr>
          <w:color w:val="000000"/>
        </w:rPr>
        <w:t xml:space="preserve">没有提交或推送 Git。本次验证足以说明核心代码和业务闭环可运行，不等于真实模型、完整医疗语料、公开部署和全部选配能力已完成验收。成员可按</w:t>
      </w:r>
      <w:r>
        <w:rPr>
          <w:color w:val="000000"/>
        </w:rPr>
        <w:t xml:space="preserve"> </w:t>
      </w:r>
      <w:r>
        <w:rPr>
          <w:rStyle w:val="VerbatimChar"/>
          <w:rFonts w:ascii="Consolas" w:hAnsi="Consolas" w:eastAsia="宋体"/>
          <w:color w:val="000000"/>
          <w:sz w:val="19"/>
        </w:rPr>
        <w:t xml:space="preserve">04.编码/运行说明_康养系统_v1.0.md</w:t>
      </w:r>
      <w:r>
        <w:rPr>
          <w:color w:val="000000"/>
        </w:rPr>
        <w:t xml:space="preserve"> </w:t>
      </w:r>
      <w:r>
        <w:rPr>
          <w:color w:val="000000"/>
        </w:rPr>
        <w:t xml:space="preserve">启动和复现。</w:t>
      </w:r>
    </w:p>
    <w:bookmarkEnd w:id="23"/>
    <w:sectPr>
      <w:footerReference w:type="default" r:id="rId9"/>
      <w:pgSz w:w="12240" w:h="15840"/>
      <w:pgMar w:top="1008" w:bottom="1008" w:left="1152" w:right="115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  <w:spacing w:line="276" w:lineRule="auto" w:after="100"/>
    </w:pPr>
    <w:rPr>
      <w:rFonts w:ascii="宋体" w:hAnsi="宋体" w:eastAsia="宋体"/>
      <w:color w:val="000000"/>
      <w:sz w:val="22"/>
    </w:rPr>
  </w:style>
  <w:style w:styleId="BodyText" w:type="paragraph">
    <w:name w:val="Body Text"/>
    <w:basedOn w:val="Normal"/>
    <w:link w:val="BodyTextChar"/>
    <w:qFormat/>
    <w:pPr>
      <w:widowControl/>
      <w:spacing w:after="100" w:before="180" w:line="276" w:lineRule="auto"/>
    </w:pPr>
    <w:rPr>
      <w:rFonts w:ascii="宋体" w:hAnsi="宋体" w:eastAsia="宋体"/>
      <w:color w:val="000000"/>
      <w:sz w:val="22"/>
    </w:rPr>
  </w:style>
  <w:style w:customStyle="1" w:styleId="FirstParagraph" w:type="paragraph">
    <w:name w:val="First Paragraph"/>
    <w:basedOn w:val="BodyText"/>
    <w:next w:val="BodyText"/>
    <w:qFormat/>
    <w:pPr>
      <w:widowControl/>
      <w:spacing w:line="276" w:lineRule="auto" w:after="100"/>
    </w:pPr>
    <w:rPr>
      <w:rFonts w:ascii="宋体" w:hAnsi="宋体" w:eastAsia="宋体"/>
      <w:color w:val="000000"/>
      <w:sz w:val="22"/>
    </w:rPr>
  </w:style>
  <w:style w:customStyle="1" w:styleId="Compact" w:type="paragraph">
    <w:name w:val="Compact"/>
    <w:basedOn w:val="BodyText"/>
    <w:qFormat/>
    <w:pPr>
      <w:widowControl/>
      <w:spacing w:after="100" w:before="36" w:line="276" w:lineRule="auto"/>
    </w:pPr>
    <w:rPr>
      <w:rFonts w:ascii="宋体" w:hAnsi="宋体" w:eastAsia="宋体"/>
      <w:color w:val="000000"/>
      <w:sz w:val="22"/>
    </w:rPr>
  </w:style>
  <w:style w:styleId="Title" w:type="paragraph">
    <w:name w:val="Title"/>
    <w:basedOn w:val="Normal"/>
    <w:next w:val="BodyText"/>
    <w:qFormat/>
    <w:pPr>
      <w:keepNext/>
      <w:keepLines/>
      <w:widowControl/>
      <w:spacing w:after="160" w:before="0" w:line="276" w:lineRule="auto"/>
      <w:jc w:val="center"/>
    </w:pPr>
    <w:rPr>
      <w:rFonts w:asciiTheme="majorHAnsi" w:cstheme="majorBidi" w:eastAsiaTheme="majorEastAsia" w:hAnsiTheme="majorHAnsi" w:ascii="黑体" w:hAnsi="黑体" w:eastAsia="黑体"/>
      <w:b/>
      <w:bCs/>
      <w:color w:val="000000"/>
      <w:sz w:val="3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widowControl/>
      <w:spacing w:after="100" w:before="240" w:line="276" w:lineRule="auto"/>
      <w:jc w:val="center"/>
    </w:pPr>
    <w:rPr>
      <w:rFonts w:ascii="宋体" w:hAnsi="宋体" w:eastAsia="宋体"/>
      <w:color w:val="000000"/>
      <w:sz w:val="22"/>
      <w:szCs w:val="30"/>
    </w:rPr>
  </w:style>
  <w:style w:customStyle="1" w:styleId="Author" w:type="paragraph">
    <w:name w:val="Author"/>
    <w:next w:val="BodyText"/>
    <w:qFormat/>
    <w:pPr>
      <w:keepNext/>
      <w:keepLines/>
      <w:widowControl/>
      <w:spacing w:line="276" w:lineRule="auto" w:after="100"/>
      <w:jc w:val="center"/>
    </w:pPr>
    <w:rPr>
      <w:rFonts w:ascii="宋体" w:hAnsi="宋体" w:eastAsia="宋体"/>
      <w:color w:val="000000"/>
      <w:sz w:val="22"/>
    </w:rPr>
  </w:style>
  <w:style w:styleId="Date" w:type="paragraph">
    <w:name w:val="Date"/>
    <w:next w:val="BodyText"/>
    <w:qFormat/>
    <w:pPr>
      <w:keepNext/>
      <w:keepLines/>
      <w:widowControl/>
      <w:spacing w:line="276" w:lineRule="auto" w:after="100"/>
      <w:jc w:val="center"/>
    </w:pPr>
    <w:rPr>
      <w:rFonts w:ascii="宋体" w:hAnsi="宋体" w:eastAsia="宋体"/>
      <w:color w:val="000000"/>
      <w:sz w:val="22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widowControl/>
      <w:spacing w:after="100" w:before="300" w:line="276" w:lineRule="auto"/>
      <w:jc w:val="center"/>
    </w:pPr>
    <w:rPr>
      <w:rFonts w:ascii="宋体" w:hAnsi="宋体" w:eastAsia="宋体"/>
      <w:b/>
      <w:color w:val="000000"/>
      <w:sz w:val="22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widowControl/>
      <w:spacing w:after="100" w:before="100" w:line="276" w:lineRule="auto"/>
    </w:pPr>
    <w:rPr>
      <w:rFonts w:ascii="宋体" w:hAnsi="宋体" w:eastAsia="宋体"/>
      <w:color w:val="000000"/>
      <w:sz w:val="22"/>
      <w:szCs w:val="20"/>
    </w:rPr>
  </w:style>
  <w:style w:styleId="Bibliography" w:type="paragraph">
    <w:name w:val="Bibliography"/>
    <w:basedOn w:val="Normal"/>
    <w:next w:val="Bibliography"/>
    <w:qFormat/>
    <w:pPr>
      <w:widowControl/>
      <w:spacing w:line="276" w:lineRule="auto" w:after="100"/>
    </w:pPr>
    <w:rPr>
      <w:rFonts w:ascii="宋体" w:hAnsi="宋体" w:eastAsia="宋体"/>
      <w:color w:val="000000"/>
      <w:sz w:val="22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widowControl/>
      <w:spacing w:after="100" w:before="480" w:line="276" w:lineRule="auto"/>
      <w:outlineLvl w:val="0"/>
    </w:pPr>
    <w:rPr>
      <w:rFonts w:asciiTheme="majorHAnsi" w:cstheme="majorBidi" w:eastAsiaTheme="majorEastAsia" w:hAnsiTheme="majorHAnsi" w:ascii="宋体" w:hAnsi="宋体" w:eastAsia="宋体"/>
      <w:b/>
      <w:bCs/>
      <w:color w:val="000000"/>
      <w:sz w:val="2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widowControl/>
      <w:spacing w:after="100" w:before="200" w:line="276" w:lineRule="auto"/>
      <w:outlineLvl w:val="1"/>
    </w:pPr>
    <w:rPr>
      <w:rFonts w:asciiTheme="majorHAnsi" w:cstheme="majorBidi" w:eastAsiaTheme="majorEastAsia" w:hAnsiTheme="majorHAnsi" w:ascii="宋体" w:hAnsi="宋体" w:eastAsia="宋体"/>
      <w:b/>
      <w:bCs/>
      <w:color w:val="000000"/>
      <w:sz w:val="22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widowControl/>
      <w:spacing w:after="100" w:before="200" w:line="276" w:lineRule="auto"/>
      <w:outlineLvl w:val="2"/>
    </w:pPr>
    <w:rPr>
      <w:rFonts w:asciiTheme="majorHAnsi" w:cstheme="majorBidi" w:eastAsiaTheme="majorEastAsia" w:hAnsiTheme="majorHAnsi" w:ascii="宋体" w:hAnsi="宋体" w:eastAsia="宋体"/>
      <w:b/>
      <w:bCs/>
      <w:color w:val="000000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widowControl/>
      <w:spacing w:after="100" w:before="200" w:line="276" w:lineRule="auto"/>
      <w:outlineLvl w:val="3"/>
    </w:pPr>
    <w:rPr>
      <w:rFonts w:asciiTheme="majorHAnsi" w:cstheme="majorBidi" w:eastAsiaTheme="majorEastAsia" w:hAnsiTheme="majorHAnsi" w:ascii="宋体" w:hAnsi="宋体" w:eastAsia="宋体"/>
      <w:bCs/>
      <w:i/>
      <w:color w:val="000000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widowControl/>
      <w:spacing w:after="100" w:before="200" w:line="276" w:lineRule="auto"/>
      <w:outlineLvl w:val="4"/>
    </w:pPr>
    <w:rPr>
      <w:rFonts w:asciiTheme="majorHAnsi" w:cstheme="majorBidi" w:eastAsiaTheme="majorEastAsia" w:hAnsiTheme="majorHAnsi" w:ascii="宋体" w:hAnsi="宋体" w:eastAsia="宋体"/>
      <w:iCs/>
      <w:color w:val="000000"/>
      <w:sz w:val="22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widowControl/>
      <w:spacing w:after="100" w:before="200" w:line="276" w:lineRule="auto"/>
      <w:outlineLvl w:val="5"/>
    </w:pPr>
    <w:rPr>
      <w:rFonts w:asciiTheme="majorHAnsi" w:cstheme="majorBidi" w:eastAsiaTheme="majorEastAsia" w:hAnsiTheme="majorHAnsi" w:ascii="宋体" w:hAnsi="宋体" w:eastAsia="宋体"/>
      <w:color w:val="000000"/>
      <w:sz w:val="22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widowControl/>
      <w:spacing w:after="100" w:before="200" w:line="276" w:lineRule="auto"/>
      <w:outlineLvl w:val="6"/>
    </w:pPr>
    <w:rPr>
      <w:rFonts w:asciiTheme="majorHAnsi" w:cstheme="majorBidi" w:eastAsiaTheme="majorEastAsia" w:hAnsiTheme="majorHAnsi" w:ascii="宋体" w:hAnsi="宋体" w:eastAsia="宋体"/>
      <w:color w:val="000000"/>
      <w:sz w:val="22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widowControl/>
      <w:spacing w:after="100" w:before="200" w:line="276" w:lineRule="auto"/>
      <w:outlineLvl w:val="7"/>
    </w:pPr>
    <w:rPr>
      <w:rFonts w:asciiTheme="majorHAnsi" w:cstheme="majorBidi" w:eastAsiaTheme="majorEastAsia" w:hAnsiTheme="majorHAnsi" w:ascii="宋体" w:hAnsi="宋体" w:eastAsia="宋体"/>
      <w:color w:val="000000"/>
      <w:sz w:val="22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widowControl/>
      <w:spacing w:after="100" w:before="200" w:line="276" w:lineRule="auto"/>
      <w:outlineLvl w:val="8"/>
    </w:pPr>
    <w:rPr>
      <w:rFonts w:asciiTheme="majorHAnsi" w:cstheme="majorBidi" w:eastAsiaTheme="majorEastAsia" w:hAnsiTheme="majorHAnsi" w:ascii="宋体" w:hAnsi="宋体" w:eastAsia="宋体"/>
      <w:color w:val="000000"/>
      <w:sz w:val="22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widowControl/>
      <w:spacing w:after="100" w:before="100" w:line="276" w:lineRule="auto"/>
      <w:ind w:firstLine="0" w:left="480" w:right="480"/>
    </w:pPr>
    <w:rPr>
      <w:rFonts w:ascii="宋体" w:hAnsi="宋体" w:eastAsia="宋体"/>
      <w:color w:val="000000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widowControl/>
      <w:spacing w:line="276" w:lineRule="auto" w:after="100"/>
    </w:pPr>
    <w:rPr>
      <w:rFonts w:ascii="宋体" w:hAnsi="宋体" w:eastAsia="宋体"/>
      <w:color w:val="000000"/>
      <w:sz w:val="22"/>
    </w:rPr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widowControl/>
      <w:spacing w:after="100" w:before="100" w:line="276" w:lineRule="auto"/>
      <w:ind w:firstLine="0" w:left="480" w:right="480"/>
    </w:pPr>
    <w:rPr>
      <w:rFonts w:ascii="宋体" w:hAnsi="宋体" w:eastAsia="宋体"/>
      <w:color w:val="000000"/>
      <w:sz w:val="22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widowControl/>
      <w:spacing w:after="100" w:line="276" w:lineRule="auto"/>
    </w:pPr>
    <w:rPr>
      <w:rFonts w:ascii="宋体" w:hAnsi="宋体" w:eastAsia="宋体"/>
      <w:b/>
      <w:color w:val="000000"/>
      <w:sz w:val="22"/>
    </w:rPr>
  </w:style>
  <w:style w:customStyle="1" w:styleId="Definition" w:type="paragraph">
    <w:name w:val="Definition"/>
    <w:basedOn w:val="Normal"/>
    <w:pPr>
      <w:widowControl/>
      <w:spacing w:line="276" w:lineRule="auto" w:after="100"/>
    </w:pPr>
    <w:rPr>
      <w:rFonts w:ascii="宋体" w:hAnsi="宋体" w:eastAsia="宋体"/>
      <w:color w:val="000000"/>
      <w:sz w:val="22"/>
    </w:rPr>
  </w:style>
  <w:style w:styleId="Caption" w:type="paragraph">
    <w:name w:val="Caption"/>
    <w:basedOn w:val="Normal"/>
    <w:link w:val="BodyTextChar"/>
    <w:pPr>
      <w:widowControl/>
      <w:spacing w:after="100" w:before="0" w:line="276" w:lineRule="auto"/>
    </w:pPr>
    <w:rPr>
      <w:rFonts w:ascii="宋体" w:hAnsi="宋体" w:eastAsia="宋体"/>
      <w:i/>
      <w:color w:val="000000"/>
      <w:sz w:val="22"/>
    </w:rPr>
  </w:style>
  <w:style w:customStyle="1" w:styleId="TableCaption" w:type="paragraph">
    <w:name w:val="Table Caption"/>
    <w:basedOn w:val="Caption"/>
    <w:pPr>
      <w:keepNext/>
      <w:widowControl/>
      <w:spacing w:line="276" w:lineRule="auto" w:after="100"/>
    </w:pPr>
    <w:rPr>
      <w:rFonts w:ascii="宋体" w:hAnsi="宋体" w:eastAsia="宋体"/>
      <w:color w:val="000000"/>
      <w:sz w:val="22"/>
    </w:rPr>
  </w:style>
  <w:style w:customStyle="1" w:styleId="ImageCaption" w:type="paragraph">
    <w:name w:val="Image Caption"/>
    <w:basedOn w:val="Caption"/>
    <w:pPr>
      <w:widowControl/>
      <w:spacing w:line="276" w:lineRule="auto" w:after="100"/>
    </w:pPr>
    <w:rPr>
      <w:rFonts w:ascii="宋体" w:hAnsi="宋体" w:eastAsia="宋体"/>
      <w:color w:val="000000"/>
      <w:sz w:val="22"/>
    </w:rPr>
  </w:style>
  <w:style w:customStyle="1" w:styleId="Figure" w:type="paragraph">
    <w:name w:val="Figure"/>
    <w:basedOn w:val="Normal"/>
    <w:pPr>
      <w:widowControl/>
      <w:spacing w:line="276" w:lineRule="auto" w:after="100"/>
    </w:pPr>
    <w:rPr>
      <w:rFonts w:ascii="宋体" w:hAnsi="宋体" w:eastAsia="宋体"/>
      <w:color w:val="000000"/>
      <w:sz w:val="22"/>
    </w:rPr>
  </w:style>
  <w:style w:customStyle="1" w:styleId="CaptionedFigure" w:type="paragraph">
    <w:name w:val="Captioned Figure"/>
    <w:basedOn w:val="Figure"/>
    <w:pPr>
      <w:keepNext/>
      <w:widowControl/>
      <w:spacing w:line="276" w:lineRule="auto" w:after="100"/>
    </w:pPr>
    <w:rPr>
      <w:rFonts w:ascii="宋体" w:hAnsi="宋体" w:eastAsia="宋体"/>
      <w:color w:val="000000"/>
      <w:sz w:val="22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widowControl/>
      <w:spacing w:before="240" w:line="276" w:lineRule="auto" w:after="100"/>
      <w:outlineLvl w:val="9"/>
    </w:pPr>
    <w:rPr>
      <w:rFonts w:asciiTheme="majorHAnsi" w:cstheme="majorBidi" w:eastAsiaTheme="majorEastAsia" w:hAnsiTheme="majorHAnsi" w:ascii="宋体" w:hAnsi="宋体" w:eastAsia="宋体"/>
      <w:b w:val="0"/>
      <w:bCs w:val="0"/>
      <w:color w:val="000000"/>
      <w:sz w:val="22"/>
    </w:rPr>
  </w:style>
  <w:style w:type="paragraph" w:customStyle="1" w:styleId="SourceCode">
    <w:name w:val="Source Code"/>
    <w:basedOn w:val="Normal"/>
    <w:link w:val="VerbatimChar"/>
    <w:pPr>
      <w:widowControl/>
      <w:wordWrap w:val="off"/>
      <w:spacing w:line="276" w:lineRule="auto" w:after="100"/>
    </w:pPr>
    <w:rPr>
      <w:rFonts w:ascii="宋体" w:hAnsi="宋体" w:eastAsia="宋体"/>
      <w:color w:val="000000"/>
      <w:sz w:val="2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康养系统代码实现与验收记录</dc:title>
  <dc:creator>康养系统项目组</dc:creator>
  <cp:keywords/>
  <dcterms:created xsi:type="dcterms:W3CDTF">2026-10-08T14:10:57Z</dcterms:created>
  <dcterms:modified xsi:type="dcterms:W3CDTF">2026-10-08T14:10:57Z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