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80"/>
        <w:jc w:val="center"/>
      </w:pPr>
      <w:r>
        <w:rPr>
          <w:rFonts w:ascii="Arial" w:cs="Arial" w:eastAsia="Arial" w:hAnsi="Arial"/>
          <w:b/>
          <w:bCs/>
          <w:color w:val="E65C00"/>
          <w:sz w:val="72"/>
          <w:szCs w:val="72"/>
        </w:rPr>
        <w:t xml:space="preserve">ZENSURE</w:t>
      </w:r>
    </w:p>
    <w:p>
      <w:pPr>
        <w:spacing w:before="0" w:after="160"/>
        <w:jc w:val="center"/>
      </w:pPr>
      <w:r>
        <w:rPr>
          <w:rFonts w:ascii="Arial" w:cs="Arial" w:eastAsia="Arial" w:hAnsi="Arial"/>
          <w:i/>
          <w:iCs/>
          <w:color w:val="555555"/>
          <w:sz w:val="32"/>
          <w:szCs w:val="32"/>
        </w:rPr>
        <w:t xml:space="preserve">Parametric Income Insurance for India's Delivery Economy</w:t>
      </w:r>
    </w:p>
    <w:p>
      <w:pPr>
        <w:pBdr>
          <w:bottom w:val="single" w:color="E65C00" w:sz="4" w:space="1"/>
        </w:pBdr>
        <w:spacing w:before="200" w:after="200"/>
      </w:pPr>
      <w:r>
        <w:t xml:space="preserve"/>
      </w:r>
    </w:p>
    <w:p>
      <w:pPr>
        <w:spacing w:before="160" w:after="80"/>
        <w:jc w:val="center"/>
      </w:pPr>
      <w:r>
        <w:rPr>
          <w:rFonts w:ascii="Arial" w:cs="Arial" w:eastAsia="Arial" w:hAnsi="Arial"/>
          <w:b/>
          <w:bCs/>
          <w:color w:val="1A1A1A"/>
          <w:sz w:val="28"/>
          <w:szCs w:val="28"/>
        </w:rPr>
        <w:t xml:space="preserve">SYSTEM DESIGN &amp; PRODUCT DOCUMENT</w:t>
      </w:r>
    </w:p>
    <w:p>
      <w:pPr>
        <w:spacing w:before="0" w:after="80"/>
        <w:jc w:val="center"/>
      </w:pPr>
      <w:r>
        <w:rPr>
          <w:rFonts w:ascii="Arial" w:cs="Arial" w:eastAsia="Arial" w:hAnsi="Arial"/>
          <w:color w:val="555555"/>
          <w:sz w:val="22"/>
          <w:szCs w:val="22"/>
        </w:rPr>
        <w:t xml:space="preserve">Guidewire DEVTrails 2026  |  Phase 1 - 3</w:t>
      </w:r>
    </w:p>
    <w:p>
      <w:pPr>
        <w:spacing w:before="60" w:after="60"/>
      </w:pPr>
      <w:r>
        <w:t xml:space="preserve"/>
      </w:r>
    </w:p>
    <w:p>
      <w:pPr>
        <w:spacing w:before="60" w:after="60"/>
      </w:pPr>
      <w:r>
        <w:t xml:space="preserve"/>
      </w:r>
    </w:p>
    <w:p>
      <w:pPr>
        <w:spacing w:before="0" w:after="60"/>
        <w:jc w:val="center"/>
      </w:pPr>
      <w:r>
        <w:rPr>
          <w:rFonts w:ascii="Arial" w:cs="Arial" w:eastAsia="Arial" w:hAnsi="Arial"/>
          <w:b/>
          <w:bCs/>
          <w:color w:val="1A1A1A"/>
          <w:sz w:val="24"/>
          <w:szCs w:val="24"/>
        </w:rPr>
        <w:t xml:space="preserve">Team Zensure</w:t>
      </w:r>
    </w:p>
    <w:p>
      <w:pPr>
        <w:spacing w:before="0" w:after="60"/>
        <w:jc w:val="center"/>
      </w:pPr>
      <w:r>
        <w:rPr>
          <w:rFonts w:ascii="Arial" w:cs="Arial" w:eastAsia="Arial" w:hAnsi="Arial"/>
          <w:color w:val="555555"/>
          <w:sz w:val="22"/>
          <w:szCs w:val="22"/>
        </w:rPr>
        <w:t xml:space="preserve">Paarth Dutta  |  Shivam Rajput  |  Sparsh Shrivastava  |  Sia Arora</w:t>
      </w:r>
    </w:p>
    <w:p>
      <w:pPr>
        <w:spacing w:before="60" w:after="60"/>
      </w:pPr>
      <w:r>
        <w:t xml:space="preserve"/>
      </w:r>
    </w:p>
    <w:p>
      <w:pPr>
        <w:spacing w:before="60" w:after="60"/>
      </w:pPr>
      <w:r>
        <w:t xml:space="preserve"/>
      </w:r>
    </w:p>
    <w:p>
      <w:r>
        <w:br w:type="page"/>
      </w:r>
    </w:p>
    <w:p>
      <w:pPr>
        <w:pStyle w:val="Heading1"/>
        <w:spacing w:before="400" w:after="160"/>
      </w:pPr>
      <w:r>
        <w:rPr>
          <w:rFonts w:ascii="Arial" w:cs="Arial" w:eastAsia="Arial" w:hAnsi="Arial"/>
          <w:b/>
          <w:bCs/>
          <w:color w:val="E65C00"/>
          <w:sz w:val="36"/>
          <w:szCs w:val="36"/>
        </w:rPr>
        <w:t xml:space="preserve">Table of Contents</w:t>
      </w:r>
    </w:p>
    <w:p>
      <w:pPr>
        <w:spacing w:before="80" w:after="80"/>
      </w:pPr>
      <w:r>
        <w:rPr>
          <w:rFonts w:ascii="Arial" w:cs="Arial" w:eastAsia="Arial" w:hAnsi="Arial"/>
          <w:b/>
          <w:bCs/>
          <w:i w:val="false"/>
          <w:iCs w:val="false"/>
          <w:color w:val="1A1A1A"/>
          <w:sz w:val="22"/>
          <w:szCs w:val="22"/>
        </w:rPr>
        <w:t xml:space="preserve">1.   Executive Summary</w:t>
      </w:r>
    </w:p>
    <w:p>
      <w:pPr>
        <w:spacing w:before="80" w:after="80"/>
      </w:pPr>
      <w:r>
        <w:rPr>
          <w:rFonts w:ascii="Arial" w:cs="Arial" w:eastAsia="Arial" w:hAnsi="Arial"/>
          <w:b w:val="false"/>
          <w:bCs w:val="false"/>
          <w:i w:val="false"/>
          <w:iCs w:val="false"/>
          <w:color w:val="1A1A1A"/>
          <w:sz w:val="22"/>
          <w:szCs w:val="22"/>
        </w:rPr>
        <w:t xml:space="preserve">2.   Problem Statement &amp; Market Context</w:t>
      </w:r>
    </w:p>
    <w:p>
      <w:pPr>
        <w:spacing w:before="80" w:after="80"/>
      </w:pPr>
      <w:r>
        <w:rPr>
          <w:rFonts w:ascii="Arial" w:cs="Arial" w:eastAsia="Arial" w:hAnsi="Arial"/>
          <w:b w:val="false"/>
          <w:bCs w:val="false"/>
          <w:i w:val="false"/>
          <w:iCs w:val="false"/>
          <w:color w:val="1A1A1A"/>
          <w:sz w:val="22"/>
          <w:szCs w:val="22"/>
        </w:rPr>
        <w:t xml:space="preserve">3.   Product Vision &amp; Persona</w:t>
      </w:r>
    </w:p>
    <w:p>
      <w:pPr>
        <w:spacing w:before="80" w:after="80"/>
      </w:pPr>
      <w:r>
        <w:rPr>
          <w:rFonts w:ascii="Arial" w:cs="Arial" w:eastAsia="Arial" w:hAnsi="Arial"/>
          <w:b w:val="false"/>
          <w:bCs w:val="false"/>
          <w:i w:val="false"/>
          <w:iCs w:val="false"/>
          <w:color w:val="1A1A1A"/>
          <w:sz w:val="22"/>
          <w:szCs w:val="22"/>
        </w:rPr>
        <w:t xml:space="preserve">4.   Application Workflow — End to End</w:t>
      </w:r>
    </w:p>
    <w:p>
      <w:pPr>
        <w:spacing w:before="80" w:after="80"/>
      </w:pPr>
      <w:r>
        <w:rPr>
          <w:rFonts w:ascii="Arial" w:cs="Arial" w:eastAsia="Arial" w:hAnsi="Arial"/>
          <w:b w:val="false"/>
          <w:bCs w:val="false"/>
          <w:i w:val="false"/>
          <w:iCs w:val="false"/>
          <w:color w:val="1A1A1A"/>
          <w:sz w:val="22"/>
          <w:szCs w:val="22"/>
        </w:rPr>
        <w:t xml:space="preserve">5.   Weekly Premium Model</w:t>
      </w:r>
    </w:p>
    <w:p>
      <w:pPr>
        <w:spacing w:before="80" w:after="80"/>
      </w:pPr>
      <w:r>
        <w:rPr>
          <w:rFonts w:ascii="Arial" w:cs="Arial" w:eastAsia="Arial" w:hAnsi="Arial"/>
          <w:b w:val="false"/>
          <w:bCs w:val="false"/>
          <w:i w:val="false"/>
          <w:iCs w:val="false"/>
          <w:color w:val="1A1A1A"/>
          <w:sz w:val="22"/>
          <w:szCs w:val="22"/>
        </w:rPr>
        <w:t xml:space="preserve">6.   Parametric Trigger Engine</w:t>
      </w:r>
    </w:p>
    <w:p>
      <w:pPr>
        <w:spacing w:before="80" w:after="80"/>
      </w:pPr>
      <w:r>
        <w:rPr>
          <w:rFonts w:ascii="Arial" w:cs="Arial" w:eastAsia="Arial" w:hAnsi="Arial"/>
          <w:b w:val="false"/>
          <w:bCs w:val="false"/>
          <w:i w:val="false"/>
          <w:iCs w:val="false"/>
          <w:color w:val="1A1A1A"/>
          <w:sz w:val="22"/>
          <w:szCs w:val="22"/>
        </w:rPr>
        <w:t xml:space="preserve">7.   AI / ML Architecture</w:t>
      </w:r>
    </w:p>
    <w:p>
      <w:pPr>
        <w:spacing w:before="80" w:after="80"/>
      </w:pPr>
      <w:r>
        <w:rPr>
          <w:rFonts w:ascii="Arial" w:cs="Arial" w:eastAsia="Arial" w:hAnsi="Arial"/>
          <w:b w:val="false"/>
          <w:bCs w:val="false"/>
          <w:i w:val="false"/>
          <w:iCs w:val="false"/>
          <w:color w:val="1A1A1A"/>
          <w:sz w:val="22"/>
          <w:szCs w:val="22"/>
        </w:rPr>
        <w:t xml:space="preserve">8.   Adversarial Defense &amp; Anti-Spoofing</w:t>
      </w:r>
    </w:p>
    <w:p>
      <w:pPr>
        <w:spacing w:before="80" w:after="80"/>
      </w:pPr>
      <w:r>
        <w:rPr>
          <w:rFonts w:ascii="Arial" w:cs="Arial" w:eastAsia="Arial" w:hAnsi="Arial"/>
          <w:b w:val="false"/>
          <w:bCs w:val="false"/>
          <w:i w:val="false"/>
          <w:iCs w:val="false"/>
          <w:color w:val="1A1A1A"/>
          <w:sz w:val="22"/>
          <w:szCs w:val="22"/>
        </w:rPr>
        <w:t xml:space="preserve">9.   Tech Stack &amp; System Architecture</w:t>
      </w:r>
    </w:p>
    <w:p>
      <w:pPr>
        <w:spacing w:before="80" w:after="80"/>
      </w:pPr>
      <w:r>
        <w:rPr>
          <w:rFonts w:ascii="Arial" w:cs="Arial" w:eastAsia="Arial" w:hAnsi="Arial"/>
          <w:b w:val="false"/>
          <w:bCs w:val="false"/>
          <w:i w:val="false"/>
          <w:iCs w:val="false"/>
          <w:color w:val="1A1A1A"/>
          <w:sz w:val="22"/>
          <w:szCs w:val="22"/>
        </w:rPr>
        <w:t xml:space="preserve">10.  Database Schema</w:t>
      </w:r>
    </w:p>
    <w:p>
      <w:pPr>
        <w:spacing w:before="80" w:after="80"/>
      </w:pPr>
      <w:r>
        <w:rPr>
          <w:rFonts w:ascii="Arial" w:cs="Arial" w:eastAsia="Arial" w:hAnsi="Arial"/>
          <w:b w:val="false"/>
          <w:bCs w:val="false"/>
          <w:i w:val="false"/>
          <w:iCs w:val="false"/>
          <w:color w:val="1A1A1A"/>
          <w:sz w:val="22"/>
          <w:szCs w:val="22"/>
        </w:rPr>
        <w:t xml:space="preserve">11.  API Design</w:t>
      </w:r>
    </w:p>
    <w:p>
      <w:pPr>
        <w:spacing w:before="80" w:after="80"/>
      </w:pPr>
      <w:r>
        <w:rPr>
          <w:rFonts w:ascii="Arial" w:cs="Arial" w:eastAsia="Arial" w:hAnsi="Arial"/>
          <w:b w:val="false"/>
          <w:bCs w:val="false"/>
          <w:i w:val="false"/>
          <w:iCs w:val="false"/>
          <w:color w:val="1A1A1A"/>
          <w:sz w:val="22"/>
          <w:szCs w:val="22"/>
        </w:rPr>
        <w:t xml:space="preserve">12.  User Experience &amp; Platform Design</w:t>
      </w:r>
    </w:p>
    <w:p>
      <w:pPr>
        <w:spacing w:before="80" w:after="80"/>
      </w:pPr>
      <w:r>
        <w:rPr>
          <w:rFonts w:ascii="Arial" w:cs="Arial" w:eastAsia="Arial" w:hAnsi="Arial"/>
          <w:b w:val="false"/>
          <w:bCs w:val="false"/>
          <w:i w:val="false"/>
          <w:iCs w:val="false"/>
          <w:color w:val="1A1A1A"/>
          <w:sz w:val="22"/>
          <w:szCs w:val="22"/>
        </w:rPr>
        <w:t xml:space="preserve">13.  Fraud Detection — Deep Dive</w:t>
      </w:r>
    </w:p>
    <w:p>
      <w:pPr>
        <w:spacing w:before="80" w:after="80"/>
      </w:pPr>
      <w:r>
        <w:rPr>
          <w:rFonts w:ascii="Arial" w:cs="Arial" w:eastAsia="Arial" w:hAnsi="Arial"/>
          <w:b w:val="false"/>
          <w:bCs w:val="false"/>
          <w:i w:val="false"/>
          <w:iCs w:val="false"/>
          <w:color w:val="1A1A1A"/>
          <w:sz w:val="22"/>
          <w:szCs w:val="22"/>
        </w:rPr>
        <w:t xml:space="preserve">14.  Payout Engine</w:t>
      </w:r>
    </w:p>
    <w:p>
      <w:pPr>
        <w:spacing w:before="80" w:after="80"/>
      </w:pPr>
      <w:r>
        <w:rPr>
          <w:rFonts w:ascii="Arial" w:cs="Arial" w:eastAsia="Arial" w:hAnsi="Arial"/>
          <w:b w:val="false"/>
          <w:bCs w:val="false"/>
          <w:i w:val="false"/>
          <w:iCs w:val="false"/>
          <w:color w:val="1A1A1A"/>
          <w:sz w:val="22"/>
          <w:szCs w:val="22"/>
        </w:rPr>
        <w:t xml:space="preserve">15.  Analytics &amp; Insurer Dashboard</w:t>
      </w:r>
    </w:p>
    <w:p>
      <w:pPr>
        <w:spacing w:before="80" w:after="80"/>
      </w:pPr>
      <w:r>
        <w:rPr>
          <w:rFonts w:ascii="Arial" w:cs="Arial" w:eastAsia="Arial" w:hAnsi="Arial"/>
          <w:b w:val="false"/>
          <w:bCs w:val="false"/>
          <w:i w:val="false"/>
          <w:iCs w:val="false"/>
          <w:color w:val="1A1A1A"/>
          <w:sz w:val="22"/>
          <w:szCs w:val="22"/>
        </w:rPr>
        <w:t xml:space="preserve">16.  Security &amp; Compliance</w:t>
      </w:r>
    </w:p>
    <w:p>
      <w:pPr>
        <w:spacing w:before="80" w:after="80"/>
      </w:pPr>
      <w:r>
        <w:rPr>
          <w:rFonts w:ascii="Arial" w:cs="Arial" w:eastAsia="Arial" w:hAnsi="Arial"/>
          <w:b w:val="false"/>
          <w:bCs w:val="false"/>
          <w:i w:val="false"/>
          <w:iCs w:val="false"/>
          <w:color w:val="1A1A1A"/>
          <w:sz w:val="22"/>
          <w:szCs w:val="22"/>
        </w:rPr>
        <w:t xml:space="preserve">17.  Scalability Plan</w:t>
      </w:r>
    </w:p>
    <w:p>
      <w:pPr>
        <w:spacing w:before="80" w:after="80"/>
      </w:pPr>
      <w:r>
        <w:rPr>
          <w:rFonts w:ascii="Arial" w:cs="Arial" w:eastAsia="Arial" w:hAnsi="Arial"/>
          <w:b w:val="false"/>
          <w:bCs w:val="false"/>
          <w:i w:val="false"/>
          <w:iCs w:val="false"/>
          <w:color w:val="1A1A1A"/>
          <w:sz w:val="22"/>
          <w:szCs w:val="22"/>
        </w:rPr>
        <w:t xml:space="preserve">18.  Business Model &amp; Unit Economics</w:t>
      </w:r>
    </w:p>
    <w:p>
      <w:pPr>
        <w:spacing w:before="80" w:after="80"/>
      </w:pPr>
      <w:r>
        <w:rPr>
          <w:rFonts w:ascii="Arial" w:cs="Arial" w:eastAsia="Arial" w:hAnsi="Arial"/>
          <w:b w:val="false"/>
          <w:bCs w:val="false"/>
          <w:i w:val="false"/>
          <w:iCs w:val="false"/>
          <w:color w:val="1A1A1A"/>
          <w:sz w:val="22"/>
          <w:szCs w:val="22"/>
        </w:rPr>
        <w:t xml:space="preserve">19.  6-Week Development Roadmap</w:t>
      </w:r>
    </w:p>
    <w:p>
      <w:pPr>
        <w:spacing w:before="80" w:after="80"/>
      </w:pPr>
      <w:r>
        <w:rPr>
          <w:rFonts w:ascii="Arial" w:cs="Arial" w:eastAsia="Arial" w:hAnsi="Arial"/>
          <w:b w:val="false"/>
          <w:bCs w:val="false"/>
          <w:i w:val="false"/>
          <w:iCs w:val="false"/>
          <w:color w:val="1A1A1A"/>
          <w:sz w:val="22"/>
          <w:szCs w:val="22"/>
        </w:rPr>
        <w:t xml:space="preserve">20.  Future Roadmap Beyond Hackathon</w:t>
      </w:r>
    </w:p>
    <w:p>
      <w:r>
        <w:br w:type="page"/>
      </w:r>
    </w:p>
    <w:p>
      <w:pPr>
        <w:pStyle w:val="Heading1"/>
        <w:spacing w:before="400" w:after="160"/>
      </w:pPr>
      <w:r>
        <w:rPr>
          <w:rFonts w:ascii="Arial" w:cs="Arial" w:eastAsia="Arial" w:hAnsi="Arial"/>
          <w:b/>
          <w:bCs/>
          <w:color w:val="E65C00"/>
          <w:sz w:val="36"/>
          <w:szCs w:val="36"/>
        </w:rPr>
        <w:t xml:space="preserve">1. Executive Summary</w:t>
      </w:r>
    </w:p>
    <w:p>
      <w:pPr>
        <w:spacing w:before="80" w:after="80"/>
      </w:pPr>
      <w:r>
        <w:rPr>
          <w:rFonts w:ascii="Arial" w:cs="Arial" w:eastAsia="Arial" w:hAnsi="Arial"/>
          <w:b w:val="false"/>
          <w:bCs w:val="false"/>
          <w:i w:val="false"/>
          <w:iCs w:val="false"/>
          <w:color w:val="1A1A1A"/>
          <w:sz w:val="22"/>
          <w:szCs w:val="22"/>
        </w:rPr>
        <w:t xml:space="preserve">Zensure is a parametric income insurance platform built for food delivery partners working on Zomato and Swiggy across Tier-1 Indian cities. The platform detects qualifying external disruptions in real time, validates them against the worker's active delivery zone, runs a multi-signal fraud check, and deposits income compensation directly to the worker's UPI account — without the worker filing any claim.</w:t>
      </w:r>
    </w:p>
    <w:p>
      <w:pPr>
        <w:spacing w:before="60" w:after="60"/>
      </w:pPr>
      <w:r>
        <w:t xml:space="preserve"/>
      </w:r>
    </w:p>
    <w:p>
      <w:pPr>
        <w:spacing w:before="80" w:after="80"/>
      </w:pPr>
      <w:r>
        <w:rPr>
          <w:rFonts w:ascii="Arial" w:cs="Arial" w:eastAsia="Arial" w:hAnsi="Arial"/>
          <w:b w:val="false"/>
          <w:bCs w:val="false"/>
          <w:i w:val="false"/>
          <w:iCs w:val="false"/>
          <w:color w:val="1A1A1A"/>
          <w:sz w:val="22"/>
          <w:szCs w:val="22"/>
        </w:rPr>
        <w:t xml:space="preserve">The core problem is simple. A delivery partner earns between Rs. 3,000 and Rs. 7,000 a week. When extreme rain, a severe AQI event, or a sudden bandh shuts down their zone, they lose 20 to 30 percent of that income with no recourse. No existing insurance product is built around this use case. Zensure closes that gap with a weekly subscription model starting at Rs. 29 per week.</w:t>
      </w:r>
    </w:p>
    <w:p>
      <w:pPr>
        <w:spacing w:before="60" w:after="60"/>
      </w:pPr>
      <w:r>
        <w:t xml:space="preserve"/>
      </w:r>
    </w:p>
    <w:p>
      <w:pPr>
        <w:spacing w:before="80" w:after="80"/>
      </w:pPr>
      <w:r>
        <w:rPr>
          <w:rFonts w:ascii="Arial" w:cs="Arial" w:eastAsia="Arial" w:hAnsi="Arial"/>
          <w:b w:val="false"/>
          <w:bCs w:val="false"/>
          <w:i w:val="false"/>
          <w:iCs w:val="false"/>
          <w:color w:val="1A1A1A"/>
          <w:sz w:val="22"/>
          <w:szCs w:val="22"/>
        </w:rPr>
        <w:t xml:space="preserve">The platform has three primary components: a mobile app for workers, a web dashboard for insurers, and a backend ML and trigger engine that runs continuously in the background. The system is designed to be persona-agnostic at its core — the same architecture that covers food delivery today can cover grocery riders, e-commerce delivery, and auto drivers with configuration changes.</w:t>
      </w:r>
    </w:p>
    <w:p>
      <w:pPr>
        <w:pBdr>
          <w:bottom w:val="single" w:color="E65C00" w:sz="4" w:space="1"/>
        </w:pBdr>
        <w:spacing w:before="200" w:after="200"/>
      </w:pPr>
      <w:r>
        <w:t xml:space="preserve"/>
      </w:r>
    </w:p>
    <w:p>
      <w:pPr>
        <w:pStyle w:val="Heading1"/>
        <w:spacing w:before="400" w:after="160"/>
      </w:pPr>
      <w:r>
        <w:rPr>
          <w:rFonts w:ascii="Arial" w:cs="Arial" w:eastAsia="Arial" w:hAnsi="Arial"/>
          <w:b/>
          <w:bCs/>
          <w:color w:val="E65C00"/>
          <w:sz w:val="36"/>
          <w:szCs w:val="36"/>
        </w:rPr>
        <w:t xml:space="preserve">2. Problem Statement &amp; Market Context</w:t>
      </w:r>
    </w:p>
    <w:p>
      <w:pPr>
        <w:pStyle w:val="Heading2"/>
        <w:spacing w:before="320" w:after="120"/>
      </w:pPr>
      <w:r>
        <w:rPr>
          <w:rFonts w:ascii="Arial" w:cs="Arial" w:eastAsia="Arial" w:hAnsi="Arial"/>
          <w:b/>
          <w:bCs/>
          <w:color w:val="1A1A1A"/>
          <w:sz w:val="28"/>
          <w:szCs w:val="28"/>
        </w:rPr>
        <w:t xml:space="preserve">2.1 The Income Gap Nobody Covers</w:t>
      </w:r>
    </w:p>
    <w:p>
      <w:pPr>
        <w:spacing w:before="80" w:after="80"/>
      </w:pPr>
      <w:r>
        <w:rPr>
          <w:rFonts w:ascii="Arial" w:cs="Arial" w:eastAsia="Arial" w:hAnsi="Arial"/>
          <w:b w:val="false"/>
          <w:bCs w:val="false"/>
          <w:i w:val="false"/>
          <w:iCs w:val="false"/>
          <w:color w:val="1A1A1A"/>
          <w:sz w:val="22"/>
          <w:szCs w:val="22"/>
        </w:rPr>
        <w:t xml:space="preserve">India has approximately 12 million platform-based food delivery workers. They are classified as gig workers, not employees, which means they receive no salary, no paid leave, and no employer-provided insurance. Their income is entirely variable and tied to the number of orders they complete.</w:t>
      </w:r>
    </w:p>
    <w:p>
      <w:pPr>
        <w:spacing w:before="60" w:after="60"/>
      </w:pPr>
      <w:r>
        <w:t xml:space="preserve"/>
      </w:r>
    </w:p>
    <w:p>
      <w:pPr>
        <w:spacing w:before="80" w:after="80"/>
      </w:pPr>
      <w:r>
        <w:rPr>
          <w:rFonts w:ascii="Arial" w:cs="Arial" w:eastAsia="Arial" w:hAnsi="Arial"/>
          <w:b w:val="false"/>
          <w:bCs w:val="false"/>
          <w:i w:val="false"/>
          <w:iCs w:val="false"/>
          <w:color w:val="1A1A1A"/>
          <w:sz w:val="22"/>
          <w:szCs w:val="22"/>
        </w:rPr>
        <w:t xml:space="preserve">When an external disruption hits — a red-alert rainstorm, a flash flood, a severe air quality event, or a sudden civic disruption like a bandh — two things happen simultaneously. First, the platforms stop or dramatically reduce order assignments in the affected zone. Second, the worker has no income for those hours. The loss is immediate and uninsured.</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1760"/>
      </w:tblGrid>
      <w:tr>
        <w:trPr>
          <w:tblHeader/>
        </w:trPr>
        <w:tc>
          <w:tcPr>
            <w:tcW w:type="dxa" w:w="28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Disruption Type</w:t>
            </w:r>
          </w:p>
        </w:tc>
        <w:tc>
          <w:tcPr>
            <w:tcW w:type="dxa" w:w="22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Frequency</w:t>
            </w:r>
          </w:p>
        </w:tc>
        <w:tc>
          <w:tcPr>
            <w:tcW w:type="dxa" w:w="24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Avg Income Loss</w:t>
            </w:r>
          </w:p>
        </w:tc>
        <w:tc>
          <w:tcPr>
            <w:tcW w:type="dxa" w:w="176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Current Protection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Red-Alert Rainfall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15-20 days/year in metros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60-80% of daily income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Severe AQI (400+)</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20-30 days/year in Delhi NCR</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40-50% of daily income</w:t>
            </w:r>
          </w:p>
        </w:tc>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None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Flash Floods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5-10 days/year in Mumbai/Chennai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80-100% of daily income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Unplanned Bandh/Curfew</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3-5 days/year</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70% of daily income</w:t>
            </w:r>
          </w:p>
        </w:tc>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None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Cyclone Warning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 days/year in coastal cities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of daily income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2.2 Why Existing Products Don't Work</w:t>
      </w:r>
    </w:p>
    <w:p>
      <w:pPr>
        <w:pStyle w:val="ListParagraph"/>
        <w:numPr>
          <w:ilvl w:val="0"/>
          <w:numId w:val="2"/>
        </w:numPr>
        <w:spacing w:before="60" w:after="60"/>
      </w:pPr>
      <w:r>
        <w:rPr>
          <w:rFonts w:ascii="Arial" w:cs="Arial" w:eastAsia="Arial" w:hAnsi="Arial"/>
          <w:color w:val="1A1A1A"/>
          <w:sz w:val="22"/>
          <w:szCs w:val="22"/>
        </w:rPr>
        <w:t xml:space="preserve">Traditional health and life insurance does not cover income loss from weather events.</w:t>
      </w:r>
    </w:p>
    <w:p>
      <w:pPr>
        <w:pStyle w:val="ListParagraph"/>
        <w:numPr>
          <w:ilvl w:val="0"/>
          <w:numId w:val="2"/>
        </w:numPr>
        <w:spacing w:before="60" w:after="60"/>
      </w:pPr>
      <w:r>
        <w:rPr>
          <w:rFonts w:ascii="Arial" w:cs="Arial" w:eastAsia="Arial" w:hAnsi="Arial"/>
          <w:color w:val="1A1A1A"/>
          <w:sz w:val="22"/>
          <w:szCs w:val="22"/>
        </w:rPr>
        <w:t xml:space="preserve">Vehicle insurance covers the bike, not the rider's lost wages.</w:t>
      </w:r>
    </w:p>
    <w:p>
      <w:pPr>
        <w:pStyle w:val="ListParagraph"/>
        <w:numPr>
          <w:ilvl w:val="0"/>
          <w:numId w:val="2"/>
        </w:numPr>
        <w:spacing w:before="60" w:after="60"/>
      </w:pPr>
      <w:r>
        <w:rPr>
          <w:rFonts w:ascii="Arial" w:cs="Arial" w:eastAsia="Arial" w:hAnsi="Arial"/>
          <w:color w:val="1A1A1A"/>
          <w:sz w:val="22"/>
          <w:szCs w:val="22"/>
        </w:rPr>
        <w:t xml:space="preserve">Platform-level protections (where they exist) are minimal, slow, and require manual claims.</w:t>
      </w:r>
    </w:p>
    <w:p>
      <w:pPr>
        <w:pStyle w:val="ListParagraph"/>
        <w:numPr>
          <w:ilvl w:val="0"/>
          <w:numId w:val="2"/>
        </w:numPr>
        <w:spacing w:before="60" w:after="60"/>
      </w:pPr>
      <w:r>
        <w:rPr>
          <w:rFonts w:ascii="Arial" w:cs="Arial" w:eastAsia="Arial" w:hAnsi="Arial"/>
          <w:color w:val="1A1A1A"/>
          <w:sz w:val="22"/>
          <w:szCs w:val="22"/>
        </w:rPr>
        <w:t xml:space="preserve">Microinsurance products in India have historically been designed around rural agriculture, not urban gig workers.</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2.3 Market Size</w:t>
      </w:r>
    </w:p>
    <w:p>
      <w:pPr>
        <w:pStyle w:val="ListParagraph"/>
        <w:numPr>
          <w:ilvl w:val="0"/>
          <w:numId w:val="2"/>
        </w:numPr>
        <w:spacing w:before="60" w:after="60"/>
      </w:pPr>
      <w:r>
        <w:rPr>
          <w:rFonts w:ascii="Arial" w:cs="Arial" w:eastAsia="Arial" w:hAnsi="Arial"/>
          <w:color w:val="1A1A1A"/>
          <w:sz w:val="22"/>
          <w:szCs w:val="22"/>
        </w:rPr>
        <w:t xml:space="preserve">12 million food delivery workers in India currently.</w:t>
      </w:r>
    </w:p>
    <w:p>
      <w:pPr>
        <w:pStyle w:val="ListParagraph"/>
        <w:numPr>
          <w:ilvl w:val="0"/>
          <w:numId w:val="2"/>
        </w:numPr>
        <w:spacing w:before="60" w:after="60"/>
      </w:pPr>
      <w:r>
        <w:rPr>
          <w:rFonts w:ascii="Arial" w:cs="Arial" w:eastAsia="Arial" w:hAnsi="Arial"/>
          <w:color w:val="1A1A1A"/>
          <w:sz w:val="22"/>
          <w:szCs w:val="22"/>
        </w:rPr>
        <w:t xml:space="preserve">Projected to reach 23 million by 2030 per NASSCOM estimates.</w:t>
      </w:r>
    </w:p>
    <w:p>
      <w:pPr>
        <w:pStyle w:val="ListParagraph"/>
        <w:numPr>
          <w:ilvl w:val="0"/>
          <w:numId w:val="2"/>
        </w:numPr>
        <w:spacing w:before="60" w:after="60"/>
      </w:pPr>
      <w:r>
        <w:rPr>
          <w:rFonts w:ascii="Arial" w:cs="Arial" w:eastAsia="Arial" w:hAnsi="Arial"/>
          <w:color w:val="1A1A1A"/>
          <w:sz w:val="22"/>
          <w:szCs w:val="22"/>
        </w:rPr>
        <w:t xml:space="preserve">At Rs. 49 per worker per week, the total addressable weekly premium pool is approximately Rs. 59 crore per week at 10 percent penetration.</w:t>
      </w:r>
    </w:p>
    <w:p>
      <w:pPr>
        <w:pStyle w:val="ListParagraph"/>
        <w:numPr>
          <w:ilvl w:val="0"/>
          <w:numId w:val="2"/>
        </w:numPr>
        <w:spacing w:before="60" w:after="60"/>
      </w:pPr>
      <w:r>
        <w:rPr>
          <w:rFonts w:ascii="Arial" w:cs="Arial" w:eastAsia="Arial" w:hAnsi="Arial"/>
          <w:color w:val="1A1A1A"/>
          <w:sz w:val="22"/>
          <w:szCs w:val="22"/>
        </w:rPr>
        <w:t xml:space="preserve">IRDAI's microinsurance sandbox framework, opened in 2024, provides a regulatory pathway for exactly this kind of parametric product.</w:t>
      </w:r>
    </w:p>
    <w:p>
      <w:pPr>
        <w:pBdr>
          <w:bottom w:val="single" w:color="E65C00" w:sz="4" w:space="1"/>
        </w:pBdr>
        <w:spacing w:before="200" w:after="200"/>
      </w:pPr>
      <w:r>
        <w:t xml:space="preserve"/>
      </w:r>
    </w:p>
    <w:p>
      <w:pPr>
        <w:pStyle w:val="Heading1"/>
        <w:spacing w:before="400" w:after="160"/>
      </w:pPr>
      <w:r>
        <w:rPr>
          <w:rFonts w:ascii="Arial" w:cs="Arial" w:eastAsia="Arial" w:hAnsi="Arial"/>
          <w:b/>
          <w:bCs/>
          <w:color w:val="E65C00"/>
          <w:sz w:val="36"/>
          <w:szCs w:val="36"/>
        </w:rPr>
        <w:t xml:space="preserve">3. Product Vision &amp; Persona</w:t>
      </w:r>
    </w:p>
    <w:p>
      <w:pPr>
        <w:pStyle w:val="Heading2"/>
        <w:spacing w:before="320" w:after="120"/>
      </w:pPr>
      <w:r>
        <w:rPr>
          <w:rFonts w:ascii="Arial" w:cs="Arial" w:eastAsia="Arial" w:hAnsi="Arial"/>
          <w:b/>
          <w:bCs/>
          <w:color w:val="1A1A1A"/>
          <w:sz w:val="28"/>
          <w:szCs w:val="28"/>
        </w:rPr>
        <w:t xml:space="preserve">3.1 Target User</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3500"/>
        <w:gridCol w:w="5510"/>
      </w:tblGrid>
      <w:tr>
        <w:trPr>
          <w:tblHeader/>
        </w:trPr>
        <w:tc>
          <w:tcPr>
            <w:tcW w:type="dxa" w:w="35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551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 (Archetype)</w:t>
            </w:r>
          </w:p>
        </w:tc>
        <w:tc>
          <w:tcPr>
            <w:tcW w:type="dxa" w:w="5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Ravi / Priya — delivery partner, age 22-35</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Platform</w:t>
            </w:r>
          </w:p>
        </w:tc>
        <w:tc>
          <w:tcPr>
            <w:tcW w:type="dxa" w:w="5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Zomato or Swiggy active partner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City</w:t>
            </w:r>
          </w:p>
        </w:tc>
        <w:tc>
          <w:tcPr>
            <w:tcW w:type="dxa" w:w="5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Mumbai, Chennai, Bengaluru, Hyderabad, Delhi-NCR</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Daily Active Hours</w:t>
            </w:r>
          </w:p>
        </w:tc>
        <w:tc>
          <w:tcPr>
            <w:tcW w:type="dxa" w:w="5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6-10 hours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Weekly Earnings</w:t>
            </w:r>
          </w:p>
        </w:tc>
        <w:tc>
          <w:tcPr>
            <w:tcW w:type="dxa" w:w="5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Rs. 3,000 - Rs. 7,000</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Payout Cycle</w:t>
            </w:r>
          </w:p>
        </w:tc>
        <w:tc>
          <w:tcPr>
            <w:tcW w:type="dxa" w:w="5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Weekly, directly to UPI</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Device</w:t>
            </w:r>
          </w:p>
        </w:tc>
        <w:tc>
          <w:tcPr>
            <w:tcW w:type="dxa" w:w="5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Android smartphone (budget to mid-range)</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Language</w:t>
            </w:r>
          </w:p>
        </w:tc>
        <w:tc>
          <w:tcPr>
            <w:tcW w:type="dxa" w:w="5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Hindi, Tamil, Telugu, Kannada, English</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Tech Comfort</w:t>
            </w:r>
          </w:p>
        </w:tc>
        <w:tc>
          <w:tcPr>
            <w:tcW w:type="dxa" w:w="5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Uses Zomato/Swiggy app daily, comfortable with UPI</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Primary Pain</w:t>
            </w:r>
          </w:p>
        </w:tc>
        <w:tc>
          <w:tcPr>
            <w:tcW w:type="dxa" w:w="5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 safety net when weather or civic events kill earnings</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3.2 Three Scenarios That Define the Product</w:t>
      </w:r>
    </w:p>
    <w:p>
      <w:pPr>
        <w:pStyle w:val="Heading3"/>
        <w:spacing w:before="240" w:after="80"/>
      </w:pPr>
      <w:r>
        <w:rPr>
          <w:rFonts w:ascii="Arial" w:cs="Arial" w:eastAsia="Arial" w:hAnsi="Arial"/>
          <w:b/>
          <w:bCs/>
          <w:color w:val="E65C00"/>
          <w:sz w:val="24"/>
          <w:szCs w:val="24"/>
        </w:rPr>
        <w:t xml:space="preserve">Scenario A — Heavy Rain in Chennai</w:t>
      </w:r>
    </w:p>
    <w:p>
      <w:pPr>
        <w:spacing w:before="80" w:after="80"/>
      </w:pPr>
      <w:r>
        <w:rPr>
          <w:rFonts w:ascii="Arial" w:cs="Arial" w:eastAsia="Arial" w:hAnsi="Arial"/>
          <w:b w:val="false"/>
          <w:bCs w:val="false"/>
          <w:i w:val="false"/>
          <w:iCs w:val="false"/>
          <w:color w:val="1A1A1A"/>
          <w:sz w:val="22"/>
          <w:szCs w:val="22"/>
        </w:rPr>
        <w:t xml:space="preserve">Ravi earns Rs. 900 on a normal working day in T. Nagar. A red-alert rain event cuts order volume by 70 percent. He earns Rs. 270 instead. Zensure detects the IMD red-alert trigger for his zone, validates that Ravi was active in that zone before the event, runs the fraud check, and credits Rs. 630 to his UPI within 5 minutes of the trigger firing. Ravi never opens the app.</w:t>
      </w:r>
    </w:p>
    <w:p>
      <w:pPr>
        <w:spacing w:before="60" w:after="60"/>
      </w:pPr>
      <w:r>
        <w:t xml:space="preserve"/>
      </w:r>
    </w:p>
    <w:p>
      <w:pPr>
        <w:pStyle w:val="Heading3"/>
        <w:spacing w:before="240" w:after="80"/>
      </w:pPr>
      <w:r>
        <w:rPr>
          <w:rFonts w:ascii="Arial" w:cs="Arial" w:eastAsia="Arial" w:hAnsi="Arial"/>
          <w:b/>
          <w:bCs/>
          <w:color w:val="E65C00"/>
          <w:sz w:val="24"/>
          <w:szCs w:val="24"/>
        </w:rPr>
        <w:t xml:space="preserve">Scenario B — AQI Emergency in Delhi</w:t>
      </w:r>
    </w:p>
    <w:p>
      <w:pPr>
        <w:spacing w:before="80" w:after="80"/>
      </w:pPr>
      <w:r>
        <w:rPr>
          <w:rFonts w:ascii="Arial" w:cs="Arial" w:eastAsia="Arial" w:hAnsi="Arial"/>
          <w:b w:val="false"/>
          <w:bCs w:val="false"/>
          <w:i w:val="false"/>
          <w:iCs w:val="false"/>
          <w:color w:val="1A1A1A"/>
          <w:sz w:val="22"/>
          <w:szCs w:val="22"/>
        </w:rPr>
        <w:t xml:space="preserve">Delhi's AQI crosses 400 (Severe+) on a November morning. Priya cannot safely work outdoor hours. Her Standard Shield plan covers 70 percent of income loss. Zensure's AQI trigger fires for her zone, her GPS confirms she is in the affected area, and a partial daily payout is processed automatically. She finds the money in her UPI account when she checks her phone.</w:t>
      </w:r>
    </w:p>
    <w:p>
      <w:pPr>
        <w:spacing w:before="60" w:after="60"/>
      </w:pPr>
      <w:r>
        <w:t xml:space="preserve"/>
      </w:r>
    </w:p>
    <w:p>
      <w:pPr>
        <w:pStyle w:val="Heading3"/>
        <w:spacing w:before="240" w:after="80"/>
      </w:pPr>
      <w:r>
        <w:rPr>
          <w:rFonts w:ascii="Arial" w:cs="Arial" w:eastAsia="Arial" w:hAnsi="Arial"/>
          <w:b/>
          <w:bCs/>
          <w:color w:val="E65C00"/>
          <w:sz w:val="24"/>
          <w:szCs w:val="24"/>
        </w:rPr>
        <w:t xml:space="preserve">Scenario C — Coordinated Fraud Attempt</w:t>
      </w:r>
    </w:p>
    <w:p>
      <w:pPr>
        <w:spacing w:before="80" w:after="80"/>
      </w:pPr>
      <w:r>
        <w:rPr>
          <w:rFonts w:ascii="Arial" w:cs="Arial" w:eastAsia="Arial" w:hAnsi="Arial"/>
          <w:b w:val="false"/>
          <w:bCs w:val="false"/>
          <w:i w:val="false"/>
          <w:iCs w:val="false"/>
          <w:color w:val="1A1A1A"/>
          <w:sz w:val="22"/>
          <w:szCs w:val="22"/>
        </w:rPr>
        <w:t xml:space="preserve">A group of 40 workers in the same zone all trigger claims within an 8-minute window during a rain event. Zensure's Ring Score model detects the velocity anomaly, cross-checks cell tower triangulation data against their GPS claims, and finds 31 of the 40 workers have a location mismatch greater than 500 meters. Those 31 claims are placed on Hard Hold for manual review. The 9 legitimate claims are auto-approved and paid within 5 minutes.</w:t>
      </w:r>
    </w:p>
    <w:p>
      <w:pPr>
        <w:pBdr>
          <w:bottom w:val="single" w:color="E65C00" w:sz="4" w:space="1"/>
        </w:pBdr>
        <w:spacing w:before="200" w:after="200"/>
      </w:pPr>
      <w:r>
        <w:t xml:space="preserve"/>
      </w:r>
    </w:p>
    <w:p>
      <w:pPr>
        <w:pStyle w:val="Heading1"/>
        <w:spacing w:before="400" w:after="160"/>
      </w:pPr>
      <w:r>
        <w:rPr>
          <w:rFonts w:ascii="Arial" w:cs="Arial" w:eastAsia="Arial" w:hAnsi="Arial"/>
          <w:b/>
          <w:bCs/>
          <w:color w:val="E65C00"/>
          <w:sz w:val="36"/>
          <w:szCs w:val="36"/>
        </w:rPr>
        <w:t xml:space="preserve">4. Application Workflow — End to End</w:t>
      </w:r>
    </w:p>
    <w:p>
      <w:pPr>
        <w:pStyle w:val="Heading2"/>
        <w:spacing w:before="320" w:after="120"/>
      </w:pPr>
      <w:r>
        <w:rPr>
          <w:rFonts w:ascii="Arial" w:cs="Arial" w:eastAsia="Arial" w:hAnsi="Arial"/>
          <w:b/>
          <w:bCs/>
          <w:color w:val="1A1A1A"/>
          <w:sz w:val="28"/>
          <w:szCs w:val="28"/>
        </w:rPr>
        <w:t xml:space="preserve">4.1 Worker Journey</w:t>
      </w:r>
    </w:p>
    <w:p>
      <w:pPr>
        <w:pStyle w:val="ListParagraph"/>
        <w:numPr>
          <w:ilvl w:val="0"/>
          <w:numId w:val="3"/>
        </w:numPr>
        <w:spacing w:before="60" w:after="60"/>
      </w:pPr>
      <w:r>
        <w:rPr>
          <w:rFonts w:ascii="Arial" w:cs="Arial" w:eastAsia="Arial" w:hAnsi="Arial"/>
          <w:color w:val="1A1A1A"/>
          <w:sz w:val="22"/>
          <w:szCs w:val="22"/>
        </w:rPr>
        <w:t xml:space="preserve">Worker downloads the Zensure app and registers using their Zomato or Swiggy Partner ID, city, primary delivery zone, preferred language, and UPI ID.</w:t>
      </w:r>
    </w:p>
    <w:p>
      <w:pPr>
        <w:pStyle w:val="ListParagraph"/>
        <w:numPr>
          <w:ilvl w:val="0"/>
          <w:numId w:val="3"/>
        </w:numPr>
        <w:spacing w:before="60" w:after="60"/>
      </w:pPr>
      <w:r>
        <w:rPr>
          <w:rFonts w:ascii="Arial" w:cs="Arial" w:eastAsia="Arial" w:hAnsi="Arial"/>
          <w:color w:val="1A1A1A"/>
          <w:sz w:val="22"/>
          <w:szCs w:val="22"/>
        </w:rPr>
        <w:t xml:space="preserve">The system verifies active partner status via a simulated platform API call and runs an initial zone risk score calculation.</w:t>
      </w:r>
    </w:p>
    <w:p>
      <w:pPr>
        <w:pStyle w:val="ListParagraph"/>
        <w:numPr>
          <w:ilvl w:val="0"/>
          <w:numId w:val="3"/>
        </w:numPr>
        <w:spacing w:before="60" w:after="60"/>
      </w:pPr>
      <w:r>
        <w:rPr>
          <w:rFonts w:ascii="Arial" w:cs="Arial" w:eastAsia="Arial" w:hAnsi="Arial"/>
          <w:color w:val="1A1A1A"/>
          <w:sz w:val="22"/>
          <w:szCs w:val="22"/>
        </w:rPr>
        <w:t xml:space="preserve">Worker sees three plan options with their zone-adjusted premiums. They select a plan and confirm. Premium is deducted from UPI or earnings wallet weekly every Monday.</w:t>
      </w:r>
    </w:p>
    <w:p>
      <w:pPr>
        <w:pStyle w:val="ListParagraph"/>
        <w:numPr>
          <w:ilvl w:val="0"/>
          <w:numId w:val="3"/>
        </w:numPr>
        <w:spacing w:before="60" w:after="60"/>
      </w:pPr>
      <w:r>
        <w:rPr>
          <w:rFonts w:ascii="Arial" w:cs="Arial" w:eastAsia="Arial" w:hAnsi="Arial"/>
          <w:color w:val="1A1A1A"/>
          <w:sz w:val="22"/>
          <w:szCs w:val="22"/>
        </w:rPr>
        <w:t xml:space="preserve">The app shows a home dashboard with their active coverage week, current zone disruption status (green/amber/red), earnings protected this week, and payout history.</w:t>
      </w:r>
    </w:p>
    <w:p>
      <w:pPr>
        <w:pStyle w:val="ListParagraph"/>
        <w:numPr>
          <w:ilvl w:val="0"/>
          <w:numId w:val="3"/>
        </w:numPr>
        <w:spacing w:before="60" w:after="60"/>
      </w:pPr>
      <w:r>
        <w:rPr>
          <w:rFonts w:ascii="Arial" w:cs="Arial" w:eastAsia="Arial" w:hAnsi="Arial"/>
          <w:color w:val="1A1A1A"/>
          <w:sz w:val="22"/>
          <w:szCs w:val="22"/>
        </w:rPr>
        <w:t xml:space="preserve">In the background, the trigger engine polls APIs every 15 minutes. When a parametric threshold is crossed in the worker's active zone, an event is flagged automatically.</w:t>
      </w:r>
    </w:p>
    <w:p>
      <w:pPr>
        <w:pStyle w:val="ListParagraph"/>
        <w:numPr>
          <w:ilvl w:val="0"/>
          <w:numId w:val="3"/>
        </w:numPr>
        <w:spacing w:before="60" w:after="60"/>
      </w:pPr>
      <w:r>
        <w:rPr>
          <w:rFonts w:ascii="Arial" w:cs="Arial" w:eastAsia="Arial" w:hAnsi="Arial"/>
          <w:color w:val="1A1A1A"/>
          <w:sz w:val="22"/>
          <w:szCs w:val="22"/>
        </w:rPr>
        <w:t xml:space="preserve">The fraud validation layer runs within 60 seconds of the event flag. It checks GPS, motion sensors, cell tower data, platform activity, and behavioral baseline.</w:t>
      </w:r>
    </w:p>
    <w:p>
      <w:pPr>
        <w:pStyle w:val="ListParagraph"/>
        <w:numPr>
          <w:ilvl w:val="0"/>
          <w:numId w:val="3"/>
        </w:numPr>
        <w:spacing w:before="60" w:after="60"/>
      </w:pPr>
      <w:r>
        <w:rPr>
          <w:rFonts w:ascii="Arial" w:cs="Arial" w:eastAsia="Arial" w:hAnsi="Arial"/>
          <w:color w:val="1A1A1A"/>
          <w:sz w:val="22"/>
          <w:szCs w:val="22"/>
        </w:rPr>
        <w:t xml:space="preserve">The claim is classified as Auto-Approved, Soft Hold, or Hard Hold based on fraud confidence score.</w:t>
      </w:r>
    </w:p>
    <w:p>
      <w:pPr>
        <w:pStyle w:val="ListParagraph"/>
        <w:numPr>
          <w:ilvl w:val="0"/>
          <w:numId w:val="3"/>
        </w:numPr>
        <w:spacing w:before="60" w:after="60"/>
      </w:pPr>
      <w:r>
        <w:rPr>
          <w:rFonts w:ascii="Arial" w:cs="Arial" w:eastAsia="Arial" w:hAnsi="Arial"/>
          <w:color w:val="1A1A1A"/>
          <w:sz w:val="22"/>
          <w:szCs w:val="22"/>
        </w:rPr>
        <w:t xml:space="preserve">Auto-approved claims send a payout via Razorpay UPI within 5 minutes. Worker receives an in-app notification and a UPI transfer confirmation.</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4.2 System Flow Diagram</w:t>
      </w:r>
    </w:p>
    <w:p>
      <w:pPr>
        <w:spacing w:before="80" w:after="80"/>
      </w:pPr>
      <w:r>
        <w:rPr>
          <w:rFonts w:ascii="Arial" w:cs="Arial" w:eastAsia="Arial" w:hAnsi="Arial"/>
          <w:b w:val="false"/>
          <w:bCs w:val="false"/>
          <w:i w:val="false"/>
          <w:iCs w:val="false"/>
          <w:color w:val="1A1A1A"/>
          <w:sz w:val="22"/>
          <w:szCs w:val="22"/>
        </w:rPr>
        <w:t xml:space="preserve">[Worker App] --register--&gt; [Backend API] --verify--&gt; [Platform API Mock]</w:t>
      </w:r>
    </w:p>
    <w:p>
      <w:pPr>
        <w:spacing w:before="80" w:after="80"/>
      </w:pPr>
      <w:r>
        <w:rPr>
          <w:rFonts w:ascii="Arial" w:cs="Arial" w:eastAsia="Arial" w:hAnsi="Arial"/>
          <w:b w:val="false"/>
          <w:bCs w:val="false"/>
          <w:i w:val="false"/>
          <w:iCs w:val="false"/>
          <w:color w:val="1A1A1A"/>
          <w:sz w:val="22"/>
          <w:szCs w:val="22"/>
        </w:rPr>
        <w:t xml:space="preserve">[Backend API] --risk-score--&gt; [ML Service / XGBoost]</w:t>
      </w:r>
    </w:p>
    <w:p>
      <w:pPr>
        <w:spacing w:before="80" w:after="80"/>
      </w:pPr>
      <w:r>
        <w:rPr>
          <w:rFonts w:ascii="Arial" w:cs="Arial" w:eastAsia="Arial" w:hAnsi="Arial"/>
          <w:b w:val="false"/>
          <w:bCs w:val="false"/>
          <w:i w:val="false"/>
          <w:iCs w:val="false"/>
          <w:color w:val="1A1A1A"/>
          <w:sz w:val="22"/>
          <w:szCs w:val="22"/>
        </w:rPr>
        <w:t xml:space="preserve">[Trigger Engine] --poll every 15min--&gt; [Weather API / AQI API / IMD Feed]</w:t>
      </w:r>
    </w:p>
    <w:p>
      <w:pPr>
        <w:spacing w:before="80" w:after="80"/>
      </w:pPr>
      <w:r>
        <w:rPr>
          <w:rFonts w:ascii="Arial" w:cs="Arial" w:eastAsia="Arial" w:hAnsi="Arial"/>
          <w:b w:val="false"/>
          <w:bCs w:val="false"/>
          <w:i w:val="false"/>
          <w:iCs w:val="false"/>
          <w:color w:val="1A1A1A"/>
          <w:sz w:val="22"/>
          <w:szCs w:val="22"/>
        </w:rPr>
        <w:t xml:space="preserve">[Trigger Engine] --event flagged--&gt; [Claims Pipeline]</w:t>
      </w:r>
    </w:p>
    <w:p>
      <w:pPr>
        <w:spacing w:before="80" w:after="80"/>
      </w:pPr>
      <w:r>
        <w:rPr>
          <w:rFonts w:ascii="Arial" w:cs="Arial" w:eastAsia="Arial" w:hAnsi="Arial"/>
          <w:b w:val="false"/>
          <w:bCs w:val="false"/>
          <w:i w:val="false"/>
          <w:iCs w:val="false"/>
          <w:color w:val="1A1A1A"/>
          <w:sz w:val="22"/>
          <w:szCs w:val="22"/>
        </w:rPr>
        <w:t xml:space="preserve">[Claims Pipeline] --fraud check--&gt; [Fraud ML Service]</w:t>
      </w:r>
    </w:p>
    <w:p>
      <w:pPr>
        <w:spacing w:before="80" w:after="80"/>
      </w:pPr>
      <w:r>
        <w:rPr>
          <w:rFonts w:ascii="Arial" w:cs="Arial" w:eastAsia="Arial" w:hAnsi="Arial"/>
          <w:b w:val="false"/>
          <w:bCs w:val="false"/>
          <w:i w:val="false"/>
          <w:iCs w:val="false"/>
          <w:color w:val="1A1A1A"/>
          <w:sz w:val="22"/>
          <w:szCs w:val="22"/>
        </w:rPr>
        <w:t xml:space="preserve">[Fraud ML Service] --score--&gt; [Auto-Approve / Soft Hold / Hard Hold]</w:t>
      </w:r>
    </w:p>
    <w:p>
      <w:pPr>
        <w:spacing w:before="80" w:after="80"/>
      </w:pPr>
      <w:r>
        <w:rPr>
          <w:rFonts w:ascii="Arial" w:cs="Arial" w:eastAsia="Arial" w:hAnsi="Arial"/>
          <w:b w:val="false"/>
          <w:bCs w:val="false"/>
          <w:i w:val="false"/>
          <w:iCs w:val="false"/>
          <w:color w:val="1A1A1A"/>
          <w:sz w:val="22"/>
          <w:szCs w:val="22"/>
        </w:rPr>
        <w:t xml:space="preserve">[Payout Engine] --UPI transfer--&gt; [Razorpay Sandbox]</w:t>
      </w:r>
    </w:p>
    <w:p>
      <w:pPr>
        <w:spacing w:before="80" w:after="80"/>
      </w:pPr>
      <w:r>
        <w:rPr>
          <w:rFonts w:ascii="Arial" w:cs="Arial" w:eastAsia="Arial" w:hAnsi="Arial"/>
          <w:b w:val="false"/>
          <w:bCs w:val="false"/>
          <w:i w:val="false"/>
          <w:iCs w:val="false"/>
          <w:color w:val="1A1A1A"/>
          <w:sz w:val="22"/>
          <w:szCs w:val="22"/>
        </w:rPr>
        <w:t xml:space="preserve">[Insurer Dashboard] &lt;-- [Analytics DB] &lt;-- [All events + claims + payouts]</w:t>
      </w:r>
    </w:p>
    <w:p>
      <w:pPr>
        <w:pBdr>
          <w:bottom w:val="single" w:color="E65C00" w:sz="4" w:space="1"/>
        </w:pBdr>
        <w:spacing w:before="200" w:after="200"/>
      </w:pPr>
      <w:r>
        <w:t xml:space="preserve"/>
      </w:r>
    </w:p>
    <w:p>
      <w:pPr>
        <w:pStyle w:val="Heading1"/>
        <w:spacing w:before="400" w:after="160"/>
      </w:pPr>
      <w:r>
        <w:rPr>
          <w:rFonts w:ascii="Arial" w:cs="Arial" w:eastAsia="Arial" w:hAnsi="Arial"/>
          <w:b/>
          <w:bCs/>
          <w:color w:val="E65C00"/>
          <w:sz w:val="36"/>
          <w:szCs w:val="36"/>
        </w:rPr>
        <w:t xml:space="preserve">5. Weekly Premium Model</w:t>
      </w:r>
    </w:p>
    <w:p>
      <w:pPr>
        <w:pStyle w:val="Heading2"/>
        <w:spacing w:before="320" w:after="120"/>
      </w:pPr>
      <w:r>
        <w:rPr>
          <w:rFonts w:ascii="Arial" w:cs="Arial" w:eastAsia="Arial" w:hAnsi="Arial"/>
          <w:b/>
          <w:bCs/>
          <w:color w:val="1A1A1A"/>
          <w:sz w:val="28"/>
          <w:szCs w:val="28"/>
        </w:rPr>
        <w:t xml:space="preserve">5.1 Plan Structure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2000"/>
        <w:gridCol w:w="2160"/>
      </w:tblGrid>
      <w:tr>
        <w:trPr>
          <w:tblHeader/>
        </w:trPr>
        <w:tc>
          <w:tcPr>
            <w:tcW w:type="dxa" w:w="15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Plan</w:t>
            </w:r>
          </w:p>
        </w:tc>
        <w:tc>
          <w:tcPr>
            <w:tcW w:type="dxa" w:w="18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Weekly Premium</w:t>
            </w:r>
          </w:p>
        </w:tc>
        <w:tc>
          <w:tcPr>
            <w:tcW w:type="dxa" w:w="20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Income Replacement</w:t>
            </w:r>
          </w:p>
        </w:tc>
        <w:tc>
          <w:tcPr>
            <w:tcW w:type="dxa" w:w="20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Max Weekly Payout</w:t>
            </w:r>
          </w:p>
        </w:tc>
        <w:tc>
          <w:tcPr>
            <w:tcW w:type="dxa" w:w="216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Best For</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Basic</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Rs. 29/week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 of lost income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Rs. 1,500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Part-time workers, low-risk zones</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Standard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Rs. 49/week</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70% of lost income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Rs. 2,500</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Full-time workers, moderate zones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Rs. 79/week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90% of lost income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Rs. 4,000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High-income workers, high-risk zones</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5.2 Dynamic Premium Calculation</w:t>
      </w:r>
    </w:p>
    <w:p>
      <w:pPr>
        <w:spacing w:before="80" w:after="80"/>
      </w:pPr>
      <w:r>
        <w:rPr>
          <w:rFonts w:ascii="Arial" w:cs="Arial" w:eastAsia="Arial" w:hAnsi="Arial"/>
          <w:b w:val="false"/>
          <w:bCs w:val="false"/>
          <w:i w:val="false"/>
          <w:iCs w:val="false"/>
          <w:color w:val="1A1A1A"/>
          <w:sz w:val="22"/>
          <w:szCs w:val="22"/>
        </w:rPr>
        <w:t xml:space="preserve">The base plan price is adjusted by an XGBoost Regressor model that computes a Zone Risk Score between 0 and 1. The final weekly premium = Base Price x (1 + Zone Risk Multiplier).</w:t>
      </w:r>
    </w:p>
    <w:p>
      <w:pPr>
        <w:spacing w:before="60" w:after="60"/>
      </w:pPr>
      <w:r>
        <w:t xml:space="preserve"/>
      </w:r>
    </w:p>
    <w:p>
      <w:pPr>
        <w:pStyle w:val="Heading3"/>
        <w:spacing w:before="240" w:after="80"/>
      </w:pPr>
      <w:r>
        <w:rPr>
          <w:rFonts w:ascii="Arial" w:cs="Arial" w:eastAsia="Arial" w:hAnsi="Arial"/>
          <w:b/>
          <w:bCs/>
          <w:color w:val="E65C00"/>
          <w:sz w:val="24"/>
          <w:szCs w:val="24"/>
        </w:rPr>
        <w:t xml:space="preserve">Input Features for the Model</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1460"/>
      </w:tblGrid>
      <w:tr>
        <w:trPr>
          <w:tblHeader/>
        </w:trPr>
        <w:tc>
          <w:tcPr>
            <w:tcW w:type="dxa" w:w="25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0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46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Weight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Zone Risk Score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Historical disruption frequency in the worker's 1km delivery grid</w:t>
            </w:r>
          </w:p>
        </w:tc>
        <w:tc>
          <w:tcPr>
            <w:tcW w:type="dxa" w:w="1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Seasonal Factor</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Month-based multiplier — June-September carry 1.3x for monsoon</w:t>
            </w:r>
          </w:p>
        </w:tc>
        <w:tc>
          <w:tcPr>
            <w:tcW w:type="dxa" w:w="1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Worker Activity Score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Avg active hours per day over past 4 weeks</w:t>
            </w:r>
          </w:p>
        </w:tc>
        <w:tc>
          <w:tcPr>
            <w:tcW w:type="dxa" w:w="1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City Tier</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Metro cities with dense disruption history get +0.05 to +0.15 adjustment</w:t>
            </w:r>
          </w:p>
        </w:tc>
        <w:tc>
          <w:tcPr>
            <w:tcW w:type="dxa" w:w="1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Claim History</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Workers with zero prior claims get a 5% loyalty discount after 8 weeks</w:t>
            </w:r>
          </w:p>
        </w:tc>
        <w:tc>
          <w:tcPr>
            <w:tcW w:type="dxa" w:w="1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r>
    </w:tbl>
    <w:p>
      <w:pPr>
        <w:spacing w:before="60" w:after="60"/>
      </w:pPr>
      <w:r>
        <w:t xml:space="preserve"/>
      </w:r>
    </w:p>
    <w:p>
      <w:pPr>
        <w:pStyle w:val="Heading3"/>
        <w:spacing w:before="240" w:after="80"/>
      </w:pPr>
      <w:r>
        <w:rPr>
          <w:rFonts w:ascii="Arial" w:cs="Arial" w:eastAsia="Arial" w:hAnsi="Arial"/>
          <w:b/>
          <w:bCs/>
          <w:color w:val="E65C00"/>
          <w:sz w:val="24"/>
          <w:szCs w:val="24"/>
        </w:rPr>
        <w:t xml:space="preserve">Pricing Example</w:t>
      </w:r>
    </w:p>
    <w:p>
      <w:pPr>
        <w:spacing w:before="80" w:after="80"/>
      </w:pPr>
      <w:r>
        <w:rPr>
          <w:rFonts w:ascii="Arial" w:cs="Arial" w:eastAsia="Arial" w:hAnsi="Arial"/>
          <w:b w:val="false"/>
          <w:bCs w:val="false"/>
          <w:i w:val="false"/>
          <w:iCs w:val="false"/>
          <w:color w:val="1A1A1A"/>
          <w:sz w:val="22"/>
          <w:szCs w:val="22"/>
        </w:rPr>
        <w:t xml:space="preserve">Standard Shield base = Rs. 49. Worker in Chennai T. Nagar, June (monsoon peak), zone risk score 0.78. Seasonal factor = 1.3. Adjusted premium = Rs. 49 x 1.20 = Rs. 59/week. Worker sees Rs. 59 with a badge: 'High risk zone — monsoon season.'</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5.3 Payout Formula</w:t>
      </w:r>
    </w:p>
    <w:p>
      <w:pPr>
        <w:spacing w:before="80" w:after="80"/>
      </w:pPr>
      <w:r>
        <w:rPr>
          <w:rFonts w:ascii="Arial" w:cs="Arial" w:eastAsia="Arial" w:hAnsi="Arial"/>
          <w:b w:val="false"/>
          <w:bCs w:val="false"/>
          <w:i w:val="false"/>
          <w:iCs w:val="false"/>
          <w:color w:val="1A1A1A"/>
          <w:sz w:val="22"/>
          <w:szCs w:val="22"/>
        </w:rPr>
        <w:t xml:space="preserve">Payout = (Assumed Income Loss % x Worker's Average Daily Earning x Disruption Duration in Days) x Coverage Percentage</w:t>
      </w:r>
    </w:p>
    <w:p>
      <w:pPr>
        <w:spacing w:before="80" w:after="80"/>
      </w:pPr>
      <w:r>
        <w:rPr>
          <w:rFonts w:ascii="Arial" w:cs="Arial" w:eastAsia="Arial" w:hAnsi="Arial"/>
          <w:b w:val="false"/>
          <w:bCs w:val="false"/>
          <w:i/>
          <w:iCs/>
          <w:color w:val="1A1A1A"/>
          <w:sz w:val="22"/>
          <w:szCs w:val="22"/>
        </w:rPr>
        <w:t xml:space="preserve">Worker's Average Daily Earning is calculated from their platform activity over the past 4 weeks, verified via simulated platform API.</w:t>
      </w:r>
    </w:p>
    <w:p>
      <w:pPr>
        <w:pBdr>
          <w:bottom w:val="single" w:color="E65C00" w:sz="4" w:space="1"/>
        </w:pBdr>
        <w:spacing w:before="200" w:after="200"/>
      </w:pPr>
      <w:r>
        <w:t xml:space="preserve"/>
      </w:r>
    </w:p>
    <w:p>
      <w:pPr>
        <w:pStyle w:val="Heading1"/>
        <w:spacing w:before="400" w:after="160"/>
      </w:pPr>
      <w:r>
        <w:rPr>
          <w:rFonts w:ascii="Arial" w:cs="Arial" w:eastAsia="Arial" w:hAnsi="Arial"/>
          <w:b/>
          <w:bCs/>
          <w:color w:val="E65C00"/>
          <w:sz w:val="36"/>
          <w:szCs w:val="36"/>
        </w:rPr>
        <w:t xml:space="preserve">6. Parametric Trigger Engine</w:t>
      </w:r>
    </w:p>
    <w:p>
      <w:pPr>
        <w:pStyle w:val="Heading2"/>
        <w:spacing w:before="320" w:after="120"/>
      </w:pPr>
      <w:r>
        <w:rPr>
          <w:rFonts w:ascii="Arial" w:cs="Arial" w:eastAsia="Arial" w:hAnsi="Arial"/>
          <w:b/>
          <w:bCs/>
          <w:color w:val="1A1A1A"/>
          <w:sz w:val="28"/>
          <w:szCs w:val="28"/>
        </w:rPr>
        <w:t xml:space="preserve">6.1 Trigger Definitions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000"/>
        <w:gridCol w:w="1200"/>
        <w:gridCol w:w="1460"/>
      </w:tblGrid>
      <w:tr>
        <w:trPr>
          <w:tblHeader/>
        </w:trPr>
        <w:tc>
          <w:tcPr>
            <w:tcW w:type="dxa" w:w="18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Trigger</w:t>
            </w:r>
          </w:p>
        </w:tc>
        <w:tc>
          <w:tcPr>
            <w:tcW w:type="dxa" w:w="25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Threshold</w:t>
            </w:r>
          </w:p>
        </w:tc>
        <w:tc>
          <w:tcPr>
            <w:tcW w:type="dxa" w:w="20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Data Source</w:t>
            </w:r>
          </w:p>
        </w:tc>
        <w:tc>
          <w:tcPr>
            <w:tcW w:type="dxa" w:w="12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Income Loss</w:t>
            </w:r>
          </w:p>
        </w:tc>
        <w:tc>
          <w:tcPr>
            <w:tcW w:type="dxa" w:w="146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Payout Scope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Heavy Rain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Rainfall &gt; 64.5mm/day (IMD Red Alert)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OpenWeatherMap / IMD RSS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60-80%</w:t>
            </w:r>
          </w:p>
        </w:tc>
        <w:tc>
          <w:tcPr>
            <w:tcW w:type="dxa" w:w="1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day</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Extreme Heat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Temperature &gt; 43C for 3+ consecutive hours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OpenWeatherMap API</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40%</w:t>
            </w:r>
          </w:p>
        </w:tc>
        <w:tc>
          <w:tcPr>
            <w:tcW w:type="dxa" w:w="1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Affected hours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Severe AQI</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AQI &gt; 400 (CPCB Severe+)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CPCB Open Data API</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w:t>
            </w:r>
          </w:p>
        </w:tc>
        <w:tc>
          <w:tcPr>
            <w:tcW w:type="dxa" w:w="1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day</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Cyclone Warning</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IMD Cyclone Alert issued for city zone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IMD RSS Feed</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1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 day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Flash Flood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Flood depth &gt; 0.3m in delivery zone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Flood Watch API / mock</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80-100%</w:t>
            </w:r>
          </w:p>
        </w:tc>
        <w:tc>
          <w:tcPr>
            <w:tcW w:type="dxa" w:w="1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day</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Civic Disruption</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Verified bandh or curfew in GPS zone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Traffic API + news feed mock</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70%</w:t>
            </w:r>
          </w:p>
        </w:tc>
        <w:tc>
          <w:tcPr>
            <w:tcW w:type="dxa" w:w="1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Affected hours</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6.2 Trigger Pipeline Architecture</w:t>
      </w:r>
    </w:p>
    <w:p>
      <w:pPr>
        <w:pStyle w:val="ListParagraph"/>
        <w:numPr>
          <w:ilvl w:val="0"/>
          <w:numId w:val="2"/>
        </w:numPr>
        <w:spacing w:before="60" w:after="60"/>
      </w:pPr>
      <w:r>
        <w:rPr>
          <w:rFonts w:ascii="Arial" w:cs="Arial" w:eastAsia="Arial" w:hAnsi="Arial"/>
          <w:color w:val="1A1A1A"/>
          <w:sz w:val="22"/>
          <w:szCs w:val="22"/>
        </w:rPr>
        <w:t xml:space="preserve">A scheduled job polls all configured APIs every 15 minutes for each active delivery zone in the system.</w:t>
      </w:r>
    </w:p>
    <w:p>
      <w:pPr>
        <w:pStyle w:val="ListParagraph"/>
        <w:numPr>
          <w:ilvl w:val="0"/>
          <w:numId w:val="2"/>
        </w:numPr>
        <w:spacing w:before="60" w:after="60"/>
      </w:pPr>
      <w:r>
        <w:rPr>
          <w:rFonts w:ascii="Arial" w:cs="Arial" w:eastAsia="Arial" w:hAnsi="Arial"/>
          <w:color w:val="1A1A1A"/>
          <w:sz w:val="22"/>
          <w:szCs w:val="22"/>
        </w:rPr>
        <w:t xml:space="preserve">When a threshold is crossed, a DisruptionEvent record is created in the database with zone, event type, severity, timestamp, and data source.</w:t>
      </w:r>
    </w:p>
    <w:p>
      <w:pPr>
        <w:pStyle w:val="ListParagraph"/>
        <w:numPr>
          <w:ilvl w:val="0"/>
          <w:numId w:val="2"/>
        </w:numPr>
        <w:spacing w:before="60" w:after="60"/>
      </w:pPr>
      <w:r>
        <w:rPr>
          <w:rFonts w:ascii="Arial" w:cs="Arial" w:eastAsia="Arial" w:hAnsi="Arial"/>
          <w:color w:val="1A1A1A"/>
          <w:sz w:val="22"/>
          <w:szCs w:val="22"/>
        </w:rPr>
        <w:t xml:space="preserve">The event is pushed to a Redis queue which the Claims Pipeline consumes.</w:t>
      </w:r>
    </w:p>
    <w:p>
      <w:pPr>
        <w:pStyle w:val="ListParagraph"/>
        <w:numPr>
          <w:ilvl w:val="0"/>
          <w:numId w:val="2"/>
        </w:numPr>
        <w:spacing w:before="60" w:after="60"/>
      </w:pPr>
      <w:r>
        <w:rPr>
          <w:rFonts w:ascii="Arial" w:cs="Arial" w:eastAsia="Arial" w:hAnsi="Arial"/>
          <w:color w:val="1A1A1A"/>
          <w:sz w:val="22"/>
          <w:szCs w:val="22"/>
        </w:rPr>
        <w:t xml:space="preserve">The Claims Pipeline queries all active policies where the worker's zone matches the disruption zone and the policy is active for that week.</w:t>
      </w:r>
    </w:p>
    <w:p>
      <w:pPr>
        <w:pStyle w:val="ListParagraph"/>
        <w:numPr>
          <w:ilvl w:val="0"/>
          <w:numId w:val="2"/>
        </w:numPr>
        <w:spacing w:before="60" w:after="60"/>
      </w:pPr>
      <w:r>
        <w:rPr>
          <w:rFonts w:ascii="Arial" w:cs="Arial" w:eastAsia="Arial" w:hAnsi="Arial"/>
          <w:color w:val="1A1A1A"/>
          <w:sz w:val="22"/>
          <w:szCs w:val="22"/>
        </w:rPr>
        <w:t xml:space="preserve">For each matching policy, a claim record is created and passed to the Fraud Validation layer.</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6.3 Zone Matching Logic</w:t>
      </w:r>
    </w:p>
    <w:p>
      <w:pPr>
        <w:spacing w:before="80" w:after="80"/>
      </w:pPr>
      <w:r>
        <w:rPr>
          <w:rFonts w:ascii="Arial" w:cs="Arial" w:eastAsia="Arial" w:hAnsi="Arial"/>
          <w:b w:val="false"/>
          <w:bCs w:val="false"/>
          <w:i w:val="false"/>
          <w:iCs w:val="false"/>
          <w:color w:val="1A1A1A"/>
          <w:sz w:val="22"/>
          <w:szCs w:val="22"/>
        </w:rPr>
        <w:t xml:space="preserve">Zones are defined as 1km x 1km grid cells mapped to OpenStreetMap coordinates. A worker's active zone is determined from their GPS trail in the past 2 hours before the event. If no GPS trail exists in the past 2 hours, the worker's registered home zone is used as fallback. This prevents edge cases where workers are offline at the time of the trigger.</w:t>
      </w:r>
    </w:p>
    <w:p>
      <w:pPr>
        <w:pBdr>
          <w:bottom w:val="single" w:color="E65C00" w:sz="4" w:space="1"/>
        </w:pBdr>
        <w:spacing w:before="200" w:after="200"/>
      </w:pPr>
      <w:r>
        <w:t xml:space="preserve"/>
      </w:r>
    </w:p>
    <w:p>
      <w:pPr>
        <w:pStyle w:val="Heading1"/>
        <w:spacing w:before="400" w:after="160"/>
      </w:pPr>
      <w:r>
        <w:rPr>
          <w:rFonts w:ascii="Arial" w:cs="Arial" w:eastAsia="Arial" w:hAnsi="Arial"/>
          <w:b/>
          <w:bCs/>
          <w:color w:val="E65C00"/>
          <w:sz w:val="36"/>
          <w:szCs w:val="36"/>
        </w:rPr>
        <w:t xml:space="preserve">7. AI / ML Architecture</w:t>
      </w:r>
    </w:p>
    <w:p>
      <w:pPr>
        <w:pStyle w:val="Heading2"/>
        <w:spacing w:before="320" w:after="120"/>
      </w:pPr>
      <w:r>
        <w:rPr>
          <w:rFonts w:ascii="Arial" w:cs="Arial" w:eastAsia="Arial" w:hAnsi="Arial"/>
          <w:b/>
          <w:bCs/>
          <w:color w:val="1A1A1A"/>
          <w:sz w:val="28"/>
          <w:szCs w:val="28"/>
        </w:rPr>
        <w:t xml:space="preserve">7.1 Model 1 — Premium Calculation (XGBoost Regressor)</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3000"/>
        <w:gridCol w:w="6010"/>
      </w:tblGrid>
      <w:tr>
        <w:trPr>
          <w:tblHeader/>
        </w:trPr>
        <w:tc>
          <w:tcPr>
            <w:tcW w:type="dxa" w:w="30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601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Algorithm</w:t>
            </w:r>
          </w:p>
        </w:tc>
        <w:tc>
          <w:tcPr>
            <w:tcW w:type="dxa" w:w="6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XGBoost Regressor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Input Features</w:t>
            </w:r>
          </w:p>
        </w:tc>
        <w:tc>
          <w:tcPr>
            <w:tcW w:type="dxa" w:w="60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Zone lat/long, historical event count per zone, month index, worker activity score, city flood risk index</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Output</w:t>
            </w:r>
          </w:p>
        </w:tc>
        <w:tc>
          <w:tcPr>
            <w:tcW w:type="dxa" w:w="6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Zone Risk Score (0.0 to 1.0) used as premium multiplier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Training Data</w:t>
            </w:r>
          </w:p>
        </w:tc>
        <w:tc>
          <w:tcPr>
            <w:tcW w:type="dxa" w:w="60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IMD historical weather records, CPCB AQI archives, OpenStreetMap zone boundaries, synthetic worker activity data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Retraining Frequency</w:t>
            </w:r>
          </w:p>
        </w:tc>
        <w:tc>
          <w:tcPr>
            <w:tcW w:type="dxa" w:w="6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 with new weather and claim data</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Serving</w:t>
            </w:r>
          </w:p>
        </w:tc>
        <w:tc>
          <w:tcPr>
            <w:tcW w:type="dxa" w:w="60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FastAPI microservice, called during policy creation and weekly renewal</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7.2 Model 2 — Fraud Detection (Isolation Forest)</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3000"/>
        <w:gridCol w:w="6010"/>
      </w:tblGrid>
      <w:tr>
        <w:trPr>
          <w:tblHeader/>
        </w:trPr>
        <w:tc>
          <w:tcPr>
            <w:tcW w:type="dxa" w:w="30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601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Algorithm</w:t>
            </w:r>
          </w:p>
        </w:tc>
        <w:tc>
          <w:tcPr>
            <w:tcW w:type="dxa" w:w="6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Isolation Forest (unsupervised anomaly detection)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Input Features</w:t>
            </w:r>
          </w:p>
        </w:tc>
        <w:tc>
          <w:tcPr>
            <w:tcW w:type="dxa" w:w="60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GPS vs cell tower delta, motion sensor variance, platform activity flag, claim velocity in zone, device fingerprint, behavioral deviation score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Output</w:t>
            </w:r>
          </w:p>
        </w:tc>
        <w:tc>
          <w:tcPr>
            <w:tcW w:type="dxa" w:w="6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Fraud Confidence Score (0.0 to 1.0)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Threshold</w:t>
            </w:r>
          </w:p>
        </w:tc>
        <w:tc>
          <w:tcPr>
            <w:tcW w:type="dxa" w:w="60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Score &lt; 0.3 = Auto-Approve, 0.3-0.6 = Soft Hold, &gt; 0.6 = Hard Hold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Training Data</w:t>
            </w:r>
          </w:p>
        </w:tc>
        <w:tc>
          <w:tcPr>
            <w:tcW w:type="dxa" w:w="6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Synthetic fraud scenarios + legitimate claim patterns from simulated data</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Serving</w:t>
            </w:r>
          </w:p>
        </w:tc>
        <w:tc>
          <w:tcPr>
            <w:tcW w:type="dxa" w:w="60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FastAPI microservice, called within 60 seconds of claim creation</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7.3 Model 3 — Ring Score (Graph Anomaly Detection)</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3000"/>
        <w:gridCol w:w="6010"/>
      </w:tblGrid>
      <w:tr>
        <w:trPr>
          <w:tblHeader/>
        </w:trPr>
        <w:tc>
          <w:tcPr>
            <w:tcW w:type="dxa" w:w="30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601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Purpose</w:t>
            </w:r>
          </w:p>
        </w:tc>
        <w:tc>
          <w:tcPr>
            <w:tcW w:type="dxa" w:w="6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Detect coordinated fraud rings, not just individual bad actors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Method</w:t>
            </w:r>
          </w:p>
        </w:tc>
        <w:tc>
          <w:tcPr>
            <w:tcW w:type="dxa" w:w="60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Build a graph where nodes are workers and edges connect workers sharing device fingerprints, IP subnets, or simultaneous zone claims. Measure cluster density and claim velocity together.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Trigger</w:t>
            </w:r>
          </w:p>
        </w:tc>
        <w:tc>
          <w:tcPr>
            <w:tcW w:type="dxa" w:w="6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Fires when 3+ workers from the same zone claim within a 15-minute window</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Output</w:t>
            </w:r>
          </w:p>
        </w:tc>
        <w:tc>
          <w:tcPr>
            <w:tcW w:type="dxa" w:w="60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Ring Score per cluster (0.0 to 1.0). Score &gt; 0.7 escalates all claims in cluster to Hard Hold.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Points</w:t>
            </w:r>
          </w:p>
        </w:tc>
        <w:tc>
          <w:tcPr>
            <w:tcW w:type="dxa" w:w="6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Device MAC prefix, Wi-Fi router fingerprint, IP subnet, GPS trail overlap, claim timestamps</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7.4 Model 4 — Next-Week Risk Forecast (Insurer Dashboard)</w:t>
      </w:r>
    </w:p>
    <w:p>
      <w:pPr>
        <w:spacing w:before="80" w:after="80"/>
      </w:pPr>
      <w:r>
        <w:rPr>
          <w:rFonts w:ascii="Arial" w:cs="Arial" w:eastAsia="Arial" w:hAnsi="Arial"/>
          <w:b w:val="false"/>
          <w:bCs w:val="false"/>
          <w:i w:val="false"/>
          <w:iCs w:val="false"/>
          <w:color w:val="1A1A1A"/>
          <w:sz w:val="22"/>
          <w:szCs w:val="22"/>
        </w:rPr>
        <w:t xml:space="preserve">A time-series model (SARIMA or Prophet) trained on historical weather patterns and seasonal claim data forecasts expected claim volume and premium pool stress for the coming week. This is displayed on the insurer dashboard as a 7-day risk outlook by city and zone.</w:t>
      </w:r>
    </w:p>
    <w:p>
      <w:pPr>
        <w:pBdr>
          <w:bottom w:val="single" w:color="E65C00" w:sz="4" w:space="1"/>
        </w:pBdr>
        <w:spacing w:before="200" w:after="200"/>
      </w:pPr>
      <w:r>
        <w:t xml:space="preserve"/>
      </w:r>
    </w:p>
    <w:p>
      <w:pPr>
        <w:pStyle w:val="Heading1"/>
        <w:spacing w:before="400" w:after="160"/>
      </w:pPr>
      <w:r>
        <w:rPr>
          <w:rFonts w:ascii="Arial" w:cs="Arial" w:eastAsia="Arial" w:hAnsi="Arial"/>
          <w:b/>
          <w:bCs/>
          <w:color w:val="E65C00"/>
          <w:sz w:val="36"/>
          <w:szCs w:val="36"/>
        </w:rPr>
        <w:t xml:space="preserve">8. Adversarial Defense &amp; Anti-Spoofing Strategy</w:t>
      </w:r>
    </w:p>
    <w:p>
      <w:pPr>
        <w:pStyle w:val="Heading2"/>
        <w:spacing w:before="320" w:after="120"/>
      </w:pPr>
      <w:r>
        <w:rPr>
          <w:rFonts w:ascii="Arial" w:cs="Arial" w:eastAsia="Arial" w:hAnsi="Arial"/>
          <w:b/>
          <w:bCs/>
          <w:color w:val="1A1A1A"/>
          <w:sz w:val="28"/>
          <w:szCs w:val="28"/>
        </w:rPr>
        <w:t xml:space="preserve">8.1 The Threat Model</w:t>
      </w:r>
    </w:p>
    <w:p>
      <w:pPr>
        <w:spacing w:before="80" w:after="80"/>
      </w:pPr>
      <w:r>
        <w:rPr>
          <w:rFonts w:ascii="Arial" w:cs="Arial" w:eastAsia="Arial" w:hAnsi="Arial"/>
          <w:b w:val="false"/>
          <w:bCs w:val="false"/>
          <w:i w:val="false"/>
          <w:iCs w:val="false"/>
          <w:color w:val="1A1A1A"/>
          <w:sz w:val="22"/>
          <w:szCs w:val="22"/>
        </w:rPr>
        <w:t xml:space="preserve">A coordinated group of workers organizes via a private Telegram channel. They agree to use GPS-spoofing applications during a known weather event to fake their locations inside the trigger zone while remaining at home. They all trigger claims simultaneously, draining the liquidity pool before the fraud is detected.</w:t>
      </w:r>
    </w:p>
    <w:p>
      <w:pPr>
        <w:spacing w:before="80" w:after="80"/>
      </w:pPr>
      <w:r>
        <w:rPr>
          <w:rFonts w:ascii="Arial" w:cs="Arial" w:eastAsia="Arial" w:hAnsi="Arial"/>
          <w:b/>
          <w:bCs/>
          <w:i w:val="false"/>
          <w:iCs w:val="false"/>
          <w:color w:val="1A1A1A"/>
          <w:sz w:val="22"/>
          <w:szCs w:val="22"/>
        </w:rPr>
        <w:t xml:space="preserve">This is not a theoretical threat. It has been documented on competing parametric platforms. Zensure's fraud architecture is designed with this specific attack vector as the primary threat model.</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8.2 Defense Layer 1 — Motion Sensor Validation</w:t>
      </w:r>
    </w:p>
    <w:p>
      <w:pPr>
        <w:spacing w:before="80" w:after="80"/>
      </w:pPr>
      <w:r>
        <w:rPr>
          <w:rFonts w:ascii="Arial" w:cs="Arial" w:eastAsia="Arial" w:hAnsi="Arial"/>
          <w:b w:val="false"/>
          <w:bCs w:val="false"/>
          <w:i w:val="false"/>
          <w:iCs w:val="false"/>
          <w:color w:val="1A1A1A"/>
          <w:sz w:val="22"/>
          <w:szCs w:val="22"/>
        </w:rPr>
        <w:t xml:space="preserve">Spoofing apps override GPS at the OS layer but cannot override physical sensor data. Zensure's mobile app passively reads accelerometer and gyroscope data throughout the claim window. A worker genuinely caught in a storm shows low-speed erratic movement consistent with a person standing or moving slowly under cover. A worker sitting at home shows near-zero variance across all axes. Mismatch between claimed GPS location (active weather zone) and motion data (stationary home behavior) is a primary fraud signal.</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8.3 Defense Layer 2 — Network Triangulation</w:t>
      </w:r>
    </w:p>
    <w:p>
      <w:pPr>
        <w:spacing w:before="80" w:after="80"/>
      </w:pPr>
      <w:r>
        <w:rPr>
          <w:rFonts w:ascii="Arial" w:cs="Arial" w:eastAsia="Arial" w:hAnsi="Arial"/>
          <w:b w:val="false"/>
          <w:bCs w:val="false"/>
          <w:i w:val="false"/>
          <w:iCs w:val="false"/>
          <w:color w:val="1A1A1A"/>
          <w:sz w:val="22"/>
          <w:szCs w:val="22"/>
        </w:rPr>
        <w:t xml:space="preserve">GPS is overridable at the application layer. Cell tower triangulation and Wi-Fi network positioning are not. Zensure cross-checks the GPS-reported location against independent network-derived positioning. A delta of 500 meters or more between GPS and network location flags the claim for hold. This signal alone is not sufficient for a Hard Hold but contributes to the overall Fraud Confidence Score.</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8.4 Defense Layer 3 — Platform Activity Cross-Reference</w:t>
      </w:r>
    </w:p>
    <w:p>
      <w:pPr>
        <w:spacing w:before="80" w:after="80"/>
      </w:pPr>
      <w:r>
        <w:rPr>
          <w:rFonts w:ascii="Arial" w:cs="Arial" w:eastAsia="Arial" w:hAnsi="Arial"/>
          <w:b w:val="false"/>
          <w:bCs w:val="false"/>
          <w:i w:val="false"/>
          <w:iCs w:val="false"/>
          <w:color w:val="1A1A1A"/>
          <w:sz w:val="22"/>
          <w:szCs w:val="22"/>
        </w:rPr>
        <w:t xml:space="preserve">A delivery partner who is genuinely stranded in a disruption zone has no active orders because the platform is not assigning them. If a worker's platform activity log (via simulated API) shows completed deliveries during the same window as their income loss claim, the claim is rejected immediately. This is the strongest single signal and catches the simplest form of fraud.</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8.5 Defense Layer 4 — Ring Score Model</w:t>
      </w:r>
    </w:p>
    <w:p>
      <w:pPr>
        <w:spacing w:before="80" w:after="80"/>
      </w:pPr>
      <w:r>
        <w:rPr>
          <w:rFonts w:ascii="Arial" w:cs="Arial" w:eastAsia="Arial" w:hAnsi="Arial"/>
          <w:b w:val="false"/>
          <w:bCs w:val="false"/>
          <w:i w:val="false"/>
          <w:iCs w:val="false"/>
          <w:color w:val="1A1A1A"/>
          <w:sz w:val="22"/>
          <w:szCs w:val="22"/>
        </w:rPr>
        <w:t xml:space="preserve">Individual fraud is hard to scale. Coordinated fraud leaves cluster fingerprints. When 3 or more workers from the same zone file claims within a 15-minute window, the Ring Score model activates. It builds a graph of connections between those workers based on shared device identifiers, IP subnets, and GPS trail overlap. A cluster with Ring Score above 0.7 puts all claims in that cluster on Hard Hold pending manual review.</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8.6 UX Balance — Protecting Honest Workers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200"/>
        <w:gridCol w:w="1360"/>
      </w:tblGrid>
      <w:tr>
        <w:trPr>
          <w:tblHeader/>
        </w:trPr>
        <w:tc>
          <w:tcPr>
            <w:tcW w:type="dxa" w:w="18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Claim State</w:t>
            </w:r>
          </w:p>
        </w:tc>
        <w:tc>
          <w:tcPr>
            <w:tcW w:type="dxa" w:w="26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Condition</w:t>
            </w:r>
          </w:p>
        </w:tc>
        <w:tc>
          <w:tcPr>
            <w:tcW w:type="dxa" w:w="32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Worker Experience</w:t>
            </w:r>
          </w:p>
        </w:tc>
        <w:tc>
          <w:tcPr>
            <w:tcW w:type="dxa" w:w="136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Payout Timeline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Auto-Approved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Fraud Score &lt; 0.3, all signals consistent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Notification: payout sent to UPI</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Within 5 minutes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Soft Hold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 ambiguous signals (e.g., weak network in storm)</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Notification in preferred language explaining hold. 4-hour window to submit one photo proof or re-ping location. If no response, auto-approved at 70% payout.</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 hours or less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 Hold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strong fraud signals or Ring Score &gt; 0.7</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Notification with plain-language explanation and helpline contact. Manual insurer review within 24 hours.</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Within 24 hours if legitimate</w:t>
            </w:r>
          </w:p>
        </w:tc>
      </w:tr>
    </w:tbl>
    <w:p>
      <w:pPr>
        <w:spacing w:before="60" w:after="60"/>
      </w:pPr>
      <w:r>
        <w:t xml:space="preserve"/>
      </w:r>
    </w:p>
    <w:p>
      <w:pPr>
        <w:spacing w:before="80" w:after="80"/>
      </w:pPr>
      <w:r>
        <w:rPr>
          <w:rFonts w:ascii="Arial" w:cs="Arial" w:eastAsia="Arial" w:hAnsi="Arial"/>
          <w:b w:val="false"/>
          <w:bCs w:val="false"/>
          <w:i w:val="false"/>
          <w:iCs w:val="false"/>
          <w:color w:val="1A1A1A"/>
          <w:sz w:val="22"/>
          <w:szCs w:val="22"/>
        </w:rPr>
        <w:t xml:space="preserve">Network Drop Grace Rule: During an active trigger event, if a worker's GPS signal disappears for up to 45 minutes, the system uses their last confirmed location for zone validation rather than treating the drop as evasion. This rule only activates when an independent weather trigger is already live for the zone.</w:t>
      </w:r>
    </w:p>
    <w:p>
      <w:pPr>
        <w:spacing w:before="80" w:after="80"/>
      </w:pPr>
      <w:r>
        <w:rPr>
          <w:rFonts w:ascii="Arial" w:cs="Arial" w:eastAsia="Arial" w:hAnsi="Arial"/>
          <w:b/>
          <w:bCs/>
          <w:i w:val="false"/>
          <w:iCs w:val="false"/>
          <w:color w:val="1A1A1A"/>
          <w:sz w:val="22"/>
          <w:szCs w:val="22"/>
        </w:rPr>
        <w:t xml:space="preserve">Reputation Protection: A single flagged claim does not affect a worker's premium. Policy suspension only occurs after 3 confirmed fraud findings within 90 days.</w:t>
      </w:r>
    </w:p>
    <w:p>
      <w:pPr>
        <w:pBdr>
          <w:bottom w:val="single" w:color="E65C00" w:sz="4" w:space="1"/>
        </w:pBdr>
        <w:spacing w:before="200" w:after="200"/>
      </w:pPr>
      <w:r>
        <w:t xml:space="preserve"/>
      </w:r>
    </w:p>
    <w:p>
      <w:pPr>
        <w:pStyle w:val="Heading1"/>
        <w:spacing w:before="400" w:after="160"/>
      </w:pPr>
      <w:r>
        <w:rPr>
          <w:rFonts w:ascii="Arial" w:cs="Arial" w:eastAsia="Arial" w:hAnsi="Arial"/>
          <w:b/>
          <w:bCs/>
          <w:color w:val="E65C00"/>
          <w:sz w:val="36"/>
          <w:szCs w:val="36"/>
        </w:rPr>
        <w:t xml:space="preserve">9. Tech Stack &amp; System Architecture</w:t>
      </w:r>
    </w:p>
    <w:p>
      <w:pPr>
        <w:pStyle w:val="Heading2"/>
        <w:spacing w:before="320" w:after="120"/>
      </w:pPr>
      <w:r>
        <w:rPr>
          <w:rFonts w:ascii="Arial" w:cs="Arial" w:eastAsia="Arial" w:hAnsi="Arial"/>
          <w:b/>
          <w:bCs/>
          <w:color w:val="1A1A1A"/>
          <w:sz w:val="28"/>
          <w:szCs w:val="28"/>
        </w:rPr>
        <w:t xml:space="preserve">9.1 Full Stack Overview</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10"/>
      </w:tblGrid>
      <w:tr>
        <w:trPr>
          <w:tblHeader/>
        </w:trPr>
        <w:tc>
          <w:tcPr>
            <w:tcW w:type="dxa" w:w="25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8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71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Worker Mobile App</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Native (Android first)</w:t>
            </w:r>
          </w:p>
        </w:tc>
        <w:tc>
          <w:tcPr>
            <w:tcW w:type="dxa" w:w="37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Worker onboarding, dashboard, claim status, UPI confirmation</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Insurer Web Dashboard</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React.js + TailwindCSS + shadcn/ui</w:t>
            </w:r>
          </w:p>
        </w:tc>
        <w:tc>
          <w:tcPr>
            <w:tcW w:type="dxa" w:w="37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Live zone map, KPIs, fraud monitor, analytics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API</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Node.js + Express.js</w:t>
            </w:r>
          </w:p>
        </w:tc>
        <w:tc>
          <w:tcPr>
            <w:tcW w:type="dxa" w:w="37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 API for all platform operations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Primary Database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PostgreSQL</w:t>
            </w:r>
          </w:p>
        </w:tc>
        <w:tc>
          <w:tcPr>
            <w:tcW w:type="dxa" w:w="37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Workers, policies, claims, events, payouts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Cache / Queue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Redis</w:t>
            </w:r>
          </w:p>
        </w:tc>
        <w:tc>
          <w:tcPr>
            <w:tcW w:type="dxa" w:w="37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trigger event queue, session cache</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ML Service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Python + FastAPI</w:t>
            </w:r>
          </w:p>
        </w:tc>
        <w:tc>
          <w:tcPr>
            <w:tcW w:type="dxa" w:w="37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XGBoost premium model + Isolation Forest fraud model</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Trigger Engine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Node.js cron jobs</w:t>
            </w:r>
          </w:p>
        </w:tc>
        <w:tc>
          <w:tcPr>
            <w:tcW w:type="dxa" w:w="37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Polls weather, AQI, IMD APIs every 15 minutes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JWT + OTP login</w:t>
            </w:r>
          </w:p>
        </w:tc>
        <w:tc>
          <w:tcPr>
            <w:tcW w:type="dxa" w:w="37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Passwordless login — reduces friction for gig workers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Razorpay Test Mode / Sandbox</w:t>
            </w:r>
          </w:p>
        </w:tc>
        <w:tc>
          <w:tcPr>
            <w:tcW w:type="dxa" w:w="37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Simulated UPI payout processing</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Hosting</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Render or Railway (free tier)</w:t>
            </w:r>
          </w:p>
        </w:tc>
        <w:tc>
          <w:tcPr>
            <w:tcW w:type="dxa" w:w="37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Backend + frontend deployment for hackathon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CI/CD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 Actions</w:t>
            </w:r>
          </w:p>
        </w:tc>
        <w:tc>
          <w:tcPr>
            <w:tcW w:type="dxa" w:w="37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Auto-deploy on push to main branch</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Logging</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Winston (Node.js)</w:t>
            </w:r>
          </w:p>
        </w:tc>
        <w:tc>
          <w:tcPr>
            <w:tcW w:type="dxa" w:w="37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Request logging, error tracking, claim audit trail</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9.2 External API Integrations</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110"/>
      </w:tblGrid>
      <w:tr>
        <w:trPr>
          <w:tblHeader/>
        </w:trPr>
        <w:tc>
          <w:tcPr>
            <w:tcW w:type="dxa" w:w="22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API</w:t>
            </w:r>
          </w:p>
        </w:tc>
        <w:tc>
          <w:tcPr>
            <w:tcW w:type="dxa" w:w="25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22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Access Method</w:t>
            </w:r>
          </w:p>
        </w:tc>
        <w:tc>
          <w:tcPr>
            <w:tcW w:type="dxa" w:w="211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Fallback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OpenWeatherMap</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Rain and temperature triggers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tier API key</w:t>
            </w:r>
          </w:p>
        </w:tc>
        <w:tc>
          <w:tcPr>
            <w:tcW w:type="dxa" w:w="21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Mock JSON responses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CPCB Open Data</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AQI triggers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 government API</w:t>
            </w:r>
          </w:p>
        </w:tc>
        <w:tc>
          <w:tcPr>
            <w:tcW w:type="dxa" w:w="21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Mock AQI data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IMD RSS Feed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Cyclone and flood alerts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RSS parsing</w:t>
            </w:r>
          </w:p>
        </w:tc>
        <w:tc>
          <w:tcPr>
            <w:tcW w:type="dxa" w:w="21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Mock RSS feed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OLA Maps / Google Maps</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Zone boundary validation</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 tier</w:t>
            </w:r>
          </w:p>
        </w:tc>
        <w:tc>
          <w:tcPr>
            <w:tcW w:type="dxa" w:w="21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OpenStreetMap static data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Razorpay Sandbox</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Payout simulation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 mode API keys</w:t>
            </w:r>
          </w:p>
        </w:tc>
        <w:tc>
          <w:tcPr>
            <w:tcW w:type="dxa" w:w="21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In-memory mock</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Zomato/Swiggy Partner API</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Worker verification and activity</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Simulated mock</w:t>
            </w:r>
          </w:p>
        </w:tc>
        <w:tc>
          <w:tcPr>
            <w:tcW w:type="dxa" w:w="21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Pre-seeded test data</w:t>
            </w:r>
          </w:p>
        </w:tc>
      </w:tr>
    </w:tbl>
    <w:p>
      <w:pPr>
        <w:pBdr>
          <w:bottom w:val="single" w:color="E65C00" w:sz="4" w:space="1"/>
        </w:pBdr>
        <w:spacing w:before="200" w:after="200"/>
      </w:pPr>
      <w:r>
        <w:t xml:space="preserve"/>
      </w:r>
    </w:p>
    <w:p>
      <w:pPr>
        <w:pStyle w:val="Heading1"/>
        <w:spacing w:before="400" w:after="160"/>
      </w:pPr>
      <w:r>
        <w:rPr>
          <w:rFonts w:ascii="Arial" w:cs="Arial" w:eastAsia="Arial" w:hAnsi="Arial"/>
          <w:b/>
          <w:bCs/>
          <w:color w:val="E65C00"/>
          <w:sz w:val="36"/>
          <w:szCs w:val="36"/>
        </w:rPr>
        <w:t xml:space="preserve">10. Database Schema</w:t>
      </w:r>
    </w:p>
    <w:p>
      <w:pPr>
        <w:pStyle w:val="Heading2"/>
        <w:spacing w:before="320" w:after="120"/>
      </w:pPr>
      <w:r>
        <w:rPr>
          <w:rFonts w:ascii="Arial" w:cs="Arial" w:eastAsia="Arial" w:hAnsi="Arial"/>
          <w:b/>
          <w:bCs/>
          <w:color w:val="1A1A1A"/>
          <w:sz w:val="28"/>
          <w:szCs w:val="28"/>
        </w:rPr>
        <w:t xml:space="preserve">10.1 Core Tables</w:t>
      </w:r>
    </w:p>
    <w:p>
      <w:pPr>
        <w:spacing w:before="80" w:after="80"/>
      </w:pPr>
      <w:r>
        <w:rPr>
          <w:rFonts w:ascii="Arial" w:cs="Arial" w:eastAsia="Arial" w:hAnsi="Arial"/>
          <w:b w:val="false"/>
          <w:bCs w:val="false"/>
          <w:i w:val="false"/>
          <w:iCs w:val="false"/>
          <w:color w:val="1A1A1A"/>
          <w:sz w:val="22"/>
          <w:szCs w:val="22"/>
        </w:rPr>
        <w:t xml:space="preserve">workers — id (UUID), partner_id, name, city, zone, upi_id, language, device_fingerprint, created_at, status</w:t>
      </w:r>
    </w:p>
    <w:p>
      <w:pPr>
        <w:spacing w:before="80" w:after="80"/>
      </w:pPr>
      <w:r>
        <w:rPr>
          <w:rFonts w:ascii="Arial" w:cs="Arial" w:eastAsia="Arial" w:hAnsi="Arial"/>
          <w:b w:val="false"/>
          <w:bCs w:val="false"/>
          <w:i w:val="false"/>
          <w:iCs w:val="false"/>
          <w:color w:val="1A1A1A"/>
          <w:sz w:val="22"/>
          <w:szCs w:val="22"/>
        </w:rPr>
        <w:t xml:space="preserve">policies — id (UUID), worker_id (FK), plan, premium_amount, coverage_percent, max_payout, week_start, week_end, status, zone_risk_score</w:t>
      </w:r>
    </w:p>
    <w:p>
      <w:pPr>
        <w:spacing w:before="80" w:after="80"/>
      </w:pPr>
      <w:r>
        <w:rPr>
          <w:rFonts w:ascii="Arial" w:cs="Arial" w:eastAsia="Arial" w:hAnsi="Arial"/>
          <w:b w:val="false"/>
          <w:bCs w:val="false"/>
          <w:i w:val="false"/>
          <w:iCs w:val="false"/>
          <w:color w:val="1A1A1A"/>
          <w:sz w:val="22"/>
          <w:szCs w:val="22"/>
        </w:rPr>
        <w:t xml:space="preserve">disruption_events — id (UUID), event_type, city, zone, severity, triggered_at, data_source, grid_cell_id</w:t>
      </w:r>
    </w:p>
    <w:p>
      <w:pPr>
        <w:spacing w:before="80" w:after="80"/>
      </w:pPr>
      <w:r>
        <w:rPr>
          <w:rFonts w:ascii="Arial" w:cs="Arial" w:eastAsia="Arial" w:hAnsi="Arial"/>
          <w:b w:val="false"/>
          <w:bCs w:val="false"/>
          <w:i w:val="false"/>
          <w:iCs w:val="false"/>
          <w:color w:val="1A1A1A"/>
          <w:sz w:val="22"/>
          <w:szCs w:val="22"/>
        </w:rPr>
        <w:t xml:space="preserve">claims — id (UUID), worker_id (FK), policy_id (FK), event_id (FK), payout_amount, fraud_score, ring_score, status, gps_delta, motion_variance, platform_activity_flag, created_at</w:t>
      </w:r>
    </w:p>
    <w:p>
      <w:pPr>
        <w:spacing w:before="80" w:after="80"/>
      </w:pPr>
      <w:r>
        <w:rPr>
          <w:rFonts w:ascii="Arial" w:cs="Arial" w:eastAsia="Arial" w:hAnsi="Arial"/>
          <w:b w:val="false"/>
          <w:bCs w:val="false"/>
          <w:i w:val="false"/>
          <w:iCs w:val="false"/>
          <w:color w:val="1A1A1A"/>
          <w:sz w:val="22"/>
          <w:szCs w:val="22"/>
        </w:rPr>
        <w:t xml:space="preserve">payouts — id (UUID), claim_id (FK), worker_id (FK), amount, upi_id, razorpay_ref, paid_at, status</w:t>
      </w:r>
    </w:p>
    <w:p>
      <w:pPr>
        <w:spacing w:before="80" w:after="80"/>
      </w:pPr>
      <w:r>
        <w:rPr>
          <w:rFonts w:ascii="Arial" w:cs="Arial" w:eastAsia="Arial" w:hAnsi="Arial"/>
          <w:b w:val="false"/>
          <w:bCs w:val="false"/>
          <w:i w:val="false"/>
          <w:iCs w:val="false"/>
          <w:color w:val="1A1A1A"/>
          <w:sz w:val="22"/>
          <w:szCs w:val="22"/>
        </w:rPr>
        <w:t xml:space="preserve">fraud_rings — id (UUID), worker_ids (array), ring_score, detected_at, event_id (FK), status</w:t>
      </w:r>
    </w:p>
    <w:p>
      <w:pPr>
        <w:spacing w:before="80" w:after="80"/>
      </w:pPr>
      <w:r>
        <w:rPr>
          <w:rFonts w:ascii="Arial" w:cs="Arial" w:eastAsia="Arial" w:hAnsi="Arial"/>
          <w:b w:val="false"/>
          <w:bCs w:val="false"/>
          <w:i w:val="false"/>
          <w:iCs w:val="false"/>
          <w:color w:val="1A1A1A"/>
          <w:sz w:val="22"/>
          <w:szCs w:val="22"/>
        </w:rPr>
        <w:t xml:space="preserve">zone_risk_scores — zone_id, city, grid_lat, grid_lng, risk_score, last_updated, event_count_12m</w:t>
      </w:r>
    </w:p>
    <w:p>
      <w:pPr>
        <w:pBdr>
          <w:bottom w:val="single" w:color="E65C00" w:sz="4" w:space="1"/>
        </w:pBdr>
        <w:spacing w:before="200" w:after="200"/>
      </w:pPr>
      <w:r>
        <w:t xml:space="preserve"/>
      </w:r>
    </w:p>
    <w:p>
      <w:pPr>
        <w:pStyle w:val="Heading1"/>
        <w:spacing w:before="400" w:after="160"/>
      </w:pPr>
      <w:r>
        <w:rPr>
          <w:rFonts w:ascii="Arial" w:cs="Arial" w:eastAsia="Arial" w:hAnsi="Arial"/>
          <w:b/>
          <w:bCs/>
          <w:color w:val="E65C00"/>
          <w:sz w:val="36"/>
          <w:szCs w:val="36"/>
        </w:rPr>
        <w:t xml:space="preserve">11. API Design</w:t>
      </w:r>
    </w:p>
    <w:p>
      <w:pPr>
        <w:pStyle w:val="Heading2"/>
        <w:spacing w:before="320" w:after="120"/>
      </w:pPr>
      <w:r>
        <w:rPr>
          <w:rFonts w:ascii="Arial" w:cs="Arial" w:eastAsia="Arial" w:hAnsi="Arial"/>
          <w:b/>
          <w:bCs/>
          <w:color w:val="1A1A1A"/>
          <w:sz w:val="28"/>
          <w:szCs w:val="28"/>
        </w:rPr>
        <w:t xml:space="preserve">11.1 Core Endpoints</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4810"/>
      </w:tblGrid>
      <w:tr>
        <w:trPr>
          <w:tblHeader/>
        </w:trPr>
        <w:tc>
          <w:tcPr>
            <w:tcW w:type="dxa" w:w="10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2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481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/api/auth/register</w:t>
            </w:r>
          </w:p>
        </w:tc>
        <w:tc>
          <w:tcPr>
            <w:tcW w:type="dxa" w:w="48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Worker registration with partner ID and UPI</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/api/auth/otp/send</w:t>
            </w:r>
          </w:p>
        </w:tc>
        <w:tc>
          <w:tcPr>
            <w:tcW w:type="dxa" w:w="48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Send OTP to registered mobile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/api/auth/otp/verify</w:t>
            </w:r>
          </w:p>
        </w:tc>
        <w:tc>
          <w:tcPr>
            <w:tcW w:type="dxa" w:w="48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Verify OTP and issue JWT</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/api/worker/:id/profile</w:t>
            </w:r>
          </w:p>
        </w:tc>
        <w:tc>
          <w:tcPr>
            <w:tcW w:type="dxa" w:w="48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Fetch worker profile and risk score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/api/policies/plans</w:t>
            </w:r>
          </w:p>
        </w:tc>
        <w:tc>
          <w:tcPr>
            <w:tcW w:type="dxa" w:w="48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available plans with zone-adjusted pricing</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/api/policies/activate</w:t>
            </w:r>
          </w:p>
        </w:tc>
        <w:tc>
          <w:tcPr>
            <w:tcW w:type="dxa" w:w="48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Activate a weekly policy for a worker</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/api/policies/:id</w:t>
            </w:r>
          </w:p>
        </w:tc>
        <w:tc>
          <w:tcPr>
            <w:tcW w:type="dxa" w:w="48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policy details</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/api/worker/:id/claims</w:t>
            </w:r>
          </w:p>
        </w:tc>
        <w:tc>
          <w:tcPr>
            <w:tcW w:type="dxa" w:w="48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 all claims for a worker</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/api/claims/:id/status</w:t>
            </w:r>
          </w:p>
        </w:tc>
        <w:tc>
          <w:tcPr>
            <w:tcW w:type="dxa" w:w="48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real-time claim status</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/api/claims/:id/softhold/respond</w:t>
            </w:r>
          </w:p>
        </w:tc>
        <w:tc>
          <w:tcPr>
            <w:tcW w:type="dxa" w:w="48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Worker submits soft hold proof</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/api/disruptions/active</w:t>
            </w:r>
          </w:p>
        </w:tc>
        <w:tc>
          <w:tcPr>
            <w:tcW w:type="dxa" w:w="48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current active disruption events by zone</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/api/insurer/dashboard</w:t>
            </w:r>
          </w:p>
        </w:tc>
        <w:tc>
          <w:tcPr>
            <w:tcW w:type="dxa" w:w="48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Insurer KPIs and live data</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/api/insurer/fraud/flagged</w:t>
            </w:r>
          </w:p>
        </w:tc>
        <w:tc>
          <w:tcPr>
            <w:tcW w:type="dxa" w:w="48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Flagged claims with Ring Scores</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/api/insurer/claims/:id/review</w:t>
            </w:r>
          </w:p>
        </w:tc>
        <w:tc>
          <w:tcPr>
            <w:tcW w:type="dxa" w:w="48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Manual insurer review decision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/api/insurer/forecast</w:t>
            </w:r>
          </w:p>
        </w:tc>
        <w:tc>
          <w:tcPr>
            <w:tcW w:type="dxa" w:w="48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Next-week risk and claim volume forecast</w:t>
            </w:r>
          </w:p>
        </w:tc>
      </w:tr>
    </w:tbl>
    <w:p>
      <w:pPr>
        <w:pBdr>
          <w:bottom w:val="single" w:color="E65C00" w:sz="4" w:space="1"/>
        </w:pBdr>
        <w:spacing w:before="200" w:after="200"/>
      </w:pPr>
      <w:r>
        <w:t xml:space="preserve"/>
      </w:r>
    </w:p>
    <w:p>
      <w:pPr>
        <w:pStyle w:val="Heading1"/>
        <w:spacing w:before="400" w:after="160"/>
      </w:pPr>
      <w:r>
        <w:rPr>
          <w:rFonts w:ascii="Arial" w:cs="Arial" w:eastAsia="Arial" w:hAnsi="Arial"/>
          <w:b/>
          <w:bCs/>
          <w:color w:val="E65C00"/>
          <w:sz w:val="36"/>
          <w:szCs w:val="36"/>
        </w:rPr>
        <w:t xml:space="preserve">12. User Experience &amp; Platform Design</w:t>
      </w:r>
    </w:p>
    <w:p>
      <w:pPr>
        <w:pStyle w:val="Heading2"/>
        <w:spacing w:before="320" w:after="120"/>
      </w:pPr>
      <w:r>
        <w:rPr>
          <w:rFonts w:ascii="Arial" w:cs="Arial" w:eastAsia="Arial" w:hAnsi="Arial"/>
          <w:b/>
          <w:bCs/>
          <w:color w:val="1A1A1A"/>
          <w:sz w:val="28"/>
          <w:szCs w:val="28"/>
        </w:rPr>
        <w:t xml:space="preserve">12.1 Platform Choice Justification</w:t>
      </w:r>
    </w:p>
    <w:p>
      <w:pPr>
        <w:spacing w:before="80" w:after="80"/>
      </w:pPr>
      <w:r>
        <w:rPr>
          <w:rFonts w:ascii="Arial" w:cs="Arial" w:eastAsia="Arial" w:hAnsi="Arial"/>
          <w:b w:val="false"/>
          <w:bCs w:val="false"/>
          <w:i w:val="false"/>
          <w:iCs w:val="false"/>
          <w:color w:val="1A1A1A"/>
          <w:sz w:val="22"/>
          <w:szCs w:val="22"/>
        </w:rPr>
        <w:t xml:space="preserve">The worker-facing interface is a mobile app (React Native, Android first) because 94 percent of delivery partners in India access the internet exclusively through Android smartphones. A web app is not viable for this persona during a delivery shift.</w:t>
      </w:r>
    </w:p>
    <w:p>
      <w:pPr>
        <w:spacing w:before="80" w:after="80"/>
      </w:pPr>
      <w:r>
        <w:rPr>
          <w:rFonts w:ascii="Arial" w:cs="Arial" w:eastAsia="Arial" w:hAnsi="Arial"/>
          <w:b w:val="false"/>
          <w:bCs w:val="false"/>
          <w:i w:val="false"/>
          <w:iCs w:val="false"/>
          <w:color w:val="1A1A1A"/>
          <w:sz w:val="22"/>
          <w:szCs w:val="22"/>
        </w:rPr>
        <w:t xml:space="preserve">The insurer-facing interface is a web dashboard because insurers and operations teams review data on desktop systems and need wide-screen layouts for map views, data tables, and analytics charts.</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12.2 Worker App Screen Architecture</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10"/>
      </w:tblGrid>
      <w:tr>
        <w:trPr>
          <w:tblHeader/>
        </w:trPr>
        <w:tc>
          <w:tcPr>
            <w:tcW w:type="dxa" w:w="20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Screen</w:t>
            </w:r>
          </w:p>
        </w:tc>
        <w:tc>
          <w:tcPr>
            <w:tcW w:type="dxa" w:w="22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481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Key Elements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Onboarding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Registration and verification</w:t>
            </w:r>
          </w:p>
        </w:tc>
        <w:tc>
          <w:tcPr>
            <w:tcW w:type="dxa" w:w="48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Partner ID input, city/zone selector, UPI ID, OTP login, language selector</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Home Dashboard</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Live coverage status</w:t>
            </w:r>
          </w:p>
        </w:tc>
        <w:tc>
          <w:tcPr>
            <w:tcW w:type="dxa" w:w="48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Active policy banner, disruption alert (red/amber/green), earnings protected, recent payout history, bottom nav</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Policy Selection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Weekly plan purchase</w:t>
            </w:r>
          </w:p>
        </w:tc>
        <w:tc>
          <w:tcPr>
            <w:tcW w:type="dxa" w:w="48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plan cards with zone-adjusted pricing, AI risk badge, activate CTA</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Claim Status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Track payout progress</w:t>
            </w:r>
          </w:p>
        </w:tc>
        <w:tc>
          <w:tcPr>
            <w:tcW w:type="dxa" w:w="48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Timeline: Trigger &gt; Fraud Check &gt; Approved &gt; Paid, status chip, soft hold action if needed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Profile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Settings and history</w:t>
            </w:r>
          </w:p>
        </w:tc>
        <w:tc>
          <w:tcPr>
            <w:tcW w:type="dxa" w:w="48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UPI management, language preference, coverage history, support contact</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12.3 Insurer Dashboard Screen Architecture</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10"/>
      </w:tblGrid>
      <w:tr>
        <w:trPr>
          <w:tblHeader/>
        </w:trPr>
        <w:tc>
          <w:tcPr>
            <w:tcW w:type="dxa" w:w="20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Screen</w:t>
            </w:r>
          </w:p>
        </w:tc>
        <w:tc>
          <w:tcPr>
            <w:tcW w:type="dxa" w:w="22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481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Key Elements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Overview</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 health at a glance</w:t>
            </w:r>
          </w:p>
        </w:tc>
        <w:tc>
          <w:tcPr>
            <w:tcW w:type="dxa" w:w="48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 policies, claims this week, loss ratio, liquidity pool, live disruption zone map</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Claims Monitor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Real-time claim tracking</w:t>
            </w:r>
          </w:p>
        </w:tc>
        <w:tc>
          <w:tcPr>
            <w:tcW w:type="dxa" w:w="48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Claims table by status, filter by city/zone/date, manual review actions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Fraud Monitor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Ring Score tracking</w:t>
            </w:r>
          </w:p>
        </w:tc>
        <w:tc>
          <w:tcPr>
            <w:tcW w:type="dxa" w:w="48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Flagged claims table, Ring Score per cluster, worker connection graph</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Analytics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Historical trends</w:t>
            </w:r>
          </w:p>
        </w:tc>
        <w:tc>
          <w:tcPr>
            <w:tcW w:type="dxa" w:w="48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Premium vs payout chart (8 weeks), city-wise loss ratio, seasonal risk heatmap</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Forecast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Next-week prediction</w:t>
            </w:r>
          </w:p>
        </w:tc>
        <w:tc>
          <w:tcPr>
            <w:tcW w:type="dxa" w:w="48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7-day claim volume forecast, zone risk outlook, premium pool stress indicator</w:t>
            </w:r>
          </w:p>
        </w:tc>
      </w:tr>
    </w:tbl>
    <w:p>
      <w:pPr>
        <w:pBdr>
          <w:bottom w:val="single" w:color="E65C00" w:sz="4" w:space="1"/>
        </w:pBdr>
        <w:spacing w:before="200" w:after="200"/>
      </w:pPr>
      <w:r>
        <w:t xml:space="preserve"/>
      </w:r>
    </w:p>
    <w:p>
      <w:pPr>
        <w:pStyle w:val="Heading1"/>
        <w:spacing w:before="400" w:after="160"/>
      </w:pPr>
      <w:r>
        <w:rPr>
          <w:rFonts w:ascii="Arial" w:cs="Arial" w:eastAsia="Arial" w:hAnsi="Arial"/>
          <w:b/>
          <w:bCs/>
          <w:color w:val="E65C00"/>
          <w:sz w:val="36"/>
          <w:szCs w:val="36"/>
        </w:rPr>
        <w:t xml:space="preserve">13. Fraud Detection — Deep Dive</w:t>
      </w:r>
    </w:p>
    <w:p>
      <w:pPr>
        <w:pStyle w:val="Heading2"/>
        <w:spacing w:before="320" w:after="120"/>
      </w:pPr>
      <w:r>
        <w:rPr>
          <w:rFonts w:ascii="Arial" w:cs="Arial" w:eastAsia="Arial" w:hAnsi="Arial"/>
          <w:b/>
          <w:bCs/>
          <w:color w:val="1A1A1A"/>
          <w:sz w:val="28"/>
          <w:szCs w:val="28"/>
        </w:rPr>
        <w:t xml:space="preserve">13.1 Signal Stack</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560"/>
      </w:tblGrid>
      <w:tr>
        <w:trPr>
          <w:tblHeader/>
        </w:trPr>
        <w:tc>
          <w:tcPr>
            <w:tcW w:type="dxa" w:w="22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Signal</w:t>
            </w:r>
          </w:p>
        </w:tc>
        <w:tc>
          <w:tcPr>
            <w:tcW w:type="dxa" w:w="28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How It Is Captured</w:t>
            </w:r>
          </w:p>
        </w:tc>
        <w:tc>
          <w:tcPr>
            <w:tcW w:type="dxa" w:w="24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Fraud Indicator</w:t>
            </w:r>
          </w:p>
        </w:tc>
        <w:tc>
          <w:tcPr>
            <w:tcW w:type="dxa" w:w="156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Weight in Score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GPS vs Network Delta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GPS coordinates vs cell tower triangulation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Delta &gt; 500m</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Motion Variance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Accelerometer/gyroscope via mobile SDK</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Variance &lt; 0.05 over 30 min window</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 Activity Flag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Simulated platform API call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 orders during claimed disruption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Critical (auto-reject)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Claim Velocity</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Count of claims from same zone in 15 min</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&gt; 15 claims = anomaly flag</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Device Fingerprint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Device ID + Wi-Fi MAC prefix hash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Multiple claims from same fingerprint</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Behavioral Deviation</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Deviation from 4-week activity baseline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metrics drop simultaneously</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Policy Flag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Policy age at time of claim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First claim within 7 days of signup</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IP Subnet Match</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Claims from same IP range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 workers sharing subnet</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13.2 Fraud Score Computation</w:t>
      </w:r>
    </w:p>
    <w:p>
      <w:pPr>
        <w:spacing w:before="80" w:after="80"/>
      </w:pPr>
      <w:r>
        <w:rPr>
          <w:rFonts w:ascii="Arial" w:cs="Arial" w:eastAsia="Arial" w:hAnsi="Arial"/>
          <w:b w:val="false"/>
          <w:bCs w:val="false"/>
          <w:i w:val="false"/>
          <w:iCs w:val="false"/>
          <w:color w:val="1A1A1A"/>
          <w:sz w:val="22"/>
          <w:szCs w:val="22"/>
        </w:rPr>
        <w:t xml:space="preserve">Each signal above is scored 0 or 1 based on whether it fires. Weighted scores are summed and normalized to a 0-1 Fraud Confidence Score. Isolation Forest provides an additional unsupervised anomaly score that feeds into the final computation. The Ring Score from the cluster graph model is applied separately as a multiplier when active.</w:t>
      </w:r>
    </w:p>
    <w:p>
      <w:pPr>
        <w:pBdr>
          <w:bottom w:val="single" w:color="E65C00" w:sz="4" w:space="1"/>
        </w:pBdr>
        <w:spacing w:before="200" w:after="200"/>
      </w:pPr>
      <w:r>
        <w:t xml:space="preserve"/>
      </w:r>
    </w:p>
    <w:p>
      <w:pPr>
        <w:pStyle w:val="Heading1"/>
        <w:spacing w:before="400" w:after="160"/>
      </w:pPr>
      <w:r>
        <w:rPr>
          <w:rFonts w:ascii="Arial" w:cs="Arial" w:eastAsia="Arial" w:hAnsi="Arial"/>
          <w:b/>
          <w:bCs/>
          <w:color w:val="E65C00"/>
          <w:sz w:val="36"/>
          <w:szCs w:val="36"/>
        </w:rPr>
        <w:t xml:space="preserve">14. Payout Engine</w:t>
      </w:r>
    </w:p>
    <w:p>
      <w:pPr>
        <w:pStyle w:val="Heading2"/>
        <w:spacing w:before="320" w:after="120"/>
      </w:pPr>
      <w:r>
        <w:rPr>
          <w:rFonts w:ascii="Arial" w:cs="Arial" w:eastAsia="Arial" w:hAnsi="Arial"/>
          <w:b/>
          <w:bCs/>
          <w:color w:val="1A1A1A"/>
          <w:sz w:val="28"/>
          <w:szCs w:val="28"/>
        </w:rPr>
        <w:t xml:space="preserve">14.1 Payout Flow</w:t>
      </w:r>
    </w:p>
    <w:p>
      <w:pPr>
        <w:pStyle w:val="ListParagraph"/>
        <w:numPr>
          <w:ilvl w:val="0"/>
          <w:numId w:val="3"/>
        </w:numPr>
        <w:spacing w:before="60" w:after="60"/>
      </w:pPr>
      <w:r>
        <w:rPr>
          <w:rFonts w:ascii="Arial" w:cs="Arial" w:eastAsia="Arial" w:hAnsi="Arial"/>
          <w:color w:val="1A1A1A"/>
          <w:sz w:val="22"/>
          <w:szCs w:val="22"/>
        </w:rPr>
        <w:t xml:space="preserve">Claim is marked Auto-Approved by the fraud layer.</w:t>
      </w:r>
    </w:p>
    <w:p>
      <w:pPr>
        <w:pStyle w:val="ListParagraph"/>
        <w:numPr>
          <w:ilvl w:val="0"/>
          <w:numId w:val="3"/>
        </w:numPr>
        <w:spacing w:before="60" w:after="60"/>
      </w:pPr>
      <w:r>
        <w:rPr>
          <w:rFonts w:ascii="Arial" w:cs="Arial" w:eastAsia="Arial" w:hAnsi="Arial"/>
          <w:color w:val="1A1A1A"/>
          <w:sz w:val="22"/>
          <w:szCs w:val="22"/>
        </w:rPr>
        <w:t xml:space="preserve">Payout Engine reads the claim's approved amount and the worker's UPI ID.</w:t>
      </w:r>
    </w:p>
    <w:p>
      <w:pPr>
        <w:pStyle w:val="ListParagraph"/>
        <w:numPr>
          <w:ilvl w:val="0"/>
          <w:numId w:val="3"/>
        </w:numPr>
        <w:spacing w:before="60" w:after="60"/>
      </w:pPr>
      <w:r>
        <w:rPr>
          <w:rFonts w:ascii="Arial" w:cs="Arial" w:eastAsia="Arial" w:hAnsi="Arial"/>
          <w:color w:val="1A1A1A"/>
          <w:sz w:val="22"/>
          <w:szCs w:val="22"/>
        </w:rPr>
        <w:t xml:space="preserve">A Razorpay Payout API call is made in test mode with the UPI ID and amount.</w:t>
      </w:r>
    </w:p>
    <w:p>
      <w:pPr>
        <w:pStyle w:val="ListParagraph"/>
        <w:numPr>
          <w:ilvl w:val="0"/>
          <w:numId w:val="3"/>
        </w:numPr>
        <w:spacing w:before="60" w:after="60"/>
      </w:pPr>
      <w:r>
        <w:rPr>
          <w:rFonts w:ascii="Arial" w:cs="Arial" w:eastAsia="Arial" w:hAnsi="Arial"/>
          <w:color w:val="1A1A1A"/>
          <w:sz w:val="22"/>
          <w:szCs w:val="22"/>
        </w:rPr>
        <w:t xml:space="preserve">Razorpay returns a payout reference ID. This is stored in the payouts table.</w:t>
      </w:r>
    </w:p>
    <w:p>
      <w:pPr>
        <w:pStyle w:val="ListParagraph"/>
        <w:numPr>
          <w:ilvl w:val="0"/>
          <w:numId w:val="3"/>
        </w:numPr>
        <w:spacing w:before="60" w:after="60"/>
      </w:pPr>
      <w:r>
        <w:rPr>
          <w:rFonts w:ascii="Arial" w:cs="Arial" w:eastAsia="Arial" w:hAnsi="Arial"/>
          <w:color w:val="1A1A1A"/>
          <w:sz w:val="22"/>
          <w:szCs w:val="22"/>
        </w:rPr>
        <w:t xml:space="preserve">Worker receives an in-app push notification with the amount and UPI reference.</w:t>
      </w:r>
    </w:p>
    <w:p>
      <w:pPr>
        <w:pStyle w:val="ListParagraph"/>
        <w:numPr>
          <w:ilvl w:val="0"/>
          <w:numId w:val="3"/>
        </w:numPr>
        <w:spacing w:before="60" w:after="60"/>
      </w:pPr>
      <w:r>
        <w:rPr>
          <w:rFonts w:ascii="Arial" w:cs="Arial" w:eastAsia="Arial" w:hAnsi="Arial"/>
          <w:color w:val="1A1A1A"/>
          <w:sz w:val="22"/>
          <w:szCs w:val="22"/>
        </w:rPr>
        <w:t xml:space="preserve">The claim status is updated to Paid. The insurer dashboard reflects the payout immediately.</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14.2 Payout Channels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960"/>
      </w:tblGrid>
      <w:tr>
        <w:trPr>
          <w:tblHeader/>
        </w:trPr>
        <w:tc>
          <w:tcPr>
            <w:tcW w:type="dxa" w:w="20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Channel</w:t>
            </w:r>
          </w:p>
        </w:tc>
        <w:tc>
          <w:tcPr>
            <w:tcW w:type="dxa" w:w="40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Implementation</w:t>
            </w:r>
          </w:p>
        </w:tc>
        <w:tc>
          <w:tcPr>
            <w:tcW w:type="dxa" w:w="296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UPI Direct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Razorpay Payout API (sandbox)</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Within 5 minutes of approval</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Wallet Credit</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In-app Zensure wallet as fallback if UPI fails</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Immediate, withdrawal anytime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Bank Transfer</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NEFT via Razorpay (future Phase 3 feature)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 business day</w:t>
            </w:r>
          </w:p>
        </w:tc>
      </w:tr>
    </w:tbl>
    <w:p>
      <w:pPr>
        <w:pBdr>
          <w:bottom w:val="single" w:color="E65C00" w:sz="4" w:space="1"/>
        </w:pBdr>
        <w:spacing w:before="200" w:after="200"/>
      </w:pPr>
      <w:r>
        <w:t xml:space="preserve"/>
      </w:r>
    </w:p>
    <w:p>
      <w:pPr>
        <w:pStyle w:val="Heading1"/>
        <w:spacing w:before="400" w:after="160"/>
      </w:pPr>
      <w:r>
        <w:rPr>
          <w:rFonts w:ascii="Arial" w:cs="Arial" w:eastAsia="Arial" w:hAnsi="Arial"/>
          <w:b/>
          <w:bCs/>
          <w:color w:val="E65C00"/>
          <w:sz w:val="36"/>
          <w:szCs w:val="36"/>
        </w:rPr>
        <w:t xml:space="preserve">15. Analytics &amp; Insurer Dashboard</w:t>
      </w:r>
    </w:p>
    <w:p>
      <w:pPr>
        <w:pStyle w:val="Heading2"/>
        <w:spacing w:before="320" w:after="120"/>
      </w:pPr>
      <w:r>
        <w:rPr>
          <w:rFonts w:ascii="Arial" w:cs="Arial" w:eastAsia="Arial" w:hAnsi="Arial"/>
          <w:b/>
          <w:bCs/>
          <w:color w:val="1A1A1A"/>
          <w:sz w:val="28"/>
          <w:szCs w:val="28"/>
        </w:rPr>
        <w:t xml:space="preserve">15.1 Key Metrics Tracked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460"/>
      </w:tblGrid>
      <w:tr>
        <w:trPr>
          <w:tblHeader/>
        </w:trPr>
        <w:tc>
          <w:tcPr>
            <w:tcW w:type="dxa" w:w="30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35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46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Update Frequency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 Policies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Count of policies active in the current week</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Weekly Premium Collected</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Sum of all premiums deducted this week</w:t>
            </w:r>
          </w:p>
        </w:tc>
        <w:tc>
          <w:tcPr>
            <w:tcW w:type="dxa" w:w="2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Real-time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Claims Filed</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Count of claims triggered this week</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Auto-Approval Rate</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Percentage of claims auto-approved without hold</w:t>
            </w:r>
          </w:p>
        </w:tc>
        <w:tc>
          <w:tcPr>
            <w:tcW w:type="dxa" w:w="2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Daily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Loss Ratio</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payouts / Total premiums collected</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Liquidity Pool</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Remaining reserve after payouts this week</w:t>
            </w:r>
          </w:p>
        </w:tc>
        <w:tc>
          <w:tcPr>
            <w:tcW w:type="dxa" w:w="2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Real-time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Fraud Hold Rate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Percentage of claims placed on Soft or Hard Hold</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Ring Score Events</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Count of coordinated fraud cluster detections</w:t>
            </w:r>
          </w:p>
        </w:tc>
        <w:tc>
          <w:tcPr>
            <w:tcW w:type="dxa" w:w="2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Real-time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Avg Payout Time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from trigger to UPI credit for auto-approved claims</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Zone Risk Heatmap</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Visual grid of zone risk scores across the city</w:t>
            </w:r>
          </w:p>
        </w:tc>
        <w:tc>
          <w:tcPr>
            <w:tcW w:type="dxa" w:w="2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Weekly</w:t>
            </w:r>
          </w:p>
        </w:tc>
      </w:tr>
    </w:tbl>
    <w:p>
      <w:pPr>
        <w:pBdr>
          <w:bottom w:val="single" w:color="E65C00" w:sz="4" w:space="1"/>
        </w:pBdr>
        <w:spacing w:before="200" w:after="200"/>
      </w:pPr>
      <w:r>
        <w:t xml:space="preserve"/>
      </w:r>
    </w:p>
    <w:p>
      <w:pPr>
        <w:pStyle w:val="Heading1"/>
        <w:spacing w:before="400" w:after="160"/>
      </w:pPr>
      <w:r>
        <w:rPr>
          <w:rFonts w:ascii="Arial" w:cs="Arial" w:eastAsia="Arial" w:hAnsi="Arial"/>
          <w:b/>
          <w:bCs/>
          <w:color w:val="E65C00"/>
          <w:sz w:val="36"/>
          <w:szCs w:val="36"/>
        </w:rPr>
        <w:t xml:space="preserve">16. Security &amp; Compliance</w:t>
      </w:r>
    </w:p>
    <w:p>
      <w:pPr>
        <w:pStyle w:val="Heading2"/>
        <w:spacing w:before="320" w:after="120"/>
      </w:pPr>
      <w:r>
        <w:rPr>
          <w:rFonts w:ascii="Arial" w:cs="Arial" w:eastAsia="Arial" w:hAnsi="Arial"/>
          <w:b/>
          <w:bCs/>
          <w:color w:val="1A1A1A"/>
          <w:sz w:val="28"/>
          <w:szCs w:val="28"/>
        </w:rPr>
        <w:t xml:space="preserve">16.1 Data Security</w:t>
      </w:r>
    </w:p>
    <w:p>
      <w:pPr>
        <w:pStyle w:val="ListParagraph"/>
        <w:numPr>
          <w:ilvl w:val="0"/>
          <w:numId w:val="2"/>
        </w:numPr>
        <w:spacing w:before="60" w:after="60"/>
      </w:pPr>
      <w:r>
        <w:rPr>
          <w:rFonts w:ascii="Arial" w:cs="Arial" w:eastAsia="Arial" w:hAnsi="Arial"/>
          <w:color w:val="1A1A1A"/>
          <w:sz w:val="22"/>
          <w:szCs w:val="22"/>
        </w:rPr>
        <w:t xml:space="preserve">All API communication over HTTPS/TLS 1.3.</w:t>
      </w:r>
    </w:p>
    <w:p>
      <w:pPr>
        <w:pStyle w:val="ListParagraph"/>
        <w:numPr>
          <w:ilvl w:val="0"/>
          <w:numId w:val="2"/>
        </w:numPr>
        <w:spacing w:before="60" w:after="60"/>
      </w:pPr>
      <w:r>
        <w:rPr>
          <w:rFonts w:ascii="Arial" w:cs="Arial" w:eastAsia="Arial" w:hAnsi="Arial"/>
          <w:color w:val="1A1A1A"/>
          <w:sz w:val="22"/>
          <w:szCs w:val="22"/>
        </w:rPr>
        <w:t xml:space="preserve">UPI IDs and partner IDs stored encrypted at rest using AES-256.</w:t>
      </w:r>
    </w:p>
    <w:p>
      <w:pPr>
        <w:pStyle w:val="ListParagraph"/>
        <w:numPr>
          <w:ilvl w:val="0"/>
          <w:numId w:val="2"/>
        </w:numPr>
        <w:spacing w:before="60" w:after="60"/>
      </w:pPr>
      <w:r>
        <w:rPr>
          <w:rFonts w:ascii="Arial" w:cs="Arial" w:eastAsia="Arial" w:hAnsi="Arial"/>
          <w:color w:val="1A1A1A"/>
          <w:sz w:val="22"/>
          <w:szCs w:val="22"/>
        </w:rPr>
        <w:t xml:space="preserve">JWT tokens expire in 24 hours. OTP codes expire in 10 minutes.</w:t>
      </w:r>
    </w:p>
    <w:p>
      <w:pPr>
        <w:pStyle w:val="ListParagraph"/>
        <w:numPr>
          <w:ilvl w:val="0"/>
          <w:numId w:val="2"/>
        </w:numPr>
        <w:spacing w:before="60" w:after="60"/>
      </w:pPr>
      <w:r>
        <w:rPr>
          <w:rFonts w:ascii="Arial" w:cs="Arial" w:eastAsia="Arial" w:hAnsi="Arial"/>
          <w:color w:val="1A1A1A"/>
          <w:sz w:val="22"/>
          <w:szCs w:val="22"/>
        </w:rPr>
        <w:t xml:space="preserve">No passwords stored — OTP-only authentication eliminates credential theft risk.</w:t>
      </w:r>
    </w:p>
    <w:p>
      <w:pPr>
        <w:pStyle w:val="ListParagraph"/>
        <w:numPr>
          <w:ilvl w:val="0"/>
          <w:numId w:val="2"/>
        </w:numPr>
        <w:spacing w:before="60" w:after="60"/>
      </w:pPr>
      <w:r>
        <w:rPr>
          <w:rFonts w:ascii="Arial" w:cs="Arial" w:eastAsia="Arial" w:hAnsi="Arial"/>
          <w:color w:val="1A1A1A"/>
          <w:sz w:val="22"/>
          <w:szCs w:val="22"/>
        </w:rPr>
        <w:t xml:space="preserve">Device fingerprints are hashed before storage — raw device identifiers are never persisted.</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16.2 Regulatory Alignment</w:t>
      </w:r>
    </w:p>
    <w:p>
      <w:pPr>
        <w:pStyle w:val="ListParagraph"/>
        <w:numPr>
          <w:ilvl w:val="0"/>
          <w:numId w:val="2"/>
        </w:numPr>
        <w:spacing w:before="60" w:after="60"/>
      </w:pPr>
      <w:r>
        <w:rPr>
          <w:rFonts w:ascii="Arial" w:cs="Arial" w:eastAsia="Arial" w:hAnsi="Arial"/>
          <w:color w:val="1A1A1A"/>
          <w:sz w:val="22"/>
          <w:szCs w:val="22"/>
        </w:rPr>
        <w:t xml:space="preserve">IRDAI Microinsurance Regulations 2015 and the 2024 sandbox framework permit parametric income protection products of this nature.</w:t>
      </w:r>
    </w:p>
    <w:p>
      <w:pPr>
        <w:pStyle w:val="ListParagraph"/>
        <w:numPr>
          <w:ilvl w:val="0"/>
          <w:numId w:val="2"/>
        </w:numPr>
        <w:spacing w:before="60" w:after="60"/>
      </w:pPr>
      <w:r>
        <w:rPr>
          <w:rFonts w:ascii="Arial" w:cs="Arial" w:eastAsia="Arial" w:hAnsi="Arial"/>
          <w:color w:val="1A1A1A"/>
          <w:sz w:val="22"/>
          <w:szCs w:val="22"/>
        </w:rPr>
        <w:t xml:space="preserve">The platform does not provide health, life, accident, or vehicle coverage — strictly income replacement only, which simplifies the regulatory classification.</w:t>
      </w:r>
    </w:p>
    <w:p>
      <w:pPr>
        <w:pStyle w:val="ListParagraph"/>
        <w:numPr>
          <w:ilvl w:val="0"/>
          <w:numId w:val="2"/>
        </w:numPr>
        <w:spacing w:before="60" w:after="60"/>
      </w:pPr>
      <w:r>
        <w:rPr>
          <w:rFonts w:ascii="Arial" w:cs="Arial" w:eastAsia="Arial" w:hAnsi="Arial"/>
          <w:color w:val="1A1A1A"/>
          <w:sz w:val="22"/>
          <w:szCs w:val="22"/>
        </w:rPr>
        <w:t xml:space="preserve">Data handling follows the Digital Personal Data Protection Act 2023 — workers can request data deletion at any time from the app.</w:t>
      </w:r>
    </w:p>
    <w:p>
      <w:pPr>
        <w:pStyle w:val="ListParagraph"/>
        <w:numPr>
          <w:ilvl w:val="0"/>
          <w:numId w:val="2"/>
        </w:numPr>
        <w:spacing w:before="60" w:after="60"/>
      </w:pPr>
      <w:r>
        <w:rPr>
          <w:rFonts w:ascii="Arial" w:cs="Arial" w:eastAsia="Arial" w:hAnsi="Arial"/>
          <w:color w:val="1A1A1A"/>
          <w:sz w:val="22"/>
          <w:szCs w:val="22"/>
        </w:rPr>
        <w:t xml:space="preserve">All claim decisions are logged with full audit trails for regulatory review.</w:t>
      </w:r>
    </w:p>
    <w:p>
      <w:pPr>
        <w:pBdr>
          <w:bottom w:val="single" w:color="E65C00" w:sz="4" w:space="1"/>
        </w:pBdr>
        <w:spacing w:before="200" w:after="200"/>
      </w:pPr>
      <w:r>
        <w:t xml:space="preserve"/>
      </w:r>
    </w:p>
    <w:p>
      <w:pPr>
        <w:pStyle w:val="Heading1"/>
        <w:spacing w:before="400" w:after="160"/>
      </w:pPr>
      <w:r>
        <w:rPr>
          <w:rFonts w:ascii="Arial" w:cs="Arial" w:eastAsia="Arial" w:hAnsi="Arial"/>
          <w:b/>
          <w:bCs/>
          <w:color w:val="E65C00"/>
          <w:sz w:val="36"/>
          <w:szCs w:val="36"/>
        </w:rPr>
        <w:t xml:space="preserve">17. Scalability Plan</w:t>
      </w:r>
    </w:p>
    <w:p>
      <w:pPr>
        <w:pStyle w:val="Heading2"/>
        <w:spacing w:before="320" w:after="120"/>
      </w:pPr>
      <w:r>
        <w:rPr>
          <w:rFonts w:ascii="Arial" w:cs="Arial" w:eastAsia="Arial" w:hAnsi="Arial"/>
          <w:b/>
          <w:bCs/>
          <w:color w:val="1A1A1A"/>
          <w:sz w:val="28"/>
          <w:szCs w:val="28"/>
        </w:rPr>
        <w:t xml:space="preserve">17.1 Current Architecture (Hackathon Scale)</w:t>
      </w:r>
    </w:p>
    <w:p>
      <w:pPr>
        <w:spacing w:before="80" w:after="80"/>
      </w:pPr>
      <w:r>
        <w:rPr>
          <w:rFonts w:ascii="Arial" w:cs="Arial" w:eastAsia="Arial" w:hAnsi="Arial"/>
          <w:b w:val="false"/>
          <w:bCs w:val="false"/>
          <w:i w:val="false"/>
          <w:iCs w:val="false"/>
          <w:color w:val="1A1A1A"/>
          <w:sz w:val="22"/>
          <w:szCs w:val="22"/>
        </w:rPr>
        <w:t xml:space="preserve">Single Node.js instance, single PostgreSQL database, single Redis instance, one FastAPI ML server. Sufficient for demo purposes and up to approximately 1,000 concurrent workers.</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17.2 Scale to 100,000 Workers</w:t>
      </w:r>
    </w:p>
    <w:p>
      <w:pPr>
        <w:pStyle w:val="ListParagraph"/>
        <w:numPr>
          <w:ilvl w:val="0"/>
          <w:numId w:val="2"/>
        </w:numPr>
        <w:spacing w:before="60" w:after="60"/>
      </w:pPr>
      <w:r>
        <w:rPr>
          <w:rFonts w:ascii="Arial" w:cs="Arial" w:eastAsia="Arial" w:hAnsi="Arial"/>
          <w:color w:val="1A1A1A"/>
          <w:sz w:val="22"/>
          <w:szCs w:val="22"/>
        </w:rPr>
        <w:t xml:space="preserve">Node.js API horizontally scaled behind a load balancer (Nginx or AWS ALB).</w:t>
      </w:r>
    </w:p>
    <w:p>
      <w:pPr>
        <w:pStyle w:val="ListParagraph"/>
        <w:numPr>
          <w:ilvl w:val="0"/>
          <w:numId w:val="2"/>
        </w:numPr>
        <w:spacing w:before="60" w:after="60"/>
      </w:pPr>
      <w:r>
        <w:rPr>
          <w:rFonts w:ascii="Arial" w:cs="Arial" w:eastAsia="Arial" w:hAnsi="Arial"/>
          <w:color w:val="1A1A1A"/>
          <w:sz w:val="22"/>
          <w:szCs w:val="22"/>
        </w:rPr>
        <w:t xml:space="preserve">PostgreSQL read replicas for analytics queries, primary for writes.</w:t>
      </w:r>
    </w:p>
    <w:p>
      <w:pPr>
        <w:pStyle w:val="ListParagraph"/>
        <w:numPr>
          <w:ilvl w:val="0"/>
          <w:numId w:val="2"/>
        </w:numPr>
        <w:spacing w:before="60" w:after="60"/>
      </w:pPr>
      <w:r>
        <w:rPr>
          <w:rFonts w:ascii="Arial" w:cs="Arial" w:eastAsia="Arial" w:hAnsi="Arial"/>
          <w:color w:val="1A1A1A"/>
          <w:sz w:val="22"/>
          <w:szCs w:val="22"/>
        </w:rPr>
        <w:t xml:space="preserve">Redis Cluster for distributed queue and session management.</w:t>
      </w:r>
    </w:p>
    <w:p>
      <w:pPr>
        <w:pStyle w:val="ListParagraph"/>
        <w:numPr>
          <w:ilvl w:val="0"/>
          <w:numId w:val="2"/>
        </w:numPr>
        <w:spacing w:before="60" w:after="60"/>
      </w:pPr>
      <w:r>
        <w:rPr>
          <w:rFonts w:ascii="Arial" w:cs="Arial" w:eastAsia="Arial" w:hAnsi="Arial"/>
          <w:color w:val="1A1A1A"/>
          <w:sz w:val="22"/>
          <w:szCs w:val="22"/>
        </w:rPr>
        <w:t xml:space="preserve">ML microservices scaled independently — premium calculation is low-frequency, fraud detection is high-frequency and needs more instances.</w:t>
      </w:r>
    </w:p>
    <w:p>
      <w:pPr>
        <w:pStyle w:val="ListParagraph"/>
        <w:numPr>
          <w:ilvl w:val="0"/>
          <w:numId w:val="2"/>
        </w:numPr>
        <w:spacing w:before="60" w:after="60"/>
      </w:pPr>
      <w:r>
        <w:rPr>
          <w:rFonts w:ascii="Arial" w:cs="Arial" w:eastAsia="Arial" w:hAnsi="Arial"/>
          <w:color w:val="1A1A1A"/>
          <w:sz w:val="22"/>
          <w:szCs w:val="22"/>
        </w:rPr>
        <w:t xml:space="preserve">Trigger engine moved to a dedicated worker process with per-city partitioning.</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17.3 Scale to 1 Million Workers</w:t>
      </w:r>
    </w:p>
    <w:p>
      <w:pPr>
        <w:pStyle w:val="ListParagraph"/>
        <w:numPr>
          <w:ilvl w:val="0"/>
          <w:numId w:val="2"/>
        </w:numPr>
        <w:spacing w:before="60" w:after="60"/>
      </w:pPr>
      <w:r>
        <w:rPr>
          <w:rFonts w:ascii="Arial" w:cs="Arial" w:eastAsia="Arial" w:hAnsi="Arial"/>
          <w:color w:val="1A1A1A"/>
          <w:sz w:val="22"/>
          <w:szCs w:val="22"/>
        </w:rPr>
        <w:t xml:space="preserve">Event-driven architecture — replace polling cron jobs with a Kafka event bus for trigger events.</w:t>
      </w:r>
    </w:p>
    <w:p>
      <w:pPr>
        <w:pStyle w:val="ListParagraph"/>
        <w:numPr>
          <w:ilvl w:val="0"/>
          <w:numId w:val="2"/>
        </w:numPr>
        <w:spacing w:before="60" w:after="60"/>
      </w:pPr>
      <w:r>
        <w:rPr>
          <w:rFonts w:ascii="Arial" w:cs="Arial" w:eastAsia="Arial" w:hAnsi="Arial"/>
          <w:color w:val="1A1A1A"/>
          <w:sz w:val="22"/>
          <w:szCs w:val="22"/>
        </w:rPr>
        <w:t xml:space="preserve">Database sharding by city/zone for claims and events tables.</w:t>
      </w:r>
    </w:p>
    <w:p>
      <w:pPr>
        <w:pStyle w:val="ListParagraph"/>
        <w:numPr>
          <w:ilvl w:val="0"/>
          <w:numId w:val="2"/>
        </w:numPr>
        <w:spacing w:before="60" w:after="60"/>
      </w:pPr>
      <w:r>
        <w:rPr>
          <w:rFonts w:ascii="Arial" w:cs="Arial" w:eastAsia="Arial" w:hAnsi="Arial"/>
          <w:color w:val="1A1A1A"/>
          <w:sz w:val="22"/>
          <w:szCs w:val="22"/>
        </w:rPr>
        <w:t xml:space="preserve">ML model serving via dedicated GPU instances for Ring Score graph model at scale.</w:t>
      </w:r>
    </w:p>
    <w:p>
      <w:pPr>
        <w:pStyle w:val="ListParagraph"/>
        <w:numPr>
          <w:ilvl w:val="0"/>
          <w:numId w:val="2"/>
        </w:numPr>
        <w:spacing w:before="60" w:after="60"/>
      </w:pPr>
      <w:r>
        <w:rPr>
          <w:rFonts w:ascii="Arial" w:cs="Arial" w:eastAsia="Arial" w:hAnsi="Arial"/>
          <w:color w:val="1A1A1A"/>
          <w:sz w:val="22"/>
          <w:szCs w:val="22"/>
        </w:rPr>
        <w:t xml:space="preserve">CDN for mobile app static assets. Push notifications via Firebase.</w:t>
      </w:r>
    </w:p>
    <w:p>
      <w:pPr>
        <w:pStyle w:val="ListParagraph"/>
        <w:numPr>
          <w:ilvl w:val="0"/>
          <w:numId w:val="2"/>
        </w:numPr>
        <w:spacing w:before="60" w:after="60"/>
      </w:pPr>
      <w:r>
        <w:rPr>
          <w:rFonts w:ascii="Arial" w:cs="Arial" w:eastAsia="Arial" w:hAnsi="Arial"/>
          <w:color w:val="1A1A1A"/>
          <w:sz w:val="22"/>
          <w:szCs w:val="22"/>
        </w:rPr>
        <w:t xml:space="preserve">Multi-region deployment for low-latency UPI payouts across India.</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17.4 Persona Expansion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460"/>
      </w:tblGrid>
      <w:tr>
        <w:trPr>
          <w:tblHeader/>
        </w:trPr>
        <w:tc>
          <w:tcPr>
            <w:tcW w:type="dxa" w:w="25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New Persona</w:t>
            </w:r>
          </w:p>
        </w:tc>
        <w:tc>
          <w:tcPr>
            <w:tcW w:type="dxa" w:w="40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Trigger Changes Needed</w:t>
            </w:r>
          </w:p>
        </w:tc>
        <w:tc>
          <w:tcPr>
            <w:tcW w:type="dxa" w:w="246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Grocery / Q-Commerce (Zepto, Blinkit)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warehouse closure trigger, shorter delivery windows mean higher sensitivity to short disruptions</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weeks config change</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E-commerce Riders (Amazon Flex, Flipkart)</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Add route blockage triggers, longer delivery windows mean different payout duration logic</w:t>
            </w:r>
          </w:p>
        </w:tc>
        <w:tc>
          <w:tcPr>
            <w:tcW w:type="dxa" w:w="2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2-3 weeks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Auto-Rickshaw Drivers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Remove platform API dependency, add traffic disruption triggers, different earnings baseline</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4-6 weeks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Interstate Truck Drivers</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Add highway closure, border check disruption triggers, multi-day payout windows</w:t>
            </w:r>
          </w:p>
        </w:tc>
        <w:tc>
          <w:tcPr>
            <w:tcW w:type="dxa" w:w="2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6-8 weeks</w:t>
            </w:r>
          </w:p>
        </w:tc>
      </w:tr>
    </w:tbl>
    <w:p>
      <w:pPr>
        <w:pBdr>
          <w:bottom w:val="single" w:color="E65C00" w:sz="4" w:space="1"/>
        </w:pBdr>
        <w:spacing w:before="200" w:after="200"/>
      </w:pPr>
      <w:r>
        <w:t xml:space="preserve"/>
      </w:r>
    </w:p>
    <w:p>
      <w:pPr>
        <w:pStyle w:val="Heading1"/>
        <w:spacing w:before="400" w:after="160"/>
      </w:pPr>
      <w:r>
        <w:rPr>
          <w:rFonts w:ascii="Arial" w:cs="Arial" w:eastAsia="Arial" w:hAnsi="Arial"/>
          <w:b/>
          <w:bCs/>
          <w:color w:val="E65C00"/>
          <w:sz w:val="36"/>
          <w:szCs w:val="36"/>
        </w:rPr>
        <w:t xml:space="preserve">18. Business Model &amp; Unit Economics</w:t>
      </w:r>
    </w:p>
    <w:p>
      <w:pPr>
        <w:pStyle w:val="Heading2"/>
        <w:spacing w:before="320" w:after="120"/>
      </w:pPr>
      <w:r>
        <w:rPr>
          <w:rFonts w:ascii="Arial" w:cs="Arial" w:eastAsia="Arial" w:hAnsi="Arial"/>
          <w:b/>
          <w:bCs/>
          <w:color w:val="1A1A1A"/>
          <w:sz w:val="28"/>
          <w:szCs w:val="28"/>
        </w:rPr>
        <w:t xml:space="preserve">18.1 Revenue Model</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3000"/>
        <w:gridCol w:w="6010"/>
      </w:tblGrid>
      <w:tr>
        <w:trPr>
          <w:tblHeader/>
        </w:trPr>
        <w:tc>
          <w:tcPr>
            <w:tcW w:type="dxa" w:w="30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Revenue Stream</w:t>
            </w:r>
          </w:p>
        </w:tc>
        <w:tc>
          <w:tcPr>
            <w:tcW w:type="dxa" w:w="601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Premium Revenue</w:t>
            </w:r>
          </w:p>
        </w:tc>
        <w:tc>
          <w:tcPr>
            <w:tcW w:type="dxa" w:w="6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Weekly premiums collected from workers minus claims paid and operating costs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Reinsurance Margin</w:t>
            </w:r>
          </w:p>
        </w:tc>
        <w:tc>
          <w:tcPr>
            <w:tcW w:type="dxa" w:w="60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Zensure acts as MGA (Managing General Agent), ceding risk to a reinsurer at a fixed rate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Licensing (Future)</w:t>
            </w:r>
          </w:p>
        </w:tc>
        <w:tc>
          <w:tcPr>
            <w:tcW w:type="dxa" w:w="6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Anonymized zone-level disruption and claim data sold to urban planners and logistics platforms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Platform API (Future)</w:t>
            </w:r>
          </w:p>
        </w:tc>
        <w:tc>
          <w:tcPr>
            <w:tcW w:type="dxa" w:w="60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White-label trigger engine licensed to other gig platforms as a B2B SaaS product</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18.2 Unit Economics at 10,000 Workers</w:t>
      </w:r>
    </w:p>
    <w:tbl>
      <w:tblPr>
        <w:tblW w:type="dxa" w:w="9010"/>
        <w:tblBorders>
          <w:top w:val="single" w:color="auto" w:sz="4"/>
          <w:left w:val="single" w:color="auto" w:sz="4"/>
          <w:bottom w:val="single" w:color="auto" w:sz="4"/>
          <w:right w:val="single" w:color="auto" w:sz="4"/>
          <w:insideH w:val="single" w:color="auto" w:sz="4"/>
          <w:insideV w:val="single" w:color="auto" w:sz="4"/>
        </w:tblBorders>
      </w:tblPr>
      <w:tblGrid>
        <w:gridCol w:w="4000"/>
        <w:gridCol w:w="5010"/>
      </w:tblGrid>
      <w:tr>
        <w:trPr>
          <w:tblHeader/>
        </w:trPr>
        <w:tc>
          <w:tcPr>
            <w:tcW w:type="dxa" w:w="40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501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Estimate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Avg Weekly Premium per Worker</w:t>
            </w:r>
          </w:p>
        </w:tc>
        <w:tc>
          <w:tcPr>
            <w:tcW w:type="dxa" w:w="5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Rs. 52 (blended across plans)</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Weekly Premium Pool</w:t>
            </w:r>
          </w:p>
        </w:tc>
        <w:tc>
          <w:tcPr>
            <w:tcW w:type="dxa" w:w="50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Rs. 5,20,000</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Expected Loss Ratio</w:t>
            </w:r>
          </w:p>
        </w:tc>
        <w:tc>
          <w:tcPr>
            <w:tcW w:type="dxa" w:w="5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55-65% (parametric products historically 50-70%)</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Weekly Claims Paid</w:t>
            </w:r>
          </w:p>
        </w:tc>
        <w:tc>
          <w:tcPr>
            <w:tcW w:type="dxa" w:w="50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Rs. 2,86,000 - Rs. 3,38,000</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Gross Margin per Week</w:t>
            </w:r>
          </w:p>
        </w:tc>
        <w:tc>
          <w:tcPr>
            <w:tcW w:type="dxa" w:w="5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Rs. 1,82,000 - Rs. 2,34,000</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Operating Cost per Week</w:t>
            </w:r>
          </w:p>
        </w:tc>
        <w:tc>
          <w:tcPr>
            <w:tcW w:type="dxa" w:w="50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Rs. 50,000 (infra + ops at this scale)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 Margin per Week</w:t>
            </w:r>
          </w:p>
        </w:tc>
        <w:tc>
          <w:tcPr>
            <w:tcW w:type="dxa" w:w="50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Rs. 1,32,000 - Rs. 1,84,000</w:t>
            </w:r>
          </w:p>
        </w:tc>
      </w:tr>
    </w:tbl>
    <w:p>
      <w:pPr>
        <w:pBdr>
          <w:bottom w:val="single" w:color="E65C00" w:sz="4" w:space="1"/>
        </w:pBdr>
        <w:spacing w:before="200" w:after="200"/>
      </w:pPr>
      <w:r>
        <w:t xml:space="preserve"/>
      </w:r>
    </w:p>
    <w:p>
      <w:pPr>
        <w:pStyle w:val="Heading1"/>
        <w:spacing w:before="400" w:after="160"/>
      </w:pPr>
      <w:r>
        <w:rPr>
          <w:rFonts w:ascii="Arial" w:cs="Arial" w:eastAsia="Arial" w:hAnsi="Arial"/>
          <w:b/>
          <w:bCs/>
          <w:color w:val="E65C00"/>
          <w:sz w:val="36"/>
          <w:szCs w:val="36"/>
        </w:rPr>
        <w:t xml:space="preserve">19. 6-Week Development Roadmap</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200"/>
        <w:gridCol w:w="4760"/>
      </w:tblGrid>
      <w:tr>
        <w:trPr>
          <w:tblHeader/>
        </w:trPr>
        <w:tc>
          <w:tcPr>
            <w:tcW w:type="dxa" w:w="12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8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Weeks</w:t>
            </w:r>
          </w:p>
        </w:tc>
        <w:tc>
          <w:tcPr>
            <w:tcW w:type="dxa" w:w="22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Theme</w:t>
            </w:r>
          </w:p>
        </w:tc>
        <w:tc>
          <w:tcPr>
            <w:tcW w:type="dxa" w:w="476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Key Deliverables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Ideation &amp; Foundation</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README, system design doc, wireframes, repo setup, API key procurement, adversarial defense architecture</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3-4</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Core Build</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Worker registration, OTP login, policy creation, XGBoost premium engine, 3-5 parametric triggers, claims pipeline, zero-touch claim UX, Razorpay sandbox integration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Scale &amp; Polish</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Isolation Forest fraud module, Ring Score model, GPS + motion validation, worker dashboard, insurer dashboard with live map, next-week forecast model, 5-minute demo video, pitch deck</w:t>
            </w:r>
          </w:p>
        </w:tc>
      </w:tr>
    </w:tbl>
    <w:p>
      <w:pPr>
        <w:spacing w:before="60" w:after="60"/>
      </w:pPr>
      <w:r>
        <w:t xml:space="preserve"/>
      </w:r>
    </w:p>
    <w:p>
      <w:pPr>
        <w:pStyle w:val="Heading2"/>
        <w:spacing w:before="320" w:after="120"/>
      </w:pPr>
      <w:r>
        <w:rPr>
          <w:rFonts w:ascii="Arial" w:cs="Arial" w:eastAsia="Arial" w:hAnsi="Arial"/>
          <w:b/>
          <w:bCs/>
          <w:color w:val="1A1A1A"/>
          <w:sz w:val="28"/>
          <w:szCs w:val="28"/>
        </w:rPr>
        <w:t xml:space="preserve">19.1 Team Responsibilities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800"/>
        <w:gridCol w:w="2660"/>
      </w:tblGrid>
      <w:tr>
        <w:trPr>
          <w:tblHeader/>
        </w:trPr>
        <w:tc>
          <w:tcPr>
            <w:tcW w:type="dxa" w:w="20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Team Member</w:t>
            </w:r>
          </w:p>
        </w:tc>
        <w:tc>
          <w:tcPr>
            <w:tcW w:type="dxa" w:w="15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280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Phase 2 Focus</w:t>
            </w:r>
          </w:p>
        </w:tc>
        <w:tc>
          <w:tcPr>
            <w:tcW w:type="dxa" w:w="2660"/>
            <w:tcBorders>
              <w:top w:val="single" w:color="DDDDDD" w:sz="1"/>
              <w:left w:val="single" w:color="DDDDDD" w:sz="1"/>
              <w:bottom w:val="single" w:color="DDDDDD" w:sz="1"/>
              <w:right w:val="single" w:color="DDDDDD" w:sz="1"/>
            </w:tcBorders>
            <w:shd w:fill="E65C00" w:val="clear"/>
            <w:tcMar>
              <w:top w:type="dxa" w:w="100"/>
              <w:left w:type="dxa" w:w="120"/>
              <w:bottom w:type="dxa" w:w="100"/>
              <w:right w:type="dxa" w:w="120"/>
            </w:tcMar>
          </w:tcPr>
          <w:p>
            <w:r>
              <w:rPr>
                <w:rFonts w:ascii="Arial" w:cs="Arial" w:eastAsia="Arial" w:hAnsi="Arial"/>
                <w:b/>
                <w:bCs/>
                <w:color w:val="FFFFFF"/>
                <w:sz w:val="20"/>
                <w:szCs w:val="20"/>
              </w:rPr>
              <w:t xml:space="preserve">Phase 3 Focus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Paarth Dutta</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Stack</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API, DB schema, trigger engine</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Payout engine, insurer dashboard backend</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Shivam Rajput</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AI/ML &amp; Backend</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XGBoost premium model, FastAPI service, fraud detection skeleton</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Isolation Forest, Ring Score model, forecast model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Sparsh Shrivastava</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Frontend &amp; UX</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Native worker app, onboarding screens, dashboard</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Insurer web dashboard, live map, fraud monitor UI</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Sia Arora</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Product &amp; Integration</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 integrations (weather, AQI, Razorpay), demo data setup</w:t>
            </w:r>
          </w:p>
        </w:tc>
        <w:tc>
          <w:tcPr>
            <w:tcW w:type="dxa" w:w="2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End-to-end testing, demo video, pitch deck</w:t>
            </w:r>
          </w:p>
        </w:tc>
      </w:tr>
    </w:tbl>
    <w:p>
      <w:pPr>
        <w:pBdr>
          <w:bottom w:val="single" w:color="E65C00" w:sz="4" w:space="1"/>
        </w:pBdr>
        <w:spacing w:before="200" w:after="200"/>
      </w:pPr>
      <w:r>
        <w:t xml:space="preserve"/>
      </w:r>
    </w:p>
    <w:p>
      <w:pPr>
        <w:pStyle w:val="Heading1"/>
        <w:spacing w:before="400" w:after="160"/>
      </w:pPr>
      <w:r>
        <w:rPr>
          <w:rFonts w:ascii="Arial" w:cs="Arial" w:eastAsia="Arial" w:hAnsi="Arial"/>
          <w:b/>
          <w:bCs/>
          <w:color w:val="E65C00"/>
          <w:sz w:val="36"/>
          <w:szCs w:val="36"/>
        </w:rPr>
        <w:t xml:space="preserve">20. Future Roadmap Beyond Hackathon</w:t>
      </w:r>
    </w:p>
    <w:p>
      <w:pPr>
        <w:pStyle w:val="Heading2"/>
        <w:spacing w:before="320" w:after="120"/>
      </w:pPr>
      <w:r>
        <w:rPr>
          <w:rFonts w:ascii="Arial" w:cs="Arial" w:eastAsia="Arial" w:hAnsi="Arial"/>
          <w:b/>
          <w:bCs/>
          <w:color w:val="1A1A1A"/>
          <w:sz w:val="28"/>
          <w:szCs w:val="28"/>
        </w:rPr>
        <w:t xml:space="preserve">20.1 Short Term (3-6 Months)</w:t>
      </w:r>
    </w:p>
    <w:p>
      <w:pPr>
        <w:pStyle w:val="ListParagraph"/>
        <w:numPr>
          <w:ilvl w:val="0"/>
          <w:numId w:val="2"/>
        </w:numPr>
        <w:spacing w:before="60" w:after="60"/>
      </w:pPr>
      <w:r>
        <w:rPr>
          <w:rFonts w:ascii="Arial" w:cs="Arial" w:eastAsia="Arial" w:hAnsi="Arial"/>
          <w:color w:val="1A1A1A"/>
          <w:sz w:val="22"/>
          <w:szCs w:val="22"/>
        </w:rPr>
        <w:t xml:space="preserve">IRDAI microinsurance sandbox application — Zensure's parametric model fits the sandbox framework directly.</w:t>
      </w:r>
    </w:p>
    <w:p>
      <w:pPr>
        <w:pStyle w:val="ListParagraph"/>
        <w:numPr>
          <w:ilvl w:val="0"/>
          <w:numId w:val="2"/>
        </w:numPr>
        <w:spacing w:before="60" w:after="60"/>
      </w:pPr>
      <w:r>
        <w:rPr>
          <w:rFonts w:ascii="Arial" w:cs="Arial" w:eastAsia="Arial" w:hAnsi="Arial"/>
          <w:color w:val="1A1A1A"/>
          <w:sz w:val="22"/>
          <w:szCs w:val="22"/>
        </w:rPr>
        <w:t xml:space="preserve">Pilot with 500 real Swiggy partners in Chennai during the June-September monsoon season.</w:t>
      </w:r>
    </w:p>
    <w:p>
      <w:pPr>
        <w:pStyle w:val="ListParagraph"/>
        <w:numPr>
          <w:ilvl w:val="0"/>
          <w:numId w:val="2"/>
        </w:numPr>
        <w:spacing w:before="60" w:after="60"/>
      </w:pPr>
      <w:r>
        <w:rPr>
          <w:rFonts w:ascii="Arial" w:cs="Arial" w:eastAsia="Arial" w:hAnsi="Arial"/>
          <w:color w:val="1A1A1A"/>
          <w:sz w:val="22"/>
          <w:szCs w:val="22"/>
        </w:rPr>
        <w:t xml:space="preserve">Integration with actual Zomato/Swiggy Partner APIs for real earnings verification.</w:t>
      </w:r>
    </w:p>
    <w:p>
      <w:pPr>
        <w:pStyle w:val="ListParagraph"/>
        <w:numPr>
          <w:ilvl w:val="0"/>
          <w:numId w:val="2"/>
        </w:numPr>
        <w:spacing w:before="60" w:after="60"/>
      </w:pPr>
      <w:r>
        <w:rPr>
          <w:rFonts w:ascii="Arial" w:cs="Arial" w:eastAsia="Arial" w:hAnsi="Arial"/>
          <w:color w:val="1A1A1A"/>
          <w:sz w:val="22"/>
          <w:szCs w:val="22"/>
        </w:rPr>
        <w:t xml:space="preserve">Regional language voice notifications — many workers prefer audio over reading.</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20.2 Medium Term (6-18 Months)</w:t>
      </w:r>
    </w:p>
    <w:p>
      <w:pPr>
        <w:pStyle w:val="ListParagraph"/>
        <w:numPr>
          <w:ilvl w:val="0"/>
          <w:numId w:val="2"/>
        </w:numPr>
        <w:spacing w:before="60" w:after="60"/>
      </w:pPr>
      <w:r>
        <w:rPr>
          <w:rFonts w:ascii="Arial" w:cs="Arial" w:eastAsia="Arial" w:hAnsi="Arial"/>
          <w:color w:val="1A1A1A"/>
          <w:sz w:val="22"/>
          <w:szCs w:val="22"/>
        </w:rPr>
        <w:t xml:space="preserve">Expand to grocery delivery (Zepto, Blinkit) and e-commerce riders (Amazon Flex).</w:t>
      </w:r>
    </w:p>
    <w:p>
      <w:pPr>
        <w:pStyle w:val="ListParagraph"/>
        <w:numPr>
          <w:ilvl w:val="0"/>
          <w:numId w:val="2"/>
        </w:numPr>
        <w:spacing w:before="60" w:after="60"/>
      </w:pPr>
      <w:r>
        <w:rPr>
          <w:rFonts w:ascii="Arial" w:cs="Arial" w:eastAsia="Arial" w:hAnsi="Arial"/>
          <w:color w:val="1A1A1A"/>
          <w:sz w:val="22"/>
          <w:szCs w:val="22"/>
        </w:rPr>
        <w:t xml:space="preserve">Launch in 5 additional Tier-1 cities with city-specific zone risk models.</w:t>
      </w:r>
    </w:p>
    <w:p>
      <w:pPr>
        <w:pStyle w:val="ListParagraph"/>
        <w:numPr>
          <w:ilvl w:val="0"/>
          <w:numId w:val="2"/>
        </w:numPr>
        <w:spacing w:before="60" w:after="60"/>
      </w:pPr>
      <w:r>
        <w:rPr>
          <w:rFonts w:ascii="Arial" w:cs="Arial" w:eastAsia="Arial" w:hAnsi="Arial"/>
          <w:color w:val="1A1A1A"/>
          <w:sz w:val="22"/>
          <w:szCs w:val="22"/>
        </w:rPr>
        <w:t xml:space="preserve">Partner with delivery platforms directly for premium deduction at source — eliminates collection friction.</w:t>
      </w:r>
    </w:p>
    <w:p>
      <w:pPr>
        <w:pStyle w:val="ListParagraph"/>
        <w:numPr>
          <w:ilvl w:val="0"/>
          <w:numId w:val="2"/>
        </w:numPr>
        <w:spacing w:before="60" w:after="60"/>
      </w:pPr>
      <w:r>
        <w:rPr>
          <w:rFonts w:ascii="Arial" w:cs="Arial" w:eastAsia="Arial" w:hAnsi="Arial"/>
          <w:color w:val="1A1A1A"/>
          <w:sz w:val="22"/>
          <w:szCs w:val="22"/>
        </w:rPr>
        <w:t xml:space="preserve">Introduce a group plan where delivery hubs or fleet operators can enroll their riders in bulk.</w:t>
      </w:r>
    </w:p>
    <w:p>
      <w:pPr>
        <w:spacing w:before="60" w:after="60"/>
      </w:pPr>
      <w:r>
        <w:t xml:space="preserve"/>
      </w:r>
    </w:p>
    <w:p>
      <w:pPr>
        <w:pStyle w:val="Heading2"/>
        <w:spacing w:before="320" w:after="120"/>
      </w:pPr>
      <w:r>
        <w:rPr>
          <w:rFonts w:ascii="Arial" w:cs="Arial" w:eastAsia="Arial" w:hAnsi="Arial"/>
          <w:b/>
          <w:bCs/>
          <w:color w:val="1A1A1A"/>
          <w:sz w:val="28"/>
          <w:szCs w:val="28"/>
        </w:rPr>
        <w:t xml:space="preserve">20.3 Long Term (18 Months+)</w:t>
      </w:r>
    </w:p>
    <w:p>
      <w:pPr>
        <w:pStyle w:val="ListParagraph"/>
        <w:numPr>
          <w:ilvl w:val="0"/>
          <w:numId w:val="2"/>
        </w:numPr>
        <w:spacing w:before="60" w:after="60"/>
      </w:pPr>
      <w:r>
        <w:rPr>
          <w:rFonts w:ascii="Arial" w:cs="Arial" w:eastAsia="Arial" w:hAnsi="Arial"/>
          <w:color w:val="1A1A1A"/>
          <w:sz w:val="22"/>
          <w:szCs w:val="22"/>
        </w:rPr>
        <w:t xml:space="preserve">Expand to 50 million gig workers across all categories — auto drivers, construction daily-wage workers, domestic workers.</w:t>
      </w:r>
    </w:p>
    <w:p>
      <w:pPr>
        <w:pStyle w:val="ListParagraph"/>
        <w:numPr>
          <w:ilvl w:val="0"/>
          <w:numId w:val="2"/>
        </w:numPr>
        <w:spacing w:before="60" w:after="60"/>
      </w:pPr>
      <w:r>
        <w:rPr>
          <w:rFonts w:ascii="Arial" w:cs="Arial" w:eastAsia="Arial" w:hAnsi="Arial"/>
          <w:color w:val="1A1A1A"/>
          <w:sz w:val="22"/>
          <w:szCs w:val="22"/>
        </w:rPr>
        <w:t xml:space="preserve">License the trigger engine as a B2B API product for logistics platforms, urban planners, and other insurers.</w:t>
      </w:r>
    </w:p>
    <w:p>
      <w:pPr>
        <w:pStyle w:val="ListParagraph"/>
        <w:numPr>
          <w:ilvl w:val="0"/>
          <w:numId w:val="2"/>
        </w:numPr>
        <w:spacing w:before="60" w:after="60"/>
      </w:pPr>
      <w:r>
        <w:rPr>
          <w:rFonts w:ascii="Arial" w:cs="Arial" w:eastAsia="Arial" w:hAnsi="Arial"/>
          <w:color w:val="1A1A1A"/>
          <w:sz w:val="22"/>
          <w:szCs w:val="22"/>
        </w:rPr>
        <w:t xml:space="preserve">Build a proprietary zone risk dataset from 2+ years of claim and event data — becomes a moat for pricing accuracy.</w:t>
      </w:r>
    </w:p>
    <w:p>
      <w:pPr>
        <w:pStyle w:val="ListParagraph"/>
        <w:numPr>
          <w:ilvl w:val="0"/>
          <w:numId w:val="2"/>
        </w:numPr>
        <w:spacing w:before="60" w:after="60"/>
      </w:pPr>
      <w:r>
        <w:rPr>
          <w:rFonts w:ascii="Arial" w:cs="Arial" w:eastAsia="Arial" w:hAnsi="Arial"/>
          <w:color w:val="1A1A1A"/>
          <w:sz w:val="22"/>
          <w:szCs w:val="22"/>
        </w:rPr>
        <w:t xml:space="preserve">Explore CBDC integration for instant micropayments as RBI's digital rupee infrastructure matures.</w:t>
      </w:r>
    </w:p>
    <w:p>
      <w:pPr>
        <w:spacing w:before="60" w:after="60"/>
      </w:pPr>
      <w:r>
        <w:t xml:space="preserve"/>
      </w:r>
    </w:p>
    <w:p>
      <w:pPr>
        <w:pBdr>
          <w:bottom w:val="single" w:color="E65C00" w:sz="4" w:space="1"/>
        </w:pBdr>
        <w:spacing w:before="200" w:after="200"/>
      </w:pPr>
      <w:r>
        <w:t xml:space="preserve"/>
      </w:r>
    </w:p>
    <w:p>
      <w:pPr>
        <w:spacing w:before="60" w:after="60"/>
      </w:pPr>
      <w:r>
        <w:t xml:space="preserve"/>
      </w:r>
    </w:p>
    <w:p>
      <w:pPr>
        <w:spacing w:before="60" w:after="60"/>
      </w:pPr>
      <w:r>
        <w:t xml:space="preserve"/>
      </w:r>
    </w:p>
    <w:p>
      <w:pPr>
        <w:spacing w:before="200" w:after="80"/>
        <w:jc w:val="center"/>
      </w:pPr>
      <w:r>
        <w:rPr>
          <w:rFonts w:ascii="Arial" w:cs="Arial" w:eastAsia="Arial" w:hAnsi="Arial"/>
          <w:b/>
          <w:bCs/>
          <w:color w:val="E65C00"/>
          <w:sz w:val="36"/>
          <w:szCs w:val="36"/>
        </w:rPr>
        <w:t xml:space="preserve">ZENSURE</w:t>
      </w:r>
    </w:p>
    <w:p>
      <w:pPr>
        <w:spacing w:before="0" w:after="80"/>
        <w:jc w:val="center"/>
      </w:pPr>
      <w:r>
        <w:rPr>
          <w:rFonts w:ascii="Arial" w:cs="Arial" w:eastAsia="Arial" w:hAnsi="Arial"/>
          <w:i/>
          <w:iCs/>
          <w:color w:val="555555"/>
          <w:sz w:val="24"/>
          <w:szCs w:val="24"/>
        </w:rPr>
        <w:t xml:space="preserve">Income protection for every kilometre they ride.</w:t>
      </w:r>
    </w:p>
    <w:p>
      <w:pPr>
        <w:spacing w:before="0" w:after="0"/>
        <w:jc w:val="center"/>
      </w:pPr>
      <w:r>
        <w:rPr>
          <w:rFonts w:ascii="Arial" w:cs="Arial" w:eastAsia="Arial" w:hAnsi="Arial"/>
          <w:color w:val="555555"/>
          <w:sz w:val="20"/>
          <w:szCs w:val="20"/>
        </w:rPr>
        <w:t xml:space="preserve">Guidewire DEVTrails 2026  |  Paarth  |  Shivam  |  Sparsh  |  Sia</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E65C00"/>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80"/>
      <w:outlineLvl w:val="2"/>
    </w:pPr>
    <w:rPr>
      <w:rFonts w:ascii="Arial" w:cs="Arial" w:eastAsia="Arial" w:hAnsi="Arial"/>
      <w:b/>
      <w:bCs/>
      <w:color w:val="E65C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2026-03-28T10:51:32.631Z</dcterms:created>
  <dcterms:modified xsi:type="dcterms:W3CDTF">2026-03-28T10:51:32.632Z</dcterms:modified>
</cp:coreProperties>
</file>

<file path=docProps/custom.xml><?xml version="1.0" encoding="utf-8"?>
<Properties xmlns="http://schemas.openxmlformats.org/officeDocument/2006/custom-properties" xmlns:vt="http://schemas.openxmlformats.org/officeDocument/2006/docPropsVTypes"/>
</file>