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DE2F" w14:textId="77777777" w:rsidR="006529C3" w:rsidRPr="006529C3" w:rsidRDefault="006529C3" w:rsidP="006529C3">
      <w:pPr>
        <w:pStyle w:val="1"/>
        <w:rPr>
          <w:rFonts w:ascii="Times New Roman" w:eastAsia="宋体" w:hAnsi="Times New Roman" w:cs="Times New Roman"/>
        </w:rPr>
      </w:pPr>
      <w:r w:rsidRPr="006529C3">
        <w:rPr>
          <w:rFonts w:ascii="Times New Roman" w:eastAsia="宋体" w:hAnsi="Times New Roman" w:cs="Times New Roman"/>
          <w:szCs w:val="21"/>
        </w:rPr>
        <w:t>4</w:t>
      </w:r>
      <w:r w:rsidRPr="006529C3">
        <w:rPr>
          <w:rFonts w:ascii="Times New Roman" w:eastAsia="宋体" w:hAnsi="Times New Roman" w:cs="Times New Roman"/>
          <w:szCs w:val="21"/>
        </w:rPr>
        <w:t>分子对接使用说明：</w:t>
      </w:r>
    </w:p>
    <w:p w14:paraId="39BC849F" w14:textId="5DAC6D57" w:rsidR="006529C3" w:rsidRPr="006529C3" w:rsidRDefault="006529C3" w:rsidP="006529C3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6529C3">
        <w:rPr>
          <w:rFonts w:ascii="Times New Roman" w:eastAsia="宋体" w:hAnsi="Times New Roman" w:cs="Times New Roman" w:hint="eastAsia"/>
          <w:bCs/>
          <w:kern w:val="44"/>
          <w:szCs w:val="21"/>
        </w:rPr>
        <w:t>本程序支持单受体多配体的虚拟筛选、单配体多受体的反向</w:t>
      </w:r>
      <w:r w:rsidR="00422AC4">
        <w:rPr>
          <w:rFonts w:ascii="Times New Roman" w:eastAsia="宋体" w:hAnsi="Times New Roman" w:cs="Times New Roman" w:hint="eastAsia"/>
          <w:bCs/>
          <w:kern w:val="44"/>
          <w:szCs w:val="21"/>
        </w:rPr>
        <w:t>钓靶</w:t>
      </w:r>
      <w:r w:rsidRPr="006529C3">
        <w:rPr>
          <w:rFonts w:ascii="Times New Roman" w:eastAsia="宋体" w:hAnsi="Times New Roman" w:cs="Times New Roman" w:hint="eastAsia"/>
          <w:bCs/>
          <w:kern w:val="44"/>
          <w:szCs w:val="21"/>
        </w:rPr>
        <w:t>、多受体多配体的网络药理学靶点验证三种模式。</w:t>
      </w:r>
    </w:p>
    <w:p w14:paraId="1038A68D" w14:textId="32B6077F" w:rsidR="006529C3" w:rsidRPr="006529C3" w:rsidRDefault="006529C3" w:rsidP="006529C3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(1)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按照要求选择四个路径，分别为配体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(.</w:t>
      </w:r>
      <w:proofErr w:type="spellStart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pdbqt</w:t>
      </w:r>
      <w:proofErr w:type="spellEnd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)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所在位置</w:t>
      </w:r>
      <w:r w:rsidR="00422AC4"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路径中的所有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.</w:t>
      </w:r>
      <w:proofErr w:type="spellStart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pdbqt</w:t>
      </w:r>
      <w:proofErr w:type="spellEnd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文件都会被认为是配体</w:t>
      </w:r>
      <w:r w:rsidR="00422AC4">
        <w:rPr>
          <w:rFonts w:ascii="Times New Roman" w:eastAsia="宋体" w:hAnsi="Times New Roman" w:cs="Times New Roman" w:hint="eastAsia"/>
          <w:bCs/>
          <w:kern w:val="44"/>
          <w:szCs w:val="21"/>
        </w:rPr>
        <w:t>)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、受体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(.</w:t>
      </w:r>
      <w:proofErr w:type="spellStart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pdbqt</w:t>
      </w:r>
      <w:proofErr w:type="spellEnd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)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所在位置</w:t>
      </w:r>
      <w:r w:rsidR="00422AC4"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路径中的所有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.</w:t>
      </w:r>
      <w:proofErr w:type="spellStart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pdbqt</w:t>
      </w:r>
      <w:proofErr w:type="spellEnd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文件都会被认为是受体</w:t>
      </w:r>
      <w:r w:rsidR="00422AC4">
        <w:rPr>
          <w:rFonts w:ascii="Times New Roman" w:eastAsia="宋体" w:hAnsi="Times New Roman" w:cs="Times New Roman" w:hint="eastAsia"/>
          <w:bCs/>
          <w:kern w:val="44"/>
          <w:szCs w:val="21"/>
        </w:rPr>
        <w:t>)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、配置文件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(.txt)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所在位置、结果输出位置。</w:t>
      </w:r>
    </w:p>
    <w:p w14:paraId="685A1A14" w14:textId="0C4A694F" w:rsidR="006529C3" w:rsidRDefault="006529C3" w:rsidP="006529C3">
      <w:pPr>
        <w:rPr>
          <w:rFonts w:ascii="Times New Roman" w:eastAsia="宋体" w:hAnsi="Times New Roman" w:cs="Times New Roman"/>
          <w:bCs/>
          <w:kern w:val="44"/>
          <w:szCs w:val="21"/>
        </w:rPr>
      </w:pPr>
      <w:r w:rsidRPr="006529C3">
        <w:rPr>
          <w:rFonts w:ascii="Times New Roman" w:eastAsia="宋体" w:hAnsi="Times New Roman" w:cs="Times New Roman" w:hint="eastAsia"/>
          <w:bCs/>
          <w:kern w:val="44"/>
          <w:szCs w:val="21"/>
        </w:rPr>
        <w:t>注意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:</w:t>
      </w:r>
      <w:r w:rsidRPr="00F86829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配置文件必须提前以受体名字命名以对应每个受体</w:t>
      </w:r>
      <w:r w:rsidRPr="006529C3">
        <w:rPr>
          <w:rFonts w:ascii="Times New Roman" w:eastAsia="宋体" w:hAnsi="Times New Roman" w:cs="Times New Roman" w:hint="eastAsia"/>
          <w:bCs/>
          <w:kern w:val="44"/>
          <w:szCs w:val="21"/>
        </w:rPr>
        <w:t>，因为受体不同，结合位点肯定不同。如受体为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1r4l.pdbqt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，其对应的配置文件应为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1r4l.txt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。配置文件内不要再写任何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ligand=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或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receptor=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有关的内容！只需要填写对接盒子中心位置和大小即可。配置文件可在步骤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2</w:t>
      </w:r>
      <w:r w:rsidR="00422AC4">
        <w:rPr>
          <w:rFonts w:ascii="Times New Roman" w:eastAsia="宋体" w:hAnsi="Times New Roman" w:cs="Times New Roman" w:hint="eastAsia"/>
          <w:bCs/>
          <w:kern w:val="44"/>
          <w:szCs w:val="21"/>
        </w:rPr>
        <w:t>自动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生成。</w:t>
      </w:r>
    </w:p>
    <w:p w14:paraId="63A76D92" w14:textId="0F524DC9" w:rsidR="00544E30" w:rsidRPr="006529C3" w:rsidRDefault="00544E30" w:rsidP="006529C3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软件会在后续结果分析中使用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"</w:t>
      </w:r>
      <w:r>
        <w:rPr>
          <w:rFonts w:ascii="Times New Roman" w:eastAsia="宋体" w:hAnsi="Times New Roman" w:cs="Times New Roman"/>
          <w:bCs/>
          <w:kern w:val="44"/>
          <w:szCs w:val="21"/>
        </w:rPr>
        <w:t>-"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区分</w:t>
      </w:r>
      <w:r w:rsidR="00422AC4">
        <w:rPr>
          <w:rFonts w:ascii="Times New Roman" w:eastAsia="宋体" w:hAnsi="Times New Roman" w:cs="Times New Roman" w:hint="eastAsia"/>
          <w:bCs/>
          <w:kern w:val="44"/>
          <w:szCs w:val="21"/>
        </w:rPr>
        <w:t>文件对应的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配体和受体，因此</w:t>
      </w:r>
      <w:r w:rsidRPr="00544E30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若配体或受体名称中含有</w:t>
      </w:r>
      <w:r w:rsidRPr="00544E30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"</w:t>
      </w:r>
      <w:r w:rsidRPr="00544E30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-"</w:t>
      </w:r>
      <w:r w:rsidRPr="00544E30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，将被自动转换为</w:t>
      </w:r>
      <w:r w:rsidRPr="00544E30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"</w:t>
      </w:r>
      <w:r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_</w:t>
      </w:r>
      <w:r w:rsidRPr="00544E30">
        <w:rPr>
          <w:rFonts w:ascii="Times New Roman" w:eastAsia="宋体" w:hAnsi="Times New Roman" w:cs="Times New Roman"/>
          <w:bCs/>
          <w:kern w:val="44"/>
          <w:szCs w:val="21"/>
          <w:highlight w:val="yellow"/>
        </w:rPr>
        <w:t>"</w:t>
      </w:r>
      <w:r w:rsidRPr="00544E30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，若受体名称因此改变，请重新</w:t>
      </w:r>
      <w:r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检查配置文件名称！</w:t>
      </w:r>
    </w:p>
    <w:p w14:paraId="292360FE" w14:textId="7785D53A" w:rsidR="006529C3" w:rsidRPr="006529C3" w:rsidRDefault="006529C3" w:rsidP="006529C3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(2)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虚拟筛选模式请在受体文件夹中只放入一个受体文件；反向</w:t>
      </w:r>
      <w:proofErr w:type="gramStart"/>
      <w:r w:rsidR="00422AC4">
        <w:rPr>
          <w:rFonts w:ascii="Times New Roman" w:eastAsia="宋体" w:hAnsi="Times New Roman" w:cs="Times New Roman" w:hint="eastAsia"/>
          <w:bCs/>
          <w:kern w:val="44"/>
          <w:szCs w:val="21"/>
        </w:rPr>
        <w:t>钓靶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模式请</w:t>
      </w:r>
      <w:proofErr w:type="gramEnd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在配体文件夹中只放入一个配体文件；多配体多受体</w:t>
      </w:r>
      <w:r w:rsidR="00422AC4">
        <w:rPr>
          <w:rFonts w:ascii="Times New Roman" w:eastAsia="宋体" w:hAnsi="Times New Roman" w:cs="Times New Roman" w:hint="eastAsia"/>
          <w:bCs/>
          <w:kern w:val="44"/>
          <w:szCs w:val="21"/>
        </w:rPr>
        <w:t>交叉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对接正常操作即可。</w:t>
      </w:r>
    </w:p>
    <w:p w14:paraId="4D4CB9C7" w14:textId="058A6C4C" w:rsidR="006529C3" w:rsidRPr="006529C3" w:rsidRDefault="006529C3" w:rsidP="006529C3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(3)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本程序可以自动进行第五步结果分析</w:t>
      </w:r>
      <w:r w:rsidR="00422AC4">
        <w:rPr>
          <w:rFonts w:ascii="Times New Roman" w:eastAsia="宋体" w:hAnsi="Times New Roman" w:cs="Times New Roman" w:hint="eastAsia"/>
          <w:bCs/>
          <w:kern w:val="44"/>
          <w:szCs w:val="21"/>
        </w:rPr>
        <w:t>中的结合亲和力汇总和分割对接结果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，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按需</w:t>
      </w:r>
      <w:proofErr w:type="gramStart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勾选即</w:t>
      </w:r>
      <w:proofErr w:type="gramEnd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可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，若未正常完成分析，可在第五步重新分析。</w:t>
      </w:r>
    </w:p>
    <w:p w14:paraId="137FE867" w14:textId="77777777" w:rsidR="006529C3" w:rsidRPr="006529C3" w:rsidRDefault="006529C3" w:rsidP="006529C3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(4)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若进行大批量对接操作，本程序可以随时终止，想继续时只需保证之前的四个路径完全一致，并勾选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“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继续未完成的对接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”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即可。</w:t>
      </w:r>
      <w:r w:rsidR="004329DF">
        <w:rPr>
          <w:rFonts w:ascii="Times New Roman" w:eastAsia="宋体" w:hAnsi="Times New Roman" w:cs="Times New Roman" w:hint="eastAsia"/>
          <w:bCs/>
          <w:kern w:val="44"/>
          <w:szCs w:val="21"/>
        </w:rPr>
        <w:t>注意，终止程序请点击黑色命令行界面的×号关闭，而不是强制结束当前未响应的</w:t>
      </w:r>
      <w:r w:rsidR="004329DF">
        <w:rPr>
          <w:rFonts w:ascii="Times New Roman" w:eastAsia="宋体" w:hAnsi="Times New Roman" w:cs="Times New Roman" w:hint="eastAsia"/>
          <w:bCs/>
          <w:kern w:val="44"/>
          <w:szCs w:val="21"/>
        </w:rPr>
        <w:t>U</w:t>
      </w:r>
      <w:r w:rsidR="004329DF">
        <w:rPr>
          <w:rFonts w:ascii="Times New Roman" w:eastAsia="宋体" w:hAnsi="Times New Roman" w:cs="Times New Roman"/>
          <w:bCs/>
          <w:kern w:val="44"/>
          <w:szCs w:val="21"/>
        </w:rPr>
        <w:t>I</w:t>
      </w:r>
      <w:r w:rsidR="004329DF">
        <w:rPr>
          <w:rFonts w:ascii="Times New Roman" w:eastAsia="宋体" w:hAnsi="Times New Roman" w:cs="Times New Roman" w:hint="eastAsia"/>
          <w:bCs/>
          <w:kern w:val="44"/>
          <w:szCs w:val="21"/>
        </w:rPr>
        <w:t>界面。</w:t>
      </w:r>
    </w:p>
    <w:p w14:paraId="3E1A6252" w14:textId="39621C62" w:rsidR="00631286" w:rsidRDefault="006529C3" w:rsidP="006529C3">
      <w:pPr>
        <w:rPr>
          <w:rFonts w:ascii="Times New Roman" w:eastAsia="宋体" w:hAnsi="Times New Roman" w:cs="Times New Roman" w:hint="eastAsia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(5)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本程序可以更改对接算法</w:t>
      </w:r>
      <w:r w:rsidR="00613246">
        <w:rPr>
          <w:rFonts w:ascii="Times New Roman" w:eastAsia="宋体" w:hAnsi="Times New Roman" w:cs="Times New Roman" w:hint="eastAsia"/>
          <w:bCs/>
          <w:kern w:val="44"/>
          <w:szCs w:val="21"/>
        </w:rPr>
        <w:t>或打分函数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，</w:t>
      </w:r>
      <w:r w:rsidR="00613246">
        <w:rPr>
          <w:rFonts w:ascii="Times New Roman" w:eastAsia="宋体" w:hAnsi="Times New Roman" w:cs="Times New Roman" w:hint="eastAsia"/>
          <w:bCs/>
          <w:kern w:val="44"/>
          <w:szCs w:val="21"/>
        </w:rPr>
        <w:t>Vina</w:t>
      </w:r>
      <w:r w:rsidR="00613246">
        <w:rPr>
          <w:rFonts w:ascii="Times New Roman" w:eastAsia="宋体" w:hAnsi="Times New Roman" w:cs="Times New Roman"/>
          <w:bCs/>
          <w:kern w:val="44"/>
          <w:szCs w:val="21"/>
        </w:rPr>
        <w:t>1.2.3</w:t>
      </w:r>
      <w:r w:rsidR="00613246">
        <w:rPr>
          <w:rFonts w:ascii="Times New Roman" w:eastAsia="宋体" w:hAnsi="Times New Roman" w:cs="Times New Roman" w:hint="eastAsia"/>
          <w:bCs/>
          <w:kern w:val="44"/>
          <w:szCs w:val="21"/>
        </w:rPr>
        <w:t>是</w:t>
      </w:r>
      <w:r w:rsidR="00613246">
        <w:rPr>
          <w:rFonts w:ascii="Times New Roman" w:eastAsia="宋体" w:hAnsi="Times New Roman" w:cs="Times New Roman" w:hint="eastAsia"/>
          <w:bCs/>
          <w:kern w:val="44"/>
          <w:szCs w:val="21"/>
        </w:rPr>
        <w:t>Vina</w:t>
      </w:r>
      <w:r w:rsidR="00613246">
        <w:rPr>
          <w:rFonts w:ascii="Times New Roman" w:eastAsia="宋体" w:hAnsi="Times New Roman" w:cs="Times New Roman" w:hint="eastAsia"/>
          <w:bCs/>
          <w:kern w:val="44"/>
          <w:szCs w:val="21"/>
        </w:rPr>
        <w:t>的最新版本，</w:t>
      </w:r>
      <w:proofErr w:type="spellStart"/>
      <w:r w:rsidR="00613246">
        <w:rPr>
          <w:rFonts w:ascii="Times New Roman" w:eastAsia="宋体" w:hAnsi="Times New Roman" w:cs="Times New Roman" w:hint="eastAsia"/>
          <w:bCs/>
          <w:kern w:val="44"/>
          <w:szCs w:val="21"/>
        </w:rPr>
        <w:t>Vina</w:t>
      </w:r>
      <w:r w:rsidR="00613246">
        <w:rPr>
          <w:rFonts w:ascii="Times New Roman" w:eastAsia="宋体" w:hAnsi="Times New Roman" w:cs="Times New Roman"/>
          <w:bCs/>
          <w:kern w:val="44"/>
          <w:szCs w:val="21"/>
        </w:rPr>
        <w:t>rdo</w:t>
      </w:r>
      <w:proofErr w:type="spellEnd"/>
      <w:r w:rsidR="00613246">
        <w:rPr>
          <w:rFonts w:ascii="Times New Roman" w:eastAsia="宋体" w:hAnsi="Times New Roman" w:cs="Times New Roman" w:hint="eastAsia"/>
          <w:bCs/>
          <w:kern w:val="44"/>
          <w:szCs w:val="21"/>
        </w:rPr>
        <w:t>是基于</w:t>
      </w:r>
      <w:r w:rsidR="00613246">
        <w:rPr>
          <w:rFonts w:ascii="Times New Roman" w:eastAsia="宋体" w:hAnsi="Times New Roman" w:cs="Times New Roman" w:hint="eastAsia"/>
          <w:bCs/>
          <w:kern w:val="44"/>
          <w:szCs w:val="21"/>
        </w:rPr>
        <w:t>Vina</w:t>
      </w:r>
      <w:r w:rsidR="00613246">
        <w:rPr>
          <w:rFonts w:ascii="Times New Roman" w:eastAsia="宋体" w:hAnsi="Times New Roman" w:cs="Times New Roman" w:hint="eastAsia"/>
          <w:bCs/>
          <w:kern w:val="44"/>
          <w:szCs w:val="21"/>
        </w:rPr>
        <w:t>改进的评分函数，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QuickVina2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在对接速度上有一定提升，</w:t>
      </w:r>
      <w:proofErr w:type="spellStart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QuickVina</w:t>
      </w:r>
      <w:proofErr w:type="spellEnd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-W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对于</w:t>
      </w:r>
      <w:proofErr w:type="gramStart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盲</w:t>
      </w:r>
      <w:proofErr w:type="gramEnd"/>
      <w:r w:rsidRPr="006529C3">
        <w:rPr>
          <w:rFonts w:ascii="Times New Roman" w:eastAsia="宋体" w:hAnsi="Times New Roman" w:cs="Times New Roman"/>
          <w:bCs/>
          <w:kern w:val="44"/>
          <w:szCs w:val="21"/>
        </w:rPr>
        <w:t>对接时有更好的空间搜索能力，</w:t>
      </w:r>
      <w:r w:rsidR="00357013">
        <w:rPr>
          <w:rFonts w:ascii="Times New Roman" w:eastAsia="宋体" w:hAnsi="Times New Roman" w:cs="Times New Roman" w:hint="eastAsia"/>
          <w:bCs/>
          <w:kern w:val="44"/>
          <w:szCs w:val="21"/>
        </w:rPr>
        <w:t>V</w:t>
      </w:r>
      <w:r w:rsidR="00357013">
        <w:rPr>
          <w:rFonts w:ascii="Times New Roman" w:eastAsia="宋体" w:hAnsi="Times New Roman" w:cs="Times New Roman"/>
          <w:bCs/>
          <w:kern w:val="44"/>
          <w:szCs w:val="21"/>
        </w:rPr>
        <w:t>ina-GPU</w:t>
      </w:r>
      <w:r w:rsidR="00357013">
        <w:rPr>
          <w:rFonts w:ascii="Times New Roman" w:eastAsia="宋体" w:hAnsi="Times New Roman" w:cs="Times New Roman" w:hint="eastAsia"/>
          <w:bCs/>
          <w:kern w:val="44"/>
          <w:szCs w:val="21"/>
        </w:rPr>
        <w:t>是使用</w:t>
      </w:r>
      <w:r w:rsidR="00357013">
        <w:rPr>
          <w:rFonts w:ascii="Times New Roman" w:eastAsia="宋体" w:hAnsi="Times New Roman" w:cs="Times New Roman" w:hint="eastAsia"/>
          <w:bCs/>
          <w:kern w:val="44"/>
          <w:szCs w:val="21"/>
        </w:rPr>
        <w:t>G</w:t>
      </w:r>
      <w:r w:rsidR="00357013">
        <w:rPr>
          <w:rFonts w:ascii="Times New Roman" w:eastAsia="宋体" w:hAnsi="Times New Roman" w:cs="Times New Roman"/>
          <w:bCs/>
          <w:kern w:val="44"/>
          <w:szCs w:val="21"/>
        </w:rPr>
        <w:t>PU</w:t>
      </w:r>
      <w:r w:rsidR="00357013">
        <w:rPr>
          <w:rFonts w:ascii="Times New Roman" w:eastAsia="宋体" w:hAnsi="Times New Roman" w:cs="Times New Roman" w:hint="eastAsia"/>
          <w:bCs/>
          <w:kern w:val="44"/>
          <w:szCs w:val="21"/>
        </w:rPr>
        <w:t>进行分子对接</w:t>
      </w:r>
      <w:r w:rsidR="00A25CEC">
        <w:rPr>
          <w:rFonts w:ascii="Times New Roman" w:eastAsia="宋体" w:hAnsi="Times New Roman" w:cs="Times New Roman" w:hint="eastAsia"/>
          <w:bCs/>
          <w:kern w:val="44"/>
          <w:szCs w:val="21"/>
        </w:rPr>
        <w:t>，可以极大加快对接速度</w:t>
      </w:r>
      <w:r w:rsidR="00357013"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 w:rsidR="00357013" w:rsidRPr="00B32B4B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使用时务必参见</w:t>
      </w:r>
      <w:r w:rsidR="00C20EDE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菜单栏</w:t>
      </w:r>
      <w:r w:rsidR="006A2A6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-</w:t>
      </w:r>
      <w:r w:rsidR="006A2A6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关于</w:t>
      </w:r>
      <w:r w:rsidR="006A2A63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-</w:t>
      </w:r>
      <w:r w:rsidR="00357013" w:rsidRPr="00B32B4B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疑难解答正确使用</w:t>
      </w:r>
      <w:r w:rsidR="00357013">
        <w:rPr>
          <w:rFonts w:ascii="Times New Roman" w:eastAsia="宋体" w:hAnsi="Times New Roman" w:cs="Times New Roman"/>
          <w:bCs/>
          <w:kern w:val="44"/>
          <w:szCs w:val="21"/>
        </w:rPr>
        <w:t>)</w:t>
      </w:r>
      <w:r w:rsidR="00357013">
        <w:rPr>
          <w:rFonts w:ascii="Times New Roman" w:eastAsia="宋体" w:hAnsi="Times New Roman" w:cs="Times New Roman" w:hint="eastAsia"/>
          <w:bCs/>
          <w:kern w:val="44"/>
          <w:szCs w:val="21"/>
        </w:rPr>
        <w:t>，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可按需选择，不选即默认使用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Vina1.1.2</w:t>
      </w:r>
      <w:r w:rsidRPr="006529C3">
        <w:rPr>
          <w:rFonts w:ascii="Times New Roman" w:eastAsia="宋体" w:hAnsi="Times New Roman" w:cs="Times New Roman"/>
          <w:bCs/>
          <w:kern w:val="44"/>
          <w:szCs w:val="21"/>
        </w:rPr>
        <w:t>进行对接。</w:t>
      </w:r>
    </w:p>
    <w:p w14:paraId="3C11F491" w14:textId="103416FA" w:rsidR="00336D19" w:rsidRPr="00422AC4" w:rsidRDefault="00631286" w:rsidP="006529C3">
      <w:pPr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当选择“</w:t>
      </w:r>
      <w:r w:rsidRPr="00631286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蛋白质</w:t>
      </w:r>
      <w:r w:rsidRPr="00631286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-</w:t>
      </w:r>
      <w:r w:rsidRPr="00631286">
        <w:rPr>
          <w:rFonts w:ascii="Times New Roman" w:eastAsia="宋体" w:hAnsi="Times New Roman" w:cs="Times New Roman" w:hint="eastAsia"/>
          <w:bCs/>
          <w:kern w:val="44"/>
          <w:szCs w:val="21"/>
          <w:highlight w:val="yellow"/>
        </w:rPr>
        <w:t>小分子半柔性对接通用方案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”时，将为每个配体选择最适宜大小的对接盒子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(</w:t>
      </w:r>
      <w:r>
        <w:rPr>
          <w:rFonts w:ascii="Times New Roman" w:eastAsia="宋体" w:hAnsi="Times New Roman" w:cs="Times New Roman"/>
          <w:bCs/>
          <w:kern w:val="44"/>
          <w:szCs w:val="21"/>
        </w:rPr>
        <w:t>4.5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×配体的回转半径</w:t>
      </w:r>
      <w:r>
        <w:rPr>
          <w:rFonts w:ascii="Times New Roman" w:eastAsia="宋体" w:hAnsi="Times New Roman" w:cs="Times New Roman"/>
          <w:bCs/>
          <w:kern w:val="44"/>
          <w:szCs w:val="21"/>
        </w:rPr>
        <w:t>)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，并将算法采样精度固定为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>
        <w:rPr>
          <w:rFonts w:ascii="Times New Roman" w:eastAsia="宋体" w:hAnsi="Times New Roman" w:cs="Times New Roman"/>
          <w:bCs/>
          <w:kern w:val="44"/>
          <w:szCs w:val="21"/>
        </w:rPr>
        <w:t>6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。根据本文献的研究结论，该方案在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C</w:t>
      </w:r>
      <w:r>
        <w:rPr>
          <w:rFonts w:ascii="Times New Roman" w:eastAsia="宋体" w:hAnsi="Times New Roman" w:cs="Times New Roman"/>
          <w:bCs/>
          <w:kern w:val="44"/>
          <w:szCs w:val="21"/>
        </w:rPr>
        <w:t>ASF-2016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数据集上具有较高的重对接准确性，可使得对接结果的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R</w:t>
      </w:r>
      <w:r>
        <w:rPr>
          <w:rFonts w:ascii="Times New Roman" w:eastAsia="宋体" w:hAnsi="Times New Roman" w:cs="Times New Roman"/>
          <w:bCs/>
          <w:kern w:val="44"/>
          <w:szCs w:val="21"/>
        </w:rPr>
        <w:t>MSD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和结合亲和力打分误差均达到最低，且计算成本较低速度较快。当使用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Vina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对接时，建议选择本选项。</w:t>
      </w:r>
      <w:r w:rsidR="00267661">
        <w:rPr>
          <w:rFonts w:ascii="Times New Roman" w:eastAsia="宋体" w:hAnsi="Times New Roman" w:cs="Times New Roman"/>
          <w:szCs w:val="21"/>
        </w:rPr>
        <w:fldChar w:fldCharType="begin"/>
      </w:r>
      <w:r w:rsidR="00267661">
        <w:rPr>
          <w:rFonts w:ascii="Times New Roman" w:eastAsia="宋体" w:hAnsi="Times New Roman" w:cs="Times New Roman"/>
          <w:szCs w:val="21"/>
        </w:rPr>
        <w:instrText xml:space="preserve"> ADDIN EN.REFLIST </w:instrText>
      </w:r>
      <w:r w:rsidR="00267661">
        <w:rPr>
          <w:rFonts w:ascii="Times New Roman" w:eastAsia="宋体" w:hAnsi="Times New Roman" w:cs="Times New Roman"/>
          <w:szCs w:val="21"/>
        </w:rPr>
        <w:fldChar w:fldCharType="end"/>
      </w:r>
    </w:p>
    <w:sectPr w:rsidR="00336D19" w:rsidRPr="0042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aewesstqzawt8epxpexrf9jstefwsf92s9r&quot;&gt;我的EndNote库&lt;record-ids&gt;&lt;item&gt;162&lt;/item&gt;&lt;/record-ids&gt;&lt;/item&gt;&lt;/Libraries&gt;"/>
  </w:docVars>
  <w:rsids>
    <w:rsidRoot w:val="00E57CE4"/>
    <w:rsid w:val="00030C4B"/>
    <w:rsid w:val="001B2B02"/>
    <w:rsid w:val="002117E3"/>
    <w:rsid w:val="00267661"/>
    <w:rsid w:val="00271428"/>
    <w:rsid w:val="00336D19"/>
    <w:rsid w:val="00337CF3"/>
    <w:rsid w:val="00357013"/>
    <w:rsid w:val="00422AC4"/>
    <w:rsid w:val="004329DF"/>
    <w:rsid w:val="00544E30"/>
    <w:rsid w:val="005C65D4"/>
    <w:rsid w:val="00613246"/>
    <w:rsid w:val="00631286"/>
    <w:rsid w:val="006529C3"/>
    <w:rsid w:val="006A2A63"/>
    <w:rsid w:val="00764831"/>
    <w:rsid w:val="00A25CEC"/>
    <w:rsid w:val="00A87570"/>
    <w:rsid w:val="00B32B4B"/>
    <w:rsid w:val="00B36CAB"/>
    <w:rsid w:val="00C20EDE"/>
    <w:rsid w:val="00C501E9"/>
    <w:rsid w:val="00E57CE4"/>
    <w:rsid w:val="00F161B1"/>
    <w:rsid w:val="00F8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6189"/>
  <w15:chartTrackingRefBased/>
  <w15:docId w15:val="{B3A3B3CC-D03E-40CE-B38E-D8989AE2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01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267661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267661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267661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67661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一一</dc:creator>
  <cp:keywords/>
  <dc:description/>
  <cp:lastModifiedBy>车 一一</cp:lastModifiedBy>
  <cp:revision>34</cp:revision>
  <dcterms:created xsi:type="dcterms:W3CDTF">2021-12-20T00:23:00Z</dcterms:created>
  <dcterms:modified xsi:type="dcterms:W3CDTF">2023-04-30T23:41:00Z</dcterms:modified>
</cp:coreProperties>
</file>