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5E7D" w14:textId="62800D1D" w:rsidR="006C3FF0" w:rsidRDefault="00186C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459FA" w:rsidRPr="00D459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529102D9" w14:textId="096A8AB1" w:rsidR="00807B12" w:rsidRDefault="00807B12" w:rsidP="00807B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7B1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807B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 Analyze affinity</w:t>
      </w:r>
    </w:p>
    <w:p w14:paraId="57576AEA" w14:textId="431BDF40" w:rsidR="00D40302" w:rsidRPr="000359DD" w:rsidRDefault="000F479C" w:rsidP="000F479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Module 5.1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can be run automatically by checking the “Result Analysis” option in module 4.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0359DD" w:rsidRPr="000359DD">
        <w:rPr>
          <w:rFonts w:ascii="Times New Roman" w:hAnsi="Times New Roman" w:cs="Times New Roman" w:hint="eastAsia"/>
          <w:szCs w:val="21"/>
        </w:rPr>
        <w:t>T</w:t>
      </w:r>
      <w:r w:rsidR="000359DD" w:rsidRPr="000359DD">
        <w:rPr>
          <w:rFonts w:ascii="Times New Roman" w:hAnsi="Times New Roman" w:cs="Times New Roman"/>
          <w:szCs w:val="21"/>
        </w:rPr>
        <w:t xml:space="preserve">he affinity scores from all the docking results will be summarized in an </w:t>
      </w:r>
      <w:r w:rsidR="000359DD" w:rsidRPr="000359DD">
        <w:rPr>
          <w:rFonts w:ascii="Times New Roman" w:hAnsi="Times New Roman" w:cs="Times New Roman"/>
          <w:i/>
          <w:szCs w:val="21"/>
        </w:rPr>
        <w:t>Excel</w:t>
      </w:r>
      <w:r w:rsidR="000359DD" w:rsidRPr="000359DD">
        <w:rPr>
          <w:rFonts w:ascii="Times New Roman" w:hAnsi="Times New Roman" w:cs="Times New Roman"/>
          <w:szCs w:val="21"/>
        </w:rPr>
        <w:t xml:space="preserve"> file</w:t>
      </w:r>
      <w:r w:rsidR="000359DD">
        <w:rPr>
          <w:rFonts w:ascii="Times New Roman" w:hAnsi="Times New Roman" w:cs="Times New Roman"/>
          <w:szCs w:val="21"/>
        </w:rPr>
        <w:t xml:space="preserve"> (.xlsx)</w:t>
      </w:r>
      <w:r w:rsidR="000359DD" w:rsidRPr="000359DD">
        <w:rPr>
          <w:rFonts w:ascii="Times New Roman" w:hAnsi="Times New Roman" w:cs="Times New Roman"/>
          <w:szCs w:val="21"/>
        </w:rPr>
        <w:t xml:space="preserve">. The affinity Heatmap </w:t>
      </w:r>
      <w:r w:rsidR="000359DD">
        <w:rPr>
          <w:rFonts w:ascii="Times New Roman" w:hAnsi="Times New Roman" w:cs="Times New Roman"/>
          <w:szCs w:val="21"/>
        </w:rPr>
        <w:t xml:space="preserve">(.jpg) </w:t>
      </w:r>
      <w:r w:rsidR="000359DD" w:rsidRPr="000359DD">
        <w:rPr>
          <w:rFonts w:ascii="Times New Roman" w:hAnsi="Times New Roman" w:cs="Times New Roman"/>
          <w:szCs w:val="21"/>
        </w:rPr>
        <w:t>will be also plotted</w:t>
      </w:r>
      <w:r w:rsidR="002F1004">
        <w:rPr>
          <w:rFonts w:ascii="Times New Roman" w:hAnsi="Times New Roman" w:cs="Times New Roman"/>
          <w:szCs w:val="21"/>
        </w:rPr>
        <w:t>.</w:t>
      </w:r>
    </w:p>
    <w:p w14:paraId="2DAF155A" w14:textId="579EA44B" w:rsidR="006A6233" w:rsidRDefault="00AF346E" w:rsidP="00AF346E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lick</w:t>
      </w:r>
      <w:r>
        <w:rPr>
          <w:rFonts w:ascii="Times New Roman" w:hAnsi="Times New Roman" w:cs="Times New Roman"/>
          <w:szCs w:val="21"/>
        </w:rPr>
        <w:t xml:space="preserve"> “Choose log files directory” to </w:t>
      </w:r>
      <w:r w:rsidR="00A205CC">
        <w:rPr>
          <w:rFonts w:ascii="Times New Roman" w:hAnsi="Times New Roman" w:cs="Times New Roman"/>
          <w:szCs w:val="21"/>
        </w:rPr>
        <w:t>select</w:t>
      </w:r>
      <w:r w:rsidR="002F1004">
        <w:rPr>
          <w:rFonts w:ascii="Times New Roman" w:hAnsi="Times New Roman" w:cs="Times New Roman"/>
          <w:szCs w:val="21"/>
        </w:rPr>
        <w:t xml:space="preserve"> the directory where the docking results were saved in module 4.</w:t>
      </w:r>
    </w:p>
    <w:p w14:paraId="06A4AABF" w14:textId="6C598E87" w:rsidR="008F66C1" w:rsidRDefault="002F1004" w:rsidP="008F66C1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Click “Choose saving directory” to set where the affinity Table and affinity Heatmap will be saved.</w:t>
      </w:r>
    </w:p>
    <w:p w14:paraId="2E3FD852" w14:textId="0401EF65" w:rsidR="007039EC" w:rsidRDefault="002F1004" w:rsidP="008F66C1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Heatmap style can be changed </w:t>
      </w:r>
      <w:r w:rsidR="00A205CC">
        <w:rPr>
          <w:rFonts w:ascii="Times New Roman" w:hAnsi="Times New Roman" w:cs="Times New Roman"/>
          <w:szCs w:val="21"/>
        </w:rPr>
        <w:t>to suit your preferences.</w:t>
      </w:r>
    </w:p>
    <w:p w14:paraId="7826C1CC" w14:textId="79C24C30" w:rsidR="002F1004" w:rsidRDefault="002F1004" w:rsidP="008F66C1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Click “</w:t>
      </w:r>
      <w:r>
        <w:rPr>
          <w:rFonts w:ascii="Times New Roman" w:hAnsi="Times New Roman" w:cs="Times New Roman"/>
          <w:szCs w:val="21"/>
        </w:rPr>
        <w:t>Begin to analyze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 xml:space="preserve"> and wait……You can click “</w:t>
      </w:r>
      <w:r w:rsidR="00A205CC">
        <w:rPr>
          <w:rFonts w:ascii="Times New Roman" w:hAnsi="Times New Roman" w:cs="Times New Roman"/>
          <w:szCs w:val="21"/>
        </w:rPr>
        <w:t>V</w:t>
      </w:r>
      <w:r>
        <w:rPr>
          <w:rFonts w:ascii="Times New Roman" w:hAnsi="Times New Roman" w:cs="Times New Roman"/>
          <w:szCs w:val="21"/>
        </w:rPr>
        <w:t>iew affinity Table” and “</w:t>
      </w:r>
      <w:r w:rsidR="00A205CC">
        <w:rPr>
          <w:rFonts w:ascii="Times New Roman" w:hAnsi="Times New Roman" w:cs="Times New Roman"/>
          <w:szCs w:val="21"/>
        </w:rPr>
        <w:t>V</w:t>
      </w:r>
      <w:r>
        <w:rPr>
          <w:rFonts w:ascii="Times New Roman" w:hAnsi="Times New Roman" w:cs="Times New Roman"/>
          <w:szCs w:val="21"/>
        </w:rPr>
        <w:t>iew</w:t>
      </w:r>
      <w:r w:rsidR="00A205CC">
        <w:rPr>
          <w:rFonts w:ascii="Times New Roman" w:hAnsi="Times New Roman" w:cs="Times New Roman"/>
          <w:szCs w:val="21"/>
        </w:rPr>
        <w:t xml:space="preserve"> affinity Heatmap</w:t>
      </w:r>
      <w:r>
        <w:rPr>
          <w:rFonts w:ascii="Times New Roman" w:hAnsi="Times New Roman" w:cs="Times New Roman"/>
          <w:szCs w:val="21"/>
        </w:rPr>
        <w:t>”</w:t>
      </w:r>
      <w:r w:rsidR="00A205CC">
        <w:rPr>
          <w:rFonts w:ascii="Times New Roman" w:hAnsi="Times New Roman" w:cs="Times New Roman"/>
          <w:szCs w:val="21"/>
        </w:rPr>
        <w:t xml:space="preserve"> to view the results when the analysis is complete.</w:t>
      </w:r>
    </w:p>
    <w:p w14:paraId="2DF1D06A" w14:textId="5A5E798E" w:rsidR="00C65B71" w:rsidRDefault="00FA6471" w:rsidP="00CC6E92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ote that the RMSD </w:t>
      </w:r>
      <w:r w:rsidR="00CC6E92">
        <w:rPr>
          <w:rFonts w:ascii="Times New Roman" w:hAnsi="Times New Roman" w:cs="Times New Roman"/>
          <w:szCs w:val="21"/>
        </w:rPr>
        <w:t>value</w:t>
      </w:r>
      <w:r w:rsidR="00C94249">
        <w:rPr>
          <w:rFonts w:ascii="Times New Roman" w:hAnsi="Times New Roman" w:cs="Times New Roman"/>
          <w:szCs w:val="21"/>
        </w:rPr>
        <w:t>s</w:t>
      </w:r>
      <w:r w:rsidR="00CC6E9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in </w:t>
      </w:r>
      <w:r w:rsidR="00CC6E92">
        <w:rPr>
          <w:rFonts w:ascii="Times New Roman" w:hAnsi="Times New Roman" w:cs="Times New Roman"/>
          <w:szCs w:val="21"/>
        </w:rPr>
        <w:t xml:space="preserve">the affinity Table are taken from the </w:t>
      </w:r>
      <w:r w:rsidR="00CC6E92" w:rsidRPr="00CC6E92">
        <w:rPr>
          <w:rFonts w:ascii="Times New Roman" w:hAnsi="Times New Roman" w:cs="Times New Roman"/>
          <w:i/>
          <w:szCs w:val="21"/>
        </w:rPr>
        <w:t>log</w:t>
      </w:r>
      <w:r w:rsidR="00CC6E92">
        <w:rPr>
          <w:rFonts w:ascii="Times New Roman" w:hAnsi="Times New Roman" w:cs="Times New Roman"/>
          <w:szCs w:val="21"/>
        </w:rPr>
        <w:t xml:space="preserve"> file </w:t>
      </w:r>
      <w:r w:rsidR="00C94249">
        <w:rPr>
          <w:rFonts w:ascii="Times New Roman" w:hAnsi="Times New Roman" w:cs="Times New Roman"/>
          <w:szCs w:val="21"/>
        </w:rPr>
        <w:t>of</w:t>
      </w:r>
      <w:r w:rsidR="00CC6E92">
        <w:rPr>
          <w:rFonts w:ascii="Times New Roman" w:hAnsi="Times New Roman" w:cs="Times New Roman"/>
          <w:szCs w:val="21"/>
        </w:rPr>
        <w:t xml:space="preserve"> each docking. The docking pose with the lowest affinity score is used as the reference in each docking</w:t>
      </w:r>
      <w:r w:rsidR="00C94249">
        <w:rPr>
          <w:rFonts w:ascii="Times New Roman" w:hAnsi="Times New Roman" w:cs="Times New Roman"/>
          <w:szCs w:val="21"/>
        </w:rPr>
        <w:t xml:space="preserve">, so the </w:t>
      </w:r>
      <w:r w:rsidR="00C94249" w:rsidRPr="0014082C">
        <w:rPr>
          <w:rFonts w:ascii="Times New Roman" w:hAnsi="Times New Roman" w:cs="Times New Roman"/>
          <w:b/>
          <w:szCs w:val="21"/>
        </w:rPr>
        <w:t>RMSD from different docking results cannot be compared, only the RMSD of di</w:t>
      </w:r>
      <w:r w:rsidR="008806C7" w:rsidRPr="0014082C">
        <w:rPr>
          <w:rFonts w:ascii="Times New Roman" w:hAnsi="Times New Roman" w:cs="Times New Roman"/>
          <w:b/>
          <w:szCs w:val="21"/>
        </w:rPr>
        <w:t>fferent poses from a single docking result can be compared</w:t>
      </w:r>
      <w:r w:rsidR="008806C7">
        <w:rPr>
          <w:rFonts w:ascii="Times New Roman" w:hAnsi="Times New Roman" w:cs="Times New Roman"/>
          <w:szCs w:val="21"/>
        </w:rPr>
        <w:t xml:space="preserve">. </w:t>
      </w:r>
    </w:p>
    <w:p w14:paraId="756A2722" w14:textId="6D98E1F3" w:rsidR="008806C7" w:rsidRDefault="008806C7" w:rsidP="00CC6E92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K</w:t>
      </w:r>
      <w:r>
        <w:rPr>
          <w:rFonts w:ascii="Times New Roman" w:hAnsi="Times New Roman" w:cs="Times New Roman"/>
          <w:szCs w:val="21"/>
        </w:rPr>
        <w:t>i (</w:t>
      </w:r>
      <w:proofErr w:type="spellStart"/>
      <w:r>
        <w:rPr>
          <w:rFonts w:ascii="Times New Roman" w:hAnsi="Times New Roman" w:cs="Times New Roman"/>
          <w:szCs w:val="21"/>
        </w:rPr>
        <w:t>Kd</w:t>
      </w:r>
      <w:proofErr w:type="spellEnd"/>
      <w:r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 w:hint="eastAsia"/>
          <w:szCs w:val="21"/>
        </w:rPr>
        <w:t>values</w:t>
      </w:r>
      <w:r>
        <w:rPr>
          <w:rFonts w:ascii="Times New Roman" w:hAnsi="Times New Roman" w:cs="Times New Roman"/>
          <w:szCs w:val="21"/>
        </w:rPr>
        <w:t xml:space="preserve"> in the affinity Table are calculated according to the following equation:</w:t>
      </w:r>
    </w:p>
    <w:p w14:paraId="20880C97" w14:textId="7AED789F" w:rsidR="008806C7" w:rsidRPr="00C56879" w:rsidRDefault="008806C7" w:rsidP="008806C7">
      <w:pPr>
        <w:rPr>
          <w:rFonts w:ascii="Times New Roman" w:eastAsia="宋体" w:hAnsi="Times New Roman" w:cs="Times New Roman"/>
          <w:bCs/>
          <w:kern w:val="44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44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kern w:val="4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kern w:val="4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kern w:val="44"/>
                      <w:szCs w:val="21"/>
                    </w:rPr>
                    <m:t>△</m:t>
                  </m:r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G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RT</m:t>
                  </m:r>
                </m:den>
              </m:f>
            </m:sup>
          </m:sSup>
        </m:oMath>
      </m:oMathPara>
    </w:p>
    <w:p w14:paraId="1D211F3D" w14:textId="6EA73980" w:rsidR="008806C7" w:rsidRDefault="00836E57" w:rsidP="00CC6E92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the equation, </w:t>
      </w:r>
      <w:r w:rsidRPr="00836E57"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is the natural constant</w:t>
      </w:r>
      <w:r w:rsidR="00FB42B1">
        <w:rPr>
          <w:rFonts w:ascii="Times New Roman" w:hAnsi="Times New Roman" w:cs="Times New Roman"/>
          <w:szCs w:val="21"/>
        </w:rPr>
        <w:t>. -</w:t>
      </w:r>
      <w:r w:rsidR="00FB42B1" w:rsidRPr="00FB42B1">
        <w:rPr>
          <w:rFonts w:ascii="Times New Roman" w:hAnsi="Times New Roman" w:cs="Times New Roman" w:hint="eastAsia"/>
          <w:i/>
          <w:szCs w:val="21"/>
        </w:rPr>
        <w:t>Δ</w:t>
      </w:r>
      <w:r w:rsidR="00FB42B1" w:rsidRPr="00FB42B1">
        <w:rPr>
          <w:rFonts w:ascii="Times New Roman" w:hAnsi="Times New Roman" w:cs="Times New Roman" w:hint="eastAsia"/>
          <w:i/>
          <w:szCs w:val="21"/>
        </w:rPr>
        <w:t>G</w:t>
      </w:r>
      <w:r w:rsidR="00FB42B1">
        <w:rPr>
          <w:rFonts w:ascii="Times New Roman" w:hAnsi="Times New Roman" w:cs="Times New Roman"/>
          <w:szCs w:val="21"/>
        </w:rPr>
        <w:t xml:space="preserve"> </w:t>
      </w:r>
      <w:r w:rsidR="003D0FA7">
        <w:rPr>
          <w:rFonts w:ascii="Times New Roman" w:hAnsi="Times New Roman" w:cs="Times New Roman"/>
          <w:szCs w:val="21"/>
        </w:rPr>
        <w:t>(</w:t>
      </w:r>
      <w:proofErr w:type="spellStart"/>
      <w:r w:rsidR="003D0FA7">
        <w:rPr>
          <w:rFonts w:ascii="Times New Roman" w:hAnsi="Times New Roman" w:cs="Times New Roman"/>
          <w:szCs w:val="21"/>
        </w:rPr>
        <w:t>cal</w:t>
      </w:r>
      <w:proofErr w:type="spellEnd"/>
      <w:r w:rsidR="003D0FA7">
        <w:rPr>
          <w:rFonts w:ascii="Times New Roman" w:hAnsi="Times New Roman" w:cs="Times New Roman"/>
          <w:szCs w:val="21"/>
        </w:rPr>
        <w:t xml:space="preserve">/mol) </w:t>
      </w:r>
      <w:r w:rsidR="00FB42B1">
        <w:rPr>
          <w:rFonts w:ascii="Times New Roman" w:hAnsi="Times New Roman" w:cs="Times New Roman"/>
          <w:szCs w:val="21"/>
        </w:rPr>
        <w:t>is the binding free energy, and here is the affinity score</w:t>
      </w:r>
      <w:r w:rsidR="003D0FA7">
        <w:rPr>
          <w:rFonts w:ascii="Times New Roman" w:hAnsi="Times New Roman" w:cs="Times New Roman"/>
          <w:szCs w:val="21"/>
        </w:rPr>
        <w:t xml:space="preserve"> from docking.</w:t>
      </w:r>
      <w:r w:rsidR="00C9694C">
        <w:rPr>
          <w:rFonts w:ascii="Times New Roman" w:hAnsi="Times New Roman" w:cs="Times New Roman"/>
          <w:szCs w:val="21"/>
        </w:rPr>
        <w:t xml:space="preserve"> </w:t>
      </w:r>
      <w:r w:rsidR="00C9694C" w:rsidRPr="00E84E82">
        <w:rPr>
          <w:rFonts w:ascii="Times New Roman" w:hAnsi="Times New Roman" w:cs="Times New Roman"/>
          <w:i/>
          <w:szCs w:val="21"/>
        </w:rPr>
        <w:t>R</w:t>
      </w:r>
      <w:r w:rsidR="00E84E82">
        <w:rPr>
          <w:rFonts w:ascii="Times New Roman" w:hAnsi="Times New Roman" w:cs="Times New Roman"/>
          <w:szCs w:val="21"/>
        </w:rPr>
        <w:t xml:space="preserve"> is the ideal gas constant (1.986 </w:t>
      </w:r>
      <w:proofErr w:type="spellStart"/>
      <w:r w:rsidR="00E84E82">
        <w:rPr>
          <w:rFonts w:ascii="Times New Roman" w:hAnsi="Times New Roman" w:cs="Times New Roman"/>
          <w:szCs w:val="21"/>
        </w:rPr>
        <w:t>cal</w:t>
      </w:r>
      <w:proofErr w:type="spellEnd"/>
      <w:r w:rsidR="00E84E82">
        <w:rPr>
          <w:rFonts w:ascii="Times New Roman" w:hAnsi="Times New Roman" w:cs="Times New Roman"/>
          <w:szCs w:val="21"/>
        </w:rPr>
        <w:t xml:space="preserve">/K). The temperature </w:t>
      </w:r>
      <w:r w:rsidR="00E84E82" w:rsidRPr="00E84E82">
        <w:rPr>
          <w:rFonts w:ascii="Times New Roman" w:hAnsi="Times New Roman" w:cs="Times New Roman"/>
          <w:i/>
          <w:szCs w:val="21"/>
        </w:rPr>
        <w:t>T</w:t>
      </w:r>
      <w:r w:rsidR="00E84E82">
        <w:rPr>
          <w:rFonts w:ascii="Times New Roman" w:hAnsi="Times New Roman" w:cs="Times New Roman"/>
          <w:szCs w:val="21"/>
        </w:rPr>
        <w:t xml:space="preserve"> is 298K.</w:t>
      </w:r>
    </w:p>
    <w:p w14:paraId="4D095922" w14:textId="733581C5" w:rsidR="0014082C" w:rsidRDefault="0014082C" w:rsidP="00CC6E92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14082C">
        <w:rPr>
          <w:rFonts w:ascii="Times New Roman" w:hAnsi="Times New Roman" w:cs="Times New Roman"/>
          <w:b/>
          <w:szCs w:val="21"/>
        </w:rPr>
        <w:t xml:space="preserve">Note that if there are too many receptors and ligands in a docking project, the affinity Heatmap may display inappropriately (the affinity Table </w:t>
      </w:r>
      <w:r w:rsidR="009E7414">
        <w:rPr>
          <w:rFonts w:ascii="Times New Roman" w:hAnsi="Times New Roman" w:cs="Times New Roman"/>
          <w:b/>
          <w:szCs w:val="21"/>
        </w:rPr>
        <w:t>is not</w:t>
      </w:r>
      <w:r w:rsidRPr="0014082C">
        <w:rPr>
          <w:rFonts w:ascii="Times New Roman" w:hAnsi="Times New Roman" w:cs="Times New Roman"/>
          <w:b/>
          <w:szCs w:val="21"/>
        </w:rPr>
        <w:t xml:space="preserve"> affected)</w:t>
      </w:r>
      <w:r>
        <w:rPr>
          <w:rFonts w:ascii="Times New Roman" w:hAnsi="Times New Roman" w:cs="Times New Roman"/>
          <w:szCs w:val="21"/>
        </w:rPr>
        <w:t>.</w:t>
      </w:r>
    </w:p>
    <w:p w14:paraId="66C05A73" w14:textId="63F0B2EC" w:rsidR="000F479C" w:rsidRPr="000F479C" w:rsidRDefault="000F479C" w:rsidP="000F479C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0F47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0F47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 Split docking poses</w:t>
      </w:r>
    </w:p>
    <w:p w14:paraId="1F5079A3" w14:textId="1E045B16" w:rsidR="000F479C" w:rsidRDefault="000F479C" w:rsidP="000F479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Module 5.2 can be run automatically by checking the “Result Analysis” option in module 4.</w:t>
      </w:r>
      <w:r w:rsidR="00661372">
        <w:rPr>
          <w:rFonts w:ascii="Times New Roman" w:hAnsi="Times New Roman" w:cs="Times New Roman"/>
          <w:szCs w:val="21"/>
        </w:rPr>
        <w:t xml:space="preserve"> This module can be used to split the output </w:t>
      </w:r>
      <w:proofErr w:type="gramStart"/>
      <w:r w:rsidR="00661372">
        <w:rPr>
          <w:rFonts w:ascii="Times New Roman" w:hAnsi="Times New Roman" w:cs="Times New Roman"/>
          <w:szCs w:val="21"/>
        </w:rPr>
        <w:t>(.</w:t>
      </w:r>
      <w:proofErr w:type="spellStart"/>
      <w:r w:rsidR="00661372">
        <w:rPr>
          <w:rFonts w:ascii="Times New Roman" w:hAnsi="Times New Roman" w:cs="Times New Roman"/>
          <w:szCs w:val="21"/>
        </w:rPr>
        <w:t>pdbqt</w:t>
      </w:r>
      <w:proofErr w:type="spellEnd"/>
      <w:proofErr w:type="gramEnd"/>
      <w:r w:rsidR="00661372">
        <w:rPr>
          <w:rFonts w:ascii="Times New Roman" w:hAnsi="Times New Roman" w:cs="Times New Roman"/>
          <w:szCs w:val="21"/>
        </w:rPr>
        <w:t>) of Vina into single pose files.</w:t>
      </w:r>
    </w:p>
    <w:p w14:paraId="282722A0" w14:textId="7D950AA5" w:rsidR="00661372" w:rsidRDefault="00661372" w:rsidP="0043579E">
      <w:pPr>
        <w:pStyle w:val="a7"/>
        <w:numPr>
          <w:ilvl w:val="0"/>
          <w:numId w:val="1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lick</w:t>
      </w:r>
      <w:r>
        <w:rPr>
          <w:rFonts w:ascii="Times New Roman" w:hAnsi="Times New Roman" w:cs="Times New Roman"/>
          <w:szCs w:val="21"/>
        </w:rPr>
        <w:t xml:space="preserve"> “Choose </w:t>
      </w:r>
      <w:r>
        <w:rPr>
          <w:rFonts w:ascii="Times New Roman" w:hAnsi="Times New Roman" w:cs="Times New Roman"/>
          <w:szCs w:val="21"/>
        </w:rPr>
        <w:t>docking poses directory</w:t>
      </w:r>
      <w:r>
        <w:rPr>
          <w:rFonts w:ascii="Times New Roman" w:hAnsi="Times New Roman" w:cs="Times New Roman"/>
          <w:szCs w:val="21"/>
        </w:rPr>
        <w:t>” to</w:t>
      </w:r>
      <w:r w:rsidRPr="0066137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select the directory where the docking results were saved in module 4.</w:t>
      </w:r>
    </w:p>
    <w:p w14:paraId="59C64F68" w14:textId="5946B993" w:rsidR="00661372" w:rsidRDefault="00661372" w:rsidP="0043579E">
      <w:pPr>
        <w:pStyle w:val="a7"/>
        <w:numPr>
          <w:ilvl w:val="0"/>
          <w:numId w:val="1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lick “Begin to split” and wait……The files will be saved in the original directory.</w:t>
      </w:r>
    </w:p>
    <w:p w14:paraId="3504AF5B" w14:textId="43F6A324" w:rsidR="00661372" w:rsidRDefault="00661372" w:rsidP="00661372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szCs w:val="21"/>
        </w:rPr>
      </w:pPr>
      <w:r w:rsidRPr="00661372">
        <w:rPr>
          <w:rFonts w:ascii="Times New Roman" w:hAnsi="Times New Roman" w:cs="Times New Roman" w:hint="eastAsia"/>
          <w:b/>
          <w:szCs w:val="21"/>
        </w:rPr>
        <w:t>N</w:t>
      </w:r>
      <w:r w:rsidRPr="00661372">
        <w:rPr>
          <w:rFonts w:ascii="Times New Roman" w:hAnsi="Times New Roman" w:cs="Times New Roman"/>
          <w:b/>
          <w:szCs w:val="21"/>
        </w:rPr>
        <w:t xml:space="preserve">ote that the docking results with special characters such as </w:t>
      </w:r>
      <w:r w:rsidRPr="00661372">
        <w:rPr>
          <w:rFonts w:ascii="Times New Roman" w:hAnsi="Times New Roman" w:cs="Times New Roman" w:hint="eastAsia"/>
          <w:b/>
          <w:szCs w:val="21"/>
        </w:rPr>
        <w:t>α</w:t>
      </w:r>
      <w:r w:rsidRPr="00661372">
        <w:rPr>
          <w:rFonts w:ascii="Times New Roman" w:hAnsi="Times New Roman" w:cs="Times New Roman"/>
          <w:b/>
          <w:szCs w:val="21"/>
        </w:rPr>
        <w:t xml:space="preserve">, </w:t>
      </w:r>
      <w:r w:rsidRPr="00661372">
        <w:rPr>
          <w:rFonts w:ascii="Times New Roman" w:hAnsi="Times New Roman" w:cs="Times New Roman" w:hint="eastAsia"/>
          <w:b/>
          <w:szCs w:val="21"/>
        </w:rPr>
        <w:t>β</w:t>
      </w:r>
      <w:r w:rsidRPr="00661372">
        <w:rPr>
          <w:rFonts w:ascii="Times New Roman" w:hAnsi="Times New Roman" w:cs="Times New Roman"/>
          <w:b/>
          <w:szCs w:val="21"/>
        </w:rPr>
        <w:t>, etc. in the name cannot be split.</w:t>
      </w:r>
      <w:r>
        <w:rPr>
          <w:rFonts w:ascii="Times New Roman" w:hAnsi="Times New Roman" w:cs="Times New Roman"/>
          <w:b/>
          <w:szCs w:val="21"/>
        </w:rPr>
        <w:t xml:space="preserve"> Please analyze affinity first before splitting the </w:t>
      </w:r>
      <w:r w:rsidR="00D37249">
        <w:rPr>
          <w:rFonts w:ascii="Times New Roman" w:hAnsi="Times New Roman" w:cs="Times New Roman"/>
          <w:b/>
          <w:szCs w:val="21"/>
        </w:rPr>
        <w:t xml:space="preserve">docking poses, otherwise the </w:t>
      </w:r>
      <w:r w:rsidR="00D37249" w:rsidRPr="00D37249">
        <w:rPr>
          <w:rFonts w:ascii="Times New Roman" w:hAnsi="Times New Roman" w:cs="Times New Roman"/>
          <w:b/>
          <w:i/>
          <w:szCs w:val="21"/>
        </w:rPr>
        <w:t>log</w:t>
      </w:r>
      <w:r w:rsidR="00D37249">
        <w:rPr>
          <w:rFonts w:ascii="Times New Roman" w:hAnsi="Times New Roman" w:cs="Times New Roman"/>
          <w:b/>
          <w:szCs w:val="21"/>
        </w:rPr>
        <w:t xml:space="preserve"> file will be also moved to the subfolder after splitting the docking poses, which makes it difficult to analyze affinity.</w:t>
      </w:r>
    </w:p>
    <w:p w14:paraId="67DD71F2" w14:textId="163B91AB" w:rsidR="00340F5E" w:rsidRDefault="00340F5E" w:rsidP="00340F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0F5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340F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 Generate ligand-receptor complex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(beta)</w:t>
      </w:r>
    </w:p>
    <w:p w14:paraId="06501C8D" w14:textId="3C1785F6" w:rsidR="00340F5E" w:rsidRDefault="00C44B83" w:rsidP="008A77A6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A77A6">
        <w:rPr>
          <w:rFonts w:ascii="Times New Roman" w:hAnsi="Times New Roman" w:cs="Times New Roman" w:hint="eastAsia"/>
          <w:szCs w:val="21"/>
        </w:rPr>
        <w:t>The</w:t>
      </w:r>
      <w:r w:rsidRPr="008A77A6">
        <w:rPr>
          <w:rFonts w:ascii="Times New Roman" w:hAnsi="Times New Roman" w:cs="Times New Roman"/>
          <w:szCs w:val="21"/>
        </w:rPr>
        <w:t xml:space="preserve"> output of Vina</w:t>
      </w:r>
      <w:r w:rsidR="008A77A6" w:rsidRPr="008A77A6">
        <w:rPr>
          <w:rFonts w:ascii="Times New Roman" w:hAnsi="Times New Roman" w:cs="Times New Roman"/>
          <w:szCs w:val="21"/>
        </w:rPr>
        <w:t xml:space="preserve"> contains only the ligand pose. This module is used to save the original receptor and the docking pose in a single structure file (.</w:t>
      </w:r>
      <w:proofErr w:type="spellStart"/>
      <w:r w:rsidR="008A77A6" w:rsidRPr="008A77A6">
        <w:rPr>
          <w:rFonts w:ascii="Times New Roman" w:hAnsi="Times New Roman" w:cs="Times New Roman"/>
          <w:szCs w:val="21"/>
        </w:rPr>
        <w:t>pdb</w:t>
      </w:r>
      <w:proofErr w:type="spellEnd"/>
      <w:r w:rsidR="008A77A6" w:rsidRPr="008A77A6">
        <w:rPr>
          <w:rFonts w:ascii="Times New Roman" w:hAnsi="Times New Roman" w:cs="Times New Roman"/>
          <w:szCs w:val="21"/>
        </w:rPr>
        <w:t>).</w:t>
      </w:r>
    </w:p>
    <w:p w14:paraId="6D7AF5C5" w14:textId="607726F4" w:rsidR="008A77A6" w:rsidRDefault="008A77A6" w:rsidP="008A77A6">
      <w:pPr>
        <w:pStyle w:val="a7"/>
        <w:numPr>
          <w:ilvl w:val="0"/>
          <w:numId w:val="12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lick “Select a ligand” to select a ligand pose</w:t>
      </w:r>
      <w:r w:rsidR="00E521B0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E521B0">
        <w:rPr>
          <w:rFonts w:ascii="Times New Roman" w:hAnsi="Times New Roman" w:cs="Times New Roman"/>
          <w:szCs w:val="21"/>
        </w:rPr>
        <w:t>(.</w:t>
      </w:r>
      <w:proofErr w:type="spellStart"/>
      <w:r w:rsidR="00E521B0">
        <w:rPr>
          <w:rFonts w:ascii="Times New Roman" w:hAnsi="Times New Roman" w:cs="Times New Roman"/>
          <w:szCs w:val="21"/>
        </w:rPr>
        <w:t>pdbqt</w:t>
      </w:r>
      <w:proofErr w:type="spellEnd"/>
      <w:proofErr w:type="gramEnd"/>
      <w:r w:rsidR="00E521B0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to combine.</w:t>
      </w:r>
    </w:p>
    <w:p w14:paraId="6B5E501B" w14:textId="442ED09E" w:rsidR="008A77A6" w:rsidRDefault="008A77A6" w:rsidP="008A77A6">
      <w:pPr>
        <w:pStyle w:val="a7"/>
        <w:numPr>
          <w:ilvl w:val="0"/>
          <w:numId w:val="12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“Select a receptor” to select the receptor </w:t>
      </w:r>
      <w:proofErr w:type="gramStart"/>
      <w:r w:rsidR="00E521B0">
        <w:rPr>
          <w:rFonts w:ascii="Times New Roman" w:hAnsi="Times New Roman" w:cs="Times New Roman"/>
          <w:szCs w:val="21"/>
        </w:rPr>
        <w:t>(.</w:t>
      </w:r>
      <w:proofErr w:type="spellStart"/>
      <w:r w:rsidR="00E521B0">
        <w:rPr>
          <w:rFonts w:ascii="Times New Roman" w:hAnsi="Times New Roman" w:cs="Times New Roman"/>
          <w:szCs w:val="21"/>
        </w:rPr>
        <w:t>pdbqt</w:t>
      </w:r>
      <w:proofErr w:type="spellEnd"/>
      <w:proofErr w:type="gramEnd"/>
      <w:r w:rsidR="00E521B0"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/>
          <w:szCs w:val="21"/>
        </w:rPr>
        <w:t>of the ligand.</w:t>
      </w:r>
    </w:p>
    <w:p w14:paraId="5F0B5151" w14:textId="5DFBE10F" w:rsidR="008A77A6" w:rsidRDefault="008A77A6" w:rsidP="008A77A6">
      <w:pPr>
        <w:pStyle w:val="a7"/>
        <w:numPr>
          <w:ilvl w:val="0"/>
          <w:numId w:val="12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Click “Choose saving directory” to set where the ligand-receptor complex will be saved.</w:t>
      </w:r>
    </w:p>
    <w:p w14:paraId="22F5D47E" w14:textId="4CADE26F" w:rsidR="008A77A6" w:rsidRDefault="008A77A6" w:rsidP="008A77A6">
      <w:pPr>
        <w:pStyle w:val="a7"/>
        <w:numPr>
          <w:ilvl w:val="0"/>
          <w:numId w:val="12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lick “Generate complex”.</w:t>
      </w:r>
    </w:p>
    <w:p w14:paraId="45D49E7B" w14:textId="421A1270" w:rsidR="008A77A6" w:rsidRDefault="001D2D08" w:rsidP="001D2D08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szCs w:val="21"/>
        </w:rPr>
      </w:pPr>
      <w:r w:rsidRPr="001D2D08">
        <w:rPr>
          <w:rFonts w:ascii="Times New Roman" w:hAnsi="Times New Roman" w:cs="Times New Roman"/>
          <w:b/>
          <w:szCs w:val="21"/>
        </w:rPr>
        <w:t xml:space="preserve">After testing, the complex structure files generated </w:t>
      </w:r>
      <w:r>
        <w:rPr>
          <w:rFonts w:ascii="Times New Roman" w:hAnsi="Times New Roman" w:cs="Times New Roman"/>
          <w:b/>
          <w:szCs w:val="21"/>
        </w:rPr>
        <w:t>by</w:t>
      </w:r>
      <w:r w:rsidRPr="001D2D08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1D2D08">
        <w:rPr>
          <w:rFonts w:ascii="Times New Roman" w:hAnsi="Times New Roman" w:cs="Times New Roman"/>
          <w:b/>
          <w:szCs w:val="21"/>
        </w:rPr>
        <w:t>OpenBabel</w:t>
      </w:r>
      <w:proofErr w:type="spellEnd"/>
      <w:r w:rsidRPr="001D2D08">
        <w:rPr>
          <w:rFonts w:ascii="Times New Roman" w:hAnsi="Times New Roman" w:cs="Times New Roman"/>
          <w:b/>
          <w:szCs w:val="21"/>
        </w:rPr>
        <w:t xml:space="preserve"> often contain some unknown errors, especially when the receptor is large and complex. We are looking for a better way to solve </w:t>
      </w:r>
      <w:r w:rsidR="00624207">
        <w:rPr>
          <w:rFonts w:ascii="Times New Roman" w:hAnsi="Times New Roman" w:cs="Times New Roman"/>
          <w:b/>
          <w:szCs w:val="21"/>
        </w:rPr>
        <w:t>this</w:t>
      </w:r>
      <w:r w:rsidRPr="001D2D08">
        <w:rPr>
          <w:rFonts w:ascii="Times New Roman" w:hAnsi="Times New Roman" w:cs="Times New Roman"/>
          <w:b/>
          <w:szCs w:val="21"/>
        </w:rPr>
        <w:t xml:space="preserve"> problem. At present, please check the complex structure by visualization after it </w:t>
      </w:r>
      <w:r w:rsidR="00624207">
        <w:rPr>
          <w:rFonts w:ascii="Times New Roman" w:hAnsi="Times New Roman" w:cs="Times New Roman"/>
          <w:b/>
          <w:szCs w:val="21"/>
        </w:rPr>
        <w:t>has been</w:t>
      </w:r>
      <w:r w:rsidRPr="001D2D08">
        <w:rPr>
          <w:rFonts w:ascii="Times New Roman" w:hAnsi="Times New Roman" w:cs="Times New Roman"/>
          <w:b/>
          <w:szCs w:val="21"/>
        </w:rPr>
        <w:t xml:space="preserve"> generated.</w:t>
      </w:r>
    </w:p>
    <w:p w14:paraId="21E29257" w14:textId="7563042E" w:rsidR="00624207" w:rsidRDefault="00624207" w:rsidP="006242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4207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6242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.4 Score only</w:t>
      </w:r>
    </w:p>
    <w:p w14:paraId="72A458B0" w14:textId="138FABAF" w:rsidR="00624207" w:rsidRDefault="00624207" w:rsidP="00624207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24207">
        <w:rPr>
          <w:rFonts w:ascii="Times New Roman" w:hAnsi="Times New Roman" w:cs="Times New Roman" w:hint="eastAsia"/>
          <w:szCs w:val="21"/>
        </w:rPr>
        <w:t>T</w:t>
      </w:r>
      <w:r w:rsidRPr="00624207">
        <w:rPr>
          <w:rFonts w:ascii="Times New Roman" w:hAnsi="Times New Roman" w:cs="Times New Roman"/>
          <w:szCs w:val="21"/>
        </w:rPr>
        <w:t xml:space="preserve">his module is used to give the affinity score of the </w:t>
      </w:r>
      <w:r>
        <w:rPr>
          <w:rFonts w:ascii="Times New Roman" w:hAnsi="Times New Roman" w:cs="Times New Roman"/>
          <w:szCs w:val="21"/>
        </w:rPr>
        <w:t>specific ligand pose</w:t>
      </w:r>
      <w:r w:rsidR="002E2A5D">
        <w:rPr>
          <w:rFonts w:ascii="Times New Roman" w:hAnsi="Times New Roman" w:cs="Times New Roman"/>
          <w:szCs w:val="21"/>
        </w:rPr>
        <w:t xml:space="preserve"> with</w:t>
      </w:r>
      <w:r w:rsidR="0043579E">
        <w:rPr>
          <w:rFonts w:ascii="Times New Roman" w:hAnsi="Times New Roman" w:cs="Times New Roman"/>
          <w:szCs w:val="21"/>
        </w:rPr>
        <w:t xml:space="preserve"> no </w:t>
      </w:r>
      <w:r w:rsidR="002E2A5D">
        <w:rPr>
          <w:rFonts w:ascii="Times New Roman" w:hAnsi="Times New Roman" w:cs="Times New Roman"/>
          <w:szCs w:val="21"/>
        </w:rPr>
        <w:t>docking</w:t>
      </w:r>
      <w:r>
        <w:rPr>
          <w:rFonts w:ascii="Times New Roman" w:hAnsi="Times New Roman" w:cs="Times New Roman"/>
          <w:szCs w:val="21"/>
        </w:rPr>
        <w:t>, such as the co-crystal ligand</w:t>
      </w:r>
      <w:r w:rsidRPr="0062420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pose</w:t>
      </w:r>
      <w:r w:rsidR="002E2A5D">
        <w:rPr>
          <w:rFonts w:ascii="Times New Roman" w:hAnsi="Times New Roman" w:cs="Times New Roman"/>
          <w:szCs w:val="21"/>
        </w:rPr>
        <w:t xml:space="preserve"> or the docking results from other software.</w:t>
      </w:r>
    </w:p>
    <w:p w14:paraId="626F9573" w14:textId="4133A2FB" w:rsidR="002E2A5D" w:rsidRDefault="002E2A5D" w:rsidP="0043579E">
      <w:pPr>
        <w:pStyle w:val="a7"/>
        <w:numPr>
          <w:ilvl w:val="0"/>
          <w:numId w:val="1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Select the scoring </w:t>
      </w:r>
      <w:r w:rsidR="0043579E"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unction: Vina or </w:t>
      </w:r>
      <w:proofErr w:type="spellStart"/>
      <w:r>
        <w:rPr>
          <w:rFonts w:ascii="Times New Roman" w:hAnsi="Times New Roman" w:cs="Times New Roman"/>
          <w:szCs w:val="21"/>
        </w:rPr>
        <w:t>Vinardo</w:t>
      </w:r>
      <w:proofErr w:type="spellEnd"/>
      <w:r>
        <w:rPr>
          <w:rFonts w:ascii="Times New Roman" w:hAnsi="Times New Roman" w:cs="Times New Roman"/>
          <w:szCs w:val="21"/>
        </w:rPr>
        <w:t>.</w:t>
      </w:r>
    </w:p>
    <w:p w14:paraId="1D612071" w14:textId="183EC056" w:rsidR="002E2A5D" w:rsidRDefault="002B04F8" w:rsidP="0043579E">
      <w:pPr>
        <w:pStyle w:val="a7"/>
        <w:numPr>
          <w:ilvl w:val="0"/>
          <w:numId w:val="1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</w:t>
      </w:r>
      <w:r w:rsidR="0043579E">
        <w:rPr>
          <w:rFonts w:ascii="Times New Roman" w:hAnsi="Times New Roman" w:cs="Times New Roman"/>
          <w:szCs w:val="21"/>
        </w:rPr>
        <w:t xml:space="preserve"> used for comparison, remember</w:t>
      </w:r>
      <w:r w:rsidR="002E2A5D">
        <w:rPr>
          <w:rFonts w:ascii="Times New Roman" w:hAnsi="Times New Roman" w:cs="Times New Roman"/>
          <w:szCs w:val="21"/>
        </w:rPr>
        <w:t xml:space="preserve"> to correct the ligand</w:t>
      </w:r>
      <w:r w:rsidR="0043579E">
        <w:rPr>
          <w:rFonts w:ascii="Times New Roman" w:hAnsi="Times New Roman" w:cs="Times New Roman"/>
          <w:szCs w:val="21"/>
        </w:rPr>
        <w:t>s’</w:t>
      </w:r>
      <w:r w:rsidR="002E2A5D">
        <w:rPr>
          <w:rFonts w:ascii="Times New Roman" w:hAnsi="Times New Roman" w:cs="Times New Roman"/>
          <w:szCs w:val="21"/>
        </w:rPr>
        <w:t xml:space="preserve"> protonation state</w:t>
      </w:r>
      <w:r w:rsidR="0043579E">
        <w:rPr>
          <w:rFonts w:ascii="Times New Roman" w:hAnsi="Times New Roman" w:cs="Times New Roman"/>
          <w:szCs w:val="21"/>
        </w:rPr>
        <w:t xml:space="preserve"> to keep them consistent</w:t>
      </w:r>
      <w:r>
        <w:rPr>
          <w:rFonts w:ascii="Times New Roman" w:hAnsi="Times New Roman" w:cs="Times New Roman"/>
          <w:szCs w:val="21"/>
        </w:rPr>
        <w:t xml:space="preserve">, as </w:t>
      </w:r>
      <w:r w:rsidR="0043579E">
        <w:rPr>
          <w:rFonts w:ascii="Times New Roman" w:hAnsi="Times New Roman" w:cs="Times New Roman"/>
          <w:szCs w:val="21"/>
        </w:rPr>
        <w:t>different protonation states will result in different affinity scores.</w:t>
      </w:r>
    </w:p>
    <w:p w14:paraId="28FA5BCD" w14:textId="64F9E816" w:rsidR="0043579E" w:rsidRDefault="0043579E" w:rsidP="0043579E">
      <w:pPr>
        <w:pStyle w:val="a7"/>
        <w:numPr>
          <w:ilvl w:val="0"/>
          <w:numId w:val="1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“Select a receptor” to select the protein receptor </w:t>
      </w:r>
      <w:proofErr w:type="gramStart"/>
      <w:r>
        <w:rPr>
          <w:rFonts w:ascii="Times New Roman" w:hAnsi="Times New Roman" w:cs="Times New Roman"/>
          <w:szCs w:val="21"/>
        </w:rPr>
        <w:t>(.</w:t>
      </w:r>
      <w:proofErr w:type="spellStart"/>
      <w:r>
        <w:rPr>
          <w:rFonts w:ascii="Times New Roman" w:hAnsi="Times New Roman" w:cs="Times New Roman"/>
          <w:szCs w:val="21"/>
        </w:rPr>
        <w:t>pdbqt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>) without any ligand.</w:t>
      </w:r>
    </w:p>
    <w:p w14:paraId="62496FA1" w14:textId="27CA3268" w:rsidR="0043579E" w:rsidRDefault="0043579E" w:rsidP="0043579E">
      <w:pPr>
        <w:pStyle w:val="a7"/>
        <w:numPr>
          <w:ilvl w:val="0"/>
          <w:numId w:val="1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“Select a co-crystal ligand” to select the co-crystal ligand pose or a docking pose from </w:t>
      </w:r>
      <w:r w:rsidR="002B04F8">
        <w:rPr>
          <w:rFonts w:ascii="Times New Roman" w:hAnsi="Times New Roman" w:cs="Times New Roman"/>
          <w:szCs w:val="21"/>
        </w:rPr>
        <w:t>another</w:t>
      </w:r>
      <w:r>
        <w:rPr>
          <w:rFonts w:ascii="Times New Roman" w:hAnsi="Times New Roman" w:cs="Times New Roman"/>
          <w:szCs w:val="21"/>
        </w:rPr>
        <w:t xml:space="preserve"> software </w:t>
      </w:r>
      <w:proofErr w:type="gramStart"/>
      <w:r>
        <w:rPr>
          <w:rFonts w:ascii="Times New Roman" w:hAnsi="Times New Roman" w:cs="Times New Roman"/>
          <w:szCs w:val="21"/>
        </w:rPr>
        <w:t>(.</w:t>
      </w:r>
      <w:proofErr w:type="spellStart"/>
      <w:r>
        <w:rPr>
          <w:rFonts w:ascii="Times New Roman" w:hAnsi="Times New Roman" w:cs="Times New Roman"/>
          <w:szCs w:val="21"/>
        </w:rPr>
        <w:t>pdbqt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>).</w:t>
      </w:r>
      <w:r w:rsidR="00E227BE" w:rsidRPr="00E227BE">
        <w:t xml:space="preserve"> </w:t>
      </w:r>
      <w:r w:rsidR="00E227BE" w:rsidRPr="00E227BE">
        <w:rPr>
          <w:rFonts w:ascii="Times New Roman" w:hAnsi="Times New Roman" w:cs="Times New Roman"/>
          <w:szCs w:val="21"/>
        </w:rPr>
        <w:t xml:space="preserve">To obtain </w:t>
      </w:r>
      <w:r w:rsidR="00E227BE">
        <w:rPr>
          <w:rFonts w:ascii="Times New Roman" w:hAnsi="Times New Roman" w:cs="Times New Roman"/>
          <w:szCs w:val="21"/>
        </w:rPr>
        <w:t>the</w:t>
      </w:r>
      <w:r w:rsidR="00E227BE" w:rsidRPr="00E227BE">
        <w:rPr>
          <w:rFonts w:ascii="Times New Roman" w:hAnsi="Times New Roman" w:cs="Times New Roman"/>
          <w:szCs w:val="21"/>
        </w:rPr>
        <w:t xml:space="preserve"> co-crystal ligand</w:t>
      </w:r>
      <w:r w:rsidR="00E227BE">
        <w:rPr>
          <w:rFonts w:ascii="Times New Roman" w:hAnsi="Times New Roman" w:cs="Times New Roman"/>
          <w:szCs w:val="21"/>
        </w:rPr>
        <w:t xml:space="preserve"> pose</w:t>
      </w:r>
      <w:r w:rsidR="00E227BE" w:rsidRPr="00E227BE">
        <w:rPr>
          <w:rFonts w:ascii="Times New Roman" w:hAnsi="Times New Roman" w:cs="Times New Roman"/>
          <w:szCs w:val="21"/>
        </w:rPr>
        <w:t xml:space="preserve">, open the crystal structure of the ligand-receptor complex in any visualization software, save the ligand separately, and convert it into </w:t>
      </w:r>
      <w:proofErr w:type="spellStart"/>
      <w:r w:rsidR="00E227BE" w:rsidRPr="00E227BE">
        <w:rPr>
          <w:rFonts w:ascii="Times New Roman" w:hAnsi="Times New Roman" w:cs="Times New Roman"/>
          <w:szCs w:val="21"/>
        </w:rPr>
        <w:t>pdbqt</w:t>
      </w:r>
      <w:proofErr w:type="spellEnd"/>
      <w:r w:rsidR="00E227BE" w:rsidRPr="00E227BE">
        <w:rPr>
          <w:rFonts w:ascii="Times New Roman" w:hAnsi="Times New Roman" w:cs="Times New Roman"/>
          <w:szCs w:val="21"/>
        </w:rPr>
        <w:t xml:space="preserve"> format.</w:t>
      </w:r>
    </w:p>
    <w:p w14:paraId="3E309069" w14:textId="37B1593C" w:rsidR="0043579E" w:rsidRPr="002E2A5D" w:rsidRDefault="0043579E" w:rsidP="0043579E">
      <w:pPr>
        <w:pStyle w:val="a7"/>
        <w:numPr>
          <w:ilvl w:val="0"/>
          <w:numId w:val="13"/>
        </w:numPr>
        <w:snapToGrid w:val="0"/>
        <w:spacing w:line="360" w:lineRule="auto"/>
        <w:ind w:left="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lick “Score only”. The affinity score will be displayed in a pop-up window.</w:t>
      </w:r>
    </w:p>
    <w:p w14:paraId="06FAA619" w14:textId="77777777" w:rsidR="002B3DC5" w:rsidRDefault="002B3DC5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743300" w14:textId="0A6C6316" w:rsidR="00BD451E" w:rsidRPr="00BD451E" w:rsidRDefault="00186C59" w:rsidP="00BD45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结果分析</w:t>
      </w:r>
    </w:p>
    <w:p w14:paraId="03AE8CBD" w14:textId="12F19189" w:rsidR="00807B12" w:rsidRPr="00807B12" w:rsidRDefault="00807B12" w:rsidP="00807B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7B1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807B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807B1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查看结合亲和力</w:t>
      </w:r>
    </w:p>
    <w:p w14:paraId="4B062953" w14:textId="03273D74" w:rsidR="00340F5E" w:rsidRPr="00D3109D" w:rsidRDefault="00340F5E" w:rsidP="00340F5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>模块</w:t>
      </w:r>
      <w:r w:rsidRPr="00D3109D">
        <w:rPr>
          <w:rFonts w:ascii="Times New Roman" w:hAnsi="Times New Roman" w:cs="Times New Roman"/>
          <w:szCs w:val="21"/>
        </w:rPr>
        <w:t>5.1</w:t>
      </w:r>
      <w:r w:rsidRPr="00D3109D">
        <w:rPr>
          <w:rFonts w:ascii="Times New Roman" w:hAnsi="Times New Roman" w:cs="Times New Roman"/>
          <w:szCs w:val="21"/>
        </w:rPr>
        <w:t>可以通过</w:t>
      </w:r>
      <w:proofErr w:type="gramStart"/>
      <w:r w:rsidRPr="00D3109D">
        <w:rPr>
          <w:rFonts w:ascii="Times New Roman" w:hAnsi="Times New Roman" w:cs="Times New Roman"/>
          <w:szCs w:val="21"/>
        </w:rPr>
        <w:t>勾</w:t>
      </w:r>
      <w:proofErr w:type="gramEnd"/>
      <w:r w:rsidRPr="00D3109D">
        <w:rPr>
          <w:rFonts w:ascii="Times New Roman" w:hAnsi="Times New Roman" w:cs="Times New Roman"/>
          <w:szCs w:val="21"/>
        </w:rPr>
        <w:t>选模块</w:t>
      </w:r>
      <w:r w:rsidRPr="00D3109D">
        <w:rPr>
          <w:rFonts w:ascii="Times New Roman" w:hAnsi="Times New Roman" w:cs="Times New Roman"/>
          <w:szCs w:val="21"/>
        </w:rPr>
        <w:t>4</w:t>
      </w:r>
      <w:r w:rsidRPr="00D3109D">
        <w:rPr>
          <w:rFonts w:ascii="Times New Roman" w:hAnsi="Times New Roman" w:cs="Times New Roman"/>
          <w:szCs w:val="21"/>
        </w:rPr>
        <w:t>中的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结果分析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选项自动</w:t>
      </w:r>
      <w:r w:rsidR="00231731" w:rsidRPr="00D3109D">
        <w:rPr>
          <w:rFonts w:ascii="Times New Roman" w:hAnsi="Times New Roman" w:cs="Times New Roman"/>
          <w:szCs w:val="21"/>
        </w:rPr>
        <w:t>执行</w:t>
      </w:r>
      <w:r w:rsidRPr="00D3109D">
        <w:rPr>
          <w:rFonts w:ascii="Times New Roman" w:hAnsi="Times New Roman" w:cs="Times New Roman"/>
          <w:szCs w:val="21"/>
        </w:rPr>
        <w:t>。所有对接结果的亲和力分数将被汇总到一个</w:t>
      </w:r>
      <w:r w:rsidRPr="00D3109D">
        <w:rPr>
          <w:rFonts w:ascii="Times New Roman" w:hAnsi="Times New Roman" w:cs="Times New Roman"/>
          <w:i/>
          <w:szCs w:val="21"/>
        </w:rPr>
        <w:t>Excel</w:t>
      </w:r>
      <w:r w:rsidRPr="00D3109D">
        <w:rPr>
          <w:rFonts w:ascii="Times New Roman" w:hAnsi="Times New Roman" w:cs="Times New Roman"/>
          <w:szCs w:val="21"/>
        </w:rPr>
        <w:t>文件</w:t>
      </w:r>
      <w:r w:rsidR="00231731" w:rsidRPr="00D3109D">
        <w:rPr>
          <w:rFonts w:ascii="Times New Roman" w:hAnsi="Times New Roman" w:cs="Times New Roman"/>
          <w:szCs w:val="21"/>
        </w:rPr>
        <w:t>(.xlsx)</w:t>
      </w:r>
      <w:r w:rsidR="00231731" w:rsidRPr="00D3109D">
        <w:rPr>
          <w:rFonts w:ascii="Times New Roman" w:hAnsi="Times New Roman" w:cs="Times New Roman"/>
          <w:szCs w:val="21"/>
        </w:rPr>
        <w:t>中</w:t>
      </w:r>
      <w:r w:rsidRPr="00D3109D">
        <w:rPr>
          <w:rFonts w:ascii="Times New Roman" w:hAnsi="Times New Roman" w:cs="Times New Roman"/>
          <w:szCs w:val="21"/>
        </w:rPr>
        <w:t>。</w:t>
      </w:r>
      <w:proofErr w:type="gramStart"/>
      <w:r w:rsidRPr="00D3109D">
        <w:rPr>
          <w:rFonts w:ascii="Times New Roman" w:hAnsi="Times New Roman" w:cs="Times New Roman"/>
          <w:szCs w:val="21"/>
        </w:rPr>
        <w:t>亲和力热图</w:t>
      </w:r>
      <w:proofErr w:type="gramEnd"/>
      <w:r w:rsidR="00231731" w:rsidRPr="00D3109D">
        <w:rPr>
          <w:rFonts w:ascii="Times New Roman" w:hAnsi="Times New Roman" w:cs="Times New Roman"/>
          <w:szCs w:val="21"/>
        </w:rPr>
        <w:t>(.jpg)</w:t>
      </w:r>
      <w:r w:rsidRPr="00D3109D">
        <w:rPr>
          <w:rFonts w:ascii="Times New Roman" w:hAnsi="Times New Roman" w:cs="Times New Roman"/>
          <w:szCs w:val="21"/>
        </w:rPr>
        <w:t>也</w:t>
      </w:r>
      <w:r w:rsidR="00231731" w:rsidRPr="00D3109D">
        <w:rPr>
          <w:rFonts w:ascii="Times New Roman" w:hAnsi="Times New Roman" w:cs="Times New Roman"/>
          <w:szCs w:val="21"/>
        </w:rPr>
        <w:t>会</w:t>
      </w:r>
      <w:r w:rsidRPr="00D3109D">
        <w:rPr>
          <w:rFonts w:ascii="Times New Roman" w:hAnsi="Times New Roman" w:cs="Times New Roman"/>
          <w:szCs w:val="21"/>
        </w:rPr>
        <w:t>被</w:t>
      </w:r>
      <w:r w:rsidR="00231731" w:rsidRPr="00D3109D">
        <w:rPr>
          <w:rFonts w:ascii="Times New Roman" w:hAnsi="Times New Roman" w:cs="Times New Roman"/>
          <w:szCs w:val="21"/>
        </w:rPr>
        <w:t>自动绘制。</w:t>
      </w:r>
    </w:p>
    <w:p w14:paraId="466C44B9" w14:textId="06723FDD" w:rsidR="00340F5E" w:rsidRPr="00D3109D" w:rsidRDefault="00340F5E" w:rsidP="00340F5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 xml:space="preserve">(1) </w:t>
      </w:r>
      <w:r w:rsidRPr="00D3109D">
        <w:rPr>
          <w:rFonts w:ascii="Times New Roman" w:hAnsi="Times New Roman" w:cs="Times New Roman"/>
          <w:szCs w:val="21"/>
        </w:rPr>
        <w:t>点击</w:t>
      </w:r>
      <w:r w:rsidRPr="00D3109D">
        <w:rPr>
          <w:rFonts w:ascii="Times New Roman" w:hAnsi="Times New Roman" w:cs="Times New Roman"/>
          <w:szCs w:val="21"/>
        </w:rPr>
        <w:t>"</w:t>
      </w:r>
      <w:r w:rsidR="00231731" w:rsidRPr="00D3109D">
        <w:rPr>
          <w:rFonts w:ascii="Times New Roman" w:hAnsi="Times New Roman" w:cs="Times New Roman"/>
          <w:szCs w:val="21"/>
        </w:rPr>
        <w:t>选择所有</w:t>
      </w:r>
      <w:r w:rsidR="00231731" w:rsidRPr="00D3109D">
        <w:rPr>
          <w:rFonts w:ascii="Times New Roman" w:hAnsi="Times New Roman" w:cs="Times New Roman"/>
          <w:szCs w:val="21"/>
        </w:rPr>
        <w:t>log</w:t>
      </w:r>
      <w:r w:rsidR="00231731" w:rsidRPr="00D3109D">
        <w:rPr>
          <w:rFonts w:ascii="Times New Roman" w:hAnsi="Times New Roman" w:cs="Times New Roman"/>
          <w:szCs w:val="21"/>
        </w:rPr>
        <w:t>文件所在路径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来选择</w:t>
      </w:r>
      <w:r w:rsidR="00231731" w:rsidRPr="00D3109D">
        <w:rPr>
          <w:rFonts w:ascii="Times New Roman" w:hAnsi="Times New Roman" w:cs="Times New Roman"/>
          <w:szCs w:val="21"/>
        </w:rPr>
        <w:t>对接结果所在路径，如模块</w:t>
      </w:r>
      <w:r w:rsidR="00231731" w:rsidRPr="00D3109D">
        <w:rPr>
          <w:rFonts w:ascii="Times New Roman" w:hAnsi="Times New Roman" w:cs="Times New Roman"/>
          <w:szCs w:val="21"/>
        </w:rPr>
        <w:t>4</w:t>
      </w:r>
      <w:r w:rsidR="00231731" w:rsidRPr="00D3109D">
        <w:rPr>
          <w:rFonts w:ascii="Times New Roman" w:hAnsi="Times New Roman" w:cs="Times New Roman"/>
          <w:szCs w:val="21"/>
        </w:rPr>
        <w:t>中的结果输出路径。</w:t>
      </w:r>
    </w:p>
    <w:p w14:paraId="42953DE8" w14:textId="431375AC" w:rsidR="00340F5E" w:rsidRPr="00D3109D" w:rsidRDefault="00340F5E" w:rsidP="00340F5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 xml:space="preserve">(2) </w:t>
      </w:r>
      <w:r w:rsidRPr="00D3109D">
        <w:rPr>
          <w:rFonts w:ascii="Times New Roman" w:hAnsi="Times New Roman" w:cs="Times New Roman"/>
          <w:szCs w:val="21"/>
        </w:rPr>
        <w:t>点击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选择保存目录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来设置</w:t>
      </w:r>
      <w:r w:rsidR="00231731" w:rsidRPr="00D3109D">
        <w:rPr>
          <w:rFonts w:ascii="Times New Roman" w:hAnsi="Times New Roman" w:cs="Times New Roman"/>
          <w:szCs w:val="21"/>
        </w:rPr>
        <w:t>结合</w:t>
      </w:r>
      <w:r w:rsidRPr="00D3109D">
        <w:rPr>
          <w:rFonts w:ascii="Times New Roman" w:hAnsi="Times New Roman" w:cs="Times New Roman"/>
          <w:szCs w:val="21"/>
        </w:rPr>
        <w:t>亲和力</w:t>
      </w:r>
      <w:r w:rsidR="00231731" w:rsidRPr="00D3109D">
        <w:rPr>
          <w:rFonts w:ascii="Times New Roman" w:hAnsi="Times New Roman" w:cs="Times New Roman"/>
          <w:szCs w:val="21"/>
        </w:rPr>
        <w:t>汇总表</w:t>
      </w:r>
      <w:r w:rsidRPr="00D3109D">
        <w:rPr>
          <w:rFonts w:ascii="Times New Roman" w:hAnsi="Times New Roman" w:cs="Times New Roman"/>
          <w:szCs w:val="21"/>
        </w:rPr>
        <w:t>和</w:t>
      </w:r>
      <w:r w:rsidR="00231731" w:rsidRPr="00D3109D">
        <w:rPr>
          <w:rFonts w:ascii="Times New Roman" w:hAnsi="Times New Roman" w:cs="Times New Roman"/>
          <w:szCs w:val="21"/>
        </w:rPr>
        <w:t>结合</w:t>
      </w:r>
      <w:proofErr w:type="gramStart"/>
      <w:r w:rsidRPr="00D3109D">
        <w:rPr>
          <w:rFonts w:ascii="Times New Roman" w:hAnsi="Times New Roman" w:cs="Times New Roman"/>
          <w:szCs w:val="21"/>
        </w:rPr>
        <w:t>亲和力热图的</w:t>
      </w:r>
      <w:proofErr w:type="gramEnd"/>
      <w:r w:rsidRPr="00D3109D">
        <w:rPr>
          <w:rFonts w:ascii="Times New Roman" w:hAnsi="Times New Roman" w:cs="Times New Roman"/>
          <w:szCs w:val="21"/>
        </w:rPr>
        <w:t>保存位置。</w:t>
      </w:r>
    </w:p>
    <w:p w14:paraId="7274B8CE" w14:textId="3F510E70" w:rsidR="00340F5E" w:rsidRPr="00D3109D" w:rsidRDefault="00340F5E" w:rsidP="00340F5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 xml:space="preserve">(3) </w:t>
      </w:r>
      <w:proofErr w:type="gramStart"/>
      <w:r w:rsidR="00954D79" w:rsidRPr="00D3109D">
        <w:rPr>
          <w:rFonts w:ascii="Times New Roman" w:hAnsi="Times New Roman" w:cs="Times New Roman"/>
          <w:szCs w:val="21"/>
        </w:rPr>
        <w:t>热图风格</w:t>
      </w:r>
      <w:proofErr w:type="gramEnd"/>
      <w:r w:rsidR="00954D79" w:rsidRPr="00D3109D">
        <w:rPr>
          <w:rFonts w:ascii="Times New Roman" w:hAnsi="Times New Roman" w:cs="Times New Roman"/>
          <w:szCs w:val="21"/>
        </w:rPr>
        <w:t>可以根据需要设置。</w:t>
      </w:r>
    </w:p>
    <w:p w14:paraId="516AACC9" w14:textId="0A35B1C7" w:rsidR="00237336" w:rsidRPr="00D3109D" w:rsidRDefault="00340F5E" w:rsidP="00340F5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 xml:space="preserve">(4) </w:t>
      </w:r>
      <w:r w:rsidRPr="00D3109D">
        <w:rPr>
          <w:rFonts w:ascii="Times New Roman" w:hAnsi="Times New Roman" w:cs="Times New Roman"/>
          <w:szCs w:val="21"/>
        </w:rPr>
        <w:t>点击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开始分析</w:t>
      </w:r>
      <w:r w:rsidRPr="00D3109D">
        <w:rPr>
          <w:rFonts w:ascii="Times New Roman" w:hAnsi="Times New Roman" w:cs="Times New Roman"/>
          <w:szCs w:val="21"/>
        </w:rPr>
        <w:t>"</w:t>
      </w:r>
      <w:r w:rsidR="00954D79" w:rsidRPr="00D3109D">
        <w:rPr>
          <w:rFonts w:ascii="Times New Roman" w:hAnsi="Times New Roman" w:cs="Times New Roman"/>
          <w:szCs w:val="21"/>
        </w:rPr>
        <w:t>等待即可。</w:t>
      </w:r>
      <w:r w:rsidRPr="00D3109D">
        <w:rPr>
          <w:rFonts w:ascii="Times New Roman" w:hAnsi="Times New Roman" w:cs="Times New Roman"/>
          <w:szCs w:val="21"/>
        </w:rPr>
        <w:t>分析完成后可以点击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查看亲和力</w:t>
      </w:r>
      <w:r w:rsidR="00954D79" w:rsidRPr="00D3109D">
        <w:rPr>
          <w:rFonts w:ascii="Times New Roman" w:hAnsi="Times New Roman" w:cs="Times New Roman"/>
          <w:szCs w:val="21"/>
        </w:rPr>
        <w:t>汇总</w:t>
      </w:r>
      <w:r w:rsidRPr="00D3109D">
        <w:rPr>
          <w:rFonts w:ascii="Times New Roman" w:hAnsi="Times New Roman" w:cs="Times New Roman"/>
          <w:szCs w:val="21"/>
        </w:rPr>
        <w:t>表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和</w:t>
      </w:r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查看</w:t>
      </w:r>
      <w:proofErr w:type="gramStart"/>
      <w:r w:rsidRPr="00D3109D">
        <w:rPr>
          <w:rFonts w:ascii="Times New Roman" w:hAnsi="Times New Roman" w:cs="Times New Roman"/>
          <w:szCs w:val="21"/>
        </w:rPr>
        <w:t>亲和力热图</w:t>
      </w:r>
      <w:proofErr w:type="gramEnd"/>
      <w:r w:rsidRPr="00D3109D">
        <w:rPr>
          <w:rFonts w:ascii="Times New Roman" w:hAnsi="Times New Roman" w:cs="Times New Roman"/>
          <w:szCs w:val="21"/>
        </w:rPr>
        <w:t>"</w:t>
      </w:r>
      <w:r w:rsidRPr="00D3109D">
        <w:rPr>
          <w:rFonts w:ascii="Times New Roman" w:hAnsi="Times New Roman" w:cs="Times New Roman"/>
          <w:szCs w:val="21"/>
        </w:rPr>
        <w:t>来查看结果。</w:t>
      </w:r>
    </w:p>
    <w:p w14:paraId="789403D2" w14:textId="636CF219" w:rsidR="00954D79" w:rsidRPr="00D3109D" w:rsidRDefault="00954D79" w:rsidP="00954D79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>请注意，亲和力</w:t>
      </w:r>
      <w:r w:rsidRPr="00D3109D">
        <w:rPr>
          <w:rFonts w:ascii="Times New Roman" w:hAnsi="Times New Roman" w:cs="Times New Roman"/>
          <w:szCs w:val="21"/>
        </w:rPr>
        <w:t>汇总</w:t>
      </w:r>
      <w:r w:rsidRPr="00D3109D">
        <w:rPr>
          <w:rFonts w:ascii="Times New Roman" w:hAnsi="Times New Roman" w:cs="Times New Roman"/>
          <w:szCs w:val="21"/>
        </w:rPr>
        <w:t>表中的</w:t>
      </w:r>
      <w:r w:rsidRPr="00D3109D">
        <w:rPr>
          <w:rFonts w:ascii="Times New Roman" w:hAnsi="Times New Roman" w:cs="Times New Roman"/>
          <w:szCs w:val="21"/>
        </w:rPr>
        <w:t>RMSD</w:t>
      </w:r>
      <w:r w:rsidRPr="00D3109D">
        <w:rPr>
          <w:rFonts w:ascii="Times New Roman" w:hAnsi="Times New Roman" w:cs="Times New Roman"/>
          <w:szCs w:val="21"/>
        </w:rPr>
        <w:t>值取自</w:t>
      </w:r>
      <w:r w:rsidRPr="00D3109D">
        <w:rPr>
          <w:rFonts w:ascii="Times New Roman" w:hAnsi="Times New Roman" w:cs="Times New Roman"/>
          <w:szCs w:val="21"/>
        </w:rPr>
        <w:t>每次</w:t>
      </w:r>
      <w:r w:rsidRPr="00D3109D">
        <w:rPr>
          <w:rFonts w:ascii="Times New Roman" w:hAnsi="Times New Roman" w:cs="Times New Roman"/>
          <w:szCs w:val="21"/>
        </w:rPr>
        <w:t>对接的日志文件。在每次对接中，具有最低亲和力得分的对接</w:t>
      </w:r>
      <w:r w:rsidRPr="00D3109D">
        <w:rPr>
          <w:rFonts w:ascii="Times New Roman" w:hAnsi="Times New Roman" w:cs="Times New Roman"/>
          <w:szCs w:val="21"/>
        </w:rPr>
        <w:t>构象</w:t>
      </w:r>
      <w:r w:rsidRPr="00D3109D">
        <w:rPr>
          <w:rFonts w:ascii="Times New Roman" w:hAnsi="Times New Roman" w:cs="Times New Roman"/>
          <w:szCs w:val="21"/>
        </w:rPr>
        <w:t>被</w:t>
      </w:r>
      <w:r w:rsidRPr="00D3109D">
        <w:rPr>
          <w:rFonts w:ascii="Times New Roman" w:hAnsi="Times New Roman" w:cs="Times New Roman"/>
          <w:szCs w:val="21"/>
        </w:rPr>
        <w:t>视为</w:t>
      </w:r>
      <w:r w:rsidRPr="00D3109D">
        <w:rPr>
          <w:rFonts w:ascii="Times New Roman" w:hAnsi="Times New Roman" w:cs="Times New Roman"/>
          <w:szCs w:val="21"/>
        </w:rPr>
        <w:t>参考</w:t>
      </w:r>
      <w:r w:rsidRPr="00D3109D">
        <w:rPr>
          <w:rFonts w:ascii="Times New Roman" w:hAnsi="Times New Roman" w:cs="Times New Roman"/>
          <w:szCs w:val="21"/>
        </w:rPr>
        <w:t>构象</w:t>
      </w:r>
      <w:r w:rsidRPr="00D3109D">
        <w:rPr>
          <w:rFonts w:ascii="Times New Roman" w:hAnsi="Times New Roman" w:cs="Times New Roman"/>
          <w:szCs w:val="21"/>
        </w:rPr>
        <w:t>，因此</w:t>
      </w:r>
      <w:r w:rsidRPr="00D3109D">
        <w:rPr>
          <w:rFonts w:ascii="Times New Roman" w:hAnsi="Times New Roman" w:cs="Times New Roman"/>
          <w:b/>
          <w:szCs w:val="21"/>
        </w:rPr>
        <w:t>不能比较不同对接结果的</w:t>
      </w:r>
      <w:r w:rsidRPr="00D3109D">
        <w:rPr>
          <w:rFonts w:ascii="Times New Roman" w:hAnsi="Times New Roman" w:cs="Times New Roman"/>
          <w:b/>
          <w:szCs w:val="21"/>
        </w:rPr>
        <w:t>RMSD</w:t>
      </w:r>
      <w:r w:rsidRPr="00D3109D">
        <w:rPr>
          <w:rFonts w:ascii="Times New Roman" w:hAnsi="Times New Roman" w:cs="Times New Roman"/>
          <w:b/>
          <w:szCs w:val="21"/>
        </w:rPr>
        <w:t>，只能比较单</w:t>
      </w:r>
      <w:r w:rsidRPr="00D3109D">
        <w:rPr>
          <w:rFonts w:ascii="Times New Roman" w:hAnsi="Times New Roman" w:cs="Times New Roman"/>
          <w:b/>
          <w:szCs w:val="21"/>
        </w:rPr>
        <w:t>次</w:t>
      </w:r>
      <w:r w:rsidRPr="00D3109D">
        <w:rPr>
          <w:rFonts w:ascii="Times New Roman" w:hAnsi="Times New Roman" w:cs="Times New Roman"/>
          <w:b/>
          <w:szCs w:val="21"/>
        </w:rPr>
        <w:t>对接结果中不同</w:t>
      </w:r>
      <w:r w:rsidRPr="00D3109D">
        <w:rPr>
          <w:rFonts w:ascii="Times New Roman" w:hAnsi="Times New Roman" w:cs="Times New Roman"/>
          <w:b/>
          <w:szCs w:val="21"/>
        </w:rPr>
        <w:t>构象间</w:t>
      </w:r>
      <w:r w:rsidRPr="00D3109D">
        <w:rPr>
          <w:rFonts w:ascii="Times New Roman" w:hAnsi="Times New Roman" w:cs="Times New Roman"/>
          <w:b/>
          <w:szCs w:val="21"/>
        </w:rPr>
        <w:t>的</w:t>
      </w:r>
      <w:r w:rsidRPr="00D3109D">
        <w:rPr>
          <w:rFonts w:ascii="Times New Roman" w:hAnsi="Times New Roman" w:cs="Times New Roman"/>
          <w:b/>
          <w:szCs w:val="21"/>
        </w:rPr>
        <w:t>RMSD</w:t>
      </w:r>
      <w:r w:rsidRPr="00D3109D">
        <w:rPr>
          <w:rFonts w:ascii="Times New Roman" w:hAnsi="Times New Roman" w:cs="Times New Roman"/>
          <w:szCs w:val="21"/>
        </w:rPr>
        <w:t>。</w:t>
      </w:r>
    </w:p>
    <w:p w14:paraId="61637544" w14:textId="1A8F9848" w:rsidR="00954D79" w:rsidRPr="00D3109D" w:rsidRDefault="00954D79" w:rsidP="00954D79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>亲和力</w:t>
      </w:r>
      <w:r w:rsidRPr="00D3109D">
        <w:rPr>
          <w:rFonts w:ascii="Times New Roman" w:hAnsi="Times New Roman" w:cs="Times New Roman"/>
          <w:szCs w:val="21"/>
        </w:rPr>
        <w:t>汇总</w:t>
      </w:r>
      <w:r w:rsidRPr="00D3109D">
        <w:rPr>
          <w:rFonts w:ascii="Times New Roman" w:hAnsi="Times New Roman" w:cs="Times New Roman"/>
          <w:szCs w:val="21"/>
        </w:rPr>
        <w:t>表中的</w:t>
      </w:r>
      <w:r w:rsidRPr="00D3109D">
        <w:rPr>
          <w:rFonts w:ascii="Times New Roman" w:hAnsi="Times New Roman" w:cs="Times New Roman"/>
          <w:szCs w:val="21"/>
        </w:rPr>
        <w:t>Ki(</w:t>
      </w:r>
      <w:proofErr w:type="spellStart"/>
      <w:r w:rsidRPr="00D3109D">
        <w:rPr>
          <w:rFonts w:ascii="Times New Roman" w:hAnsi="Times New Roman" w:cs="Times New Roman"/>
          <w:szCs w:val="21"/>
        </w:rPr>
        <w:t>Kd</w:t>
      </w:r>
      <w:proofErr w:type="spellEnd"/>
      <w:r w:rsidRPr="00D3109D">
        <w:rPr>
          <w:rFonts w:ascii="Times New Roman" w:hAnsi="Times New Roman" w:cs="Times New Roman"/>
          <w:szCs w:val="21"/>
        </w:rPr>
        <w:t>)</w:t>
      </w:r>
      <w:r w:rsidRPr="00D3109D">
        <w:rPr>
          <w:rFonts w:ascii="Times New Roman" w:hAnsi="Times New Roman" w:cs="Times New Roman"/>
          <w:szCs w:val="21"/>
        </w:rPr>
        <w:t>值是按照以下公式计算的：</w:t>
      </w:r>
    </w:p>
    <w:p w14:paraId="11D1C5F8" w14:textId="3E222B62" w:rsidR="00954D79" w:rsidRPr="00D3109D" w:rsidRDefault="00954D79" w:rsidP="00954D79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44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kern w:val="4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4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44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kern w:val="4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-△G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44"/>
                      <w:szCs w:val="21"/>
                    </w:rPr>
                    <m:t>RT</m:t>
                  </m:r>
                </m:den>
              </m:f>
            </m:sup>
          </m:sSup>
        </m:oMath>
      </m:oMathPara>
    </w:p>
    <w:p w14:paraId="0EB056F2" w14:textId="5C9751D4" w:rsidR="00954D79" w:rsidRPr="00D3109D" w:rsidRDefault="00954D79" w:rsidP="00954D79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3109D">
        <w:rPr>
          <w:rFonts w:ascii="Times New Roman" w:hAnsi="Times New Roman" w:cs="Times New Roman"/>
          <w:szCs w:val="21"/>
        </w:rPr>
        <w:t>其中，</w:t>
      </w:r>
      <w:r w:rsidRPr="00D3109D">
        <w:rPr>
          <w:rFonts w:ascii="Times New Roman" w:hAnsi="Times New Roman" w:cs="Times New Roman"/>
          <w:i/>
          <w:szCs w:val="21"/>
        </w:rPr>
        <w:t>e</w:t>
      </w:r>
      <w:r w:rsidRPr="00D3109D">
        <w:rPr>
          <w:rFonts w:ascii="Times New Roman" w:hAnsi="Times New Roman" w:cs="Times New Roman"/>
          <w:szCs w:val="21"/>
        </w:rPr>
        <w:t>是自然常数。</w:t>
      </w:r>
      <w:r w:rsidRPr="00D3109D">
        <w:rPr>
          <w:rFonts w:ascii="Times New Roman" w:hAnsi="Times New Roman" w:cs="Times New Roman"/>
          <w:i/>
          <w:szCs w:val="21"/>
        </w:rPr>
        <w:t>-</w:t>
      </w:r>
      <w:r w:rsidRPr="00D3109D">
        <w:rPr>
          <w:rFonts w:ascii="Cambria Math" w:hAnsi="Cambria Math" w:cs="Cambria Math"/>
          <w:i/>
          <w:szCs w:val="21"/>
        </w:rPr>
        <w:t>△</w:t>
      </w:r>
      <w:r w:rsidRPr="00D3109D">
        <w:rPr>
          <w:rFonts w:ascii="Times New Roman" w:hAnsi="Times New Roman" w:cs="Times New Roman"/>
          <w:i/>
          <w:szCs w:val="21"/>
        </w:rPr>
        <w:t>G</w:t>
      </w:r>
      <w:r w:rsidRPr="00D3109D">
        <w:rPr>
          <w:rFonts w:ascii="Times New Roman" w:hAnsi="Times New Roman" w:cs="Times New Roman"/>
          <w:i/>
          <w:szCs w:val="21"/>
        </w:rPr>
        <w:t xml:space="preserve"> </w:t>
      </w:r>
      <w:r w:rsidRPr="00D3109D">
        <w:rPr>
          <w:rFonts w:ascii="Times New Roman" w:hAnsi="Times New Roman" w:cs="Times New Roman"/>
          <w:szCs w:val="21"/>
        </w:rPr>
        <w:t>(</w:t>
      </w:r>
      <w:proofErr w:type="spellStart"/>
      <w:r w:rsidRPr="00D3109D">
        <w:rPr>
          <w:rFonts w:ascii="Times New Roman" w:hAnsi="Times New Roman" w:cs="Times New Roman"/>
          <w:szCs w:val="21"/>
        </w:rPr>
        <w:t>cal</w:t>
      </w:r>
      <w:proofErr w:type="spellEnd"/>
      <w:r w:rsidRPr="00D3109D">
        <w:rPr>
          <w:rFonts w:ascii="Times New Roman" w:hAnsi="Times New Roman" w:cs="Times New Roman"/>
          <w:szCs w:val="21"/>
        </w:rPr>
        <w:t>/mol)</w:t>
      </w:r>
      <w:r w:rsidRPr="00D3109D">
        <w:rPr>
          <w:rFonts w:ascii="Times New Roman" w:hAnsi="Times New Roman" w:cs="Times New Roman"/>
          <w:szCs w:val="21"/>
        </w:rPr>
        <w:t>是结合自由能，这里是</w:t>
      </w:r>
      <w:r w:rsidRPr="00D3109D">
        <w:rPr>
          <w:rFonts w:ascii="Times New Roman" w:hAnsi="Times New Roman" w:cs="Times New Roman"/>
          <w:szCs w:val="21"/>
        </w:rPr>
        <w:t>对接打分</w:t>
      </w:r>
      <w:r w:rsidRPr="00D3109D">
        <w:rPr>
          <w:rFonts w:ascii="Times New Roman" w:hAnsi="Times New Roman" w:cs="Times New Roman"/>
          <w:szCs w:val="21"/>
        </w:rPr>
        <w:t>。</w:t>
      </w:r>
      <w:r w:rsidRPr="00D3109D">
        <w:rPr>
          <w:rFonts w:ascii="Times New Roman" w:hAnsi="Times New Roman" w:cs="Times New Roman"/>
          <w:i/>
          <w:szCs w:val="21"/>
        </w:rPr>
        <w:t>R</w:t>
      </w:r>
      <w:r w:rsidRPr="00D3109D">
        <w:rPr>
          <w:rFonts w:ascii="Times New Roman" w:hAnsi="Times New Roman" w:cs="Times New Roman"/>
          <w:szCs w:val="21"/>
        </w:rPr>
        <w:t>是理想气体常数</w:t>
      </w:r>
      <w:r w:rsidRPr="00D3109D">
        <w:rPr>
          <w:rFonts w:ascii="Times New Roman" w:hAnsi="Times New Roman" w:cs="Times New Roman"/>
          <w:szCs w:val="21"/>
        </w:rPr>
        <w:t>(1.986cal/K)</w:t>
      </w:r>
      <w:r w:rsidRPr="00D3109D">
        <w:rPr>
          <w:rFonts w:ascii="Times New Roman" w:hAnsi="Times New Roman" w:cs="Times New Roman"/>
          <w:szCs w:val="21"/>
        </w:rPr>
        <w:t>。温度</w:t>
      </w:r>
      <w:r w:rsidRPr="00D3109D">
        <w:rPr>
          <w:rFonts w:ascii="Times New Roman" w:hAnsi="Times New Roman" w:cs="Times New Roman"/>
          <w:i/>
          <w:szCs w:val="21"/>
        </w:rPr>
        <w:t>T</w:t>
      </w:r>
      <w:r w:rsidRPr="00D3109D">
        <w:rPr>
          <w:rFonts w:ascii="Times New Roman" w:hAnsi="Times New Roman" w:cs="Times New Roman"/>
          <w:szCs w:val="21"/>
        </w:rPr>
        <w:t>设为</w:t>
      </w:r>
      <w:r w:rsidRPr="00D3109D">
        <w:rPr>
          <w:rFonts w:ascii="Times New Roman" w:hAnsi="Times New Roman" w:cs="Times New Roman"/>
          <w:szCs w:val="21"/>
        </w:rPr>
        <w:t>298K</w:t>
      </w:r>
      <w:r w:rsidRPr="00D3109D">
        <w:rPr>
          <w:rFonts w:ascii="Times New Roman" w:hAnsi="Times New Roman" w:cs="Times New Roman"/>
          <w:szCs w:val="21"/>
        </w:rPr>
        <w:t>。</w:t>
      </w:r>
    </w:p>
    <w:p w14:paraId="48F1D9A9" w14:textId="3692C178" w:rsidR="00954D79" w:rsidRDefault="00954D79" w:rsidP="00954D79">
      <w:pPr>
        <w:pStyle w:val="a7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D3109D">
        <w:rPr>
          <w:rFonts w:ascii="Times New Roman" w:hAnsi="Times New Roman" w:cs="Times New Roman"/>
          <w:b/>
          <w:szCs w:val="21"/>
        </w:rPr>
        <w:t>注意，如果受体和配体</w:t>
      </w:r>
      <w:r w:rsidR="00D3109D" w:rsidRPr="00D3109D">
        <w:rPr>
          <w:rFonts w:ascii="Times New Roman" w:hAnsi="Times New Roman" w:cs="Times New Roman"/>
          <w:b/>
          <w:szCs w:val="21"/>
        </w:rPr>
        <w:t>过多</w:t>
      </w:r>
      <w:r w:rsidRPr="00D3109D">
        <w:rPr>
          <w:rFonts w:ascii="Times New Roman" w:hAnsi="Times New Roman" w:cs="Times New Roman"/>
          <w:b/>
          <w:szCs w:val="21"/>
        </w:rPr>
        <w:t>，</w:t>
      </w:r>
      <w:proofErr w:type="gramStart"/>
      <w:r w:rsidRPr="00D3109D">
        <w:rPr>
          <w:rFonts w:ascii="Times New Roman" w:hAnsi="Times New Roman" w:cs="Times New Roman"/>
          <w:b/>
          <w:szCs w:val="21"/>
        </w:rPr>
        <w:t>亲和力热图可能</w:t>
      </w:r>
      <w:proofErr w:type="gramEnd"/>
      <w:r w:rsidRPr="00D3109D">
        <w:rPr>
          <w:rFonts w:ascii="Times New Roman" w:hAnsi="Times New Roman" w:cs="Times New Roman"/>
          <w:b/>
          <w:szCs w:val="21"/>
        </w:rPr>
        <w:t>会</w:t>
      </w:r>
      <w:r w:rsidR="00D3109D" w:rsidRPr="00D3109D">
        <w:rPr>
          <w:rFonts w:ascii="Times New Roman" w:hAnsi="Times New Roman" w:cs="Times New Roman"/>
          <w:b/>
          <w:szCs w:val="21"/>
        </w:rPr>
        <w:t>不合理地显示</w:t>
      </w:r>
      <w:r w:rsidRPr="00D3109D">
        <w:rPr>
          <w:rFonts w:ascii="Times New Roman" w:hAnsi="Times New Roman" w:cs="Times New Roman"/>
          <w:b/>
          <w:szCs w:val="21"/>
        </w:rPr>
        <w:t>（亲和力</w:t>
      </w:r>
      <w:r w:rsidR="00D3109D" w:rsidRPr="00D3109D">
        <w:rPr>
          <w:rFonts w:ascii="Times New Roman" w:hAnsi="Times New Roman" w:cs="Times New Roman"/>
          <w:b/>
          <w:szCs w:val="21"/>
        </w:rPr>
        <w:t>汇总</w:t>
      </w:r>
      <w:r w:rsidRPr="00D3109D">
        <w:rPr>
          <w:rFonts w:ascii="Times New Roman" w:hAnsi="Times New Roman" w:cs="Times New Roman"/>
          <w:b/>
          <w:szCs w:val="21"/>
        </w:rPr>
        <w:t>表不</w:t>
      </w:r>
      <w:r w:rsidR="00D3109D" w:rsidRPr="00D3109D">
        <w:rPr>
          <w:rFonts w:ascii="Times New Roman" w:hAnsi="Times New Roman" w:cs="Times New Roman"/>
          <w:b/>
          <w:szCs w:val="21"/>
        </w:rPr>
        <w:t>会</w:t>
      </w:r>
      <w:r w:rsidRPr="00D3109D">
        <w:rPr>
          <w:rFonts w:ascii="Times New Roman" w:hAnsi="Times New Roman" w:cs="Times New Roman"/>
          <w:b/>
          <w:szCs w:val="21"/>
        </w:rPr>
        <w:t>受影响）。</w:t>
      </w:r>
    </w:p>
    <w:p w14:paraId="3714E58C" w14:textId="3631A5F0" w:rsidR="00D26D20" w:rsidRDefault="00D26D20" w:rsidP="00D26D2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6D2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D26D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D26D2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分割结果构象</w:t>
      </w:r>
    </w:p>
    <w:p w14:paraId="0E4177C0" w14:textId="592DBED1" w:rsidR="00D26D20" w:rsidRPr="00260443" w:rsidRDefault="00D26D20" w:rsidP="00D26D20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260443">
        <w:rPr>
          <w:rFonts w:ascii="Times New Roman" w:hAnsi="Times New Roman" w:cs="Times New Roman"/>
          <w:szCs w:val="21"/>
        </w:rPr>
        <w:t>模块</w:t>
      </w:r>
      <w:r w:rsidRPr="00260443">
        <w:rPr>
          <w:rFonts w:ascii="Times New Roman" w:hAnsi="Times New Roman" w:cs="Times New Roman"/>
          <w:szCs w:val="21"/>
        </w:rPr>
        <w:t>5.2</w:t>
      </w:r>
      <w:r w:rsidRPr="00260443">
        <w:rPr>
          <w:rFonts w:ascii="Times New Roman" w:hAnsi="Times New Roman" w:cs="Times New Roman"/>
          <w:szCs w:val="21"/>
        </w:rPr>
        <w:t>可以通过</w:t>
      </w:r>
      <w:proofErr w:type="gramStart"/>
      <w:r w:rsidRPr="00260443">
        <w:rPr>
          <w:rFonts w:ascii="Times New Roman" w:hAnsi="Times New Roman" w:cs="Times New Roman"/>
          <w:szCs w:val="21"/>
        </w:rPr>
        <w:t>勾</w:t>
      </w:r>
      <w:proofErr w:type="gramEnd"/>
      <w:r w:rsidRPr="00260443">
        <w:rPr>
          <w:rFonts w:ascii="Times New Roman" w:hAnsi="Times New Roman" w:cs="Times New Roman"/>
          <w:szCs w:val="21"/>
        </w:rPr>
        <w:t>选</w:t>
      </w:r>
      <w:r w:rsidRPr="00260443">
        <w:rPr>
          <w:rFonts w:ascii="Times New Roman" w:hAnsi="Times New Roman" w:cs="Times New Roman"/>
          <w:szCs w:val="21"/>
        </w:rPr>
        <w:t>模块</w:t>
      </w:r>
      <w:r w:rsidRPr="00260443">
        <w:rPr>
          <w:rFonts w:ascii="Times New Roman" w:hAnsi="Times New Roman" w:cs="Times New Roman"/>
          <w:szCs w:val="21"/>
        </w:rPr>
        <w:t>4</w:t>
      </w:r>
      <w:r w:rsidRPr="00260443">
        <w:rPr>
          <w:rFonts w:ascii="Times New Roman" w:hAnsi="Times New Roman" w:cs="Times New Roman"/>
          <w:szCs w:val="21"/>
        </w:rPr>
        <w:t>中的</w:t>
      </w:r>
      <w:r w:rsidRPr="00260443">
        <w:rPr>
          <w:rFonts w:ascii="Times New Roman" w:hAnsi="Times New Roman" w:cs="Times New Roman"/>
          <w:szCs w:val="21"/>
        </w:rPr>
        <w:t>"</w:t>
      </w:r>
      <w:r w:rsidRPr="00260443">
        <w:rPr>
          <w:rFonts w:ascii="Times New Roman" w:hAnsi="Times New Roman" w:cs="Times New Roman"/>
          <w:szCs w:val="21"/>
        </w:rPr>
        <w:t>结果分析</w:t>
      </w:r>
      <w:r w:rsidRPr="00260443">
        <w:rPr>
          <w:rFonts w:ascii="Times New Roman" w:hAnsi="Times New Roman" w:cs="Times New Roman"/>
          <w:szCs w:val="21"/>
        </w:rPr>
        <w:t>"</w:t>
      </w:r>
      <w:r w:rsidRPr="00260443">
        <w:rPr>
          <w:rFonts w:ascii="Times New Roman" w:hAnsi="Times New Roman" w:cs="Times New Roman"/>
          <w:szCs w:val="21"/>
        </w:rPr>
        <w:t>选项自动</w:t>
      </w:r>
      <w:r w:rsidRPr="00260443">
        <w:rPr>
          <w:rFonts w:ascii="Times New Roman" w:hAnsi="Times New Roman" w:cs="Times New Roman"/>
          <w:szCs w:val="21"/>
        </w:rPr>
        <w:t>执行</w:t>
      </w:r>
      <w:r w:rsidRPr="00260443">
        <w:rPr>
          <w:rFonts w:ascii="Times New Roman" w:hAnsi="Times New Roman" w:cs="Times New Roman"/>
          <w:szCs w:val="21"/>
        </w:rPr>
        <w:t>。这个模块用来将</w:t>
      </w:r>
      <w:r w:rsidRPr="00260443">
        <w:rPr>
          <w:rFonts w:ascii="Times New Roman" w:hAnsi="Times New Roman" w:cs="Times New Roman"/>
          <w:szCs w:val="21"/>
        </w:rPr>
        <w:t>Vina</w:t>
      </w:r>
      <w:r w:rsidRPr="00260443">
        <w:rPr>
          <w:rFonts w:ascii="Times New Roman" w:hAnsi="Times New Roman" w:cs="Times New Roman"/>
          <w:szCs w:val="21"/>
        </w:rPr>
        <w:t>的输出</w:t>
      </w:r>
      <w:r w:rsidRPr="00260443">
        <w:rPr>
          <w:rFonts w:ascii="Times New Roman" w:hAnsi="Times New Roman" w:cs="Times New Roman"/>
          <w:szCs w:val="21"/>
        </w:rPr>
        <w:t>(.</w:t>
      </w:r>
      <w:proofErr w:type="spellStart"/>
      <w:r w:rsidRPr="00260443">
        <w:rPr>
          <w:rFonts w:ascii="Times New Roman" w:hAnsi="Times New Roman" w:cs="Times New Roman"/>
          <w:szCs w:val="21"/>
        </w:rPr>
        <w:t>pdbqt</w:t>
      </w:r>
      <w:proofErr w:type="spellEnd"/>
      <w:r w:rsidRPr="00260443">
        <w:rPr>
          <w:rFonts w:ascii="Times New Roman" w:hAnsi="Times New Roman" w:cs="Times New Roman"/>
          <w:szCs w:val="21"/>
        </w:rPr>
        <w:t>)——</w:t>
      </w:r>
      <w:r w:rsidRPr="00260443">
        <w:rPr>
          <w:rFonts w:ascii="Times New Roman" w:hAnsi="Times New Roman" w:cs="Times New Roman"/>
          <w:szCs w:val="21"/>
        </w:rPr>
        <w:t>包含多个排名靠前的对接构象文件，</w:t>
      </w:r>
      <w:r w:rsidRPr="00260443">
        <w:rPr>
          <w:rFonts w:ascii="Times New Roman" w:hAnsi="Times New Roman" w:cs="Times New Roman"/>
          <w:szCs w:val="21"/>
        </w:rPr>
        <w:t>分割成单一的</w:t>
      </w:r>
      <w:r w:rsidRPr="00260443">
        <w:rPr>
          <w:rFonts w:ascii="Times New Roman" w:hAnsi="Times New Roman" w:cs="Times New Roman"/>
          <w:szCs w:val="21"/>
        </w:rPr>
        <w:t>构象</w:t>
      </w:r>
      <w:r w:rsidRPr="00260443">
        <w:rPr>
          <w:rFonts w:ascii="Times New Roman" w:hAnsi="Times New Roman" w:cs="Times New Roman"/>
          <w:szCs w:val="21"/>
        </w:rPr>
        <w:t>文件。</w:t>
      </w:r>
    </w:p>
    <w:p w14:paraId="009BC158" w14:textId="0AA842F0" w:rsidR="00D26D20" w:rsidRPr="00260443" w:rsidRDefault="00D26D20" w:rsidP="00D26D20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260443">
        <w:rPr>
          <w:rFonts w:ascii="Times New Roman" w:hAnsi="Times New Roman" w:cs="Times New Roman"/>
          <w:szCs w:val="21"/>
        </w:rPr>
        <w:t xml:space="preserve">(1) </w:t>
      </w:r>
      <w:r w:rsidRPr="00260443">
        <w:rPr>
          <w:rFonts w:ascii="Times New Roman" w:hAnsi="Times New Roman" w:cs="Times New Roman"/>
          <w:szCs w:val="21"/>
        </w:rPr>
        <w:t>点击</w:t>
      </w:r>
      <w:r w:rsidRPr="00260443">
        <w:rPr>
          <w:rFonts w:ascii="Times New Roman" w:hAnsi="Times New Roman" w:cs="Times New Roman"/>
          <w:szCs w:val="21"/>
        </w:rPr>
        <w:t>"</w:t>
      </w:r>
      <w:r w:rsidRPr="00260443">
        <w:rPr>
          <w:rFonts w:ascii="Times New Roman" w:hAnsi="Times New Roman" w:cs="Times New Roman"/>
          <w:szCs w:val="21"/>
        </w:rPr>
        <w:t>选择对接结果所在路径</w:t>
      </w:r>
      <w:r w:rsidRPr="00260443">
        <w:rPr>
          <w:rFonts w:ascii="Times New Roman" w:hAnsi="Times New Roman" w:cs="Times New Roman"/>
          <w:szCs w:val="21"/>
        </w:rPr>
        <w:t>"</w:t>
      </w:r>
      <w:r w:rsidRPr="00260443">
        <w:rPr>
          <w:rFonts w:ascii="Times New Roman" w:hAnsi="Times New Roman" w:cs="Times New Roman"/>
          <w:szCs w:val="21"/>
        </w:rPr>
        <w:t>来选择对接结果所在路径，如模块</w:t>
      </w:r>
      <w:r w:rsidRPr="00260443">
        <w:rPr>
          <w:rFonts w:ascii="Times New Roman" w:hAnsi="Times New Roman" w:cs="Times New Roman"/>
          <w:szCs w:val="21"/>
        </w:rPr>
        <w:t>4</w:t>
      </w:r>
      <w:r w:rsidRPr="00260443">
        <w:rPr>
          <w:rFonts w:ascii="Times New Roman" w:hAnsi="Times New Roman" w:cs="Times New Roman"/>
          <w:szCs w:val="21"/>
        </w:rPr>
        <w:t>中的结果输出路径。</w:t>
      </w:r>
    </w:p>
    <w:p w14:paraId="7254F01B" w14:textId="450BF0BE" w:rsidR="00D26D20" w:rsidRPr="00260443" w:rsidRDefault="00D26D20" w:rsidP="00D26D20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260443">
        <w:rPr>
          <w:rFonts w:ascii="Times New Roman" w:hAnsi="Times New Roman" w:cs="Times New Roman"/>
          <w:szCs w:val="21"/>
        </w:rPr>
        <w:t xml:space="preserve">(2) </w:t>
      </w:r>
      <w:r w:rsidRPr="00260443">
        <w:rPr>
          <w:rFonts w:ascii="Times New Roman" w:hAnsi="Times New Roman" w:cs="Times New Roman"/>
          <w:szCs w:val="21"/>
        </w:rPr>
        <w:t>点击</w:t>
      </w:r>
      <w:r w:rsidRPr="00260443">
        <w:rPr>
          <w:rFonts w:ascii="Times New Roman" w:hAnsi="Times New Roman" w:cs="Times New Roman"/>
          <w:szCs w:val="21"/>
        </w:rPr>
        <w:t>"</w:t>
      </w:r>
      <w:r w:rsidR="00260443" w:rsidRPr="00260443">
        <w:rPr>
          <w:rFonts w:ascii="Times New Roman" w:hAnsi="Times New Roman" w:cs="Times New Roman"/>
          <w:szCs w:val="21"/>
        </w:rPr>
        <w:t>开始分割</w:t>
      </w:r>
      <w:r w:rsidRPr="00260443">
        <w:rPr>
          <w:rFonts w:ascii="Times New Roman" w:hAnsi="Times New Roman" w:cs="Times New Roman"/>
          <w:szCs w:val="21"/>
        </w:rPr>
        <w:t>"</w:t>
      </w:r>
      <w:r w:rsidRPr="00260443">
        <w:rPr>
          <w:rFonts w:ascii="Times New Roman" w:hAnsi="Times New Roman" w:cs="Times New Roman"/>
          <w:szCs w:val="21"/>
        </w:rPr>
        <w:t>并等待</w:t>
      </w:r>
      <w:r w:rsidR="00260443" w:rsidRPr="00260443">
        <w:rPr>
          <w:rFonts w:ascii="Times New Roman" w:hAnsi="Times New Roman" w:cs="Times New Roman"/>
          <w:szCs w:val="21"/>
        </w:rPr>
        <w:t>，分隔后的</w:t>
      </w:r>
      <w:r w:rsidRPr="00260443">
        <w:rPr>
          <w:rFonts w:ascii="Times New Roman" w:hAnsi="Times New Roman" w:cs="Times New Roman"/>
          <w:szCs w:val="21"/>
        </w:rPr>
        <w:t>文件将被保存在原来的</w:t>
      </w:r>
      <w:r w:rsidR="00260443" w:rsidRPr="00260443">
        <w:rPr>
          <w:rFonts w:ascii="Times New Roman" w:hAnsi="Times New Roman" w:cs="Times New Roman"/>
          <w:szCs w:val="21"/>
        </w:rPr>
        <w:t>路径</w:t>
      </w:r>
      <w:r w:rsidRPr="00260443">
        <w:rPr>
          <w:rFonts w:ascii="Times New Roman" w:hAnsi="Times New Roman" w:cs="Times New Roman"/>
          <w:szCs w:val="21"/>
        </w:rPr>
        <w:t>中。</w:t>
      </w:r>
    </w:p>
    <w:p w14:paraId="29B7B6F0" w14:textId="49EA0FF3" w:rsidR="00D26D20" w:rsidRDefault="00D26D20" w:rsidP="00D26D20">
      <w:pPr>
        <w:pStyle w:val="a7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260443">
        <w:rPr>
          <w:rFonts w:ascii="Times New Roman" w:hAnsi="Times New Roman" w:cs="Times New Roman"/>
          <w:b/>
          <w:szCs w:val="21"/>
        </w:rPr>
        <w:t>注意，</w:t>
      </w:r>
      <w:r w:rsidR="00260443">
        <w:rPr>
          <w:rFonts w:ascii="Times New Roman" w:hAnsi="Times New Roman" w:cs="Times New Roman" w:hint="eastAsia"/>
          <w:b/>
          <w:szCs w:val="21"/>
        </w:rPr>
        <w:t>无法分隔名称中含有特殊字符的对接结果，</w:t>
      </w:r>
      <w:r w:rsidRPr="00260443">
        <w:rPr>
          <w:rFonts w:ascii="Times New Roman" w:hAnsi="Times New Roman" w:cs="Times New Roman"/>
          <w:b/>
          <w:szCs w:val="21"/>
        </w:rPr>
        <w:t>如</w:t>
      </w:r>
      <w:r w:rsidRPr="00260443">
        <w:rPr>
          <w:rFonts w:ascii="Times New Roman" w:hAnsi="Times New Roman" w:cs="Times New Roman"/>
          <w:b/>
          <w:szCs w:val="21"/>
        </w:rPr>
        <w:t>α</w:t>
      </w:r>
      <w:r w:rsidRPr="00260443">
        <w:rPr>
          <w:rFonts w:ascii="Times New Roman" w:hAnsi="Times New Roman" w:cs="Times New Roman"/>
          <w:b/>
          <w:szCs w:val="21"/>
        </w:rPr>
        <w:t>，</w:t>
      </w:r>
      <w:r w:rsidRPr="00260443">
        <w:rPr>
          <w:rFonts w:ascii="Times New Roman" w:hAnsi="Times New Roman" w:cs="Times New Roman"/>
          <w:b/>
          <w:szCs w:val="21"/>
        </w:rPr>
        <w:t>β</w:t>
      </w:r>
      <w:r w:rsidRPr="00260443">
        <w:rPr>
          <w:rFonts w:ascii="Times New Roman" w:hAnsi="Times New Roman" w:cs="Times New Roman"/>
          <w:b/>
          <w:szCs w:val="21"/>
        </w:rPr>
        <w:t>等</w:t>
      </w:r>
      <w:r w:rsidR="00260443">
        <w:rPr>
          <w:rFonts w:ascii="Times New Roman" w:hAnsi="Times New Roman" w:cs="Times New Roman" w:hint="eastAsia"/>
          <w:b/>
          <w:szCs w:val="21"/>
        </w:rPr>
        <w:t>。另外，</w:t>
      </w:r>
      <w:r w:rsidRPr="00260443">
        <w:rPr>
          <w:rFonts w:ascii="Times New Roman" w:hAnsi="Times New Roman" w:cs="Times New Roman"/>
          <w:b/>
          <w:szCs w:val="21"/>
        </w:rPr>
        <w:t>请先分析</w:t>
      </w:r>
      <w:r w:rsidR="00260443">
        <w:rPr>
          <w:rFonts w:ascii="Times New Roman" w:hAnsi="Times New Roman" w:cs="Times New Roman" w:hint="eastAsia"/>
          <w:b/>
          <w:szCs w:val="21"/>
        </w:rPr>
        <w:t>结合</w:t>
      </w:r>
      <w:r w:rsidRPr="00260443">
        <w:rPr>
          <w:rFonts w:ascii="Times New Roman" w:hAnsi="Times New Roman" w:cs="Times New Roman"/>
          <w:b/>
          <w:szCs w:val="21"/>
        </w:rPr>
        <w:t>亲和力，再</w:t>
      </w:r>
      <w:r w:rsidR="00260443">
        <w:rPr>
          <w:rFonts w:ascii="Times New Roman" w:hAnsi="Times New Roman" w:cs="Times New Roman" w:hint="eastAsia"/>
          <w:b/>
          <w:szCs w:val="21"/>
        </w:rPr>
        <w:t>分割</w:t>
      </w:r>
      <w:r w:rsidRPr="00260443">
        <w:rPr>
          <w:rFonts w:ascii="Times New Roman" w:hAnsi="Times New Roman" w:cs="Times New Roman"/>
          <w:b/>
          <w:szCs w:val="21"/>
        </w:rPr>
        <w:t>对接</w:t>
      </w:r>
      <w:r w:rsidR="00260443">
        <w:rPr>
          <w:rFonts w:ascii="Times New Roman" w:hAnsi="Times New Roman" w:cs="Times New Roman" w:hint="eastAsia"/>
          <w:b/>
          <w:szCs w:val="21"/>
        </w:rPr>
        <w:t>构象</w:t>
      </w:r>
      <w:r w:rsidRPr="00260443">
        <w:rPr>
          <w:rFonts w:ascii="Times New Roman" w:hAnsi="Times New Roman" w:cs="Times New Roman"/>
          <w:b/>
          <w:szCs w:val="21"/>
        </w:rPr>
        <w:t>，否则</w:t>
      </w:r>
      <w:r w:rsidR="00260443">
        <w:rPr>
          <w:rFonts w:ascii="Times New Roman" w:hAnsi="Times New Roman" w:cs="Times New Roman" w:hint="eastAsia"/>
          <w:b/>
          <w:szCs w:val="21"/>
        </w:rPr>
        <w:t>分割</w:t>
      </w:r>
      <w:r w:rsidR="00260443" w:rsidRPr="00260443">
        <w:rPr>
          <w:rFonts w:ascii="Times New Roman" w:hAnsi="Times New Roman" w:cs="Times New Roman"/>
          <w:b/>
          <w:szCs w:val="21"/>
        </w:rPr>
        <w:t>对接</w:t>
      </w:r>
      <w:r w:rsidR="00260443">
        <w:rPr>
          <w:rFonts w:ascii="Times New Roman" w:hAnsi="Times New Roman" w:cs="Times New Roman" w:hint="eastAsia"/>
          <w:b/>
          <w:szCs w:val="21"/>
        </w:rPr>
        <w:t>构象</w:t>
      </w:r>
      <w:r w:rsidRPr="00260443">
        <w:rPr>
          <w:rFonts w:ascii="Times New Roman" w:hAnsi="Times New Roman" w:cs="Times New Roman"/>
          <w:b/>
          <w:szCs w:val="21"/>
        </w:rPr>
        <w:t>后，日志文件也会被移到</w:t>
      </w:r>
      <w:r w:rsidR="00260443">
        <w:rPr>
          <w:rFonts w:ascii="Times New Roman" w:hAnsi="Times New Roman" w:cs="Times New Roman" w:hint="eastAsia"/>
          <w:b/>
          <w:szCs w:val="21"/>
        </w:rPr>
        <w:t>相应的</w:t>
      </w:r>
      <w:r w:rsidRPr="00260443">
        <w:rPr>
          <w:rFonts w:ascii="Times New Roman" w:hAnsi="Times New Roman" w:cs="Times New Roman"/>
          <w:b/>
          <w:szCs w:val="21"/>
        </w:rPr>
        <w:t>子文件夹中，</w:t>
      </w:r>
      <w:r w:rsidR="00260443">
        <w:rPr>
          <w:rFonts w:ascii="Times New Roman" w:hAnsi="Times New Roman" w:cs="Times New Roman" w:hint="eastAsia"/>
          <w:b/>
          <w:szCs w:val="21"/>
        </w:rPr>
        <w:t>导致难以再分析亲和力。</w:t>
      </w:r>
    </w:p>
    <w:p w14:paraId="3372C8F3" w14:textId="2ACDD9A4" w:rsidR="00347AB5" w:rsidRDefault="00347AB5" w:rsidP="00347AB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7AB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347A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.3 </w:t>
      </w:r>
      <w:r w:rsidRPr="00347AB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生成配受体复合物</w:t>
      </w:r>
      <w:r w:rsidR="0089040B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(</w:t>
      </w:r>
      <w:r w:rsidR="0089040B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测试</w:t>
      </w:r>
      <w:r w:rsidR="0089040B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)</w:t>
      </w:r>
    </w:p>
    <w:p w14:paraId="06EFC851" w14:textId="0B326032" w:rsidR="003C736A" w:rsidRPr="003C736A" w:rsidRDefault="003C736A" w:rsidP="003C736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736A">
        <w:rPr>
          <w:rFonts w:ascii="Times New Roman" w:hAnsi="Times New Roman" w:cs="Times New Roman"/>
          <w:szCs w:val="21"/>
        </w:rPr>
        <w:t>Vina</w:t>
      </w:r>
      <w:r w:rsidRPr="003C736A">
        <w:rPr>
          <w:rFonts w:ascii="Times New Roman" w:hAnsi="Times New Roman" w:cs="Times New Roman"/>
          <w:szCs w:val="21"/>
        </w:rPr>
        <w:t>的输出只包含配体的</w:t>
      </w:r>
      <w:r>
        <w:rPr>
          <w:rFonts w:ascii="Times New Roman" w:hAnsi="Times New Roman" w:cs="Times New Roman" w:hint="eastAsia"/>
          <w:szCs w:val="21"/>
        </w:rPr>
        <w:t>结合构象</w:t>
      </w:r>
      <w:r w:rsidRPr="003C736A">
        <w:rPr>
          <w:rFonts w:ascii="Times New Roman" w:hAnsi="Times New Roman" w:cs="Times New Roman"/>
          <w:szCs w:val="21"/>
        </w:rPr>
        <w:t>。本模块用于将</w:t>
      </w:r>
      <w:r>
        <w:rPr>
          <w:rFonts w:ascii="Times New Roman" w:hAnsi="Times New Roman" w:cs="Times New Roman" w:hint="eastAsia"/>
          <w:szCs w:val="21"/>
        </w:rPr>
        <w:t>对接</w:t>
      </w:r>
      <w:r w:rsidRPr="003C736A">
        <w:rPr>
          <w:rFonts w:ascii="Times New Roman" w:hAnsi="Times New Roman" w:cs="Times New Roman"/>
          <w:szCs w:val="21"/>
        </w:rPr>
        <w:t>受体和</w:t>
      </w:r>
      <w:r>
        <w:rPr>
          <w:rFonts w:ascii="Times New Roman" w:hAnsi="Times New Roman" w:cs="Times New Roman" w:hint="eastAsia"/>
          <w:szCs w:val="21"/>
        </w:rPr>
        <w:t>配体结合构象</w:t>
      </w:r>
      <w:r w:rsidRPr="003C736A">
        <w:rPr>
          <w:rFonts w:ascii="Times New Roman" w:hAnsi="Times New Roman" w:cs="Times New Roman"/>
          <w:szCs w:val="21"/>
        </w:rPr>
        <w:t>保存在</w:t>
      </w:r>
      <w:r>
        <w:rPr>
          <w:rFonts w:ascii="Times New Roman" w:hAnsi="Times New Roman" w:cs="Times New Roman" w:hint="eastAsia"/>
          <w:szCs w:val="21"/>
        </w:rPr>
        <w:t>同</w:t>
      </w:r>
      <w:proofErr w:type="gramStart"/>
      <w:r>
        <w:rPr>
          <w:rFonts w:ascii="Times New Roman" w:hAnsi="Times New Roman" w:cs="Times New Roman" w:hint="eastAsia"/>
          <w:szCs w:val="21"/>
        </w:rPr>
        <w:lastRenderedPageBreak/>
        <w:t>一</w:t>
      </w:r>
      <w:r w:rsidRPr="003C736A">
        <w:rPr>
          <w:rFonts w:ascii="Times New Roman" w:hAnsi="Times New Roman" w:cs="Times New Roman"/>
          <w:szCs w:val="21"/>
        </w:rPr>
        <w:t>结构</w:t>
      </w:r>
      <w:proofErr w:type="gramEnd"/>
      <w:r w:rsidRPr="003C736A"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(</w:t>
      </w:r>
      <w:r w:rsidRPr="003C736A">
        <w:rPr>
          <w:rFonts w:ascii="Times New Roman" w:hAnsi="Times New Roman" w:cs="Times New Roman"/>
          <w:szCs w:val="21"/>
        </w:rPr>
        <w:t>.</w:t>
      </w:r>
      <w:proofErr w:type="spellStart"/>
      <w:r w:rsidRPr="003C736A">
        <w:rPr>
          <w:rFonts w:ascii="Times New Roman" w:hAnsi="Times New Roman" w:cs="Times New Roman"/>
          <w:szCs w:val="21"/>
        </w:rPr>
        <w:t>pdb</w:t>
      </w:r>
      <w:proofErr w:type="spellEnd"/>
      <w:r>
        <w:rPr>
          <w:rFonts w:ascii="Times New Roman" w:hAnsi="Times New Roman" w:cs="Times New Roman"/>
          <w:szCs w:val="21"/>
        </w:rPr>
        <w:t>)</w:t>
      </w:r>
      <w:r w:rsidRPr="003C736A">
        <w:rPr>
          <w:rFonts w:ascii="Times New Roman" w:hAnsi="Times New Roman" w:cs="Times New Roman"/>
          <w:szCs w:val="21"/>
        </w:rPr>
        <w:t>中。</w:t>
      </w:r>
    </w:p>
    <w:p w14:paraId="37E47084" w14:textId="468ADEA6" w:rsidR="003C736A" w:rsidRPr="003C736A" w:rsidRDefault="003C736A" w:rsidP="003C736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736A">
        <w:rPr>
          <w:rFonts w:ascii="Times New Roman" w:hAnsi="Times New Roman" w:cs="Times New Roman"/>
          <w:szCs w:val="21"/>
        </w:rPr>
        <w:t xml:space="preserve">(1) </w:t>
      </w:r>
      <w:r w:rsidRPr="003C736A">
        <w:rPr>
          <w:rFonts w:ascii="Times New Roman" w:hAnsi="Times New Roman" w:cs="Times New Roman"/>
          <w:szCs w:val="21"/>
        </w:rPr>
        <w:t>点击</w:t>
      </w:r>
      <w:r w:rsidR="00E521B0">
        <w:rPr>
          <w:rFonts w:ascii="Times New Roman" w:hAnsi="Times New Roman" w:cs="Times New Roman"/>
          <w:szCs w:val="21"/>
        </w:rPr>
        <w:t>“</w:t>
      </w:r>
      <w:r w:rsidR="00E521B0">
        <w:rPr>
          <w:rFonts w:ascii="Times New Roman" w:hAnsi="Times New Roman" w:cs="Times New Roman" w:hint="eastAsia"/>
          <w:szCs w:val="21"/>
        </w:rPr>
        <w:t>选择一个配体</w:t>
      </w:r>
      <w:r w:rsidR="00E521B0">
        <w:rPr>
          <w:rFonts w:ascii="Times New Roman" w:hAnsi="Times New Roman" w:cs="Times New Roman"/>
          <w:szCs w:val="21"/>
        </w:rPr>
        <w:t>”</w:t>
      </w:r>
      <w:r w:rsidRPr="003C736A">
        <w:rPr>
          <w:rFonts w:ascii="Times New Roman" w:hAnsi="Times New Roman" w:cs="Times New Roman"/>
          <w:szCs w:val="21"/>
        </w:rPr>
        <w:t>选择</w:t>
      </w:r>
      <w:r w:rsidR="00E521B0">
        <w:rPr>
          <w:rFonts w:ascii="Times New Roman" w:hAnsi="Times New Roman" w:cs="Times New Roman" w:hint="eastAsia"/>
          <w:szCs w:val="21"/>
        </w:rPr>
        <w:t>用于复合的配体构象</w:t>
      </w:r>
      <w:r w:rsidR="00E521B0">
        <w:rPr>
          <w:rFonts w:ascii="Times New Roman" w:hAnsi="Times New Roman" w:cs="Times New Roman" w:hint="eastAsia"/>
          <w:szCs w:val="21"/>
        </w:rPr>
        <w:t>(</w:t>
      </w:r>
      <w:r w:rsidR="00E521B0">
        <w:rPr>
          <w:rFonts w:ascii="Times New Roman" w:hAnsi="Times New Roman" w:cs="Times New Roman"/>
          <w:szCs w:val="21"/>
        </w:rPr>
        <w:t>.</w:t>
      </w:r>
      <w:proofErr w:type="spellStart"/>
      <w:r w:rsidR="00E521B0">
        <w:rPr>
          <w:rFonts w:ascii="Times New Roman" w:hAnsi="Times New Roman" w:cs="Times New Roman"/>
          <w:szCs w:val="21"/>
        </w:rPr>
        <w:t>pdbqt</w:t>
      </w:r>
      <w:proofErr w:type="spellEnd"/>
      <w:r w:rsidR="00E521B0">
        <w:rPr>
          <w:rFonts w:ascii="Times New Roman" w:hAnsi="Times New Roman" w:cs="Times New Roman"/>
          <w:szCs w:val="21"/>
        </w:rPr>
        <w:t>)</w:t>
      </w:r>
      <w:r w:rsidR="00E521B0">
        <w:rPr>
          <w:rFonts w:ascii="Times New Roman" w:hAnsi="Times New Roman" w:cs="Times New Roman" w:hint="eastAsia"/>
          <w:szCs w:val="21"/>
        </w:rPr>
        <w:t>。</w:t>
      </w:r>
    </w:p>
    <w:p w14:paraId="51BD4E6B" w14:textId="09D9AE28" w:rsidR="003C736A" w:rsidRPr="003C736A" w:rsidRDefault="003C736A" w:rsidP="003C736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736A">
        <w:rPr>
          <w:rFonts w:ascii="Times New Roman" w:hAnsi="Times New Roman" w:cs="Times New Roman"/>
          <w:szCs w:val="21"/>
        </w:rPr>
        <w:t xml:space="preserve">(2) </w:t>
      </w:r>
      <w:r w:rsidRPr="003C736A">
        <w:rPr>
          <w:rFonts w:ascii="Times New Roman" w:hAnsi="Times New Roman" w:cs="Times New Roman"/>
          <w:szCs w:val="21"/>
        </w:rPr>
        <w:t>点击</w:t>
      </w:r>
      <w:r w:rsidR="00E521B0">
        <w:rPr>
          <w:rFonts w:ascii="Times New Roman" w:hAnsi="Times New Roman" w:cs="Times New Roman"/>
          <w:szCs w:val="21"/>
        </w:rPr>
        <w:t>“</w:t>
      </w:r>
      <w:r w:rsidR="00E521B0">
        <w:rPr>
          <w:rFonts w:ascii="Times New Roman" w:hAnsi="Times New Roman" w:cs="Times New Roman" w:hint="eastAsia"/>
          <w:szCs w:val="21"/>
        </w:rPr>
        <w:t>选择一个</w:t>
      </w:r>
      <w:r w:rsidR="00E521B0">
        <w:rPr>
          <w:rFonts w:ascii="Times New Roman" w:hAnsi="Times New Roman" w:cs="Times New Roman" w:hint="eastAsia"/>
          <w:szCs w:val="21"/>
        </w:rPr>
        <w:t>受体</w:t>
      </w:r>
      <w:r w:rsidR="00E521B0">
        <w:rPr>
          <w:rFonts w:ascii="Times New Roman" w:hAnsi="Times New Roman" w:cs="Times New Roman"/>
          <w:szCs w:val="21"/>
        </w:rPr>
        <w:t>”</w:t>
      </w:r>
      <w:r w:rsidR="00E521B0">
        <w:rPr>
          <w:rFonts w:ascii="Times New Roman" w:hAnsi="Times New Roman" w:cs="Times New Roman" w:hint="eastAsia"/>
          <w:szCs w:val="21"/>
        </w:rPr>
        <w:t>选择</w:t>
      </w:r>
      <w:r w:rsidR="0089040B">
        <w:rPr>
          <w:rFonts w:ascii="Times New Roman" w:hAnsi="Times New Roman" w:cs="Times New Roman" w:hint="eastAsia"/>
          <w:szCs w:val="21"/>
        </w:rPr>
        <w:t>该配体的受体。</w:t>
      </w:r>
    </w:p>
    <w:p w14:paraId="6676503C" w14:textId="07FD121B" w:rsidR="003C736A" w:rsidRPr="003C736A" w:rsidRDefault="003C736A" w:rsidP="003C736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736A">
        <w:rPr>
          <w:rFonts w:ascii="Times New Roman" w:hAnsi="Times New Roman" w:cs="Times New Roman"/>
          <w:szCs w:val="21"/>
        </w:rPr>
        <w:t xml:space="preserve">(3) </w:t>
      </w:r>
      <w:r w:rsidRPr="003C736A">
        <w:rPr>
          <w:rFonts w:ascii="Times New Roman" w:hAnsi="Times New Roman" w:cs="Times New Roman"/>
          <w:szCs w:val="21"/>
        </w:rPr>
        <w:t>点击</w:t>
      </w:r>
      <w:r w:rsidR="0089040B">
        <w:rPr>
          <w:rFonts w:ascii="Times New Roman" w:hAnsi="Times New Roman" w:cs="Times New Roman"/>
          <w:szCs w:val="21"/>
        </w:rPr>
        <w:t>“</w:t>
      </w:r>
      <w:r w:rsidR="0089040B">
        <w:rPr>
          <w:rFonts w:ascii="Times New Roman" w:hAnsi="Times New Roman" w:cs="Times New Roman" w:hint="eastAsia"/>
          <w:szCs w:val="21"/>
        </w:rPr>
        <w:t>选择</w:t>
      </w:r>
      <w:r w:rsidR="0089040B">
        <w:rPr>
          <w:rFonts w:ascii="Times New Roman" w:hAnsi="Times New Roman" w:cs="Times New Roman" w:hint="eastAsia"/>
          <w:szCs w:val="21"/>
        </w:rPr>
        <w:t>保存路径</w:t>
      </w:r>
      <w:r w:rsidR="0089040B">
        <w:rPr>
          <w:rFonts w:ascii="Times New Roman" w:hAnsi="Times New Roman" w:cs="Times New Roman"/>
          <w:szCs w:val="21"/>
        </w:rPr>
        <w:t>”</w:t>
      </w:r>
      <w:r w:rsidRPr="003C736A">
        <w:rPr>
          <w:rFonts w:ascii="Times New Roman" w:hAnsi="Times New Roman" w:cs="Times New Roman"/>
          <w:szCs w:val="21"/>
        </w:rPr>
        <w:t>设置</w:t>
      </w:r>
      <w:r w:rsidR="0089040B">
        <w:rPr>
          <w:rFonts w:ascii="Times New Roman" w:hAnsi="Times New Roman" w:cs="Times New Roman" w:hint="eastAsia"/>
          <w:szCs w:val="21"/>
        </w:rPr>
        <w:t>配受体</w:t>
      </w:r>
      <w:r w:rsidRPr="003C736A">
        <w:rPr>
          <w:rFonts w:ascii="Times New Roman" w:hAnsi="Times New Roman" w:cs="Times New Roman"/>
          <w:szCs w:val="21"/>
        </w:rPr>
        <w:t>复合物的保存位置。</w:t>
      </w:r>
    </w:p>
    <w:p w14:paraId="63F1072E" w14:textId="4B456E44" w:rsidR="003C736A" w:rsidRPr="003C736A" w:rsidRDefault="003C736A" w:rsidP="003C736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736A">
        <w:rPr>
          <w:rFonts w:ascii="Times New Roman" w:hAnsi="Times New Roman" w:cs="Times New Roman"/>
          <w:szCs w:val="21"/>
        </w:rPr>
        <w:t xml:space="preserve">(4) </w:t>
      </w:r>
      <w:r w:rsidRPr="003C736A">
        <w:rPr>
          <w:rFonts w:ascii="Times New Roman" w:hAnsi="Times New Roman" w:cs="Times New Roman"/>
          <w:szCs w:val="21"/>
        </w:rPr>
        <w:t>点击</w:t>
      </w:r>
      <w:r w:rsidR="0089040B">
        <w:rPr>
          <w:rFonts w:ascii="Times New Roman" w:hAnsi="Times New Roman" w:cs="Times New Roman"/>
          <w:szCs w:val="21"/>
        </w:rPr>
        <w:t>“</w:t>
      </w:r>
      <w:r w:rsidR="0089040B">
        <w:rPr>
          <w:rFonts w:ascii="Times New Roman" w:hAnsi="Times New Roman" w:cs="Times New Roman" w:hint="eastAsia"/>
          <w:szCs w:val="21"/>
        </w:rPr>
        <w:t>生成复合物</w:t>
      </w:r>
      <w:r w:rsidR="0089040B">
        <w:rPr>
          <w:rFonts w:ascii="Times New Roman" w:hAnsi="Times New Roman" w:cs="Times New Roman"/>
          <w:szCs w:val="21"/>
        </w:rPr>
        <w:t>”</w:t>
      </w:r>
      <w:r w:rsidR="0089040B">
        <w:rPr>
          <w:rFonts w:ascii="Times New Roman" w:hAnsi="Times New Roman" w:cs="Times New Roman" w:hint="eastAsia"/>
          <w:szCs w:val="21"/>
        </w:rPr>
        <w:t>即可。</w:t>
      </w:r>
    </w:p>
    <w:p w14:paraId="14386CCA" w14:textId="0B326B12" w:rsidR="003C736A" w:rsidRDefault="003C736A" w:rsidP="003C736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89040B">
        <w:rPr>
          <w:rFonts w:ascii="Times New Roman" w:hAnsi="Times New Roman" w:cs="Times New Roman" w:hint="eastAsia"/>
          <w:b/>
          <w:szCs w:val="21"/>
        </w:rPr>
        <w:t>经过测试，</w:t>
      </w:r>
      <w:proofErr w:type="spellStart"/>
      <w:r w:rsidRPr="0089040B">
        <w:rPr>
          <w:rFonts w:ascii="Times New Roman" w:hAnsi="Times New Roman" w:cs="Times New Roman"/>
          <w:b/>
          <w:szCs w:val="21"/>
        </w:rPr>
        <w:t>OpenBabel</w:t>
      </w:r>
      <w:proofErr w:type="spellEnd"/>
      <w:r w:rsidRPr="0089040B">
        <w:rPr>
          <w:rFonts w:ascii="Times New Roman" w:hAnsi="Times New Roman" w:cs="Times New Roman"/>
          <w:b/>
          <w:szCs w:val="21"/>
        </w:rPr>
        <w:t>生成的复合物结构文件经常包含一些未知错误，尤其是当受体</w:t>
      </w:r>
      <w:r w:rsidR="0089040B" w:rsidRPr="0089040B">
        <w:rPr>
          <w:rFonts w:ascii="Times New Roman" w:hAnsi="Times New Roman" w:cs="Times New Roman" w:hint="eastAsia"/>
          <w:b/>
          <w:szCs w:val="21"/>
        </w:rPr>
        <w:t>结构又大又复杂时</w:t>
      </w:r>
      <w:r w:rsidRPr="0089040B">
        <w:rPr>
          <w:rFonts w:ascii="Times New Roman" w:hAnsi="Times New Roman" w:cs="Times New Roman"/>
          <w:b/>
          <w:szCs w:val="21"/>
        </w:rPr>
        <w:t>。我们正在寻找更好的方法来解决这</w:t>
      </w:r>
      <w:r w:rsidR="0089040B" w:rsidRPr="0089040B">
        <w:rPr>
          <w:rFonts w:ascii="Times New Roman" w:hAnsi="Times New Roman" w:cs="Times New Roman" w:hint="eastAsia"/>
          <w:b/>
          <w:szCs w:val="21"/>
        </w:rPr>
        <w:t>一</w:t>
      </w:r>
      <w:r w:rsidRPr="0089040B">
        <w:rPr>
          <w:rFonts w:ascii="Times New Roman" w:hAnsi="Times New Roman" w:cs="Times New Roman"/>
          <w:b/>
          <w:szCs w:val="21"/>
        </w:rPr>
        <w:t>问题。目前，请在生成复合物后通过可视化</w:t>
      </w:r>
      <w:r w:rsidR="0089040B" w:rsidRPr="0089040B">
        <w:rPr>
          <w:rFonts w:ascii="Times New Roman" w:hAnsi="Times New Roman" w:cs="Times New Roman" w:hint="eastAsia"/>
          <w:b/>
          <w:szCs w:val="21"/>
        </w:rPr>
        <w:t>检查确保结构的合理性</w:t>
      </w:r>
      <w:r w:rsidR="0089040B">
        <w:rPr>
          <w:rFonts w:ascii="Times New Roman" w:hAnsi="Times New Roman" w:cs="Times New Roman" w:hint="eastAsia"/>
          <w:szCs w:val="21"/>
        </w:rPr>
        <w:t>。</w:t>
      </w:r>
    </w:p>
    <w:p w14:paraId="3A426A7C" w14:textId="17F682C7" w:rsidR="0089040B" w:rsidRDefault="0089040B" w:rsidP="008904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7AB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  <w:r w:rsidRPr="00347A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347A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查看共</w:t>
      </w:r>
      <w:proofErr w:type="gramEnd"/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晶配体打分</w:t>
      </w:r>
    </w:p>
    <w:p w14:paraId="0A2B0D41" w14:textId="5C713932" w:rsidR="00B02DC1" w:rsidRPr="00B02DC1" w:rsidRDefault="00B02DC1" w:rsidP="00B02DC1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02DC1">
        <w:rPr>
          <w:rFonts w:ascii="Times New Roman" w:hAnsi="Times New Roman" w:cs="Times New Roman" w:hint="eastAsia"/>
          <w:szCs w:val="21"/>
        </w:rPr>
        <w:t>该模块用于</w:t>
      </w:r>
      <w:r>
        <w:rPr>
          <w:rFonts w:ascii="Times New Roman" w:hAnsi="Times New Roman" w:cs="Times New Roman" w:hint="eastAsia"/>
          <w:szCs w:val="21"/>
        </w:rPr>
        <w:t>对特定的配体结合构象直接进行打分而不对接</w:t>
      </w:r>
      <w:r w:rsidRPr="00B02DC1">
        <w:rPr>
          <w:rFonts w:ascii="Times New Roman" w:hAnsi="Times New Roman" w:cs="Times New Roman" w:hint="eastAsia"/>
          <w:szCs w:val="21"/>
        </w:rPr>
        <w:t>，如共晶体配体</w:t>
      </w:r>
      <w:r>
        <w:rPr>
          <w:rFonts w:ascii="Times New Roman" w:hAnsi="Times New Roman" w:cs="Times New Roman" w:hint="eastAsia"/>
          <w:szCs w:val="21"/>
        </w:rPr>
        <w:t>位姿</w:t>
      </w:r>
      <w:r w:rsidRPr="00B02DC1"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 w:hint="eastAsia"/>
          <w:szCs w:val="21"/>
        </w:rPr>
        <w:t>来自</w:t>
      </w:r>
      <w:r w:rsidRPr="00B02DC1">
        <w:rPr>
          <w:rFonts w:ascii="Times New Roman" w:hAnsi="Times New Roman" w:cs="Times New Roman" w:hint="eastAsia"/>
          <w:szCs w:val="21"/>
        </w:rPr>
        <w:t>其他软件的对接结果。</w:t>
      </w:r>
    </w:p>
    <w:p w14:paraId="30A83029" w14:textId="5DB84EC1" w:rsidR="00B02DC1" w:rsidRPr="00B02DC1" w:rsidRDefault="00B02DC1" w:rsidP="00B02DC1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02DC1">
        <w:rPr>
          <w:rFonts w:ascii="Times New Roman" w:hAnsi="Times New Roman" w:cs="Times New Roman"/>
          <w:szCs w:val="21"/>
        </w:rPr>
        <w:t xml:space="preserve">(1) </w:t>
      </w:r>
      <w:r w:rsidRPr="00B02DC1">
        <w:rPr>
          <w:rFonts w:ascii="Times New Roman" w:hAnsi="Times New Roman" w:cs="Times New Roman"/>
          <w:szCs w:val="21"/>
        </w:rPr>
        <w:t>选择</w:t>
      </w:r>
      <w:r>
        <w:rPr>
          <w:rFonts w:ascii="Times New Roman" w:hAnsi="Times New Roman" w:cs="Times New Roman" w:hint="eastAsia"/>
          <w:szCs w:val="21"/>
        </w:rPr>
        <w:t>打分</w:t>
      </w:r>
      <w:r w:rsidRPr="00B02DC1">
        <w:rPr>
          <w:rFonts w:ascii="Times New Roman" w:hAnsi="Times New Roman" w:cs="Times New Roman"/>
          <w:szCs w:val="21"/>
        </w:rPr>
        <w:t>函数：</w:t>
      </w:r>
      <w:r w:rsidRPr="00B02DC1">
        <w:rPr>
          <w:rFonts w:ascii="Times New Roman" w:hAnsi="Times New Roman" w:cs="Times New Roman"/>
          <w:szCs w:val="21"/>
        </w:rPr>
        <w:t>Vina</w:t>
      </w:r>
      <w:r w:rsidRPr="00B02DC1">
        <w:rPr>
          <w:rFonts w:ascii="Times New Roman" w:hAnsi="Times New Roman" w:cs="Times New Roman"/>
          <w:szCs w:val="21"/>
        </w:rPr>
        <w:t>或</w:t>
      </w:r>
      <w:proofErr w:type="spellStart"/>
      <w:r w:rsidRPr="00B02DC1">
        <w:rPr>
          <w:rFonts w:ascii="Times New Roman" w:hAnsi="Times New Roman" w:cs="Times New Roman"/>
          <w:szCs w:val="21"/>
        </w:rPr>
        <w:t>Vinardo</w:t>
      </w:r>
      <w:proofErr w:type="spellEnd"/>
      <w:r w:rsidRPr="00B02DC1">
        <w:rPr>
          <w:rFonts w:ascii="Times New Roman" w:hAnsi="Times New Roman" w:cs="Times New Roman"/>
          <w:szCs w:val="21"/>
        </w:rPr>
        <w:t>。</w:t>
      </w:r>
    </w:p>
    <w:p w14:paraId="3F4C5B8D" w14:textId="5B5BAF37" w:rsidR="00B02DC1" w:rsidRPr="00B02DC1" w:rsidRDefault="00B02DC1" w:rsidP="00B02DC1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02DC1">
        <w:rPr>
          <w:rFonts w:ascii="Times New Roman" w:hAnsi="Times New Roman" w:cs="Times New Roman"/>
          <w:szCs w:val="21"/>
        </w:rPr>
        <w:t xml:space="preserve">(2) </w:t>
      </w:r>
      <w:r w:rsidRPr="00B02DC1">
        <w:rPr>
          <w:rFonts w:ascii="Times New Roman" w:hAnsi="Times New Roman" w:cs="Times New Roman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基于比较的目的</w:t>
      </w:r>
      <w:r w:rsidRPr="00B02DC1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务必</w:t>
      </w:r>
      <w:r w:rsidRPr="00B02DC1">
        <w:rPr>
          <w:rFonts w:ascii="Times New Roman" w:hAnsi="Times New Roman" w:cs="Times New Roman"/>
          <w:szCs w:val="21"/>
        </w:rPr>
        <w:t>修正配体的质子化状态</w:t>
      </w:r>
      <w:r>
        <w:rPr>
          <w:rFonts w:ascii="Times New Roman" w:hAnsi="Times New Roman" w:cs="Times New Roman" w:hint="eastAsia"/>
          <w:szCs w:val="21"/>
        </w:rPr>
        <w:t>使它们保持一致。</w:t>
      </w:r>
      <w:r w:rsidRPr="00B02DC1">
        <w:rPr>
          <w:rFonts w:ascii="Times New Roman" w:hAnsi="Times New Roman" w:cs="Times New Roman"/>
          <w:szCs w:val="21"/>
        </w:rPr>
        <w:t>因为不同的质子化状态会导致不同的亲和力得分。</w:t>
      </w:r>
    </w:p>
    <w:p w14:paraId="6F611513" w14:textId="04232168" w:rsidR="00B02DC1" w:rsidRPr="00B02DC1" w:rsidRDefault="00B02DC1" w:rsidP="00B02DC1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02DC1">
        <w:rPr>
          <w:rFonts w:ascii="Times New Roman" w:hAnsi="Times New Roman" w:cs="Times New Roman"/>
          <w:szCs w:val="21"/>
        </w:rPr>
        <w:t xml:space="preserve">(3) </w:t>
      </w:r>
      <w:r w:rsidRPr="00B02DC1">
        <w:rPr>
          <w:rFonts w:ascii="Times New Roman" w:hAnsi="Times New Roman" w:cs="Times New Roman"/>
          <w:szCs w:val="21"/>
        </w:rPr>
        <w:t>点击</w:t>
      </w:r>
      <w:r w:rsidRPr="00B02DC1">
        <w:rPr>
          <w:rFonts w:ascii="Times New Roman" w:hAnsi="Times New Roman" w:cs="Times New Roman"/>
          <w:szCs w:val="21"/>
        </w:rPr>
        <w:t>"</w:t>
      </w:r>
      <w:r w:rsidRPr="00B02DC1">
        <w:rPr>
          <w:rFonts w:ascii="Times New Roman" w:hAnsi="Times New Roman" w:cs="Times New Roman"/>
          <w:szCs w:val="21"/>
        </w:rPr>
        <w:t>选择一个受体</w:t>
      </w:r>
      <w:r w:rsidRPr="00B02DC1">
        <w:rPr>
          <w:rFonts w:ascii="Times New Roman" w:hAnsi="Times New Roman" w:cs="Times New Roman"/>
          <w:szCs w:val="21"/>
        </w:rPr>
        <w:t>"</w:t>
      </w:r>
      <w:r w:rsidR="00E227BE">
        <w:rPr>
          <w:rFonts w:ascii="Times New Roman" w:hAnsi="Times New Roman" w:cs="Times New Roman" w:hint="eastAsia"/>
          <w:szCs w:val="21"/>
        </w:rPr>
        <w:t>，</w:t>
      </w:r>
      <w:r w:rsidRPr="00B02DC1">
        <w:rPr>
          <w:rFonts w:ascii="Times New Roman" w:hAnsi="Times New Roman" w:cs="Times New Roman"/>
          <w:szCs w:val="21"/>
        </w:rPr>
        <w:t>选择没有任何配体的蛋白</w:t>
      </w:r>
      <w:r w:rsidR="00E227BE">
        <w:rPr>
          <w:rFonts w:ascii="Times New Roman" w:hAnsi="Times New Roman" w:cs="Times New Roman" w:hint="eastAsia"/>
          <w:szCs w:val="21"/>
        </w:rPr>
        <w:t>质</w:t>
      </w:r>
      <w:r w:rsidRPr="00B02DC1">
        <w:rPr>
          <w:rFonts w:ascii="Times New Roman" w:hAnsi="Times New Roman" w:cs="Times New Roman"/>
          <w:szCs w:val="21"/>
        </w:rPr>
        <w:t>受体</w:t>
      </w:r>
      <w:r w:rsidR="00E227BE">
        <w:rPr>
          <w:rFonts w:ascii="Times New Roman" w:hAnsi="Times New Roman" w:cs="Times New Roman" w:hint="eastAsia"/>
          <w:szCs w:val="21"/>
        </w:rPr>
        <w:t>(</w:t>
      </w:r>
      <w:r w:rsidRPr="00B02DC1">
        <w:rPr>
          <w:rFonts w:ascii="Times New Roman" w:hAnsi="Times New Roman" w:cs="Times New Roman"/>
          <w:szCs w:val="21"/>
        </w:rPr>
        <w:t>.</w:t>
      </w:r>
      <w:proofErr w:type="spellStart"/>
      <w:r w:rsidRPr="00B02DC1">
        <w:rPr>
          <w:rFonts w:ascii="Times New Roman" w:hAnsi="Times New Roman" w:cs="Times New Roman"/>
          <w:szCs w:val="21"/>
        </w:rPr>
        <w:t>pdbqt</w:t>
      </w:r>
      <w:proofErr w:type="spellEnd"/>
      <w:r w:rsidR="00E227BE">
        <w:rPr>
          <w:rFonts w:ascii="Times New Roman" w:hAnsi="Times New Roman" w:cs="Times New Roman" w:hint="eastAsia"/>
          <w:szCs w:val="21"/>
        </w:rPr>
        <w:t>)</w:t>
      </w:r>
      <w:r w:rsidRPr="00B02DC1">
        <w:rPr>
          <w:rFonts w:ascii="Times New Roman" w:hAnsi="Times New Roman" w:cs="Times New Roman"/>
          <w:szCs w:val="21"/>
        </w:rPr>
        <w:t>。</w:t>
      </w:r>
    </w:p>
    <w:p w14:paraId="7A726678" w14:textId="05204142" w:rsidR="00B02DC1" w:rsidRPr="00B02DC1" w:rsidRDefault="00B02DC1" w:rsidP="00B02DC1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02DC1">
        <w:rPr>
          <w:rFonts w:ascii="Times New Roman" w:hAnsi="Times New Roman" w:cs="Times New Roman"/>
          <w:szCs w:val="21"/>
        </w:rPr>
        <w:t xml:space="preserve">(4) </w:t>
      </w:r>
      <w:r w:rsidRPr="00B02DC1">
        <w:rPr>
          <w:rFonts w:ascii="Times New Roman" w:hAnsi="Times New Roman" w:cs="Times New Roman"/>
          <w:szCs w:val="21"/>
        </w:rPr>
        <w:t>点击</w:t>
      </w:r>
      <w:r w:rsidRPr="00B02DC1">
        <w:rPr>
          <w:rFonts w:ascii="Times New Roman" w:hAnsi="Times New Roman" w:cs="Times New Roman"/>
          <w:szCs w:val="21"/>
        </w:rPr>
        <w:t>"</w:t>
      </w:r>
      <w:proofErr w:type="gramStart"/>
      <w:r w:rsidRPr="00B02DC1">
        <w:rPr>
          <w:rFonts w:ascii="Times New Roman" w:hAnsi="Times New Roman" w:cs="Times New Roman"/>
          <w:szCs w:val="21"/>
        </w:rPr>
        <w:t>选择共</w:t>
      </w:r>
      <w:proofErr w:type="gramEnd"/>
      <w:r w:rsidRPr="00B02DC1">
        <w:rPr>
          <w:rFonts w:ascii="Times New Roman" w:hAnsi="Times New Roman" w:cs="Times New Roman"/>
          <w:szCs w:val="21"/>
        </w:rPr>
        <w:t>晶配体</w:t>
      </w:r>
      <w:r w:rsidRPr="00B02DC1">
        <w:rPr>
          <w:rFonts w:ascii="Times New Roman" w:hAnsi="Times New Roman" w:cs="Times New Roman"/>
          <w:szCs w:val="21"/>
        </w:rPr>
        <w:t>"</w:t>
      </w:r>
      <w:r w:rsidRPr="00B02DC1">
        <w:rPr>
          <w:rFonts w:ascii="Times New Roman" w:hAnsi="Times New Roman" w:cs="Times New Roman"/>
          <w:szCs w:val="21"/>
        </w:rPr>
        <w:t>，</w:t>
      </w:r>
      <w:proofErr w:type="gramStart"/>
      <w:r w:rsidRPr="00B02DC1">
        <w:rPr>
          <w:rFonts w:ascii="Times New Roman" w:hAnsi="Times New Roman" w:cs="Times New Roman"/>
          <w:szCs w:val="21"/>
        </w:rPr>
        <w:t>选择共</w:t>
      </w:r>
      <w:proofErr w:type="gramEnd"/>
      <w:r w:rsidRPr="00B02DC1">
        <w:rPr>
          <w:rFonts w:ascii="Times New Roman" w:hAnsi="Times New Roman" w:cs="Times New Roman"/>
          <w:szCs w:val="21"/>
        </w:rPr>
        <w:t>晶配体</w:t>
      </w:r>
      <w:r w:rsidR="00E227BE">
        <w:rPr>
          <w:rFonts w:ascii="Times New Roman" w:hAnsi="Times New Roman" w:cs="Times New Roman" w:hint="eastAsia"/>
          <w:szCs w:val="21"/>
        </w:rPr>
        <w:t>构象</w:t>
      </w:r>
      <w:r w:rsidRPr="00B02DC1">
        <w:rPr>
          <w:rFonts w:ascii="Times New Roman" w:hAnsi="Times New Roman" w:cs="Times New Roman"/>
          <w:szCs w:val="21"/>
        </w:rPr>
        <w:t>或其他软件的对接</w:t>
      </w:r>
      <w:r w:rsidR="00E227BE">
        <w:rPr>
          <w:rFonts w:ascii="Times New Roman" w:hAnsi="Times New Roman" w:cs="Times New Roman" w:hint="eastAsia"/>
          <w:szCs w:val="21"/>
        </w:rPr>
        <w:t>结果</w:t>
      </w:r>
      <w:r w:rsidR="00E227BE">
        <w:rPr>
          <w:rFonts w:ascii="Times New Roman" w:hAnsi="Times New Roman" w:cs="Times New Roman" w:hint="eastAsia"/>
          <w:szCs w:val="21"/>
        </w:rPr>
        <w:t>(</w:t>
      </w:r>
      <w:r w:rsidRPr="00B02DC1">
        <w:rPr>
          <w:rFonts w:ascii="Times New Roman" w:hAnsi="Times New Roman" w:cs="Times New Roman"/>
          <w:szCs w:val="21"/>
        </w:rPr>
        <w:t>.</w:t>
      </w:r>
      <w:proofErr w:type="spellStart"/>
      <w:r w:rsidRPr="00B02DC1">
        <w:rPr>
          <w:rFonts w:ascii="Times New Roman" w:hAnsi="Times New Roman" w:cs="Times New Roman"/>
          <w:szCs w:val="21"/>
        </w:rPr>
        <w:t>pdbqt</w:t>
      </w:r>
      <w:proofErr w:type="spellEnd"/>
      <w:r w:rsidR="00E227BE">
        <w:rPr>
          <w:rFonts w:ascii="Times New Roman" w:hAnsi="Times New Roman" w:cs="Times New Roman" w:hint="eastAsia"/>
          <w:szCs w:val="21"/>
        </w:rPr>
        <w:t>)</w:t>
      </w:r>
      <w:r w:rsidRPr="00B02DC1">
        <w:rPr>
          <w:rFonts w:ascii="Times New Roman" w:hAnsi="Times New Roman" w:cs="Times New Roman"/>
          <w:szCs w:val="21"/>
        </w:rPr>
        <w:t>。</w:t>
      </w:r>
      <w:r w:rsidR="00E227BE">
        <w:rPr>
          <w:rFonts w:ascii="Times New Roman" w:hAnsi="Times New Roman" w:cs="Times New Roman" w:hint="eastAsia"/>
          <w:szCs w:val="21"/>
        </w:rPr>
        <w:t>要</w:t>
      </w:r>
      <w:r w:rsidR="00E227BE" w:rsidRPr="00E227BE">
        <w:rPr>
          <w:rFonts w:ascii="Times New Roman" w:hAnsi="Times New Roman" w:cs="Times New Roman" w:hint="eastAsia"/>
          <w:szCs w:val="21"/>
        </w:rPr>
        <w:t>获得</w:t>
      </w:r>
      <w:r w:rsidR="00E227BE">
        <w:rPr>
          <w:rFonts w:ascii="Times New Roman" w:hAnsi="Times New Roman" w:cs="Times New Roman" w:hint="eastAsia"/>
          <w:szCs w:val="21"/>
        </w:rPr>
        <w:t>单独的共晶配体构象</w:t>
      </w:r>
      <w:r w:rsidR="00E227BE" w:rsidRPr="00E227BE">
        <w:rPr>
          <w:rFonts w:ascii="Times New Roman" w:hAnsi="Times New Roman" w:cs="Times New Roman" w:hint="eastAsia"/>
          <w:szCs w:val="21"/>
        </w:rPr>
        <w:t>，</w:t>
      </w:r>
      <w:r w:rsidR="00E227BE">
        <w:rPr>
          <w:rFonts w:ascii="Times New Roman" w:hAnsi="Times New Roman" w:cs="Times New Roman" w:hint="eastAsia"/>
          <w:szCs w:val="21"/>
        </w:rPr>
        <w:t>可</w:t>
      </w:r>
      <w:r w:rsidR="00E227BE" w:rsidRPr="00E227BE">
        <w:rPr>
          <w:rFonts w:ascii="Times New Roman" w:hAnsi="Times New Roman" w:cs="Times New Roman" w:hint="eastAsia"/>
          <w:szCs w:val="21"/>
        </w:rPr>
        <w:t>在</w:t>
      </w:r>
      <w:r w:rsidR="00E227BE">
        <w:rPr>
          <w:rFonts w:ascii="Times New Roman" w:hAnsi="Times New Roman" w:cs="Times New Roman" w:hint="eastAsia"/>
          <w:szCs w:val="21"/>
        </w:rPr>
        <w:t>任意</w:t>
      </w:r>
      <w:r w:rsidR="00E227BE" w:rsidRPr="00E227BE">
        <w:rPr>
          <w:rFonts w:ascii="Times New Roman" w:hAnsi="Times New Roman" w:cs="Times New Roman" w:hint="eastAsia"/>
          <w:szCs w:val="21"/>
        </w:rPr>
        <w:t>可视化软件中打开</w:t>
      </w:r>
      <w:r w:rsidR="00E227BE">
        <w:rPr>
          <w:rFonts w:ascii="Times New Roman" w:hAnsi="Times New Roman" w:cs="Times New Roman" w:hint="eastAsia"/>
          <w:szCs w:val="21"/>
        </w:rPr>
        <w:t>原始配受体</w:t>
      </w:r>
      <w:r w:rsidR="00E227BE" w:rsidRPr="00E227BE">
        <w:rPr>
          <w:rFonts w:ascii="Times New Roman" w:hAnsi="Times New Roman" w:cs="Times New Roman"/>
          <w:szCs w:val="21"/>
        </w:rPr>
        <w:t>复合物的晶体结构，单独保存配体，并将其转换为</w:t>
      </w:r>
      <w:proofErr w:type="spellStart"/>
      <w:r w:rsidR="00E227BE" w:rsidRPr="00E227BE">
        <w:rPr>
          <w:rFonts w:ascii="Times New Roman" w:hAnsi="Times New Roman" w:cs="Times New Roman"/>
          <w:szCs w:val="21"/>
        </w:rPr>
        <w:t>pdbqt</w:t>
      </w:r>
      <w:proofErr w:type="spellEnd"/>
      <w:r w:rsidR="00E227BE" w:rsidRPr="00E227BE">
        <w:rPr>
          <w:rFonts w:ascii="Times New Roman" w:hAnsi="Times New Roman" w:cs="Times New Roman"/>
          <w:szCs w:val="21"/>
        </w:rPr>
        <w:t>格式。</w:t>
      </w:r>
    </w:p>
    <w:p w14:paraId="6703CF94" w14:textId="1B74C93A" w:rsidR="0089040B" w:rsidRPr="00B02DC1" w:rsidRDefault="00B02DC1" w:rsidP="00B02DC1">
      <w:pPr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B02DC1">
        <w:rPr>
          <w:rFonts w:ascii="Times New Roman" w:hAnsi="Times New Roman" w:cs="Times New Roman"/>
          <w:szCs w:val="21"/>
        </w:rPr>
        <w:t xml:space="preserve">(5) </w:t>
      </w:r>
      <w:r w:rsidRPr="00B02DC1">
        <w:rPr>
          <w:rFonts w:ascii="Times New Roman" w:hAnsi="Times New Roman" w:cs="Times New Roman"/>
          <w:szCs w:val="21"/>
        </w:rPr>
        <w:t>点击</w:t>
      </w:r>
      <w:r w:rsidRPr="00B02DC1">
        <w:rPr>
          <w:rFonts w:ascii="Times New Roman" w:hAnsi="Times New Roman" w:cs="Times New Roman"/>
          <w:szCs w:val="21"/>
        </w:rPr>
        <w:t>"</w:t>
      </w:r>
      <w:r w:rsidR="00E227BE">
        <w:rPr>
          <w:rFonts w:ascii="Times New Roman" w:hAnsi="Times New Roman" w:cs="Times New Roman" w:hint="eastAsia"/>
          <w:szCs w:val="21"/>
        </w:rPr>
        <w:t>开始打分</w:t>
      </w:r>
      <w:r w:rsidRPr="00B02DC1">
        <w:rPr>
          <w:rFonts w:ascii="Times New Roman" w:hAnsi="Times New Roman" w:cs="Times New Roman"/>
          <w:szCs w:val="21"/>
        </w:rPr>
        <w:t>"</w:t>
      </w:r>
      <w:r w:rsidR="00E227BE">
        <w:rPr>
          <w:rFonts w:ascii="Times New Roman" w:hAnsi="Times New Roman" w:cs="Times New Roman" w:hint="eastAsia"/>
          <w:szCs w:val="21"/>
        </w:rPr>
        <w:t>，打分结果</w:t>
      </w:r>
      <w:proofErr w:type="gramStart"/>
      <w:r w:rsidRPr="00B02DC1">
        <w:rPr>
          <w:rFonts w:ascii="Times New Roman" w:hAnsi="Times New Roman" w:cs="Times New Roman"/>
          <w:szCs w:val="21"/>
        </w:rPr>
        <w:t>将</w:t>
      </w:r>
      <w:r w:rsidR="00E227BE">
        <w:rPr>
          <w:rFonts w:ascii="Times New Roman" w:hAnsi="Times New Roman" w:cs="Times New Roman" w:hint="eastAsia"/>
          <w:szCs w:val="21"/>
        </w:rPr>
        <w:t>弹窗</w:t>
      </w:r>
      <w:proofErr w:type="gramEnd"/>
      <w:r w:rsidR="00E227BE">
        <w:rPr>
          <w:rFonts w:ascii="Times New Roman" w:hAnsi="Times New Roman" w:cs="Times New Roman" w:hint="eastAsia"/>
          <w:szCs w:val="21"/>
        </w:rPr>
        <w:t>显示。</w:t>
      </w:r>
      <w:bookmarkStart w:id="0" w:name="_GoBack"/>
      <w:bookmarkEnd w:id="0"/>
    </w:p>
    <w:p w14:paraId="28424E88" w14:textId="77777777" w:rsidR="0089040B" w:rsidRPr="0089040B" w:rsidRDefault="0089040B" w:rsidP="0089040B">
      <w:pPr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</w:p>
    <w:sectPr w:rsidR="0089040B" w:rsidRPr="0089040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0B1F" w14:textId="77777777" w:rsidR="004D6EE1" w:rsidRDefault="004D6EE1" w:rsidP="00E033B4">
      <w:r>
        <w:separator/>
      </w:r>
    </w:p>
  </w:endnote>
  <w:endnote w:type="continuationSeparator" w:id="0">
    <w:p w14:paraId="73784928" w14:textId="77777777" w:rsidR="004D6EE1" w:rsidRDefault="004D6EE1" w:rsidP="00E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886590"/>
      <w:docPartObj>
        <w:docPartGallery w:val="Page Numbers (Bottom of Page)"/>
        <w:docPartUnique/>
      </w:docPartObj>
    </w:sdtPr>
    <w:sdtEndPr/>
    <w:sdtContent>
      <w:p w14:paraId="09256170" w14:textId="7B32D169" w:rsidR="00E033B4" w:rsidRDefault="00E033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210D3E" w14:textId="77777777" w:rsidR="00E033B4" w:rsidRDefault="00E03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7ADAC" w14:textId="77777777" w:rsidR="004D6EE1" w:rsidRDefault="004D6EE1" w:rsidP="00E033B4">
      <w:r>
        <w:separator/>
      </w:r>
    </w:p>
  </w:footnote>
  <w:footnote w:type="continuationSeparator" w:id="0">
    <w:p w14:paraId="1125ED55" w14:textId="77777777" w:rsidR="004D6EE1" w:rsidRDefault="004D6EE1" w:rsidP="00E0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B0D94" w14:textId="176AFB13" w:rsidR="00E033B4" w:rsidRPr="00E033B4" w:rsidRDefault="00E033B4">
    <w:pPr>
      <w:pStyle w:val="a3"/>
      <w:rPr>
        <w:rFonts w:ascii="Times New Roman" w:hAnsi="Times New Roman" w:cs="Times New Roman"/>
      </w:rPr>
    </w:pPr>
    <w:proofErr w:type="spellStart"/>
    <w:r w:rsidRPr="00E033B4">
      <w:rPr>
        <w:rFonts w:ascii="Times New Roman" w:hAnsi="Times New Roman" w:cs="Times New Roman"/>
      </w:rPr>
      <w:t>BatchVinaGUI</w:t>
    </w:r>
    <w:proofErr w:type="spellEnd"/>
    <w:r w:rsidRPr="00E033B4">
      <w:rPr>
        <w:rFonts w:ascii="Times New Roman" w:hAnsi="Times New Roman" w:cs="Times New Roman"/>
      </w:rPr>
      <w:t xml:space="preserve"> Manual</w:t>
    </w:r>
  </w:p>
  <w:p w14:paraId="6D4D5BDB" w14:textId="77777777" w:rsidR="00E033B4" w:rsidRDefault="00E033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F4F"/>
    <w:multiLevelType w:val="hybridMultilevel"/>
    <w:tmpl w:val="39363EC2"/>
    <w:lvl w:ilvl="0" w:tplc="91C4B1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C728E"/>
    <w:multiLevelType w:val="hybridMultilevel"/>
    <w:tmpl w:val="18D617EC"/>
    <w:lvl w:ilvl="0" w:tplc="7C205C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A42FF"/>
    <w:multiLevelType w:val="hybridMultilevel"/>
    <w:tmpl w:val="A6B4B306"/>
    <w:lvl w:ilvl="0" w:tplc="4808B29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0A1D5F"/>
    <w:multiLevelType w:val="hybridMultilevel"/>
    <w:tmpl w:val="F07A17E8"/>
    <w:lvl w:ilvl="0" w:tplc="F216C5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7207E2"/>
    <w:multiLevelType w:val="hybridMultilevel"/>
    <w:tmpl w:val="A1EEB352"/>
    <w:lvl w:ilvl="0" w:tplc="252EBE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11288C"/>
    <w:multiLevelType w:val="hybridMultilevel"/>
    <w:tmpl w:val="42201C7E"/>
    <w:lvl w:ilvl="0" w:tplc="3D2C30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B52046"/>
    <w:multiLevelType w:val="hybridMultilevel"/>
    <w:tmpl w:val="8E967C7C"/>
    <w:lvl w:ilvl="0" w:tplc="9BC207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74DE9"/>
    <w:multiLevelType w:val="hybridMultilevel"/>
    <w:tmpl w:val="E620F0A2"/>
    <w:lvl w:ilvl="0" w:tplc="1F3EF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826D76"/>
    <w:multiLevelType w:val="hybridMultilevel"/>
    <w:tmpl w:val="262CC122"/>
    <w:lvl w:ilvl="0" w:tplc="0358B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F8259D"/>
    <w:multiLevelType w:val="hybridMultilevel"/>
    <w:tmpl w:val="E74CDEF2"/>
    <w:lvl w:ilvl="0" w:tplc="C1F08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B55CCB"/>
    <w:multiLevelType w:val="hybridMultilevel"/>
    <w:tmpl w:val="BA283AC4"/>
    <w:lvl w:ilvl="0" w:tplc="5018FA52">
      <w:start w:val="1"/>
      <w:numFmt w:val="decimal"/>
      <w:lvlText w:val="(%1)"/>
      <w:lvlJc w:val="left"/>
      <w:pPr>
        <w:ind w:left="3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23284"/>
    <w:multiLevelType w:val="hybridMultilevel"/>
    <w:tmpl w:val="A0D6D364"/>
    <w:lvl w:ilvl="0" w:tplc="73EE0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08050A"/>
    <w:multiLevelType w:val="hybridMultilevel"/>
    <w:tmpl w:val="7C60CE0E"/>
    <w:lvl w:ilvl="0" w:tplc="A9A4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F0"/>
    <w:rsid w:val="000359DD"/>
    <w:rsid w:val="00075F34"/>
    <w:rsid w:val="000A47F2"/>
    <w:rsid w:val="000F479C"/>
    <w:rsid w:val="00101C51"/>
    <w:rsid w:val="00137C29"/>
    <w:rsid w:val="0014082C"/>
    <w:rsid w:val="00183E94"/>
    <w:rsid w:val="00186C59"/>
    <w:rsid w:val="001870AE"/>
    <w:rsid w:val="001B1D0C"/>
    <w:rsid w:val="001D2D08"/>
    <w:rsid w:val="00231731"/>
    <w:rsid w:val="00237336"/>
    <w:rsid w:val="0024796E"/>
    <w:rsid w:val="00260443"/>
    <w:rsid w:val="00280EE2"/>
    <w:rsid w:val="00286A79"/>
    <w:rsid w:val="00291ABF"/>
    <w:rsid w:val="002B04F8"/>
    <w:rsid w:val="002B3DC5"/>
    <w:rsid w:val="002C1460"/>
    <w:rsid w:val="002E2A5D"/>
    <w:rsid w:val="002F1004"/>
    <w:rsid w:val="00340F5E"/>
    <w:rsid w:val="00347AB5"/>
    <w:rsid w:val="0035728D"/>
    <w:rsid w:val="00393F65"/>
    <w:rsid w:val="003C736A"/>
    <w:rsid w:val="003D0FA7"/>
    <w:rsid w:val="003D63F7"/>
    <w:rsid w:val="0043579E"/>
    <w:rsid w:val="0044730F"/>
    <w:rsid w:val="00490BCA"/>
    <w:rsid w:val="004A5AC2"/>
    <w:rsid w:val="004D1EDE"/>
    <w:rsid w:val="004D6EE1"/>
    <w:rsid w:val="00593264"/>
    <w:rsid w:val="005C7537"/>
    <w:rsid w:val="005E0459"/>
    <w:rsid w:val="00624207"/>
    <w:rsid w:val="00635DA1"/>
    <w:rsid w:val="00661372"/>
    <w:rsid w:val="006652BF"/>
    <w:rsid w:val="00670414"/>
    <w:rsid w:val="006814AC"/>
    <w:rsid w:val="006A6233"/>
    <w:rsid w:val="006C2E50"/>
    <w:rsid w:val="006C3FF0"/>
    <w:rsid w:val="007039EC"/>
    <w:rsid w:val="00723B8A"/>
    <w:rsid w:val="007948C6"/>
    <w:rsid w:val="007B4739"/>
    <w:rsid w:val="00807B12"/>
    <w:rsid w:val="00836E57"/>
    <w:rsid w:val="008446C1"/>
    <w:rsid w:val="008643C7"/>
    <w:rsid w:val="008806C7"/>
    <w:rsid w:val="0089040B"/>
    <w:rsid w:val="008A77A6"/>
    <w:rsid w:val="008F66C1"/>
    <w:rsid w:val="009368F8"/>
    <w:rsid w:val="00954D79"/>
    <w:rsid w:val="009C091A"/>
    <w:rsid w:val="009E7414"/>
    <w:rsid w:val="00A205CC"/>
    <w:rsid w:val="00A82542"/>
    <w:rsid w:val="00AA7D7D"/>
    <w:rsid w:val="00AC1780"/>
    <w:rsid w:val="00AC66AF"/>
    <w:rsid w:val="00AF346E"/>
    <w:rsid w:val="00B01204"/>
    <w:rsid w:val="00B02DC1"/>
    <w:rsid w:val="00B115B1"/>
    <w:rsid w:val="00BD451E"/>
    <w:rsid w:val="00C058F2"/>
    <w:rsid w:val="00C1685A"/>
    <w:rsid w:val="00C44B83"/>
    <w:rsid w:val="00C51C92"/>
    <w:rsid w:val="00C65B71"/>
    <w:rsid w:val="00C7256C"/>
    <w:rsid w:val="00C94249"/>
    <w:rsid w:val="00C9660B"/>
    <w:rsid w:val="00C9694C"/>
    <w:rsid w:val="00CC6E92"/>
    <w:rsid w:val="00D26D20"/>
    <w:rsid w:val="00D3109D"/>
    <w:rsid w:val="00D37249"/>
    <w:rsid w:val="00D40302"/>
    <w:rsid w:val="00D459FA"/>
    <w:rsid w:val="00DA30DA"/>
    <w:rsid w:val="00DA5491"/>
    <w:rsid w:val="00DE3CE8"/>
    <w:rsid w:val="00DF221C"/>
    <w:rsid w:val="00E033B4"/>
    <w:rsid w:val="00E13295"/>
    <w:rsid w:val="00E227BE"/>
    <w:rsid w:val="00E521B0"/>
    <w:rsid w:val="00E80A03"/>
    <w:rsid w:val="00E82821"/>
    <w:rsid w:val="00E84E82"/>
    <w:rsid w:val="00EE082F"/>
    <w:rsid w:val="00F01826"/>
    <w:rsid w:val="00F46221"/>
    <w:rsid w:val="00FA6471"/>
    <w:rsid w:val="00FB42B1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7AA5"/>
  <w15:chartTrackingRefBased/>
  <w15:docId w15:val="{7340E428-2471-4DE7-9990-85701945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3B4"/>
    <w:rPr>
      <w:sz w:val="18"/>
      <w:szCs w:val="18"/>
    </w:rPr>
  </w:style>
  <w:style w:type="paragraph" w:styleId="a7">
    <w:name w:val="List Paragraph"/>
    <w:basedOn w:val="a"/>
    <w:uiPriority w:val="34"/>
    <w:qFormat/>
    <w:rsid w:val="005E04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06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4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车一一</cp:lastModifiedBy>
  <cp:revision>60</cp:revision>
  <dcterms:created xsi:type="dcterms:W3CDTF">2023-06-08T12:42:00Z</dcterms:created>
  <dcterms:modified xsi:type="dcterms:W3CDTF">2023-06-15T01:42:00Z</dcterms:modified>
</cp:coreProperties>
</file>