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Methane Detection AI Developer and Research Playbook</w:t>
      </w:r>
    </w:p>
    <w:p>
      <w:pPr>
        <w:pStyle w:val="Subtitle"/>
        <w:jc w:val="center"/>
      </w:pPr>
      <w:r>
        <w:t>Five person satellite methane leak detection project  October 7 to November 10 2026</w:t>
      </w:r>
    </w:p>
    <w:p/>
    <w:p>
      <w:r>
        <w:t>This playbook turns the methane research framework into an executable research-engineering workflow. It is designed for a team leader and four members. It starts with a reproducible baseline, then only advances to wind-aware, weak-plume, cross-sensor, and quantification experiments when the needed data and interfaces have been verified.</w:t>
      </w:r>
    </w:p>
    <w:p>
      <w:pPr>
        <w:pStyle w:val="Heading1"/>
      </w:pPr>
      <w:r>
        <w:t>1 Master general context prompt</w:t>
      </w:r>
    </w:p>
    <w:p>
      <w:r>
        <w:t>Paste this prompt into ChatGPT, Cursor, Claude, Copilot, or another assistant before asking for project code. It contains the stable project context; task prompts later in this document supply the date-specific work.</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You are assisting a five-person second-year student research team building Methane Detection Using Machine Learning and Deep Learning from satellite and airborne remote-sensing imagery. The objective is to produce a reproducible pipeline that can ingest verified dataset samples, prepare sensor-specific tiles and labels, train a baseline model, evaluate plume detection and segmentation, and then test one or more research hypotheses: wind-conditioned learning, weak-plume curriculum learning, cross-sensor adaptation, and emission-rate quantification where valid ground truth exists.</w:t>
              <w:br/>
              <w:br/>
              <w:t>Team roles: Team Leader owns planning, integration, review, and research records. Member 1 owns dataset inventory, geospatial checks, preprocessing, and data quality. Member 2 owns baseline ML and DL models, training, checkpoints, and experiment tracking. Member 3 owns wind-aware and weak-plume methodology experiments, subject to verified data support. Member 4 owns evaluation, visualization, cross-sensor tests, quantification where supported, dashboard integration, and reporting.</w:t>
              <w:br/>
              <w:br/>
              <w:t>Scientific rules: distinguish literature-reported baselines, proposed targets, hypotheses, and team-measured results. Never claim a result that has not been run. The framework names STARCOP, UnorthoDOS, EMIT, MARS-EMIT, MARS-EnMAP, MARS-PRISMA, Sentinel-2 synthetic data, CH4Net, METER-ML, S2MetNet, and Four Corners AVIRIS-NG; access, licensing, label schema, bands, and metadata must be verified before implementation. Do not assume any native tensor shape beyond a provisional internal contract.</w:t>
              <w:br/>
              <w:br/>
              <w:t>Provisional internal contract after verification: image is float32 [C,H,W]; binary segmentation mask is uint8 or bool [1,H,W]; optional wind is float32 [2] as u and v or [2,H,W] only if spatially aligned; metadata is JSON with sample_id, dataset_name, sensor, split, scene/tile provenance, CRS or geolocation reference when available, acquisition time when available, and preprocessing version. All field names must be reconciled with real files before code is merged.</w:t>
              <w:br/>
              <w:br/>
              <w:t>Engineering rules: keep raw data immutable; version processed manifests; split by scene, geography, acquisition, or time where needed to avoid leakage; never tune on the test set; keep sensor-specific normalization explicit; do not compare models across incompatible labels or resolutions without a documented harmonization protocol. Use YAML configuration, fixed seeds, saved checkpoints, logged command lines, and output folders keyed by run ID. Every task must include a small test, saved artifact, verification procedure, and handover note.</w:t>
              <w:br/>
              <w:br/>
              <w:t>Work in small changes. First explain the approach and assumptions in plain language, then identify files to create or modify, then write code, then give exact verification commands. Do not invent benchmark values, dataset fields, citations, cloud credentials, or experimental results. Flag missing data, incompatible labels, unsafe claims, and computationally expensive work early.</w:t>
            </w:r>
          </w:p>
        </w:tc>
      </w:tr>
    </w:tbl>
    <w:p/>
    <w:p>
      <w:pPr>
        <w:pStyle w:val="Heading1"/>
      </w:pPr>
      <w:r>
        <w:t>2 Technical architecture and shared contracts</w:t>
      </w:r>
    </w:p>
    <w:p>
      <w:pPr>
        <w:pStyle w:val="Heading2"/>
      </w:pPr>
      <w:r>
        <w:t>2.1 End to end flow</w:t>
      </w:r>
    </w:p>
    <w:p>
      <w:r>
        <w:t>Verified source data → dataset manifest and integrity checks → sensor-specific preprocessing → tile or patch creation and label validation → fixed split → baseline → controlled training runs → evaluation and error analysis → optional wind or weak-plume experiment → optional cross-sensor or quantification experiment → visual reporting, reproducibility check, and demonstration.</w:t>
      </w:r>
    </w:p>
    <w:p>
      <w:pPr>
        <w:pStyle w:val="Heading2"/>
      </w:pPr>
      <w:r>
        <w:t>2.2 Repository and module boundaries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methane-detection/</w:t>
              <w:br/>
              <w:t xml:space="preserve">  README.md                         # setup, data access notes, project decisions</w:t>
              <w:br/>
              <w:t xml:space="preserve">  requirements.txt                  # pinned or constrained Python dependencies</w:t>
              <w:br/>
              <w:t xml:space="preserve">  configs/                          # YAML run configurations</w:t>
              <w:br/>
              <w:t xml:space="preserve">  data/README.md                    # access, license, schema, checksums; no large raw data in Git</w:t>
              <w:br/>
              <w:t xml:space="preserve">  manifests/                        # processed sample inventories and split files</w:t>
              <w:br/>
              <w:t xml:space="preserve">  notebooks/                        # inspection and exploratory analysis only</w:t>
              <w:br/>
              <w:t xml:space="preserve">  src/data/                         # readers, transforms, tiling, manifests</w:t>
              <w:br/>
              <w:t xml:space="preserve">  src/models/                       # baseline, U-Net, wind modules, adapters</w:t>
              <w:br/>
              <w:t xml:space="preserve">  src/training/                     # trainer, losses, checkpoint logic</w:t>
              <w:br/>
              <w:t xml:space="preserve">  src/evaluation/                   # metrics, reports, error analysis</w:t>
              <w:br/>
              <w:t xml:space="preserve">  src/physics/                      # IME/CSF or quantification helpers when validated</w:t>
              <w:br/>
              <w:t xml:space="preserve">  app/                              # optional Streamlit demonstration</w:t>
              <w:br/>
              <w:t xml:space="preserve">  tests/                            # unit and integration tests</w:t>
              <w:br/>
              <w:t xml:space="preserve">  results/&lt;run_id&gt;/                 # config, metrics, predictions, plots, checkpoint pointer</w:t>
              <w:br/>
              <w:t xml:space="preserve">  reports/                          # methods, decisions, handovers, final figures</w:t>
            </w:r>
          </w:p>
        </w:tc>
      </w:tr>
    </w:tbl>
    <w:p/>
    <w:p>
      <w:pPr>
        <w:pStyle w:val="Heading2"/>
      </w:pPr>
      <w:r>
        <w:t>2.3 Provisional interfaces to verify before use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2484"/>
            <w:shd w:fill="17365D"/>
            <w:tcMar>
              <w:top w:w="80" w:type="dxa"/>
              <w:start w:w="90" w:type="dxa"/>
              <w:bottom w:w="80" w:type="dxa"/>
              <w:end w:w="90" w:type="dxa"/>
            </w:tcMar>
            <w:vAlign w:val="center"/>
          </w:tcPr>
          <w:p>
            <w:r>
              <w:rPr>
                <w:b/>
                <w:color w:val="FFFFFF"/>
                <w:sz w:val="17"/>
              </w:rPr>
              <w:t>Interface</w:t>
            </w:r>
          </w:p>
        </w:tc>
        <w:tc>
          <w:tcPr>
            <w:tcW w:type="dxa" w:w="2484"/>
            <w:shd w:fill="17365D"/>
            <w:tcMar>
              <w:top w:w="80" w:type="dxa"/>
              <w:start w:w="90" w:type="dxa"/>
              <w:bottom w:w="80" w:type="dxa"/>
              <w:end w:w="90" w:type="dxa"/>
            </w:tcMar>
            <w:vAlign w:val="center"/>
          </w:tcPr>
          <w:p>
            <w:r>
              <w:rPr>
                <w:b/>
                <w:color w:val="FFFFFF"/>
                <w:sz w:val="17"/>
              </w:rPr>
              <w:t>Provisional input</w:t>
            </w:r>
          </w:p>
        </w:tc>
        <w:tc>
          <w:tcPr>
            <w:tcW w:type="dxa" w:w="2484"/>
            <w:shd w:fill="17365D"/>
            <w:tcMar>
              <w:top w:w="80" w:type="dxa"/>
              <w:start w:w="90" w:type="dxa"/>
              <w:bottom w:w="80" w:type="dxa"/>
              <w:end w:w="90" w:type="dxa"/>
            </w:tcMar>
            <w:vAlign w:val="center"/>
          </w:tcPr>
          <w:p>
            <w:r>
              <w:rPr>
                <w:b/>
                <w:color w:val="FFFFFF"/>
                <w:sz w:val="17"/>
              </w:rPr>
              <w:t>Required output</w:t>
            </w:r>
          </w:p>
        </w:tc>
        <w:tc>
          <w:tcPr>
            <w:tcW w:type="dxa" w:w="2484"/>
            <w:shd w:fill="17365D"/>
            <w:tcMar>
              <w:top w:w="80" w:type="dxa"/>
              <w:start w:w="90" w:type="dxa"/>
              <w:bottom w:w="80" w:type="dxa"/>
              <w:end w:w="90" w:type="dxa"/>
            </w:tcMar>
            <w:vAlign w:val="center"/>
          </w:tcPr>
          <w:p>
            <w:r>
              <w:rPr>
                <w:b/>
                <w:color w:val="FFFFFF"/>
                <w:sz w:val="17"/>
              </w:rPr>
              <w:t>Owner and review</w:t>
            </w:r>
          </w:p>
        </w:tc>
      </w:tr>
      <w:tr>
        <w:tc>
          <w:tcPr>
            <w:tcW w:type="dxa" w:w="2484"/>
            <w:tcMar>
              <w:top w:w="80" w:type="dxa"/>
              <w:start w:w="90" w:type="dxa"/>
              <w:bottom w:w="80" w:type="dxa"/>
              <w:end w:w="90" w:type="dxa"/>
            </w:tcMar>
            <w:vAlign w:val="center"/>
          </w:tcPr>
          <w:p>
            <w:r>
              <w:rPr>
                <w:sz w:val="17"/>
              </w:rPr>
              <w:t>Dataset reader</w:t>
            </w:r>
          </w:p>
        </w:tc>
        <w:tc>
          <w:tcPr>
            <w:tcW w:type="dxa" w:w="2484"/>
            <w:tcMar>
              <w:top w:w="80" w:type="dxa"/>
              <w:start w:w="90" w:type="dxa"/>
              <w:bottom w:w="80" w:type="dxa"/>
              <w:end w:w="90" w:type="dxa"/>
            </w:tcMar>
            <w:vAlign w:val="center"/>
          </w:tcPr>
          <w:p>
            <w:r>
              <w:rPr>
                <w:sz w:val="17"/>
              </w:rPr>
              <w:t>Raw dataset-specific files and verified schema</w:t>
            </w:r>
          </w:p>
        </w:tc>
        <w:tc>
          <w:tcPr>
            <w:tcW w:type="dxa" w:w="2484"/>
            <w:tcMar>
              <w:top w:w="80" w:type="dxa"/>
              <w:start w:w="90" w:type="dxa"/>
              <w:bottom w:w="80" w:type="dxa"/>
              <w:end w:w="90" w:type="dxa"/>
            </w:tcMar>
            <w:vAlign w:val="center"/>
          </w:tcPr>
          <w:p>
            <w:r>
              <w:rPr>
                <w:sz w:val="17"/>
              </w:rPr>
              <w:t>Canonical sample dictionary and manifest row</w:t>
            </w:r>
          </w:p>
        </w:tc>
        <w:tc>
          <w:tcPr>
            <w:tcW w:type="dxa" w:w="2484"/>
            <w:tcMar>
              <w:top w:w="80" w:type="dxa"/>
              <w:start w:w="90" w:type="dxa"/>
              <w:bottom w:w="80" w:type="dxa"/>
              <w:end w:w="90" w:type="dxa"/>
            </w:tcMar>
            <w:vAlign w:val="center"/>
          </w:tcPr>
          <w:p>
            <w:r>
              <w:rPr>
                <w:sz w:val="17"/>
              </w:rPr>
              <w:t>Member 1; Leader review</w:t>
            </w:r>
          </w:p>
        </w:tc>
      </w:tr>
      <w:tr>
        <w:tc>
          <w:tcPr>
            <w:tcW w:type="dxa" w:w="2484"/>
            <w:tcMar>
              <w:top w:w="80" w:type="dxa"/>
              <w:start w:w="90" w:type="dxa"/>
              <w:bottom w:w="80" w:type="dxa"/>
              <w:end w:w="90" w:type="dxa"/>
            </w:tcMar>
            <w:vAlign w:val="center"/>
            <w:shd w:fill="F2F2F2"/>
          </w:tcPr>
          <w:p>
            <w:r>
              <w:rPr>
                <w:sz w:val="17"/>
              </w:rPr>
              <w:t>Preprocessor</w:t>
            </w:r>
          </w:p>
        </w:tc>
        <w:tc>
          <w:tcPr>
            <w:tcW w:type="dxa" w:w="2484"/>
            <w:tcMar>
              <w:top w:w="80" w:type="dxa"/>
              <w:start w:w="90" w:type="dxa"/>
              <w:bottom w:w="80" w:type="dxa"/>
              <w:end w:w="90" w:type="dxa"/>
            </w:tcMar>
            <w:vAlign w:val="center"/>
            <w:shd w:fill="F2F2F2"/>
          </w:tcPr>
          <w:p>
            <w:r>
              <w:rPr>
                <w:sz w:val="17"/>
              </w:rPr>
              <w:t>Canonical sample, configuration, optional geospatial metadata</w:t>
            </w:r>
          </w:p>
        </w:tc>
        <w:tc>
          <w:tcPr>
            <w:tcW w:type="dxa" w:w="2484"/>
            <w:tcMar>
              <w:top w:w="80" w:type="dxa"/>
              <w:start w:w="90" w:type="dxa"/>
              <w:bottom w:w="80" w:type="dxa"/>
              <w:end w:w="90" w:type="dxa"/>
            </w:tcMar>
            <w:vAlign w:val="center"/>
            <w:shd w:fill="F2F2F2"/>
          </w:tcPr>
          <w:p>
            <w:r>
              <w:rPr>
                <w:sz w:val="17"/>
              </w:rPr>
              <w:t>float32 image, mask, metadata, transform record</w:t>
            </w:r>
          </w:p>
        </w:tc>
        <w:tc>
          <w:tcPr>
            <w:tcW w:type="dxa" w:w="2484"/>
            <w:tcMar>
              <w:top w:w="80" w:type="dxa"/>
              <w:start w:w="90" w:type="dxa"/>
              <w:bottom w:w="80" w:type="dxa"/>
              <w:end w:w="90" w:type="dxa"/>
            </w:tcMar>
            <w:vAlign w:val="center"/>
            <w:shd w:fill="F2F2F2"/>
          </w:tcPr>
          <w:p>
            <w:r>
              <w:rPr>
                <w:sz w:val="17"/>
              </w:rPr>
              <w:t>Member 1; Member 2 review</w:t>
            </w:r>
          </w:p>
        </w:tc>
      </w:tr>
      <w:tr>
        <w:tc>
          <w:tcPr>
            <w:tcW w:type="dxa" w:w="2484"/>
            <w:tcMar>
              <w:top w:w="80" w:type="dxa"/>
              <w:start w:w="90" w:type="dxa"/>
              <w:bottom w:w="80" w:type="dxa"/>
              <w:end w:w="90" w:type="dxa"/>
            </w:tcMar>
            <w:vAlign w:val="center"/>
          </w:tcPr>
          <w:p>
            <w:r>
              <w:rPr>
                <w:sz w:val="17"/>
              </w:rPr>
              <w:t>Model forward</w:t>
            </w:r>
          </w:p>
        </w:tc>
        <w:tc>
          <w:tcPr>
            <w:tcW w:type="dxa" w:w="2484"/>
            <w:tcMar>
              <w:top w:w="80" w:type="dxa"/>
              <w:start w:w="90" w:type="dxa"/>
              <w:bottom w:w="80" w:type="dxa"/>
              <w:end w:w="90" w:type="dxa"/>
            </w:tcMar>
            <w:vAlign w:val="center"/>
          </w:tcPr>
          <w:p>
            <w:r>
              <w:rPr>
                <w:sz w:val="17"/>
              </w:rPr>
              <w:t>image [B,C,H,W], optional wind [B,2]</w:t>
            </w:r>
          </w:p>
        </w:tc>
        <w:tc>
          <w:tcPr>
            <w:tcW w:type="dxa" w:w="2484"/>
            <w:tcMar>
              <w:top w:w="80" w:type="dxa"/>
              <w:start w:w="90" w:type="dxa"/>
              <w:bottom w:w="80" w:type="dxa"/>
              <w:end w:w="90" w:type="dxa"/>
            </w:tcMar>
            <w:vAlign w:val="center"/>
          </w:tcPr>
          <w:p>
            <w:r>
              <w:rPr>
                <w:sz w:val="17"/>
              </w:rPr>
              <w:t>logits [B,1,H,W] or documented task output</w:t>
            </w:r>
          </w:p>
        </w:tc>
        <w:tc>
          <w:tcPr>
            <w:tcW w:type="dxa" w:w="2484"/>
            <w:tcMar>
              <w:top w:w="80" w:type="dxa"/>
              <w:start w:w="90" w:type="dxa"/>
              <w:bottom w:w="80" w:type="dxa"/>
              <w:end w:w="90" w:type="dxa"/>
            </w:tcMar>
            <w:vAlign w:val="center"/>
          </w:tcPr>
          <w:p>
            <w:r>
              <w:rPr>
                <w:sz w:val="17"/>
              </w:rPr>
              <w:t>Member 2 or 3; Member 4 review</w:t>
            </w:r>
          </w:p>
        </w:tc>
      </w:tr>
      <w:tr>
        <w:tc>
          <w:tcPr>
            <w:tcW w:type="dxa" w:w="2484"/>
            <w:tcMar>
              <w:top w:w="80" w:type="dxa"/>
              <w:start w:w="90" w:type="dxa"/>
              <w:bottom w:w="80" w:type="dxa"/>
              <w:end w:w="90" w:type="dxa"/>
            </w:tcMar>
            <w:vAlign w:val="center"/>
            <w:shd w:fill="F2F2F2"/>
          </w:tcPr>
          <w:p>
            <w:r>
              <w:rPr>
                <w:sz w:val="17"/>
              </w:rPr>
              <w:t>Inference</w:t>
            </w:r>
          </w:p>
        </w:tc>
        <w:tc>
          <w:tcPr>
            <w:tcW w:type="dxa" w:w="2484"/>
            <w:tcMar>
              <w:top w:w="80" w:type="dxa"/>
              <w:start w:w="90" w:type="dxa"/>
              <w:bottom w:w="80" w:type="dxa"/>
              <w:end w:w="90" w:type="dxa"/>
            </w:tcMar>
            <w:vAlign w:val="center"/>
            <w:shd w:fill="F2F2F2"/>
          </w:tcPr>
          <w:p>
            <w:r>
              <w:rPr>
                <w:sz w:val="17"/>
              </w:rPr>
              <w:t>checkpoint, canonical sample, model config</w:t>
            </w:r>
          </w:p>
        </w:tc>
        <w:tc>
          <w:tcPr>
            <w:tcW w:type="dxa" w:w="2484"/>
            <w:tcMar>
              <w:top w:w="80" w:type="dxa"/>
              <w:start w:w="90" w:type="dxa"/>
              <w:bottom w:w="80" w:type="dxa"/>
              <w:end w:w="90" w:type="dxa"/>
            </w:tcMar>
            <w:vAlign w:val="center"/>
            <w:shd w:fill="F2F2F2"/>
          </w:tcPr>
          <w:p>
            <w:r>
              <w:rPr>
                <w:sz w:val="17"/>
              </w:rPr>
              <w:t>probability map, binary mask, confidence, run ID</w:t>
            </w:r>
          </w:p>
        </w:tc>
        <w:tc>
          <w:tcPr>
            <w:tcW w:type="dxa" w:w="2484"/>
            <w:tcMar>
              <w:top w:w="80" w:type="dxa"/>
              <w:start w:w="90" w:type="dxa"/>
              <w:bottom w:w="80" w:type="dxa"/>
              <w:end w:w="90" w:type="dxa"/>
            </w:tcMar>
            <w:vAlign w:val="center"/>
            <w:shd w:fill="F2F2F2"/>
          </w:tcPr>
          <w:p>
            <w:r>
              <w:rPr>
                <w:sz w:val="17"/>
              </w:rPr>
              <w:t>Member 2; Member 4 integration</w:t>
            </w:r>
          </w:p>
        </w:tc>
      </w:tr>
      <w:tr>
        <w:tc>
          <w:tcPr>
            <w:tcW w:type="dxa" w:w="2484"/>
            <w:tcMar>
              <w:top w:w="80" w:type="dxa"/>
              <w:start w:w="90" w:type="dxa"/>
              <w:bottom w:w="80" w:type="dxa"/>
              <w:end w:w="90" w:type="dxa"/>
            </w:tcMar>
            <w:vAlign w:val="center"/>
          </w:tcPr>
          <w:p>
            <w:r>
              <w:rPr>
                <w:sz w:val="17"/>
              </w:rPr>
              <w:t>Evaluator</w:t>
            </w:r>
          </w:p>
        </w:tc>
        <w:tc>
          <w:tcPr>
            <w:tcW w:type="dxa" w:w="2484"/>
            <w:tcMar>
              <w:top w:w="80" w:type="dxa"/>
              <w:start w:w="90" w:type="dxa"/>
              <w:bottom w:w="80" w:type="dxa"/>
              <w:end w:w="90" w:type="dxa"/>
            </w:tcMar>
            <w:vAlign w:val="center"/>
          </w:tcPr>
          <w:p>
            <w:r>
              <w:rPr>
                <w:sz w:val="17"/>
              </w:rPr>
              <w:t>predictions, ground truth, sample metadata</w:t>
            </w:r>
          </w:p>
        </w:tc>
        <w:tc>
          <w:tcPr>
            <w:tcW w:type="dxa" w:w="2484"/>
            <w:tcMar>
              <w:top w:w="80" w:type="dxa"/>
              <w:start w:w="90" w:type="dxa"/>
              <w:bottom w:w="80" w:type="dxa"/>
              <w:end w:w="90" w:type="dxa"/>
            </w:tcMar>
            <w:vAlign w:val="center"/>
          </w:tcPr>
          <w:p>
            <w:r>
              <w:rPr>
                <w:sz w:val="17"/>
              </w:rPr>
              <w:t>per-sample and aggregate metrics plus failures</w:t>
            </w:r>
          </w:p>
        </w:tc>
        <w:tc>
          <w:tcPr>
            <w:tcW w:type="dxa" w:w="2484"/>
            <w:tcMar>
              <w:top w:w="80" w:type="dxa"/>
              <w:start w:w="90" w:type="dxa"/>
              <w:bottom w:w="80" w:type="dxa"/>
              <w:end w:w="90" w:type="dxa"/>
            </w:tcMar>
            <w:vAlign w:val="center"/>
          </w:tcPr>
          <w:p>
            <w:r>
              <w:rPr>
                <w:sz w:val="17"/>
              </w:rPr>
              <w:t>Member 4; Leader review</w:t>
            </w:r>
          </w:p>
        </w:tc>
      </w:tr>
      <w:tr>
        <w:tc>
          <w:tcPr>
            <w:tcW w:type="dxa" w:w="2484"/>
            <w:tcMar>
              <w:top w:w="80" w:type="dxa"/>
              <w:start w:w="90" w:type="dxa"/>
              <w:bottom w:w="80" w:type="dxa"/>
              <w:end w:w="90" w:type="dxa"/>
            </w:tcMar>
            <w:vAlign w:val="center"/>
            <w:shd w:fill="F2F2F2"/>
          </w:tcPr>
          <w:p>
            <w:r>
              <w:rPr>
                <w:sz w:val="17"/>
              </w:rPr>
              <w:t>Quantification</w:t>
            </w:r>
          </w:p>
        </w:tc>
        <w:tc>
          <w:tcPr>
            <w:tcW w:type="dxa" w:w="2484"/>
            <w:tcMar>
              <w:top w:w="80" w:type="dxa"/>
              <w:start w:w="90" w:type="dxa"/>
              <w:bottom w:w="80" w:type="dxa"/>
              <w:end w:w="90" w:type="dxa"/>
            </w:tcMar>
            <w:vAlign w:val="center"/>
            <w:shd w:fill="F2F2F2"/>
          </w:tcPr>
          <w:p>
            <w:r>
              <w:rPr>
                <w:sz w:val="17"/>
              </w:rPr>
              <w:t>validated plume mask, wind and dataset-supported labels</w:t>
            </w:r>
          </w:p>
        </w:tc>
        <w:tc>
          <w:tcPr>
            <w:tcW w:type="dxa" w:w="2484"/>
            <w:tcMar>
              <w:top w:w="80" w:type="dxa"/>
              <w:start w:w="90" w:type="dxa"/>
              <w:bottom w:w="80" w:type="dxa"/>
              <w:end w:w="90" w:type="dxa"/>
            </w:tcMar>
            <w:vAlign w:val="center"/>
            <w:shd w:fill="F2F2F2"/>
          </w:tcPr>
          <w:p>
            <w:r>
              <w:rPr>
                <w:sz w:val="17"/>
              </w:rPr>
              <w:t>estimate with units, assumptions, uncertainty note</w:t>
            </w:r>
          </w:p>
        </w:tc>
        <w:tc>
          <w:tcPr>
            <w:tcW w:type="dxa" w:w="2484"/>
            <w:tcMar>
              <w:top w:w="80" w:type="dxa"/>
              <w:start w:w="90" w:type="dxa"/>
              <w:bottom w:w="80" w:type="dxa"/>
              <w:end w:w="90" w:type="dxa"/>
            </w:tcMar>
            <w:vAlign w:val="center"/>
            <w:shd w:fill="F2F2F2"/>
          </w:tcPr>
          <w:p>
            <w:r>
              <w:rPr>
                <w:sz w:val="17"/>
              </w:rPr>
              <w:t>Member 4; Member 1 physics check</w:t>
            </w:r>
          </w:p>
        </w:tc>
      </w:tr>
    </w:tbl>
    <w:p/>
    <w:p>
      <w:pPr>
        <w:pStyle w:val="Heading2"/>
      </w:pPr>
      <w:r>
        <w:t>2.4 Team technical knowledge and AI use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2484"/>
            <w:shd w:fill="17365D"/>
            <w:tcMar>
              <w:top w:w="80" w:type="dxa"/>
              <w:start w:w="90" w:type="dxa"/>
              <w:bottom w:w="80" w:type="dxa"/>
              <w:end w:w="90" w:type="dxa"/>
            </w:tcMar>
            <w:vAlign w:val="center"/>
          </w:tcPr>
          <w:p>
            <w:r>
              <w:rPr>
                <w:b/>
                <w:color w:val="FFFFFF"/>
                <w:sz w:val="17"/>
              </w:rPr>
              <w:t>Role</w:t>
            </w:r>
          </w:p>
        </w:tc>
        <w:tc>
          <w:tcPr>
            <w:tcW w:type="dxa" w:w="2484"/>
            <w:shd w:fill="17365D"/>
            <w:tcMar>
              <w:top w:w="80" w:type="dxa"/>
              <w:start w:w="90" w:type="dxa"/>
              <w:bottom w:w="80" w:type="dxa"/>
              <w:end w:w="90" w:type="dxa"/>
            </w:tcMar>
            <w:vAlign w:val="center"/>
          </w:tcPr>
          <w:p>
            <w:r>
              <w:rPr>
                <w:b/>
                <w:color w:val="FFFFFF"/>
                <w:sz w:val="17"/>
              </w:rPr>
              <w:t>Must learn before implementation</w:t>
            </w:r>
          </w:p>
        </w:tc>
        <w:tc>
          <w:tcPr>
            <w:tcW w:type="dxa" w:w="2484"/>
            <w:shd w:fill="17365D"/>
            <w:tcMar>
              <w:top w:w="80" w:type="dxa"/>
              <w:start w:w="90" w:type="dxa"/>
              <w:bottom w:w="80" w:type="dxa"/>
              <w:end w:w="90" w:type="dxa"/>
            </w:tcMar>
            <w:vAlign w:val="center"/>
          </w:tcPr>
          <w:p>
            <w:r>
              <w:rPr>
                <w:b/>
                <w:color w:val="FFFFFF"/>
                <w:sz w:val="17"/>
              </w:rPr>
              <w:t>AI may help with</w:t>
            </w:r>
          </w:p>
        </w:tc>
        <w:tc>
          <w:tcPr>
            <w:tcW w:type="dxa" w:w="2484"/>
            <w:shd w:fill="17365D"/>
            <w:tcMar>
              <w:top w:w="80" w:type="dxa"/>
              <w:start w:w="90" w:type="dxa"/>
              <w:bottom w:w="80" w:type="dxa"/>
              <w:end w:w="90" w:type="dxa"/>
            </w:tcMar>
            <w:vAlign w:val="center"/>
          </w:tcPr>
          <w:p>
            <w:r>
              <w:rPr>
                <w:b/>
                <w:color w:val="FFFFFF"/>
                <w:sz w:val="17"/>
              </w:rPr>
              <w:t>Human must verify</w:t>
            </w:r>
          </w:p>
        </w:tc>
      </w:tr>
      <w:tr>
        <w:tc>
          <w:tcPr>
            <w:tcW w:type="dxa" w:w="2484"/>
            <w:tcMar>
              <w:top w:w="80" w:type="dxa"/>
              <w:start w:w="90" w:type="dxa"/>
              <w:bottom w:w="80" w:type="dxa"/>
              <w:end w:w="90" w:type="dxa"/>
            </w:tcMar>
            <w:vAlign w:val="center"/>
          </w:tcPr>
          <w:p>
            <w:r>
              <w:rPr>
                <w:sz w:val="17"/>
              </w:rPr>
              <w:t>Leader</w:t>
            </w:r>
          </w:p>
        </w:tc>
        <w:tc>
          <w:tcPr>
            <w:tcW w:type="dxa" w:w="2484"/>
            <w:tcMar>
              <w:top w:w="80" w:type="dxa"/>
              <w:start w:w="90" w:type="dxa"/>
              <w:bottom w:w="80" w:type="dxa"/>
              <w:end w:w="90" w:type="dxa"/>
            </w:tcMar>
            <w:vAlign w:val="center"/>
          </w:tcPr>
          <w:p>
            <w:r>
              <w:rPr>
                <w:sz w:val="17"/>
              </w:rPr>
              <w:t>Git workflow, experiment design, interfaces, metric interpretation</w:t>
            </w:r>
          </w:p>
        </w:tc>
        <w:tc>
          <w:tcPr>
            <w:tcW w:type="dxa" w:w="2484"/>
            <w:tcMar>
              <w:top w:w="80" w:type="dxa"/>
              <w:start w:w="90" w:type="dxa"/>
              <w:bottom w:w="80" w:type="dxa"/>
              <w:end w:w="90" w:type="dxa"/>
            </w:tcMar>
            <w:vAlign w:val="center"/>
          </w:tcPr>
          <w:p>
            <w:r>
              <w:rPr>
                <w:sz w:val="17"/>
              </w:rPr>
              <w:t>task decomposition, code review questions, documentation drafts</w:t>
            </w:r>
          </w:p>
        </w:tc>
        <w:tc>
          <w:tcPr>
            <w:tcW w:type="dxa" w:w="2484"/>
            <w:tcMar>
              <w:top w:w="80" w:type="dxa"/>
              <w:start w:w="90" w:type="dxa"/>
              <w:bottom w:w="80" w:type="dxa"/>
              <w:end w:w="90" w:type="dxa"/>
            </w:tcMar>
            <w:vAlign w:val="center"/>
          </w:tcPr>
          <w:p>
            <w:r>
              <w:rPr>
                <w:sz w:val="17"/>
              </w:rPr>
              <w:t>scope, approval, scientific claims, final merges</w:t>
            </w:r>
          </w:p>
        </w:tc>
      </w:tr>
      <w:tr>
        <w:tc>
          <w:tcPr>
            <w:tcW w:type="dxa" w:w="2484"/>
            <w:tcMar>
              <w:top w:w="80" w:type="dxa"/>
              <w:start w:w="90" w:type="dxa"/>
              <w:bottom w:w="80" w:type="dxa"/>
              <w:end w:w="90" w:type="dxa"/>
            </w:tcMar>
            <w:vAlign w:val="center"/>
            <w:shd w:fill="F2F2F2"/>
          </w:tcPr>
          <w:p>
            <w:r>
              <w:rPr>
                <w:sz w:val="17"/>
              </w:rPr>
              <w:t>Member 1</w:t>
            </w:r>
          </w:p>
        </w:tc>
        <w:tc>
          <w:tcPr>
            <w:tcW w:type="dxa" w:w="2484"/>
            <w:tcMar>
              <w:top w:w="80" w:type="dxa"/>
              <w:start w:w="90" w:type="dxa"/>
              <w:bottom w:w="80" w:type="dxa"/>
              <w:end w:w="90" w:type="dxa"/>
            </w:tcMar>
            <w:vAlign w:val="center"/>
            <w:shd w:fill="F2F2F2"/>
          </w:tcPr>
          <w:p>
            <w:r>
              <w:rPr>
                <w:sz w:val="17"/>
              </w:rPr>
              <w:t>Python arrays, geospatial metadata, wind vectors, data leakage</w:t>
            </w:r>
          </w:p>
        </w:tc>
        <w:tc>
          <w:tcPr>
            <w:tcW w:type="dxa" w:w="2484"/>
            <w:tcMar>
              <w:top w:w="80" w:type="dxa"/>
              <w:start w:w="90" w:type="dxa"/>
              <w:bottom w:w="80" w:type="dxa"/>
              <w:end w:w="90" w:type="dxa"/>
            </w:tcMar>
            <w:vAlign w:val="center"/>
            <w:shd w:fill="F2F2F2"/>
          </w:tcPr>
          <w:p>
            <w:r>
              <w:rPr>
                <w:sz w:val="17"/>
              </w:rPr>
              <w:t>schema inspection scripts, coordinate explanations</w:t>
            </w:r>
          </w:p>
        </w:tc>
        <w:tc>
          <w:tcPr>
            <w:tcW w:type="dxa" w:w="2484"/>
            <w:tcMar>
              <w:top w:w="80" w:type="dxa"/>
              <w:start w:w="90" w:type="dxa"/>
              <w:bottom w:w="80" w:type="dxa"/>
              <w:end w:w="90" w:type="dxa"/>
            </w:tcMar>
            <w:vAlign w:val="center"/>
            <w:shd w:fill="F2F2F2"/>
          </w:tcPr>
          <w:p>
            <w:r>
              <w:rPr>
                <w:sz w:val="17"/>
              </w:rPr>
              <w:t>dataset license, label meaning, units, alignment</w:t>
            </w:r>
          </w:p>
        </w:tc>
      </w:tr>
      <w:tr>
        <w:tc>
          <w:tcPr>
            <w:tcW w:type="dxa" w:w="2484"/>
            <w:tcMar>
              <w:top w:w="80" w:type="dxa"/>
              <w:start w:w="90" w:type="dxa"/>
              <w:bottom w:w="80" w:type="dxa"/>
              <w:end w:w="90" w:type="dxa"/>
            </w:tcMar>
            <w:vAlign w:val="center"/>
          </w:tcPr>
          <w:p>
            <w:r>
              <w:rPr>
                <w:sz w:val="17"/>
              </w:rPr>
              <w:t>Member 2</w:t>
            </w:r>
          </w:p>
        </w:tc>
        <w:tc>
          <w:tcPr>
            <w:tcW w:type="dxa" w:w="2484"/>
            <w:tcMar>
              <w:top w:w="80" w:type="dxa"/>
              <w:start w:w="90" w:type="dxa"/>
              <w:bottom w:w="80" w:type="dxa"/>
              <w:end w:w="90" w:type="dxa"/>
            </w:tcMar>
            <w:vAlign w:val="center"/>
          </w:tcPr>
          <w:p>
            <w:r>
              <w:rPr>
                <w:sz w:val="17"/>
              </w:rPr>
              <w:t>PyTorch, U-Net, losses, checkpointing, metrics</w:t>
            </w:r>
          </w:p>
        </w:tc>
        <w:tc>
          <w:tcPr>
            <w:tcW w:type="dxa" w:w="2484"/>
            <w:tcMar>
              <w:top w:w="80" w:type="dxa"/>
              <w:start w:w="90" w:type="dxa"/>
              <w:bottom w:w="80" w:type="dxa"/>
              <w:end w:w="90" w:type="dxa"/>
            </w:tcMar>
            <w:vAlign w:val="center"/>
          </w:tcPr>
          <w:p>
            <w:r>
              <w:rPr>
                <w:sz w:val="17"/>
              </w:rPr>
              <w:t>starter code, tensor-shape debugging, unit tests</w:t>
            </w:r>
          </w:p>
        </w:tc>
        <w:tc>
          <w:tcPr>
            <w:tcW w:type="dxa" w:w="2484"/>
            <w:tcMar>
              <w:top w:w="80" w:type="dxa"/>
              <w:start w:w="90" w:type="dxa"/>
              <w:bottom w:w="80" w:type="dxa"/>
              <w:end w:w="90" w:type="dxa"/>
            </w:tcMar>
            <w:vAlign w:val="center"/>
          </w:tcPr>
          <w:p>
            <w:r>
              <w:rPr>
                <w:sz w:val="17"/>
              </w:rPr>
              <w:t>data split, implementation behavior, reported metric</w:t>
            </w:r>
          </w:p>
        </w:tc>
      </w:tr>
      <w:tr>
        <w:tc>
          <w:tcPr>
            <w:tcW w:type="dxa" w:w="2484"/>
            <w:tcMar>
              <w:top w:w="80" w:type="dxa"/>
              <w:start w:w="90" w:type="dxa"/>
              <w:bottom w:w="80" w:type="dxa"/>
              <w:end w:w="90" w:type="dxa"/>
            </w:tcMar>
            <w:vAlign w:val="center"/>
            <w:shd w:fill="F2F2F2"/>
          </w:tcPr>
          <w:p>
            <w:r>
              <w:rPr>
                <w:sz w:val="17"/>
              </w:rPr>
              <w:t>Member 3</w:t>
            </w:r>
          </w:p>
        </w:tc>
        <w:tc>
          <w:tcPr>
            <w:tcW w:type="dxa" w:w="2484"/>
            <w:tcMar>
              <w:top w:w="80" w:type="dxa"/>
              <w:start w:w="90" w:type="dxa"/>
              <w:bottom w:w="80" w:type="dxa"/>
              <w:end w:w="90" w:type="dxa"/>
            </w:tcMar>
            <w:vAlign w:val="center"/>
            <w:shd w:fill="F2F2F2"/>
          </w:tcPr>
          <w:p>
            <w:r>
              <w:rPr>
                <w:sz w:val="17"/>
              </w:rPr>
              <w:t>wind features, curriculum learning, ablations, domain shift</w:t>
            </w:r>
          </w:p>
        </w:tc>
        <w:tc>
          <w:tcPr>
            <w:tcW w:type="dxa" w:w="2484"/>
            <w:tcMar>
              <w:top w:w="80" w:type="dxa"/>
              <w:start w:w="90" w:type="dxa"/>
              <w:bottom w:w="80" w:type="dxa"/>
              <w:end w:w="90" w:type="dxa"/>
            </w:tcMar>
            <w:vAlign w:val="center"/>
            <w:shd w:fill="F2F2F2"/>
          </w:tcPr>
          <w:p>
            <w:r>
              <w:rPr>
                <w:sz w:val="17"/>
              </w:rPr>
              <w:t>experiment options, feature modules, troubleshooting</w:t>
            </w:r>
          </w:p>
        </w:tc>
        <w:tc>
          <w:tcPr>
            <w:tcW w:type="dxa" w:w="2484"/>
            <w:tcMar>
              <w:top w:w="80" w:type="dxa"/>
              <w:start w:w="90" w:type="dxa"/>
              <w:bottom w:w="80" w:type="dxa"/>
              <w:end w:w="90" w:type="dxa"/>
            </w:tcMar>
            <w:vAlign w:val="center"/>
            <w:shd w:fill="F2F2F2"/>
          </w:tcPr>
          <w:p>
            <w:r>
              <w:rPr>
                <w:sz w:val="17"/>
              </w:rPr>
              <w:t>hypothesis, fairness of comparison, novelty claim</w:t>
            </w:r>
          </w:p>
        </w:tc>
      </w:tr>
      <w:tr>
        <w:tc>
          <w:tcPr>
            <w:tcW w:type="dxa" w:w="2484"/>
            <w:tcMar>
              <w:top w:w="80" w:type="dxa"/>
              <w:start w:w="90" w:type="dxa"/>
              <w:bottom w:w="80" w:type="dxa"/>
              <w:end w:w="90" w:type="dxa"/>
            </w:tcMar>
            <w:vAlign w:val="center"/>
          </w:tcPr>
          <w:p>
            <w:r>
              <w:rPr>
                <w:sz w:val="17"/>
              </w:rPr>
              <w:t>Member 4</w:t>
            </w:r>
          </w:p>
        </w:tc>
        <w:tc>
          <w:tcPr>
            <w:tcW w:type="dxa" w:w="2484"/>
            <w:tcMar>
              <w:top w:w="80" w:type="dxa"/>
              <w:start w:w="90" w:type="dxa"/>
              <w:bottom w:w="80" w:type="dxa"/>
              <w:end w:w="90" w:type="dxa"/>
            </w:tcMar>
            <w:vAlign w:val="center"/>
          </w:tcPr>
          <w:p>
            <w:r>
              <w:rPr>
                <w:sz w:val="17"/>
              </w:rPr>
              <w:t>evaluation, visualization, uncertainty, IME/CSF basics, Streamlit</w:t>
            </w:r>
          </w:p>
        </w:tc>
        <w:tc>
          <w:tcPr>
            <w:tcW w:type="dxa" w:w="2484"/>
            <w:tcMar>
              <w:top w:w="80" w:type="dxa"/>
              <w:start w:w="90" w:type="dxa"/>
              <w:bottom w:w="80" w:type="dxa"/>
              <w:end w:w="90" w:type="dxa"/>
            </w:tcMar>
            <w:vAlign w:val="center"/>
          </w:tcPr>
          <w:p>
            <w:r>
              <w:rPr>
                <w:sz w:val="17"/>
              </w:rPr>
              <w:t>plotting, UI scaffolds, report drafts</w:t>
            </w:r>
          </w:p>
        </w:tc>
        <w:tc>
          <w:tcPr>
            <w:tcW w:type="dxa" w:w="2484"/>
            <w:tcMar>
              <w:top w:w="80" w:type="dxa"/>
              <w:start w:w="90" w:type="dxa"/>
              <w:bottom w:w="80" w:type="dxa"/>
              <w:end w:w="90" w:type="dxa"/>
            </w:tcMar>
            <w:vAlign w:val="center"/>
          </w:tcPr>
          <w:p>
            <w:r>
              <w:rPr>
                <w:sz w:val="17"/>
              </w:rPr>
              <w:t>units, limitations, quantitative claim</w:t>
            </w:r>
          </w:p>
        </w:tc>
      </w:tr>
    </w:tbl>
    <w:p/>
    <w:p>
      <w:r>
        <w:t>Personal ideas are encouraged after the baseline works. Each idea must be tried on a separate branch, written as a hypothesis, compared with a fixed baseline and split, and kept only when the saved evidence supports it.</w:t>
      </w:r>
    </w:p>
    <w:p>
      <w:pPr>
        <w:pStyle w:val="Heading1"/>
      </w:pPr>
      <w:r>
        <w:t>3 Team member playbooks</w:t>
      </w:r>
    </w:p>
    <w:p>
      <w:pPr>
        <w:pStyle w:val="Heading2"/>
      </w:pPr>
      <w:r>
        <w:t>3.1 Team Leader  Integration and Research Coordinator</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Primary ownership</w:t>
            </w:r>
          </w:p>
        </w:tc>
        <w:tc>
          <w:tcPr>
            <w:tcW w:type="dxa" w:w="3312"/>
            <w:shd w:fill="17365D"/>
            <w:tcMar>
              <w:top w:w="80" w:type="dxa"/>
              <w:start w:w="90" w:type="dxa"/>
              <w:bottom w:w="80" w:type="dxa"/>
              <w:end w:w="90" w:type="dxa"/>
            </w:tcMar>
            <w:vAlign w:val="center"/>
          </w:tcPr>
          <w:p>
            <w:r>
              <w:rPr>
                <w:b/>
                <w:color w:val="FFFFFF"/>
                <w:sz w:val="17"/>
              </w:rPr>
              <w:t>Concrete deliverables</w:t>
            </w:r>
          </w:p>
        </w:tc>
        <w:tc>
          <w:tcPr>
            <w:tcW w:type="dxa" w:w="3312"/>
            <w:shd w:fill="17365D"/>
            <w:tcMar>
              <w:top w:w="80" w:type="dxa"/>
              <w:start w:w="90" w:type="dxa"/>
              <w:bottom w:w="80" w:type="dxa"/>
              <w:end w:w="90" w:type="dxa"/>
            </w:tcMar>
            <w:vAlign w:val="center"/>
          </w:tcPr>
          <w:p>
            <w:r>
              <w:rPr>
                <w:b/>
                <w:color w:val="FFFFFF"/>
                <w:sz w:val="17"/>
              </w:rPr>
              <w:t>Dependencies</w:t>
            </w:r>
          </w:p>
        </w:tc>
      </w:tr>
      <w:tr>
        <w:tc>
          <w:tcPr>
            <w:tcW w:type="dxa" w:w="3312"/>
            <w:tcMar>
              <w:top w:w="80" w:type="dxa"/>
              <w:start w:w="90" w:type="dxa"/>
              <w:bottom w:w="80" w:type="dxa"/>
              <w:end w:w="90" w:type="dxa"/>
            </w:tcMar>
            <w:vAlign w:val="center"/>
          </w:tcPr>
          <w:p>
            <w:r>
              <w:rPr>
                <w:sz w:val="17"/>
              </w:rPr>
              <w:t>Project decisions, interfaces, reviews, risk control, final integration</w:t>
            </w:r>
          </w:p>
        </w:tc>
        <w:tc>
          <w:tcPr>
            <w:tcW w:type="dxa" w:w="3312"/>
            <w:tcMar>
              <w:top w:w="80" w:type="dxa"/>
              <w:start w:w="90" w:type="dxa"/>
              <w:bottom w:w="80" w:type="dxa"/>
              <w:end w:w="90" w:type="dxa"/>
            </w:tcMar>
            <w:vAlign w:val="center"/>
          </w:tcPr>
          <w:p>
            <w:r>
              <w:rPr>
                <w:sz w:val="17"/>
              </w:rPr>
              <w:t>Repository governance, decision log, milestone evidence, integration checklist, final report and presentation outline</w:t>
            </w:r>
          </w:p>
        </w:tc>
        <w:tc>
          <w:tcPr>
            <w:tcW w:type="dxa" w:w="3312"/>
            <w:tcMar>
              <w:top w:w="80" w:type="dxa"/>
              <w:start w:w="90" w:type="dxa"/>
              <w:bottom w:w="80" w:type="dxa"/>
              <w:end w:w="90" w:type="dxa"/>
            </w:tcMar>
            <w:vAlign w:val="center"/>
          </w:tcPr>
          <w:p>
            <w:r>
              <w:rPr>
                <w:sz w:val="17"/>
              </w:rPr>
              <w:t>All member handovers and shared data contract</w:t>
            </w:r>
          </w:p>
        </w:tc>
      </w:tr>
    </w:tbl>
    <w:p/>
    <w:p>
      <w:pPr>
        <w:pStyle w:val="ListBullet"/>
      </w:pPr>
      <w:r>
        <w:t>Do not become the fallback implementer for every module. Review work, unblock people, and own integration points.</w:t>
      </w:r>
    </w:p>
    <w:p>
      <w:pPr>
        <w:pStyle w:val="ListBullet"/>
      </w:pPr>
      <w:r>
        <w:t>Run a 15-minute daily stand-up: yesterday, today, blocker, artifact link.</w:t>
      </w:r>
    </w:p>
    <w:p>
      <w:pPr>
        <w:pStyle w:val="ListBullet"/>
      </w:pPr>
      <w:r>
        <w:t>Approve only work that has a reproducible command or notebook and an explicit limitation note.</w:t>
      </w:r>
    </w:p>
    <w:p>
      <w:pPr>
        <w:pStyle w:val="Heading2"/>
      </w:pPr>
      <w:r>
        <w:t>3.2 Member 1  Data and Geospatial Lead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Primary ownership</w:t>
            </w:r>
          </w:p>
        </w:tc>
        <w:tc>
          <w:tcPr>
            <w:tcW w:type="dxa" w:w="3312"/>
            <w:shd w:fill="17365D"/>
            <w:tcMar>
              <w:top w:w="80" w:type="dxa"/>
              <w:start w:w="90" w:type="dxa"/>
              <w:bottom w:w="80" w:type="dxa"/>
              <w:end w:w="90" w:type="dxa"/>
            </w:tcMar>
            <w:vAlign w:val="center"/>
          </w:tcPr>
          <w:p>
            <w:r>
              <w:rPr>
                <w:b/>
                <w:color w:val="FFFFFF"/>
                <w:sz w:val="17"/>
              </w:rPr>
              <w:t>Concrete deliverables</w:t>
            </w:r>
          </w:p>
        </w:tc>
        <w:tc>
          <w:tcPr>
            <w:tcW w:type="dxa" w:w="3312"/>
            <w:shd w:fill="17365D"/>
            <w:tcMar>
              <w:top w:w="80" w:type="dxa"/>
              <w:start w:w="90" w:type="dxa"/>
              <w:bottom w:w="80" w:type="dxa"/>
              <w:end w:w="90" w:type="dxa"/>
            </w:tcMar>
            <w:vAlign w:val="center"/>
          </w:tcPr>
          <w:p>
            <w:r>
              <w:rPr>
                <w:b/>
                <w:color w:val="FFFFFF"/>
                <w:sz w:val="17"/>
              </w:rPr>
              <w:t>Dependencies</w:t>
            </w:r>
          </w:p>
        </w:tc>
      </w:tr>
      <w:tr>
        <w:tc>
          <w:tcPr>
            <w:tcW w:type="dxa" w:w="3312"/>
            <w:tcMar>
              <w:top w:w="80" w:type="dxa"/>
              <w:start w:w="90" w:type="dxa"/>
              <w:bottom w:w="80" w:type="dxa"/>
              <w:end w:w="90" w:type="dxa"/>
            </w:tcMar>
            <w:vAlign w:val="center"/>
          </w:tcPr>
          <w:p>
            <w:r>
              <w:rPr>
                <w:sz w:val="17"/>
              </w:rPr>
              <w:t>Dataset access, manifest, preprocessing, labels, geospatial and wind alignment</w:t>
            </w:r>
          </w:p>
        </w:tc>
        <w:tc>
          <w:tcPr>
            <w:tcW w:type="dxa" w:w="3312"/>
            <w:tcMar>
              <w:top w:w="80" w:type="dxa"/>
              <w:start w:w="90" w:type="dxa"/>
              <w:bottom w:w="80" w:type="dxa"/>
              <w:end w:w="90" w:type="dxa"/>
            </w:tcMar>
            <w:vAlign w:val="center"/>
          </w:tcPr>
          <w:p>
            <w:r>
              <w:rPr>
                <w:sz w:val="17"/>
              </w:rPr>
              <w:t>data/README.md, manifest CSV or Parquet, split files, canonical reader, quality report</w:t>
            </w:r>
          </w:p>
        </w:tc>
        <w:tc>
          <w:tcPr>
            <w:tcW w:type="dxa" w:w="3312"/>
            <w:tcMar>
              <w:top w:w="80" w:type="dxa"/>
              <w:start w:w="90" w:type="dxa"/>
              <w:bottom w:w="80" w:type="dxa"/>
              <w:end w:w="90" w:type="dxa"/>
            </w:tcMar>
            <w:vAlign w:val="center"/>
          </w:tcPr>
          <w:p>
            <w:r>
              <w:rPr>
                <w:sz w:val="17"/>
              </w:rPr>
              <w:t>Leader confirms scope; Members 2–4 consume canonical samples</w:t>
            </w:r>
          </w:p>
        </w:tc>
      </w:tr>
    </w:tbl>
    <w:p/>
    <w:p>
      <w:pPr>
        <w:pStyle w:val="Heading2"/>
      </w:pPr>
      <w:r>
        <w:t>3.3 Member 2  Baseline Model and Training Lead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Primary ownership</w:t>
            </w:r>
          </w:p>
        </w:tc>
        <w:tc>
          <w:tcPr>
            <w:tcW w:type="dxa" w:w="3312"/>
            <w:shd w:fill="17365D"/>
            <w:tcMar>
              <w:top w:w="80" w:type="dxa"/>
              <w:start w:w="90" w:type="dxa"/>
              <w:bottom w:w="80" w:type="dxa"/>
              <w:end w:w="90" w:type="dxa"/>
            </w:tcMar>
            <w:vAlign w:val="center"/>
          </w:tcPr>
          <w:p>
            <w:r>
              <w:rPr>
                <w:b/>
                <w:color w:val="FFFFFF"/>
                <w:sz w:val="17"/>
              </w:rPr>
              <w:t>Concrete deliverables</w:t>
            </w:r>
          </w:p>
        </w:tc>
        <w:tc>
          <w:tcPr>
            <w:tcW w:type="dxa" w:w="3312"/>
            <w:shd w:fill="17365D"/>
            <w:tcMar>
              <w:top w:w="80" w:type="dxa"/>
              <w:start w:w="90" w:type="dxa"/>
              <w:bottom w:w="80" w:type="dxa"/>
              <w:end w:w="90" w:type="dxa"/>
            </w:tcMar>
            <w:vAlign w:val="center"/>
          </w:tcPr>
          <w:p>
            <w:r>
              <w:rPr>
                <w:b/>
                <w:color w:val="FFFFFF"/>
                <w:sz w:val="17"/>
              </w:rPr>
              <w:t>Dependencies</w:t>
            </w:r>
          </w:p>
        </w:tc>
      </w:tr>
      <w:tr>
        <w:tc>
          <w:tcPr>
            <w:tcW w:type="dxa" w:w="3312"/>
            <w:tcMar>
              <w:top w:w="80" w:type="dxa"/>
              <w:start w:w="90" w:type="dxa"/>
              <w:bottom w:w="80" w:type="dxa"/>
              <w:end w:w="90" w:type="dxa"/>
            </w:tcMar>
            <w:vAlign w:val="center"/>
          </w:tcPr>
          <w:p>
            <w:r>
              <w:rPr>
                <w:sz w:val="17"/>
              </w:rPr>
              <w:t>Baseline inference, U-Net or comparable segmentation baseline, training and checkpoints</w:t>
            </w:r>
          </w:p>
        </w:tc>
        <w:tc>
          <w:tcPr>
            <w:tcW w:type="dxa" w:w="3312"/>
            <w:tcMar>
              <w:top w:w="80" w:type="dxa"/>
              <w:start w:w="90" w:type="dxa"/>
              <w:bottom w:w="80" w:type="dxa"/>
              <w:end w:w="90" w:type="dxa"/>
            </w:tcMar>
            <w:vAlign w:val="center"/>
          </w:tcPr>
          <w:p>
            <w:r>
              <w:rPr>
                <w:sz w:val="17"/>
              </w:rPr>
              <w:t>training config, model module, best checkpoint pointer, baseline metrics and predictions</w:t>
            </w:r>
          </w:p>
        </w:tc>
        <w:tc>
          <w:tcPr>
            <w:tcW w:type="dxa" w:w="3312"/>
            <w:tcMar>
              <w:top w:w="80" w:type="dxa"/>
              <w:start w:w="90" w:type="dxa"/>
              <w:bottom w:w="80" w:type="dxa"/>
              <w:end w:w="90" w:type="dxa"/>
            </w:tcMar>
            <w:vAlign w:val="center"/>
          </w:tcPr>
          <w:p>
            <w:r>
              <w:rPr>
                <w:sz w:val="17"/>
              </w:rPr>
              <w:t>Member 1 data contract; Member 4 evaluation contract</w:t>
            </w:r>
          </w:p>
        </w:tc>
      </w:tr>
    </w:tbl>
    <w:p/>
    <w:p>
      <w:pPr>
        <w:pStyle w:val="Heading2"/>
      </w:pPr>
      <w:r>
        <w:t>3.4 Member 3  Methodology and Robustness Lead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Primary ownership</w:t>
            </w:r>
          </w:p>
        </w:tc>
        <w:tc>
          <w:tcPr>
            <w:tcW w:type="dxa" w:w="3312"/>
            <w:shd w:fill="17365D"/>
            <w:tcMar>
              <w:top w:w="80" w:type="dxa"/>
              <w:start w:w="90" w:type="dxa"/>
              <w:bottom w:w="80" w:type="dxa"/>
              <w:end w:w="90" w:type="dxa"/>
            </w:tcMar>
            <w:vAlign w:val="center"/>
          </w:tcPr>
          <w:p>
            <w:r>
              <w:rPr>
                <w:b/>
                <w:color w:val="FFFFFF"/>
                <w:sz w:val="17"/>
              </w:rPr>
              <w:t>Concrete deliverables</w:t>
            </w:r>
          </w:p>
        </w:tc>
        <w:tc>
          <w:tcPr>
            <w:tcW w:type="dxa" w:w="3312"/>
            <w:shd w:fill="17365D"/>
            <w:tcMar>
              <w:top w:w="80" w:type="dxa"/>
              <w:start w:w="90" w:type="dxa"/>
              <w:bottom w:w="80" w:type="dxa"/>
              <w:end w:w="90" w:type="dxa"/>
            </w:tcMar>
            <w:vAlign w:val="center"/>
          </w:tcPr>
          <w:p>
            <w:r>
              <w:rPr>
                <w:b/>
                <w:color w:val="FFFFFF"/>
                <w:sz w:val="17"/>
              </w:rPr>
              <w:t>Dependencies</w:t>
            </w:r>
          </w:p>
        </w:tc>
      </w:tr>
      <w:tr>
        <w:tc>
          <w:tcPr>
            <w:tcW w:type="dxa" w:w="3312"/>
            <w:tcMar>
              <w:top w:w="80" w:type="dxa"/>
              <w:start w:w="90" w:type="dxa"/>
              <w:bottom w:w="80" w:type="dxa"/>
              <w:end w:w="90" w:type="dxa"/>
            </w:tcMar>
            <w:vAlign w:val="center"/>
          </w:tcPr>
          <w:p>
            <w:r>
              <w:rPr>
                <w:sz w:val="17"/>
              </w:rPr>
              <w:t>Wind-conditioned experiment, weak-plume curriculum, false-positive analysis, optional adapter</w:t>
            </w:r>
          </w:p>
        </w:tc>
        <w:tc>
          <w:tcPr>
            <w:tcW w:type="dxa" w:w="3312"/>
            <w:tcMar>
              <w:top w:w="80" w:type="dxa"/>
              <w:start w:w="90" w:type="dxa"/>
              <w:bottom w:w="80" w:type="dxa"/>
              <w:end w:w="90" w:type="dxa"/>
            </w:tcMar>
            <w:vAlign w:val="center"/>
          </w:tcPr>
          <w:p>
            <w:r>
              <w:rPr>
                <w:sz w:val="17"/>
              </w:rPr>
              <w:t>ablation plan, experiment configs, failure library, advanced-model comparison</w:t>
            </w:r>
          </w:p>
        </w:tc>
        <w:tc>
          <w:tcPr>
            <w:tcW w:type="dxa" w:w="3312"/>
            <w:tcMar>
              <w:top w:w="80" w:type="dxa"/>
              <w:start w:w="90" w:type="dxa"/>
              <w:bottom w:w="80" w:type="dxa"/>
              <w:end w:w="90" w:type="dxa"/>
            </w:tcMar>
            <w:vAlign w:val="center"/>
          </w:tcPr>
          <w:p>
            <w:r>
              <w:rPr>
                <w:sz w:val="17"/>
              </w:rPr>
              <w:t>Member 1 wind/data fields; Member 2 stable baseline</w:t>
            </w:r>
          </w:p>
        </w:tc>
      </w:tr>
    </w:tbl>
    <w:p/>
    <w:p>
      <w:pPr>
        <w:pStyle w:val="Heading2"/>
      </w:pPr>
      <w:r>
        <w:t>3.5 Member 4  Evaluation Quantification and Demonstration Lead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Primary ownership</w:t>
            </w:r>
          </w:p>
        </w:tc>
        <w:tc>
          <w:tcPr>
            <w:tcW w:type="dxa" w:w="3312"/>
            <w:shd w:fill="17365D"/>
            <w:tcMar>
              <w:top w:w="80" w:type="dxa"/>
              <w:start w:w="90" w:type="dxa"/>
              <w:bottom w:w="80" w:type="dxa"/>
              <w:end w:w="90" w:type="dxa"/>
            </w:tcMar>
            <w:vAlign w:val="center"/>
          </w:tcPr>
          <w:p>
            <w:r>
              <w:rPr>
                <w:b/>
                <w:color w:val="FFFFFF"/>
                <w:sz w:val="17"/>
              </w:rPr>
              <w:t>Concrete deliverables</w:t>
            </w:r>
          </w:p>
        </w:tc>
        <w:tc>
          <w:tcPr>
            <w:tcW w:type="dxa" w:w="3312"/>
            <w:shd w:fill="17365D"/>
            <w:tcMar>
              <w:top w:w="80" w:type="dxa"/>
              <w:start w:w="90" w:type="dxa"/>
              <w:bottom w:w="80" w:type="dxa"/>
              <w:end w:w="90" w:type="dxa"/>
            </w:tcMar>
            <w:vAlign w:val="center"/>
          </w:tcPr>
          <w:p>
            <w:r>
              <w:rPr>
                <w:b/>
                <w:color w:val="FFFFFF"/>
                <w:sz w:val="17"/>
              </w:rPr>
              <w:t>Dependencies</w:t>
            </w:r>
          </w:p>
        </w:tc>
      </w:tr>
      <w:tr>
        <w:tc>
          <w:tcPr>
            <w:tcW w:type="dxa" w:w="3312"/>
            <w:tcMar>
              <w:top w:w="80" w:type="dxa"/>
              <w:start w:w="90" w:type="dxa"/>
              <w:bottom w:w="80" w:type="dxa"/>
              <w:end w:w="90" w:type="dxa"/>
            </w:tcMar>
            <w:vAlign w:val="center"/>
          </w:tcPr>
          <w:p>
            <w:r>
              <w:rPr>
                <w:sz w:val="17"/>
              </w:rPr>
              <w:t>metrics, error analysis, cross-sensor protocol, quantification when valid, visual demo, reports</w:t>
            </w:r>
          </w:p>
        </w:tc>
        <w:tc>
          <w:tcPr>
            <w:tcW w:type="dxa" w:w="3312"/>
            <w:tcMar>
              <w:top w:w="80" w:type="dxa"/>
              <w:start w:w="90" w:type="dxa"/>
              <w:bottom w:w="80" w:type="dxa"/>
              <w:end w:w="90" w:type="dxa"/>
            </w:tcMar>
            <w:vAlign w:val="center"/>
          </w:tcPr>
          <w:p>
            <w:r>
              <w:rPr>
                <w:sz w:val="17"/>
              </w:rPr>
              <w:t>evaluation scripts, results tables, figures, optional Streamlit app, limitations record</w:t>
            </w:r>
          </w:p>
        </w:tc>
        <w:tc>
          <w:tcPr>
            <w:tcW w:type="dxa" w:w="3312"/>
            <w:tcMar>
              <w:top w:w="80" w:type="dxa"/>
              <w:start w:w="90" w:type="dxa"/>
              <w:bottom w:w="80" w:type="dxa"/>
              <w:end w:w="90" w:type="dxa"/>
            </w:tcMar>
            <w:vAlign w:val="center"/>
          </w:tcPr>
          <w:p>
            <w:r>
              <w:rPr>
                <w:sz w:val="17"/>
              </w:rPr>
              <w:t>Member 2/3 prediction contract; Member 1 units and metadata</w:t>
            </w:r>
          </w:p>
        </w:tc>
      </w:tr>
    </w:tbl>
    <w:p/>
    <w:p>
      <w:pPr>
        <w:pStyle w:val="Heading1"/>
      </w:pPr>
      <w:r>
        <w:t>4 Daily copy paste implementation prompts</w:t>
      </w:r>
    </w:p>
    <w:p>
      <w:r>
        <w:t>Run the following tasks in dependency order. A task may begin only when its listed prerequisites are met. The dates identify the expected completion day; members may work ahead when interfaces are stable.</w:t>
      </w:r>
    </w:p>
    <w:p>
      <w:pPr>
        <w:pStyle w:val="Heading3"/>
      </w:pPr>
      <w:r>
        <w:t>Oct 7  Repository governance and decision log</w:t>
      </w:r>
    </w:p>
    <w:p>
      <w:r>
        <w:rPr>
          <w:b/>
        </w:rPr>
        <w:t xml:space="preserve">Assigned to: </w:t>
      </w:r>
      <w:r>
        <w:t>Leader</w:t>
      </w:r>
    </w:p>
    <w:p>
      <w:r>
        <w:rPr>
          <w:b/>
        </w:rPr>
        <w:t xml:space="preserve">Prerequisites: </w:t>
      </w:r>
      <w:r>
        <w:t>None.</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Create the repository skeleton exactly as documented in the methane project playbook. Add README.md, .gitignore, requirements.txt placeholder, configs/base.yaml, reports/decisions.md, reports/daily_handover.md, and a GitHub issue template. Do not add real datasets or secrets. Define branch names feat/&lt;date&gt;-&lt;component&gt;. Add a pre-merge checklist covering tests, configuration, run ID, and handover note.</w:t>
            </w:r>
          </w:p>
        </w:tc>
      </w:tr>
    </w:tbl>
    <w:p/>
    <w:p>
      <w:r>
        <w:rPr>
          <w:b/>
        </w:rPr>
        <w:t xml:space="preserve">Expected deliverables: </w:t>
      </w:r>
      <w:r>
        <w:t>Repository, branch policy, issue template, decision log, and initial README.</w:t>
      </w:r>
    </w:p>
    <w:p>
      <w:r>
        <w:rPr>
          <w:b/>
        </w:rPr>
        <w:t xml:space="preserve">How to verify: </w:t>
      </w:r>
      <w:r>
        <w:t>Clone the repository in a clean directory. Confirm no data or secrets are tracked. Create a test branch and open a sample Pull Request.</w:t>
      </w:r>
    </w:p>
    <w:p>
      <w:r>
        <w:rPr>
          <w:b/>
        </w:rPr>
        <w:t xml:space="preserve">Handover: </w:t>
      </w:r>
      <w:r>
        <w:t>Members receive the repository URL, branch rules, and the initial task assignments.</w:t>
      </w:r>
    </w:p>
    <w:p>
      <w:pPr>
        <w:pStyle w:val="Heading3"/>
      </w:pPr>
      <w:r>
        <w:t>Oct 7 to Oct 10  Dataset discovery and access verification</w:t>
      </w:r>
    </w:p>
    <w:p>
      <w:r>
        <w:rPr>
          <w:b/>
        </w:rPr>
        <w:t xml:space="preserve">Assigned to: </w:t>
      </w:r>
      <w:r>
        <w:t>Member 1</w:t>
      </w:r>
    </w:p>
    <w:p>
      <w:r>
        <w:rPr>
          <w:b/>
        </w:rPr>
        <w:t xml:space="preserve">Prerequisites: </w:t>
      </w:r>
      <w:r>
        <w:t>Repository exists; source framework available.</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Create data/README.md and manifests/dataset_inventory.csv. For each candidate dataset named in the research framework, record the source URL or local location, access status, license status, sensor, task labels available, apparent file format, sample count if verified, and open questions. Do not infer schema from a paper. Select no primary dataset yet unless a sample file opens successfully.</w:t>
            </w:r>
          </w:p>
        </w:tc>
      </w:tr>
    </w:tbl>
    <w:p/>
    <w:p>
      <w:r>
        <w:rPr>
          <w:b/>
        </w:rPr>
        <w:t xml:space="preserve">Expected deliverables: </w:t>
      </w:r>
      <w:r>
        <w:t>Dataset inventory, access log, one sample-opening notebook per accessible candidate.</w:t>
      </w:r>
    </w:p>
    <w:p>
      <w:r>
        <w:rPr>
          <w:b/>
        </w:rPr>
        <w:t xml:space="preserve">How to verify: </w:t>
      </w:r>
      <w:r>
        <w:t>Run each notebook from a clean kernel. A candidate is marked usable only if a real sample and its label or metadata open without manual edits.</w:t>
      </w:r>
    </w:p>
    <w:p>
      <w:r>
        <w:rPr>
          <w:b/>
        </w:rPr>
        <w:t xml:space="preserve">Handover: </w:t>
      </w:r>
      <w:r>
        <w:t>Leader receives a recommendation with evidence and unresolved access or licensing risks.</w:t>
      </w:r>
    </w:p>
    <w:p>
      <w:pPr>
        <w:pStyle w:val="Heading3"/>
      </w:pPr>
      <w:r>
        <w:t>Oct 8 to Oct 10  Environment and tiny training smoke test</w:t>
      </w:r>
    </w:p>
    <w:p>
      <w:r>
        <w:rPr>
          <w:b/>
        </w:rPr>
        <w:t xml:space="preserve">Assigned to: </w:t>
      </w:r>
      <w:r>
        <w:t>Member 2</w:t>
      </w:r>
    </w:p>
    <w:p>
      <w:r>
        <w:rPr>
          <w:b/>
        </w:rPr>
        <w:t xml:space="preserve">Prerequisites: </w:t>
      </w:r>
      <w:r>
        <w:t>Repository and a synthetic array or verified tiny sample.</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Create a Python environment setup section in README and a minimal PyTorch smoke test in tests/test_smoke.py. Implement seed setting, device selection with CPU fallback, run directory creation, YAML config loading, and checkpoint save/load for a toy segmentation model. Do not begin full training or choose final hyperparameters.</w:t>
            </w:r>
          </w:p>
        </w:tc>
      </w:tr>
    </w:tbl>
    <w:p/>
    <w:p>
      <w:r>
        <w:rPr>
          <w:b/>
        </w:rPr>
        <w:t xml:space="preserve">Expected deliverables: </w:t>
      </w:r>
      <w:r>
        <w:t>requirements.txt, src/utils/reproducibility.py, tests/test_smoke.py, toy run artifact.</w:t>
      </w:r>
    </w:p>
    <w:p>
      <w:r>
        <w:rPr>
          <w:b/>
        </w:rPr>
        <w:t xml:space="preserve">How to verify: </w:t>
      </w:r>
      <w:r>
        <w:t>Run pytest -q and the toy run on CPU. It must save config.yaml, seed.txt, and a reloadable checkpoint under results/&lt;run_id&gt;.</w:t>
      </w:r>
    </w:p>
    <w:p>
      <w:r>
        <w:rPr>
          <w:b/>
        </w:rPr>
        <w:t xml:space="preserve">Handover: </w:t>
      </w:r>
      <w:r>
        <w:t>Member 1 receives the expected canonical tensor convention; Leader receives setup status.</w:t>
      </w:r>
    </w:p>
    <w:p>
      <w:pPr>
        <w:pStyle w:val="Heading3"/>
      </w:pPr>
      <w:r>
        <w:t>Oct 9 to Oct 13  Canonical reader preprocessing and label validation</w:t>
      </w:r>
    </w:p>
    <w:p>
      <w:r>
        <w:rPr>
          <w:b/>
        </w:rPr>
        <w:t xml:space="preserve">Assigned to: </w:t>
      </w:r>
      <w:r>
        <w:t>Member 1</w:t>
      </w:r>
    </w:p>
    <w:p>
      <w:r>
        <w:rPr>
          <w:b/>
        </w:rPr>
        <w:t xml:space="preserve">Prerequisites: </w:t>
      </w:r>
      <w:r>
        <w:t>At least one usable dataset sample; schema written in data/README.md.</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Implement only the reader and transforms confirmed by the actual dataset files. Create src/data/schema.py with a canonical sample dictionary and src/data/reader_&lt;dataset&gt;.py. Add an inspection notebook that shows raw image or enhancement map, label mask, metadata, and any spatial transform. Create a quality report for missing values, mask alignment, duplicates, and class balance. Avoid resampling or harmonization unless its parameters are documented.</w:t>
            </w:r>
          </w:p>
        </w:tc>
      </w:tr>
    </w:tbl>
    <w:p/>
    <w:p>
      <w:r>
        <w:rPr>
          <w:b/>
        </w:rPr>
        <w:t xml:space="preserve">Expected deliverables: </w:t>
      </w:r>
      <w:r>
        <w:t>Reader, canonical schema, ten sample overlays, quality report, manifest with preprocessing version.</w:t>
      </w:r>
    </w:p>
    <w:p>
      <w:r>
        <w:rPr>
          <w:b/>
        </w:rPr>
        <w:t xml:space="preserve">How to verify: </w:t>
      </w:r>
      <w:r>
        <w:t>Use pytest to load at least three samples. Visually inspect ten overlays and record pass or fail. Confirm no data from test scenes enters training manifests.</w:t>
      </w:r>
    </w:p>
    <w:p>
      <w:r>
        <w:rPr>
          <w:b/>
        </w:rPr>
        <w:t xml:space="preserve">Handover: </w:t>
      </w:r>
      <w:r>
        <w:t>Member 2 receives canonical reader and frozen first split candidate.</w:t>
      </w:r>
    </w:p>
    <w:p>
      <w:pPr>
        <w:pStyle w:val="Heading3"/>
      </w:pPr>
      <w:r>
        <w:t>Oct 11 to Oct 13  Metric and evaluation contract</w:t>
      </w:r>
    </w:p>
    <w:p>
      <w:r>
        <w:rPr>
          <w:b/>
        </w:rPr>
        <w:t xml:space="preserve">Assigned to: </w:t>
      </w:r>
      <w:r>
        <w:t>Member 4</w:t>
      </w:r>
    </w:p>
    <w:p>
      <w:r>
        <w:rPr>
          <w:b/>
        </w:rPr>
        <w:t xml:space="preserve">Prerequisites: </w:t>
      </w:r>
      <w:r>
        <w:t>Canonical sample specification and task labels.</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Implement src/evaluation/metrics.py and tests using tiny hand-checked arrays. Support classification precision, recall, F1, balanced accuracy, AUROC and AUPRC only when score arrays and both classes are available. Support segmentation IoU, Dice, pixel recall, and false-positive rate. Keep quantification MAE, RMSE, MAPE, and Pearson correlation disabled until valid targets and units are verified. Produce both per-sample and aggregate outputs.</w:t>
            </w:r>
          </w:p>
        </w:tc>
      </w:tr>
    </w:tbl>
    <w:p/>
    <w:p>
      <w:r>
        <w:rPr>
          <w:b/>
        </w:rPr>
        <w:t xml:space="preserve">Expected deliverables: </w:t>
      </w:r>
      <w:r>
        <w:t>Metric module, unit tests, evaluation schema, metric definitions in reports/evaluation_plan.md.</w:t>
      </w:r>
    </w:p>
    <w:p>
      <w:r>
        <w:rPr>
          <w:b/>
        </w:rPr>
        <w:t xml:space="preserve">How to verify: </w:t>
      </w:r>
      <w:r>
        <w:t>Run pytest -q. For hand-crafted masks, each metric must match the manually calculated expected value.</w:t>
      </w:r>
    </w:p>
    <w:p>
      <w:r>
        <w:rPr>
          <w:b/>
        </w:rPr>
        <w:t xml:space="preserve">Handover: </w:t>
      </w:r>
      <w:r>
        <w:t>Member 2 receives metric API; Leader receives the exact primary metric per chosen dataset.</w:t>
      </w:r>
    </w:p>
    <w:p>
      <w:pPr>
        <w:pStyle w:val="Heading3"/>
      </w:pPr>
      <w:r>
        <w:t>Oct 13 to Oct 16  Reproducible baseline segmentation pipeline</w:t>
      </w:r>
    </w:p>
    <w:p>
      <w:r>
        <w:rPr>
          <w:b/>
        </w:rPr>
        <w:t xml:space="preserve">Assigned to: </w:t>
      </w:r>
      <w:r>
        <w:t>Member 2</w:t>
      </w:r>
    </w:p>
    <w:p>
      <w:r>
        <w:rPr>
          <w:b/>
        </w:rPr>
        <w:t xml:space="preserve">Prerequisites: </w:t>
      </w:r>
      <w:r>
        <w:t>Canonical reader, frozen split, metric contract.</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Implement a small baseline appropriate to verified inputs: if a labelled enhancement map is available, begin with thresholding or a documented matched-filter baseline; otherwise implement the simplest valid image-level baseline. Then implement a compact U-Net or equivalent convolutional segmentation model only if pixel masks are verified. Keep config-controlled epochs, batch size, learning rate, seed, augmentations, and loss. Save predictions, checkpoint pointer, and metrics JSON. Do not introduce the novel method yet.</w:t>
            </w:r>
          </w:p>
        </w:tc>
      </w:tr>
    </w:tbl>
    <w:p/>
    <w:p>
      <w:r>
        <w:rPr>
          <w:b/>
        </w:rPr>
        <w:t xml:space="preserve">Expected deliverables: </w:t>
      </w:r>
      <w:r>
        <w:t>Baseline model, train and infer commands, first run directory, baseline plots and prediction overlays.</w:t>
      </w:r>
    </w:p>
    <w:p>
      <w:r>
        <w:rPr>
          <w:b/>
        </w:rPr>
        <w:t xml:space="preserve">How to verify: </w:t>
      </w:r>
      <w:r>
        <w:t>Run training on a tiny subset and demonstrate deliberate overfit. Run a full configured baseline once. Confirm evaluation reads saved predictions rather than training memory.</w:t>
      </w:r>
    </w:p>
    <w:p>
      <w:r>
        <w:rPr>
          <w:b/>
        </w:rPr>
        <w:t xml:space="preserve">Handover: </w:t>
      </w:r>
      <w:r>
        <w:t>Member 3 receives stable baseline code and output format; Member 4 receives prediction files.</w:t>
      </w:r>
    </w:p>
    <w:p>
      <w:pPr>
        <w:pStyle w:val="Heading3"/>
      </w:pPr>
      <w:r>
        <w:t>Oct 13 to Oct 16  Wind and weak plume experiment design</w:t>
      </w:r>
    </w:p>
    <w:p>
      <w:r>
        <w:rPr>
          <w:b/>
        </w:rPr>
        <w:t xml:space="preserve">Assigned to: </w:t>
      </w:r>
      <w:r>
        <w:t>Member 3</w:t>
      </w:r>
    </w:p>
    <w:p>
      <w:r>
        <w:rPr>
          <w:b/>
        </w:rPr>
        <w:t xml:space="preserve">Prerequisites: </w:t>
      </w:r>
      <w:r>
        <w:t>Candidate dataset list, baseline plan, Member 1 quality report.</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Write reports/methodology_plan.md. Decide which advanced experiment is feasible from verified data: wind conditioning requires aligned wind fields and metadata; curriculum learning requires a valid weak-plume or difficulty label; cross-sensor transfer requires comparable labels and harmonization plan. Define one minimum viable experiment, one stretch experiment, fixed baseline, controlled variables, expected outputs, and risks. Do not implement cross-attention or a simulator before data support is confirmed.</w:t>
            </w:r>
          </w:p>
        </w:tc>
      </w:tr>
    </w:tbl>
    <w:p/>
    <w:p>
      <w:r>
        <w:rPr>
          <w:b/>
        </w:rPr>
        <w:t xml:space="preserve">Expected deliverables: </w:t>
      </w:r>
      <w:r>
        <w:t>Methodology plan with go or no-go decisions, ablation table, required fields, and fallback plan.</w:t>
      </w:r>
    </w:p>
    <w:p>
      <w:r>
        <w:rPr>
          <w:b/>
        </w:rPr>
        <w:t xml:space="preserve">How to verify: </w:t>
      </w:r>
      <w:r>
        <w:t>Leader reviews that every claimed input field exists in the manifest. Baseline and proposed experiment use the same split and evaluation script.</w:t>
      </w:r>
    </w:p>
    <w:p>
      <w:r>
        <w:rPr>
          <w:b/>
        </w:rPr>
        <w:t xml:space="preserve">Handover: </w:t>
      </w:r>
      <w:r>
        <w:t>Member 1 provides missing data details; Leader approves one advanced experiment for Phase 1.</w:t>
      </w:r>
    </w:p>
    <w:p>
      <w:pPr>
        <w:pStyle w:val="Heading3"/>
      </w:pPr>
      <w:r>
        <w:t>Oct 16  Milestone review and scope lock</w:t>
      </w:r>
    </w:p>
    <w:p>
      <w:r>
        <w:rPr>
          <w:b/>
        </w:rPr>
        <w:t xml:space="preserve">Assigned to: </w:t>
      </w:r>
      <w:r>
        <w:t>Leader</w:t>
      </w:r>
    </w:p>
    <w:p>
      <w:r>
        <w:rPr>
          <w:b/>
        </w:rPr>
        <w:t xml:space="preserve">Prerequisites: </w:t>
      </w:r>
      <w:r>
        <w:t>Dataset report, baseline smoke test, metric tests, methodology plan.</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Review all artifacts against the Oct 16 acceptance criteria. Mark each stream green, amber, or red. Freeze the primary dataset and baseline task if possible. If labels, access, or compute are not verified, choose a smaller baseline scope and update reports/decisions.md. Create an integration issue with the exact canonical fields and required outputs.</w:t>
            </w:r>
          </w:p>
        </w:tc>
      </w:tr>
    </w:tbl>
    <w:p/>
    <w:p>
      <w:r>
        <w:rPr>
          <w:b/>
        </w:rPr>
        <w:t xml:space="preserve">Expected deliverables: </w:t>
      </w:r>
      <w:r>
        <w:t>Milestone report, updated risk register, scope decision, integration issue.</w:t>
      </w:r>
    </w:p>
    <w:p>
      <w:r>
        <w:rPr>
          <w:b/>
        </w:rPr>
        <w:t xml:space="preserve">How to verify: </w:t>
      </w:r>
      <w:r>
        <w:t>A new team member can identify the primary dataset, task, split policy, baseline command, and open risks by reading the repository.</w:t>
      </w:r>
    </w:p>
    <w:p>
      <w:r>
        <w:rPr>
          <w:b/>
        </w:rPr>
        <w:t xml:space="preserve">Handover: </w:t>
      </w:r>
      <w:r>
        <w:t>Every member receives a confirmed Phase 1 task and explicit acceptance criterion.</w:t>
      </w:r>
    </w:p>
    <w:p>
      <w:pPr>
        <w:pStyle w:val="Heading3"/>
      </w:pPr>
      <w:r>
        <w:t>Oct 17 to Oct 22  Baseline training and error catalogue</w:t>
      </w:r>
    </w:p>
    <w:p>
      <w:r>
        <w:rPr>
          <w:b/>
        </w:rPr>
        <w:t xml:space="preserve">Assigned to: </w:t>
      </w:r>
      <w:r>
        <w:t>Member 2</w:t>
      </w:r>
    </w:p>
    <w:p>
      <w:r>
        <w:rPr>
          <w:b/>
        </w:rPr>
        <w:t xml:space="preserve">Prerequisites: </w:t>
      </w:r>
      <w:r>
        <w:t>Approved dataset, split, model config, metrics.</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Run the approved baseline using the frozen split and at least two seeds if compute permits. Save each run separately. Generate per-sample metrics and a contact sheet of true positives, false positives, false negatives, and weak or difficult examples when known. Do not select a run based on test performance. Record runtime and failure modes.</w:t>
            </w:r>
          </w:p>
        </w:tc>
      </w:tr>
    </w:tbl>
    <w:p/>
    <w:p>
      <w:r>
        <w:rPr>
          <w:b/>
        </w:rPr>
        <w:t xml:space="preserve">Expected deliverables: </w:t>
      </w:r>
      <w:r>
        <w:t>Two baseline runs or documented single-run constraint, metrics table, prediction contact sheet, error log.</w:t>
      </w:r>
    </w:p>
    <w:p>
      <w:r>
        <w:rPr>
          <w:b/>
        </w:rPr>
        <w:t xml:space="preserve">How to verify: </w:t>
      </w:r>
      <w:r>
        <w:t>Repeat inference from the saved checkpoint. Verify that config, seed, and split IDs are stored in each run directory.</w:t>
      </w:r>
    </w:p>
    <w:p>
      <w:r>
        <w:rPr>
          <w:b/>
        </w:rPr>
        <w:t xml:space="preserve">Handover: </w:t>
      </w:r>
      <w:r>
        <w:t>Member 3 uses the baseline checkpoint and Member 4 uses the saved predictions.</w:t>
      </w:r>
    </w:p>
    <w:p>
      <w:pPr>
        <w:pStyle w:val="Heading3"/>
      </w:pPr>
      <w:r>
        <w:t>Oct 17 to Oct 22  Minimum viable advanced experiment</w:t>
      </w:r>
    </w:p>
    <w:p>
      <w:r>
        <w:rPr>
          <w:b/>
        </w:rPr>
        <w:t xml:space="preserve">Assigned to: </w:t>
      </w:r>
      <w:r>
        <w:t>Member 3</w:t>
      </w:r>
    </w:p>
    <w:p>
      <w:r>
        <w:rPr>
          <w:b/>
        </w:rPr>
        <w:t xml:space="preserve">Prerequisites: </w:t>
      </w:r>
      <w:r>
        <w:t>Approved methodology plan and baseline checkpoint.</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Implement only the approved minimum viable advanced method. For wind conditioning, start with wind u and v concatenated to a documented feature interface before any cross-attention module. For curriculum learning, create difficulty bins from verified labels or documented synthetic metadata and record the schedule. Use the identical split, seed policy, augmentations, and evaluator as the baseline. Log every non-baseline change.</w:t>
            </w:r>
          </w:p>
        </w:tc>
      </w:tr>
    </w:tbl>
    <w:p/>
    <w:p>
      <w:r>
        <w:rPr>
          <w:b/>
        </w:rPr>
        <w:t xml:space="preserve">Expected deliverables: </w:t>
      </w:r>
      <w:r>
        <w:t>Advanced-model module or curriculum scheduler, config, one controlled comparison run, limitations note.</w:t>
      </w:r>
    </w:p>
    <w:p>
      <w:r>
        <w:rPr>
          <w:b/>
        </w:rPr>
        <w:t xml:space="preserve">How to verify: </w:t>
      </w:r>
      <w:r>
        <w:t>Run the same inference command and evaluator used by the baseline. Confirm that any performance difference is reported as observed only after the run completes.</w:t>
      </w:r>
    </w:p>
    <w:p>
      <w:r>
        <w:rPr>
          <w:b/>
        </w:rPr>
        <w:t xml:space="preserve">Handover: </w:t>
      </w:r>
      <w:r>
        <w:t>Member 4 receives baseline and proposed predictions with matching sample IDs.</w:t>
      </w:r>
    </w:p>
    <w:p>
      <w:pPr>
        <w:pStyle w:val="Heading3"/>
      </w:pPr>
      <w:r>
        <w:t>Oct 17 to Oct 23  Error analysis and preliminary integration</w:t>
      </w:r>
    </w:p>
    <w:p>
      <w:r>
        <w:rPr>
          <w:b/>
        </w:rPr>
        <w:t xml:space="preserve">Assigned to: </w:t>
      </w:r>
      <w:r>
        <w:t>Member 4</w:t>
      </w:r>
    </w:p>
    <w:p>
      <w:r>
        <w:rPr>
          <w:b/>
        </w:rPr>
        <w:t xml:space="preserve">Prerequisites: </w:t>
      </w:r>
      <w:r>
        <w:t>Saved baseline and proposed predictions; evaluation API.</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Create an evaluation notebook and a non-interactive report generator. Group results by dataset, split, sensor, and plume strength only when the required metadata exists. Generate precision-recall or ROC curves only when valid. Build a false-positive and false-negative gallery. Create app/mock_results.json and a minimal Streamlit page that can display a saved image, mask, metadata, and run ID without requiring live model inference.</w:t>
            </w:r>
          </w:p>
        </w:tc>
      </w:tr>
    </w:tbl>
    <w:p/>
    <w:p>
      <w:r>
        <w:rPr>
          <w:b/>
        </w:rPr>
        <w:t xml:space="preserve">Expected deliverables: </w:t>
      </w:r>
      <w:r>
        <w:t>Evaluation report, error gallery, app skeleton, figure folder.</w:t>
      </w:r>
    </w:p>
    <w:p>
      <w:r>
        <w:rPr>
          <w:b/>
        </w:rPr>
        <w:t xml:space="preserve">How to verify: </w:t>
      </w:r>
      <w:r>
        <w:t>Run report generation from saved prediction files. Start Streamlit with mock results and verify it renders without training dependencies.</w:t>
      </w:r>
    </w:p>
    <w:p>
      <w:r>
        <w:rPr>
          <w:b/>
        </w:rPr>
        <w:t xml:space="preserve">Handover: </w:t>
      </w:r>
      <w:r>
        <w:t>Leader receives figures, metric caveats, and integration requirements.</w:t>
      </w:r>
    </w:p>
    <w:p>
      <w:pPr>
        <w:pStyle w:val="Heading3"/>
      </w:pPr>
      <w:r>
        <w:t>Oct 23  Phase 1 freeze and November handover</w:t>
      </w:r>
    </w:p>
    <w:p>
      <w:r>
        <w:rPr>
          <w:b/>
        </w:rPr>
        <w:t xml:space="preserve">Assigned to: </w:t>
      </w:r>
      <w:r>
        <w:t>All members led by Team Leader</w:t>
      </w:r>
    </w:p>
    <w:p>
      <w:r>
        <w:rPr>
          <w:b/>
        </w:rPr>
        <w:t xml:space="preserve">Prerequisites: </w:t>
      </w:r>
      <w:r>
        <w:t>All Phase 1 tasks.</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Create reports/phase1_handover.md. Each owner records completed files, commit or PR link, selected dataset and split status, run IDs, checkpoints, exact commands, current metrics labelled as measured or not run, known issues, and the next smallest task. Tag the repository phase1-freeze only after main passes tests. Do not start new experiments during the freeze review.</w:t>
            </w:r>
          </w:p>
        </w:tc>
      </w:tr>
    </w:tbl>
    <w:p/>
    <w:p>
      <w:r>
        <w:rPr>
          <w:b/>
        </w:rPr>
        <w:t xml:space="preserve">Expected deliverables: </w:t>
      </w:r>
      <w:r>
        <w:t>Merged or reviewed PRs, Phase 1 handover, checkpoint index, run index, clean main branch.</w:t>
      </w:r>
    </w:p>
    <w:p>
      <w:r>
        <w:rPr>
          <w:b/>
        </w:rPr>
        <w:t xml:space="preserve">How to verify: </w:t>
      </w:r>
      <w:r>
        <w:t>Clone main into a new directory. Run setup, data smoke test, metric tests, and one saved inference or report command.</w:t>
      </w:r>
    </w:p>
    <w:p>
      <w:r>
        <w:rPr>
          <w:b/>
        </w:rPr>
        <w:t xml:space="preserve">Handover: </w:t>
      </w:r>
      <w:r>
        <w:t>No development is scheduled during Oct 24 to Nov 1. The November plan starts from the handover.</w:t>
      </w:r>
    </w:p>
    <w:p>
      <w:pPr>
        <w:pStyle w:val="Heading3"/>
      </w:pPr>
      <w:r>
        <w:t>Nov 2  Restart integration and blocker review</w:t>
      </w:r>
    </w:p>
    <w:p>
      <w:r>
        <w:rPr>
          <w:b/>
        </w:rPr>
        <w:t xml:space="preserve">Assigned to: </w:t>
      </w:r>
      <w:r>
        <w:t>Leader and all members</w:t>
      </w:r>
    </w:p>
    <w:p>
      <w:r>
        <w:rPr>
          <w:b/>
        </w:rPr>
        <w:t xml:space="preserve">Prerequisites: </w:t>
      </w:r>
      <w:r>
        <w:t>Phase 1 handover and stable main.</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Read phase1_handover.md together. Re-run environment, data, metric, baseline inference, and report commands. Compare outputs with the recorded Phase 1 artifacts. List blockers as access, data schema, compute, code, or science. Assign an owner and due date. Do not add features until the baseline path works again.</w:t>
            </w:r>
          </w:p>
        </w:tc>
      </w:tr>
    </w:tbl>
    <w:p/>
    <w:p>
      <w:r>
        <w:rPr>
          <w:b/>
        </w:rPr>
        <w:t xml:space="preserve">Expected deliverables: </w:t>
      </w:r>
      <w:r>
        <w:t>Restart checklist, blocker board, updated November priorities.</w:t>
      </w:r>
    </w:p>
    <w:p>
      <w:r>
        <w:rPr>
          <w:b/>
        </w:rPr>
        <w:t xml:space="preserve">How to verify: </w:t>
      </w:r>
      <w:r>
        <w:t>All five owners can run their role smoke test; unresolved failures have an owner and fallback.</w:t>
      </w:r>
    </w:p>
    <w:p>
      <w:r>
        <w:rPr>
          <w:b/>
        </w:rPr>
        <w:t xml:space="preserve">Handover: </w:t>
      </w:r>
      <w:r>
        <w:t>Advanced work resumes only after the stable baseline path is confirmed.</w:t>
      </w:r>
    </w:p>
    <w:p>
      <w:pPr>
        <w:pStyle w:val="Heading3"/>
      </w:pPr>
      <w:r>
        <w:t>Nov 2 to Nov 5  Advanced comparison and ablation</w:t>
      </w:r>
    </w:p>
    <w:p>
      <w:r>
        <w:rPr>
          <w:b/>
        </w:rPr>
        <w:t xml:space="preserve">Assigned to: </w:t>
      </w:r>
      <w:r>
        <w:t>Member 3 and Member 2</w:t>
      </w:r>
    </w:p>
    <w:p>
      <w:r>
        <w:rPr>
          <w:b/>
        </w:rPr>
        <w:t xml:space="preserve">Prerequisites: </w:t>
      </w:r>
      <w:r>
        <w:t>Restart baseline works; approved advanced method.</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Complete the smallest controlled comparison between the baseline and proposed method. Add one ablation that removes the proposed component. Keep all other configuration settings fixed. If compute or data blocks the advanced method, document the no-go reason and complete a robust baseline error analysis instead.</w:t>
            </w:r>
          </w:p>
        </w:tc>
      </w:tr>
    </w:tbl>
    <w:p/>
    <w:p>
      <w:r>
        <w:rPr>
          <w:b/>
        </w:rPr>
        <w:t xml:space="preserve">Expected deliverables: </w:t>
      </w:r>
      <w:r>
        <w:t>Comparison table, ablation configuration, error examples, measured-results statement.</w:t>
      </w:r>
    </w:p>
    <w:p>
      <w:r>
        <w:rPr>
          <w:b/>
        </w:rPr>
        <w:t xml:space="preserve">How to verify: </w:t>
      </w:r>
      <w:r>
        <w:t>Use the same evaluator and test split for every compared run. Review sample IDs and configuration diffs before interpreting the table.</w:t>
      </w:r>
    </w:p>
    <w:p>
      <w:r>
        <w:rPr>
          <w:b/>
        </w:rPr>
        <w:t xml:space="preserve">Handover: </w:t>
      </w:r>
      <w:r>
        <w:t>Member 4 receives final prediction folders and configuration paths.</w:t>
      </w:r>
    </w:p>
    <w:p>
      <w:pPr>
        <w:pStyle w:val="Heading3"/>
      </w:pPr>
      <w:r>
        <w:t>Nov 2 to Nov 5  Cross sensor or quantification feasibility gate</w:t>
      </w:r>
    </w:p>
    <w:p>
      <w:r>
        <w:rPr>
          <w:b/>
        </w:rPr>
        <w:t xml:space="preserve">Assigned to: </w:t>
      </w:r>
      <w:r>
        <w:t>Member 4 and Member 1</w:t>
      </w:r>
    </w:p>
    <w:p>
      <w:r>
        <w:rPr>
          <w:b/>
        </w:rPr>
        <w:t xml:space="preserve">Prerequisites: </w:t>
      </w:r>
      <w:r>
        <w:t>Verified metadata, compatible secondary dataset or valid source-rate targets.</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Run a feasibility check before implementing a cross-sensor or quantification result. Cross-sensor work requires compatible labels, documented resampling or feature mapping, and no target-test leakage. Quantification requires ground-truth rates, units, wind assumptions, and a supported calculation path. If conditions fail, publish a scoped design and limitation rather than a number.</w:t>
            </w:r>
          </w:p>
        </w:tc>
      </w:tr>
    </w:tbl>
    <w:p/>
    <w:p>
      <w:r>
        <w:rPr>
          <w:b/>
        </w:rPr>
        <w:t xml:space="preserve">Expected deliverables: </w:t>
      </w:r>
      <w:r>
        <w:t>Feasibility decision, protocol or limitation note, optional small experiment.</w:t>
      </w:r>
    </w:p>
    <w:p>
      <w:r>
        <w:rPr>
          <w:b/>
        </w:rPr>
        <w:t xml:space="preserve">How to verify: </w:t>
      </w:r>
      <w:r>
        <w:t>Leader verifies every prerequisite against real dataset files. Any unavailable prerequisite triggers the documented fallback.</w:t>
      </w:r>
    </w:p>
    <w:p>
      <w:r>
        <w:rPr>
          <w:b/>
        </w:rPr>
        <w:t xml:space="preserve">Handover: </w:t>
      </w:r>
      <w:r>
        <w:t>Report and presentation use only validated outcomes.</w:t>
      </w:r>
    </w:p>
    <w:p>
      <w:pPr>
        <w:pStyle w:val="Heading3"/>
      </w:pPr>
      <w:r>
        <w:t>Nov 5 to Nov 8  Final figures dashboard and reproducibility report</w:t>
      </w:r>
    </w:p>
    <w:p>
      <w:r>
        <w:rPr>
          <w:b/>
        </w:rPr>
        <w:t xml:space="preserve">Assigned to: </w:t>
      </w:r>
      <w:r>
        <w:t>Member 4</w:t>
      </w:r>
    </w:p>
    <w:p>
      <w:r>
        <w:rPr>
          <w:b/>
        </w:rPr>
        <w:t xml:space="preserve">Prerequisites: </w:t>
      </w:r>
      <w:r>
        <w:t>Final run folders and team decisions.</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Create the final metrics table, error-analysis gallery, method diagram, and dashboard output. Include only team-measured figures with run IDs. Label literature values as literature values and targets as targets. Add limitations: data access, label uncertainty, sensor differences, wind alignment, compute, and failed experiments. Create a reproducibility report with exact setup and commands.</w:t>
            </w:r>
          </w:p>
        </w:tc>
      </w:tr>
    </w:tbl>
    <w:p/>
    <w:p>
      <w:r>
        <w:rPr>
          <w:b/>
        </w:rPr>
        <w:t xml:space="preserve">Expected deliverables: </w:t>
      </w:r>
      <w:r>
        <w:t>Final figures, dashboard, reproducibility report, limitations section.</w:t>
      </w:r>
    </w:p>
    <w:p>
      <w:r>
        <w:rPr>
          <w:b/>
        </w:rPr>
        <w:t xml:space="preserve">How to verify: </w:t>
      </w:r>
      <w:r>
        <w:t>A reviewer can trace every displayed number to a result file and run ID. The dashboard opens sample results locally.</w:t>
      </w:r>
    </w:p>
    <w:p>
      <w:r>
        <w:rPr>
          <w:b/>
        </w:rPr>
        <w:t xml:space="preserve">Handover: </w:t>
      </w:r>
      <w:r>
        <w:t>Leader receives final evidence pack for report and slides.</w:t>
      </w:r>
    </w:p>
    <w:p>
      <w:pPr>
        <w:pStyle w:val="Heading3"/>
      </w:pPr>
      <w:r>
        <w:t>Nov 8 to Nov 10  End to end demonstration and final quality gate</w:t>
      </w:r>
    </w:p>
    <w:p>
      <w:r>
        <w:rPr>
          <w:b/>
        </w:rPr>
        <w:t xml:space="preserve">Assigned to: </w:t>
      </w:r>
      <w:r>
        <w:t>All members led by Team Leader</w:t>
      </w:r>
    </w:p>
    <w:p>
      <w:r>
        <w:rPr>
          <w:b/>
        </w:rPr>
        <w:t xml:space="preserve">Prerequisites: </w:t>
      </w:r>
      <w:r>
        <w:t>Final evidence pack.</w:t>
      </w:r>
    </w:p>
    <w:p>
      <w:r>
        <w:rPr>
          <w:b/>
        </w:rPr>
        <w:t xml:space="preserve">Implementation prompt: </w:t>
      </w:r>
      <w:r>
        <w:t>Copy and paste the following into an AI coding assistant after attaching the relevant files and error output.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Run the full pipeline on a documented held-out example: load data, preprocess, run saved inference, evaluate if ground truth exists, generate visualization, and write a result record. Verify the result is attributable to a saved config and checkpoint. Prepare report, presentation, and demo script. Remove unsupported claims and clearly state limitations and next steps.</w:t>
            </w:r>
          </w:p>
        </w:tc>
      </w:tr>
    </w:tbl>
    <w:p/>
    <w:p>
      <w:r>
        <w:rPr>
          <w:b/>
        </w:rPr>
        <w:t xml:space="preserve">Expected deliverables: </w:t>
      </w:r>
      <w:r>
        <w:t>End-to-end test log, final report, slide deck, demo script, final README.</w:t>
      </w:r>
    </w:p>
    <w:p>
      <w:r>
        <w:rPr>
          <w:b/>
        </w:rPr>
        <w:t xml:space="preserve">How to verify: </w:t>
      </w:r>
      <w:r>
        <w:t>A clean clone can install dependencies, run tests, execute one inference or report command, and locate the final results. Team rehearsal completes without manual path fixes.</w:t>
      </w:r>
    </w:p>
    <w:p>
      <w:r>
        <w:rPr>
          <w:b/>
        </w:rPr>
        <w:t xml:space="preserve">Handover: </w:t>
      </w:r>
      <w:r>
        <w:t>Project is ready for presentation on Nov 10.</w:t>
      </w:r>
    </w:p>
    <w:p>
      <w:pPr>
        <w:pStyle w:val="Heading1"/>
      </w:pPr>
      <w:r>
        <w:t>5 Research and model evaluation standards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Task</w:t>
            </w:r>
          </w:p>
        </w:tc>
        <w:tc>
          <w:tcPr>
            <w:tcW w:type="dxa" w:w="3312"/>
            <w:shd w:fill="17365D"/>
            <w:tcMar>
              <w:top w:w="80" w:type="dxa"/>
              <w:start w:w="90" w:type="dxa"/>
              <w:bottom w:w="80" w:type="dxa"/>
              <w:end w:w="90" w:type="dxa"/>
            </w:tcMar>
            <w:vAlign w:val="center"/>
          </w:tcPr>
          <w:p>
            <w:r>
              <w:rPr>
                <w:b/>
                <w:color w:val="FFFFFF"/>
                <w:sz w:val="17"/>
              </w:rPr>
              <w:t>Metrics when supported</w:t>
            </w:r>
          </w:p>
        </w:tc>
        <w:tc>
          <w:tcPr>
            <w:tcW w:type="dxa" w:w="3312"/>
            <w:shd w:fill="17365D"/>
            <w:tcMar>
              <w:top w:w="80" w:type="dxa"/>
              <w:start w:w="90" w:type="dxa"/>
              <w:bottom w:w="80" w:type="dxa"/>
              <w:end w:w="90" w:type="dxa"/>
            </w:tcMar>
            <w:vAlign w:val="center"/>
          </w:tcPr>
          <w:p>
            <w:r>
              <w:rPr>
                <w:b/>
                <w:color w:val="FFFFFF"/>
                <w:sz w:val="17"/>
              </w:rPr>
              <w:t>Required interpretation</w:t>
            </w:r>
          </w:p>
        </w:tc>
      </w:tr>
      <w:tr>
        <w:tc>
          <w:tcPr>
            <w:tcW w:type="dxa" w:w="3312"/>
            <w:tcMar>
              <w:top w:w="80" w:type="dxa"/>
              <w:start w:w="90" w:type="dxa"/>
              <w:bottom w:w="80" w:type="dxa"/>
              <w:end w:w="90" w:type="dxa"/>
            </w:tcMar>
            <w:vAlign w:val="center"/>
          </w:tcPr>
          <w:p>
            <w:r>
              <w:rPr>
                <w:sz w:val="17"/>
              </w:rPr>
              <w:t>Classification</w:t>
            </w:r>
          </w:p>
        </w:tc>
        <w:tc>
          <w:tcPr>
            <w:tcW w:type="dxa" w:w="3312"/>
            <w:tcMar>
              <w:top w:w="80" w:type="dxa"/>
              <w:start w:w="90" w:type="dxa"/>
              <w:bottom w:w="80" w:type="dxa"/>
              <w:end w:w="90" w:type="dxa"/>
            </w:tcMar>
            <w:vAlign w:val="center"/>
          </w:tcPr>
          <w:p>
            <w:r>
              <w:rPr>
                <w:sz w:val="17"/>
              </w:rPr>
              <w:t>precision, recall, F1, balanced accuracy, AUROC, AUPRC</w:t>
            </w:r>
          </w:p>
        </w:tc>
        <w:tc>
          <w:tcPr>
            <w:tcW w:type="dxa" w:w="3312"/>
            <w:tcMar>
              <w:top w:w="80" w:type="dxa"/>
              <w:start w:w="90" w:type="dxa"/>
              <w:bottom w:w="80" w:type="dxa"/>
              <w:end w:w="90" w:type="dxa"/>
            </w:tcMar>
            <w:vAlign w:val="center"/>
          </w:tcPr>
          <w:p>
            <w:r>
              <w:rPr>
                <w:sz w:val="17"/>
              </w:rPr>
              <w:t>Use F1 and AUPRC carefully under class imbalance; report threshold policy.</w:t>
            </w:r>
          </w:p>
        </w:tc>
      </w:tr>
      <w:tr>
        <w:tc>
          <w:tcPr>
            <w:tcW w:type="dxa" w:w="3312"/>
            <w:tcMar>
              <w:top w:w="80" w:type="dxa"/>
              <w:start w:w="90" w:type="dxa"/>
              <w:bottom w:w="80" w:type="dxa"/>
              <w:end w:w="90" w:type="dxa"/>
            </w:tcMar>
            <w:vAlign w:val="center"/>
            <w:shd w:fill="F2F2F2"/>
          </w:tcPr>
          <w:p>
            <w:r>
              <w:rPr>
                <w:sz w:val="17"/>
              </w:rPr>
              <w:t>Segmentation</w:t>
            </w:r>
          </w:p>
        </w:tc>
        <w:tc>
          <w:tcPr>
            <w:tcW w:type="dxa" w:w="3312"/>
            <w:tcMar>
              <w:top w:w="80" w:type="dxa"/>
              <w:start w:w="90" w:type="dxa"/>
              <w:bottom w:w="80" w:type="dxa"/>
              <w:end w:w="90" w:type="dxa"/>
            </w:tcMar>
            <w:vAlign w:val="center"/>
            <w:shd w:fill="F2F2F2"/>
          </w:tcPr>
          <w:p>
            <w:r>
              <w:rPr>
                <w:sz w:val="17"/>
              </w:rPr>
              <w:t>IoU, Dice, pixel recall, false-positive rate</w:t>
            </w:r>
          </w:p>
        </w:tc>
        <w:tc>
          <w:tcPr>
            <w:tcW w:type="dxa" w:w="3312"/>
            <w:tcMar>
              <w:top w:w="80" w:type="dxa"/>
              <w:start w:w="90" w:type="dxa"/>
              <w:bottom w:w="80" w:type="dxa"/>
              <w:end w:w="90" w:type="dxa"/>
            </w:tcMar>
            <w:vAlign w:val="center"/>
            <w:shd w:fill="F2F2F2"/>
          </w:tcPr>
          <w:p>
            <w:r>
              <w:rPr>
                <w:sz w:val="17"/>
              </w:rPr>
              <w:t>Report mask overlap and visually inspect errors; separate strong and weak plumes only if verified labels exist.</w:t>
            </w:r>
          </w:p>
        </w:tc>
      </w:tr>
      <w:tr>
        <w:tc>
          <w:tcPr>
            <w:tcW w:type="dxa" w:w="3312"/>
            <w:tcMar>
              <w:top w:w="80" w:type="dxa"/>
              <w:start w:w="90" w:type="dxa"/>
              <w:bottom w:w="80" w:type="dxa"/>
              <w:end w:w="90" w:type="dxa"/>
            </w:tcMar>
            <w:vAlign w:val="center"/>
          </w:tcPr>
          <w:p>
            <w:r>
              <w:rPr>
                <w:sz w:val="17"/>
              </w:rPr>
              <w:t>Quantification</w:t>
            </w:r>
          </w:p>
        </w:tc>
        <w:tc>
          <w:tcPr>
            <w:tcW w:type="dxa" w:w="3312"/>
            <w:tcMar>
              <w:top w:w="80" w:type="dxa"/>
              <w:start w:w="90" w:type="dxa"/>
              <w:bottom w:w="80" w:type="dxa"/>
              <w:end w:w="90" w:type="dxa"/>
            </w:tcMar>
            <w:vAlign w:val="center"/>
          </w:tcPr>
          <w:p>
            <w:r>
              <w:rPr>
                <w:sz w:val="17"/>
              </w:rPr>
              <w:t>MAE, RMSE, MAPE, Pearson correlation</w:t>
            </w:r>
          </w:p>
        </w:tc>
        <w:tc>
          <w:tcPr>
            <w:tcW w:type="dxa" w:w="3312"/>
            <w:tcMar>
              <w:top w:w="80" w:type="dxa"/>
              <w:start w:w="90" w:type="dxa"/>
              <w:bottom w:w="80" w:type="dxa"/>
              <w:end w:w="90" w:type="dxa"/>
            </w:tcMar>
            <w:vAlign w:val="center"/>
          </w:tcPr>
          <w:p>
            <w:r>
              <w:rPr>
                <w:sz w:val="17"/>
              </w:rPr>
              <w:t>State units, source-rate ground truth, wind assumptions, and exclusions. Do not use MAPE near zero without explanation.</w:t>
            </w:r>
          </w:p>
        </w:tc>
      </w:tr>
      <w:tr>
        <w:tc>
          <w:tcPr>
            <w:tcW w:type="dxa" w:w="3312"/>
            <w:tcMar>
              <w:top w:w="80" w:type="dxa"/>
              <w:start w:w="90" w:type="dxa"/>
              <w:bottom w:w="80" w:type="dxa"/>
              <w:end w:w="90" w:type="dxa"/>
            </w:tcMar>
            <w:vAlign w:val="center"/>
            <w:shd w:fill="F2F2F2"/>
          </w:tcPr>
          <w:p>
            <w:r>
              <w:rPr>
                <w:sz w:val="17"/>
              </w:rPr>
              <w:t>Cross sensor</w:t>
            </w:r>
          </w:p>
        </w:tc>
        <w:tc>
          <w:tcPr>
            <w:tcW w:type="dxa" w:w="3312"/>
            <w:tcMar>
              <w:top w:w="80" w:type="dxa"/>
              <w:start w:w="90" w:type="dxa"/>
              <w:bottom w:w="80" w:type="dxa"/>
              <w:end w:w="90" w:type="dxa"/>
            </w:tcMar>
            <w:vAlign w:val="center"/>
            <w:shd w:fill="F2F2F2"/>
          </w:tcPr>
          <w:p>
            <w:r>
              <w:rPr>
                <w:sz w:val="17"/>
              </w:rPr>
              <w:t>source and target metrics, zero-shot/few-shot sample count</w:t>
            </w:r>
          </w:p>
        </w:tc>
        <w:tc>
          <w:tcPr>
            <w:tcW w:type="dxa" w:w="3312"/>
            <w:tcMar>
              <w:top w:w="80" w:type="dxa"/>
              <w:start w:w="90" w:type="dxa"/>
              <w:bottom w:w="80" w:type="dxa"/>
              <w:end w:w="90" w:type="dxa"/>
            </w:tcMar>
            <w:vAlign w:val="center"/>
            <w:shd w:fill="F2F2F2"/>
          </w:tcPr>
          <w:p>
            <w:r>
              <w:rPr>
                <w:sz w:val="17"/>
              </w:rPr>
              <w:t>Never mix incompatible labels, resolutions, or target data into zero-shot preparation.</w:t>
            </w:r>
          </w:p>
        </w:tc>
      </w:tr>
      <w:tr>
        <w:tc>
          <w:tcPr>
            <w:tcW w:type="dxa" w:w="3312"/>
            <w:tcMar>
              <w:top w:w="80" w:type="dxa"/>
              <w:start w:w="90" w:type="dxa"/>
              <w:bottom w:w="80" w:type="dxa"/>
              <w:end w:w="90" w:type="dxa"/>
            </w:tcMar>
            <w:vAlign w:val="center"/>
          </w:tcPr>
          <w:p>
            <w:r>
              <w:rPr>
                <w:sz w:val="17"/>
              </w:rPr>
              <w:t>Ablation</w:t>
            </w:r>
          </w:p>
        </w:tc>
        <w:tc>
          <w:tcPr>
            <w:tcW w:type="dxa" w:w="3312"/>
            <w:tcMar>
              <w:top w:w="80" w:type="dxa"/>
              <w:start w:w="90" w:type="dxa"/>
              <w:bottom w:w="80" w:type="dxa"/>
              <w:end w:w="90" w:type="dxa"/>
            </w:tcMar>
            <w:vAlign w:val="center"/>
          </w:tcPr>
          <w:p>
            <w:r>
              <w:rPr>
                <w:sz w:val="17"/>
              </w:rPr>
              <w:t>same metrics and split for baseline and variants</w:t>
            </w:r>
          </w:p>
        </w:tc>
        <w:tc>
          <w:tcPr>
            <w:tcW w:type="dxa" w:w="3312"/>
            <w:tcMar>
              <w:top w:w="80" w:type="dxa"/>
              <w:start w:w="90" w:type="dxa"/>
              <w:bottom w:w="80" w:type="dxa"/>
              <w:end w:w="90" w:type="dxa"/>
            </w:tcMar>
            <w:vAlign w:val="center"/>
          </w:tcPr>
          <w:p>
            <w:r>
              <w:rPr>
                <w:sz w:val="17"/>
              </w:rPr>
              <w:t>Change one intentional component at a time and save configuration differences.</w:t>
            </w:r>
          </w:p>
        </w:tc>
      </w:tr>
    </w:tbl>
    <w:p/>
    <w:p>
      <w:pPr>
        <w:pStyle w:val="Heading1"/>
      </w:pPr>
      <w:r>
        <w:t>6 Final quality gates</w:t>
      </w:r>
    </w:p>
    <w:p>
      <w:pPr>
        <w:pStyle w:val="ListNumber"/>
      </w:pPr>
      <w:r>
        <w:t>Data gate: manifest, license/access record, canonical reader, split policy, and sample overlays are present.</w:t>
      </w:r>
    </w:p>
    <w:p>
      <w:pPr>
        <w:pStyle w:val="ListNumber"/>
      </w:pPr>
      <w:r>
        <w:t>Baseline gate: a working baseline runs from configuration and saves predictions and metrics.</w:t>
      </w:r>
    </w:p>
    <w:p>
      <w:pPr>
        <w:pStyle w:val="ListNumber"/>
      </w:pPr>
      <w:r>
        <w:t>Method gate: each advanced method is an experiment with a defined hypothesis, fair comparator, and saved configuration.</w:t>
      </w:r>
    </w:p>
    <w:p>
      <w:pPr>
        <w:pStyle w:val="ListNumber"/>
      </w:pPr>
      <w:r>
        <w:t>Evaluation gate: metrics, per-sample outputs, error cases, and limitations are preserved.</w:t>
      </w:r>
    </w:p>
    <w:p>
      <w:pPr>
        <w:pStyle w:val="ListNumber"/>
      </w:pPr>
      <w:r>
        <w:t>Integration gate: one end-to-end run works from a clean checkout or documented environment.</w:t>
      </w:r>
    </w:p>
    <w:p>
      <w:pPr>
        <w:pStyle w:val="ListNumber"/>
      </w:pPr>
      <w:r>
        <w:t>Presentation gate: every reported value is labelled as measured, literature-reported, target, or not available.</w:t>
      </w:r>
    </w:p>
    <w:sectPr w:rsidR="00FC693F" w:rsidRPr="0006063C" w:rsidSect="00034616">
      <w:headerReference w:type="default" r:id="rId9"/>
      <w:footerReference w:type="default" r:id="rId10"/>
      <w:pgSz w:w="12240" w:h="15840"/>
      <w:pgMar w:top="1152"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r>
      <w:rPr>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Methane Detection AI Developer and Research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60"/>
      <w:ind w:left="259" w:righ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