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Функциональное тестирование.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Сервис проверки платежей.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Строка поиска.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Кнопка "Сэндвич-меню".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Кнопка "Ночной режим".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Кнопка "QR-код".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Блок "Ноды сети за час".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 Блок "Состояние блокчейна".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8. Блок "Статистика пула".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 Блок "Неподтверждённые транцакции".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 Блок "Конкурирующие транзакции".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11. Блок "POW и эмиссия за 24 часа".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 совместимости.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Кроссбраузерность.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Кроссплатформенность.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 UI.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Тестирование графического интерфейса на мобильных устройствах.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Тестирование с различными разрешениями экрана.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Соответствие стандартам графических интерфейсов.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Оценка элементов дизайна.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 безопасности.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Тестирование производительности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Usability тестирование.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Удобство использования всех страниц сайта.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Удобство навигации по сайту.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Удобство использования кнопок, полей и форм.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Правильное размещение изображений.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Оптимизация размеров шрифтов и цветовой палитры сайта.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Отсутствие грамматических и орфографических ошибок.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Плавность анимаций.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 Общая плавность работы сайта.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HTML/CSS валидация.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Отсутствие синтаксических ошибок HTML.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Наличие карты сайта в формате XML и HTML.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Доступность сайта для поисковых машин.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 стабильности.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 на отказ и восстановление.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