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spacing w:before="0" w:after="200"/>
        <w:jc w:val="center"/>
      </w:pPr>
      <w:r>
        <w:rPr>
          <w:rFonts w:ascii="Arial" w:cs="Arial" w:eastAsia="Arial" w:hAnsi="Arial"/>
          <w:b/>
          <w:bCs/>
          <w:color w:val="1B4F72"/>
          <w:sz w:val="64"/>
          <w:szCs w:val="64"/>
        </w:rPr>
        <w:t xml:space="preserve">LEADFLOW AI</w:t>
      </w:r>
    </w:p>
    <w:p>
      <w:pPr>
        <w:spacing w:before="0" w:after="120"/>
        <w:jc w:val="center"/>
      </w:pPr>
      <w:r>
        <w:rPr>
          <w:rFonts w:ascii="Arial" w:cs="Arial" w:eastAsia="Arial" w:hAnsi="Arial"/>
          <w:b w:val="false"/>
          <w:bCs w:val="false"/>
          <w:color w:val="2E86C1"/>
          <w:sz w:val="32"/>
          <w:szCs w:val="32"/>
        </w:rPr>
        <w:t xml:space="preserve">Strategic Growth Consultancy</w:t>
      </w:r>
    </w:p>
    <w:p>
      <w:pPr>
        <w:spacing w:before="0" w:after="60"/>
        <w:jc w:val="center"/>
      </w:pPr>
      <w:r>
        <w:rPr>
          <w:rFonts w:ascii="Arial" w:cs="Arial" w:eastAsia="Arial" w:hAnsi="Arial"/>
          <w:i/>
          <w:iCs/>
          <w:color w:val="E67E22"/>
          <w:sz w:val="24"/>
          <w:szCs w:val="24"/>
        </w:rPr>
        <w:t xml:space="preserve">Version 2.0 — Outcome-Based Positioning</w:t>
      </w:r>
    </w:p>
    <w:p>
      <w:pPr>
        <w:spacing w:before="200" w:after="0"/>
      </w:pPr>
      <w:r>
        <w:t xml:space="preserve"/>
      </w:r>
    </w:p>
    <w:p>
      <w:pPr>
        <w:spacing w:before="0" w:after="60"/>
        <w:jc w:val="center"/>
      </w:pPr>
      <w:r>
        <w:rPr>
          <w:rFonts w:ascii="Arial" w:cs="Arial" w:eastAsia="Arial" w:hAnsi="Arial"/>
          <w:color w:val="555555"/>
          <w:sz w:val="22"/>
          <w:szCs w:val="22"/>
        </w:rPr>
        <w:t xml:space="preserve">Business Plan  |  Marketing Plan  |  Go-to-Market Strategy</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1"/>
              <w:bottom w:val="single" w:color="1B4F72" w:sz="1"/>
              <w:right w:val="single" w:color="1B4F72" w:sz="1"/>
            </w:tcBorders>
            <w:shd w:fill="1B4F72" w:val="clear"/>
            <w:tcMar>
              <w:top w:type="dxa" w:w="200"/>
              <w:left w:type="dxa" w:w="300"/>
              <w:bottom w:type="dxa" w:w="200"/>
              <w:right w:type="dxa" w:w="300"/>
            </w:tcMar>
          </w:tcPr>
          <w:p>
            <w:pPr>
              <w:jc w:val="center"/>
            </w:pPr>
            <w:r>
              <w:rPr>
                <w:rFonts w:ascii="Arial" w:cs="Arial" w:eastAsia="Arial" w:hAnsi="Arial"/>
                <w:b/>
                <w:bCs/>
                <w:color w:val="FFFFFF"/>
                <w:sz w:val="22"/>
                <w:szCs w:val="22"/>
              </w:rPr>
              <w:t xml:space="preserve">A JigsawAI Initiative</w:t>
            </w:r>
          </w:p>
          <w:p>
            <w:pPr>
              <w:jc w:val="center"/>
            </w:pPr>
            <w:r>
              <w:rPr>
                <w:rFonts w:ascii="Arial" w:cs="Arial" w:eastAsia="Arial" w:hAnsi="Arial"/>
                <w:color w:val="AAAAAA"/>
                <w:sz w:val="20"/>
                <w:szCs w:val="20"/>
              </w:rPr>
              <w:t xml:space="preserve">De Villiers (Lead)  ·  Marinus (Collaborator)</w:t>
            </w:r>
          </w:p>
          <w:p>
            <w:pPr>
              <w:jc w:val="center"/>
            </w:pPr>
            <w:r>
              <w:rPr>
                <w:rFonts w:ascii="Arial" w:cs="Arial" w:eastAsia="Arial" w:hAnsi="Arial"/>
                <w:color w:val="AAAAAA"/>
                <w:sz w:val="18"/>
                <w:szCs w:val="18"/>
              </w:rPr>
              <w:t xml:space="preserve">March 2026  |  CONFIDENTIAL</w:t>
            </w:r>
          </w:p>
        </w:tc>
      </w:tr>
    </w:tbl>
    <w:p>
      <w:pPr>
        <w:spacing w:before="400" w:after="0"/>
      </w:pPr>
      <w:r>
        <w:t xml:space="preserve"/>
      </w:r>
    </w:p>
    <w:p>
      <w:r>
        <w:br w:type="page"/>
      </w:r>
    </w:p>
    <w:p>
      <w:pPr>
        <w:pStyle w:val="Heading1"/>
        <w:pBdr>
          <w:bottom w:val="single" w:color="2E86C1" w:sz="8"/>
        </w:pBdr>
        <w:spacing w:before="360" w:after="200"/>
      </w:pPr>
      <w:r>
        <w:rPr>
          <w:rFonts w:ascii="Arial" w:cs="Arial" w:eastAsia="Arial" w:hAnsi="Arial"/>
          <w:b/>
          <w:bCs/>
          <w:color w:val="1B4F72"/>
          <w:sz w:val="36"/>
          <w:szCs w:val="36"/>
        </w:rPr>
        <w:t xml:space="preserve">Why This Plan Was Revised</w:t>
      </w:r>
    </w:p>
    <w:p>
      <w:pPr>
        <w:spacing w:before="60" w:after="100"/>
        <w:jc w:val="left"/>
      </w:pPr>
      <w:r>
        <w:rPr>
          <w:rFonts w:ascii="Arial" w:cs="Arial" w:eastAsia="Arial" w:hAnsi="Arial"/>
          <w:b w:val="false"/>
          <w:bCs w:val="false"/>
          <w:color w:val="000000"/>
          <w:sz w:val="20"/>
          <w:szCs w:val="20"/>
        </w:rPr>
        <w:t xml:space="preserve">The original LeadFlow AI plan (V1) positioned the business as an AI-powered cold email agency: we send outreach on your behalf using AI tools at a fraction of the cost of an SDR. That positioning is now fundamentally at risk.</w:t>
      </w:r>
    </w:p>
    <w:p>
      <w:pPr>
        <w:spacing w:before="120" w:after="0"/>
      </w:pPr>
      <w:r>
        <w:t xml:space="preserve"/>
      </w:r>
    </w:p>
    <w:p>
      <w:pPr>
        <w:spacing w:before="60" w:after="100"/>
        <w:jc w:val="left"/>
      </w:pPr>
      <w:r>
        <w:rPr>
          <w:rFonts w:ascii="Arial" w:cs="Arial" w:eastAsia="Arial" w:hAnsi="Arial"/>
          <w:b w:val="false"/>
          <w:bCs w:val="false"/>
          <w:color w:val="000000"/>
          <w:sz w:val="20"/>
          <w:szCs w:val="20"/>
        </w:rPr>
        <w:t xml:space="preserve">In early 2026, OpenClaw (open-source autonomous AI agent) and NemoClaw (Nvidia's enterprise wrapper) made AI-powered outreach automation freely available to any business. Productised services like LeadClawd now offer AI outreach setup in 48 hours for under $200/month. The core technical capability V1 sold — automated email sequences — has become commodity infrastructure.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2"/>
              <w:left w:val="single" w:color="2E86C1" w:sz="12"/>
              <w:bottom w:val="single" w:color="CCCCCC" w:sz="1"/>
              <w:right w:val="single" w:color="CCCCCC" w:sz="1"/>
            </w:tcBorders>
            <w:shd w:fill="D6EAF8" w:val="clear"/>
            <w:tcMar>
              <w:top w:type="dxa" w:w="120"/>
              <w:left w:type="dxa" w:w="200"/>
              <w:bottom w:type="dxa" w:w="120"/>
              <w:right w:type="dxa" w:w="200"/>
            </w:tcMar>
          </w:tcPr>
          <w:p>
            <w:r>
              <w:rPr>
                <w:rFonts w:ascii="Arial" w:cs="Arial" w:eastAsia="Arial" w:hAnsi="Arial"/>
                <w:b/>
                <w:bCs/>
                <w:color w:val="1B4F72"/>
                <w:sz w:val="20"/>
                <w:szCs w:val="20"/>
              </w:rPr>
              <w:t xml:space="preserve">V1 Positioning — AT RISK</w:t>
            </w:r>
          </w:p>
          <w:p>
            <w:pPr>
              <w:spacing w:before="60"/>
            </w:pPr>
            <w:r>
              <w:rPr>
                <w:rFonts w:ascii="Arial" w:cs="Arial" w:eastAsia="Arial" w:hAnsi="Arial"/>
                <w:sz w:val="20"/>
                <w:szCs w:val="20"/>
              </w:rPr>
              <w:t xml:space="preserve">"We send AI-powered cold emails on your behalf at 20% of the cost of an SDR." This is now replicable by any competitor with an OpenClaw skill pack and a Smartlead account. The barrier to entry has collapsed.</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2"/>
              <w:left w:val="single" w:color="2E86C1" w:sz="12"/>
              <w:bottom w:val="single" w:color="CCCCCC" w:sz="1"/>
              <w:right w:val="single" w:color="CCCCCC" w:sz="1"/>
            </w:tcBorders>
            <w:shd w:fill="D5F5E3" w:val="clear"/>
            <w:tcMar>
              <w:top w:type="dxa" w:w="120"/>
              <w:left w:type="dxa" w:w="200"/>
              <w:bottom w:type="dxa" w:w="120"/>
              <w:right w:type="dxa" w:w="200"/>
            </w:tcMar>
          </w:tcPr>
          <w:p>
            <w:r>
              <w:rPr>
                <w:rFonts w:ascii="Arial" w:cs="Arial" w:eastAsia="Arial" w:hAnsi="Arial"/>
                <w:b/>
                <w:bCs/>
                <w:color w:val="1B4F72"/>
                <w:sz w:val="20"/>
                <w:szCs w:val="20"/>
              </w:rPr>
              <w:t xml:space="preserve">V2 Positioning — DEFENSIBLE</w:t>
            </w:r>
          </w:p>
          <w:p>
            <w:pPr>
              <w:spacing w:before="60"/>
            </w:pPr>
            <w:r>
              <w:rPr>
                <w:rFonts w:ascii="Arial" w:cs="Arial" w:eastAsia="Arial" w:hAnsi="Arial"/>
                <w:sz w:val="20"/>
                <w:szCs w:val="20"/>
              </w:rPr>
              <w:t xml:space="preserve">"We design, build, and continuously optimise your entire outbound growth system — ICP strategy, multi-channel playbooks, deliverability management, and outcome accountability — so you receive qualified meetings with decision-makers, not just sent emails. We guarantee results or the next month is on us."</w:t>
            </w:r>
          </w:p>
        </w:tc>
      </w:tr>
    </w:tbl>
    <w:p>
      <w:pPr>
        <w:spacing w:before="200" w:after="0"/>
      </w:pPr>
      <w:r>
        <w:t xml:space="preserve"/>
      </w:r>
    </w:p>
    <w:p>
      <w:pPr>
        <w:spacing w:before="60" w:after="100"/>
        <w:jc w:val="left"/>
      </w:pPr>
      <w:r>
        <w:rPr>
          <w:rFonts w:ascii="Arial" w:cs="Arial" w:eastAsia="Arial" w:hAnsi="Arial"/>
          <w:b w:val="false"/>
          <w:bCs w:val="false"/>
          <w:color w:val="000000"/>
          <w:sz w:val="20"/>
          <w:szCs w:val="20"/>
        </w:rPr>
        <w:t xml:space="preserve">The displacement risk matrix below shows which capabilities are commoditised, eroding, and defensible:</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Capability</w:t>
            </w:r>
          </w:p>
        </w:tc>
        <w:tc>
          <w:tcPr>
            <w:tcW w:type="dxa" w:w="22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Status</w:t>
            </w:r>
          </w:p>
        </w:tc>
        <w:tc>
          <w:tcPr>
            <w:tcW w:type="dxa" w:w="416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Why / Implication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Sending cold emails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COMMODITISED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OpenClaw/Smartlead can replicate for &lt;$200/mo</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Building prospect lists</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COMMODITISED</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Apollo skill packs freely available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Generic copywriting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E67E22"/>
                <w:sz w:val="20"/>
                <w:szCs w:val="20"/>
              </w:rPr>
              <w:t xml:space="preserve">ERODING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AI can draft serviceable copy; differentiation fades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ICP strategy &amp; vertical expertise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DEFENSIBLE</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Requires consulting experience &amp; domain knowledge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Email deliverability management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DEFENSIBLE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Technical depth — domain health, inbox placement</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Cross-client performance intelligence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DEFENSIBLE</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 compounds with scale — no single client replicates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Outcome accountability &amp; guarantees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DEFENSIBLE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Requires skin in the game — commoditised tools won't offer this</w:t>
            </w:r>
          </w:p>
        </w:tc>
      </w:tr>
    </w:tbl>
    <w:p>
      <w:pPr>
        <w:spacing w:before="300" w:after="0"/>
      </w:pPr>
      <w:r>
        <w:t xml:space="preserve"/>
      </w:r>
    </w:p>
    <w:p>
      <w:r>
        <w:br w:type="page"/>
      </w:r>
    </w:p>
    <w:p>
      <w:pPr>
        <w:pStyle w:val="Heading1"/>
        <w:pBdr>
          <w:bottom w:val="single" w:color="2E86C1" w:sz="8"/>
        </w:pBdr>
        <w:spacing w:before="360" w:after="200"/>
      </w:pPr>
      <w:r>
        <w:rPr>
          <w:rFonts w:ascii="Arial" w:cs="Arial" w:eastAsia="Arial" w:hAnsi="Arial"/>
          <w:b/>
          <w:bCs/>
          <w:color w:val="1B4F72"/>
          <w:sz w:val="36"/>
          <w:szCs w:val="36"/>
        </w:rPr>
        <w:t xml:space="preserve">Part 1: Business Plan</w:t>
      </w:r>
    </w:p>
    <w:p>
      <w:pPr>
        <w:pStyle w:val="Heading2"/>
        <w:spacing w:before="280" w:after="140"/>
      </w:pPr>
      <w:r>
        <w:rPr>
          <w:rFonts w:ascii="Arial" w:cs="Arial" w:eastAsia="Arial" w:hAnsi="Arial"/>
          <w:b/>
          <w:bCs/>
          <w:color w:val="2E86C1"/>
          <w:sz w:val="28"/>
          <w:szCs w:val="28"/>
        </w:rPr>
        <w:t xml:space="preserve">1.1 Executive Summary</w:t>
      </w:r>
    </w:p>
    <w:p>
      <w:pPr>
        <w:spacing w:before="60" w:after="100"/>
        <w:jc w:val="left"/>
      </w:pPr>
      <w:r>
        <w:rPr>
          <w:rFonts w:ascii="Arial" w:cs="Arial" w:eastAsia="Arial" w:hAnsi="Arial"/>
          <w:b w:val="false"/>
          <w:bCs w:val="false"/>
          <w:color w:val="000000"/>
          <w:sz w:val="20"/>
          <w:szCs w:val="20"/>
        </w:rPr>
        <w:t xml:space="preserve">LeadFlow AI is a B2B strategic growth consultancy operating under the JigsawAI umbrella, delivering guaranteed qualified meeting bookings to service-based B2B companies through AI-orchestrated multi-channel outreach. Unlike V1 agencies that commoditise email volume, LeadFlow AI competes on expertise, accountability, and outcome guarantees — capabilities that AI tooling alone cannot replicate.</w:t>
      </w:r>
    </w:p>
    <w:p>
      <w:pPr>
        <w:spacing w:before="120" w:after="0"/>
      </w:pPr>
      <w:r>
        <w:t xml:space="preserve"/>
      </w:r>
    </w:p>
    <w:p>
      <w:pPr>
        <w:spacing w:before="60" w:after="100"/>
        <w:jc w:val="left"/>
      </w:pPr>
      <w:r>
        <w:rPr>
          <w:rFonts w:ascii="Arial" w:cs="Arial" w:eastAsia="Arial" w:hAnsi="Arial"/>
          <w:b w:val="false"/>
          <w:bCs w:val="false"/>
          <w:color w:val="000000"/>
          <w:sz w:val="20"/>
          <w:szCs w:val="20"/>
        </w:rPr>
        <w:t xml:space="preserve">The business is built on a Polsia-augmented architecture: Polsia serves as the AI co-pilot for strategy generation and content drafting, while all critical infrastructure (email sending, CRM, billing, domains) is independently owned and controlled by LeadFlow AI. This eliminates platform risk while preserving the efficiency benefits of AI automation.</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1"/>
              <w:bottom w:val="single" w:color="1B4F72" w:sz="1"/>
              <w:right w:val="single" w:color="1B4F72" w:sz="1"/>
            </w:tcBorders>
            <w:shd w:fill="1B4F72" w:val="clear"/>
            <w:tcMar>
              <w:top w:type="dxa" w:w="160"/>
              <w:left w:type="dxa" w:w="240"/>
              <w:bottom w:type="dxa" w:w="160"/>
              <w:right w:type="dxa" w:w="240"/>
            </w:tcMar>
          </w:tcPr>
          <w:p>
            <w:pPr>
              <w:jc w:val="center"/>
            </w:pPr>
            <w:r>
              <w:rPr>
                <w:rFonts w:ascii="Arial" w:cs="Arial" w:eastAsia="Arial" w:hAnsi="Arial"/>
                <w:b/>
                <w:bCs/>
                <w:color w:val="FFFFFF"/>
                <w:sz w:val="22"/>
                <w:szCs w:val="22"/>
              </w:rPr>
              <w:t xml:space="preserve">BASE CASE YEAR 1 TARGET (Revised)</w:t>
            </w:r>
          </w:p>
          <w:p>
            <w:pPr>
              <w:spacing w:before="80"/>
              <w:jc w:val="center"/>
            </w:pPr>
            <w:r>
              <w:rPr>
                <w:rFonts w:ascii="Arial" w:cs="Arial" w:eastAsia="Arial" w:hAnsi="Arial"/>
                <w:color w:val="AADDFF"/>
                <w:sz w:val="20"/>
                <w:szCs w:val="20"/>
              </w:rPr>
              <w:t xml:space="preserve">22-27 clients × $2,800-$3,000/month average = $580K-$720K gross revenue</w:t>
            </w:r>
          </w:p>
          <w:p>
            <w:pPr>
              <w:spacing w:before="40"/>
              <w:jc w:val="center"/>
            </w:pPr>
            <w:r>
              <w:rPr>
                <w:rFonts w:ascii="Arial" w:cs="Arial" w:eastAsia="Arial" w:hAnsi="Arial"/>
                <w:color w:val="AAAAAA"/>
                <w:sz w:val="18"/>
                <w:szCs w:val="18"/>
              </w:rPr>
              <w:t xml:space="preserve">Break-even at Month 5-6 with 10-12 active clients  |  Conservative: $420K  |  Aggressive: $1.05M</w:t>
            </w:r>
          </w:p>
        </w:tc>
      </w:tr>
    </w:tbl>
    <w:p>
      <w:pPr>
        <w:spacing w:before="200" w:after="0"/>
      </w:pPr>
      <w:r>
        <w:t xml:space="preserve"/>
      </w:r>
    </w:p>
    <w:p>
      <w:pPr>
        <w:pStyle w:val="Heading2"/>
        <w:spacing w:before="280" w:after="140"/>
      </w:pPr>
      <w:r>
        <w:rPr>
          <w:rFonts w:ascii="Arial" w:cs="Arial" w:eastAsia="Arial" w:hAnsi="Arial"/>
          <w:b/>
          <w:bCs/>
          <w:color w:val="2E86C1"/>
          <w:sz w:val="28"/>
          <w:szCs w:val="28"/>
        </w:rPr>
        <w:t xml:space="preserve">1.2 Problem Statement</w:t>
      </w:r>
    </w:p>
    <w:p>
      <w:pPr>
        <w:spacing w:before="60" w:after="100"/>
        <w:jc w:val="left"/>
      </w:pPr>
      <w:r>
        <w:rPr>
          <w:rFonts w:ascii="Arial" w:cs="Arial" w:eastAsia="Arial" w:hAnsi="Arial"/>
          <w:b w:val="false"/>
          <w:bCs w:val="false"/>
          <w:color w:val="000000"/>
          <w:sz w:val="20"/>
          <w:szCs w:val="20"/>
        </w:rPr>
        <w:t xml:space="preserve">B2B service companies face a persistent pipeline generation challenge across three dimensions:</w:t>
      </w:r>
    </w:p>
    <w:p>
      <w:pPr>
        <w:spacing w:before="80" w:after="0"/>
      </w:pPr>
      <w:r>
        <w:t xml:space="preserve"/>
      </w:r>
    </w:p>
    <w:p>
      <w:pPr>
        <w:pStyle w:val="ListParagraph"/>
        <w:numPr>
          <w:ilvl w:val="0"/>
          <w:numId w:val="2"/>
        </w:numPr>
        <w:spacing w:before="40" w:after="60"/>
      </w:pPr>
      <w:r>
        <w:rPr>
          <w:rFonts w:ascii="Arial" w:cs="Arial" w:eastAsia="Arial" w:hAnsi="Arial"/>
          <w:sz w:val="20"/>
          <w:szCs w:val="20"/>
        </w:rPr>
        <w:t xml:space="preserve">Cost of human SDRs: A single Sales Development Representative costs $60,000-$90,000/year plus $15,000-$25,000 in tools and management overhead. SDR teams carry 30-40% annual turnover and take 3.2 months to reach full productivity.</w:t>
      </w:r>
    </w:p>
    <w:p>
      <w:pPr>
        <w:pStyle w:val="ListParagraph"/>
        <w:numPr>
          <w:ilvl w:val="0"/>
          <w:numId w:val="2"/>
        </w:numPr>
        <w:spacing w:before="40" w:after="60"/>
      </w:pPr>
      <w:r>
        <w:rPr>
          <w:rFonts w:ascii="Arial" w:cs="Arial" w:eastAsia="Arial" w:hAnsi="Arial"/>
          <w:sz w:val="20"/>
          <w:szCs w:val="20"/>
        </w:rPr>
        <w:t xml:space="preserve">Traditional agency inconsistency: Agencies charge $5,000-$15,000/month with 3-6 month minimums. Results are variable, ramp-up takes 4-8 weeks, and client retention averages just 6-8 months.</w:t>
      </w:r>
    </w:p>
    <w:p>
      <w:pPr>
        <w:pStyle w:val="ListParagraph"/>
        <w:numPr>
          <w:ilvl w:val="0"/>
          <w:numId w:val="2"/>
        </w:numPr>
        <w:spacing w:before="40" w:after="60"/>
      </w:pPr>
      <w:r>
        <w:rPr>
          <w:rFonts w:ascii="Arial" w:cs="Arial" w:eastAsia="Arial" w:hAnsi="Arial"/>
          <w:sz w:val="20"/>
          <w:szCs w:val="20"/>
        </w:rPr>
        <w:t xml:space="preserve">Commoditised AI tools without strategy: Free and low-cost AI outreach tools (OpenClaw, generic email senders) are now widely available but require deep expertise to configure correctly. Most businesses lack the ICP strategy, deliverability knowledge, and optimisation discipline to make them work.</w:t>
      </w:r>
    </w:p>
    <w:p>
      <w:pPr>
        <w:spacing w:before="100" w:after="0"/>
      </w:pPr>
      <w:r>
        <w:t xml:space="preserve"/>
      </w:r>
    </w:p>
    <w:p>
      <w:pPr>
        <w:spacing w:before="60" w:after="100"/>
        <w:jc w:val="left"/>
      </w:pPr>
      <w:r>
        <w:rPr>
          <w:rFonts w:ascii="Arial" w:cs="Arial" w:eastAsia="Arial" w:hAnsi="Arial"/>
          <w:b w:val="false"/>
          <w:bCs w:val="false"/>
          <w:color w:val="000000"/>
          <w:sz w:val="20"/>
          <w:szCs w:val="20"/>
        </w:rPr>
        <w:t xml:space="preserve">The result: 41% of businesses report no efficient lead nurturing process. AI tools have lowered the barrier to entry for outreach activity, but not for outreach results. The gap between sending emails and booking qualified meetings has never been wider.</w:t>
      </w:r>
    </w:p>
    <w:p>
      <w:pPr>
        <w:spacing w:before="100" w:after="0"/>
      </w:pPr>
      <w:r>
        <w:t xml:space="preserve"/>
      </w:r>
    </w:p>
    <w:p>
      <w:pPr>
        <w:pStyle w:val="Heading2"/>
        <w:spacing w:before="280" w:after="140"/>
      </w:pPr>
      <w:r>
        <w:rPr>
          <w:rFonts w:ascii="Arial" w:cs="Arial" w:eastAsia="Arial" w:hAnsi="Arial"/>
          <w:b/>
          <w:bCs/>
          <w:color w:val="2E86C1"/>
          <w:sz w:val="28"/>
          <w:szCs w:val="28"/>
        </w:rPr>
        <w:t xml:space="preserve">1.3 Solution — The V2 Model</w:t>
      </w:r>
    </w:p>
    <w:p>
      <w:pPr>
        <w:spacing w:before="60" w:after="100"/>
        <w:jc w:val="left"/>
      </w:pPr>
      <w:r>
        <w:rPr>
          <w:rFonts w:ascii="Arial" w:cs="Arial" w:eastAsia="Arial" w:hAnsi="Arial"/>
          <w:b w:val="false"/>
          <w:bCs w:val="false"/>
          <w:color w:val="000000"/>
          <w:sz w:val="20"/>
          <w:szCs w:val="20"/>
        </w:rPr>
        <w:t xml:space="preserve">LeadFlow AI delivers end-to-end managed growth services where outcome accountability is the core differentiator. The service architecture has five components:</w:t>
      </w:r>
    </w:p>
    <w:p>
      <w:pPr>
        <w:spacing w:before="80" w:after="0"/>
      </w:pPr>
      <w:r>
        <w:t xml:space="preserve"/>
      </w:r>
    </w:p>
    <w:p>
      <w:pPr>
        <w:pStyle w:val="ListParagraph"/>
        <w:numPr>
          <w:ilvl w:val="0"/>
          <w:numId w:val="2"/>
        </w:numPr>
        <w:spacing w:before="40" w:after="60"/>
      </w:pPr>
      <w:r>
        <w:rPr>
          <w:rFonts w:ascii="Arial" w:cs="Arial" w:eastAsia="Arial" w:hAnsi="Arial"/>
          <w:sz w:val="20"/>
          <w:szCs w:val="20"/>
        </w:rPr>
        <w:t xml:space="preserve">Strategic ICP Design: Before any outreach begins, LeadFlow AI conducts a rigorous ICP analysis identifying the exact companies, roles, and triggers most likely to convert. This is consulting work, not tooling.</w:t>
      </w:r>
    </w:p>
    <w:p>
      <w:pPr>
        <w:pStyle w:val="ListParagraph"/>
        <w:numPr>
          <w:ilvl w:val="0"/>
          <w:numId w:val="2"/>
        </w:numPr>
        <w:spacing w:before="40" w:after="60"/>
      </w:pPr>
      <w:r>
        <w:rPr>
          <w:rFonts w:ascii="Arial" w:cs="Arial" w:eastAsia="Arial" w:hAnsi="Arial"/>
          <w:sz w:val="20"/>
          <w:szCs w:val="20"/>
        </w:rPr>
        <w:t xml:space="preserve">Multi-Channel Campaign Architecture: AI-crafted email sequences, LinkedIn outreach, and targeted advertising working together. Prospects see the client brand across channels, increasing response rates 3-5x versus email alone.</w:t>
      </w:r>
    </w:p>
    <w:p>
      <w:pPr>
        <w:pStyle w:val="ListParagraph"/>
        <w:numPr>
          <w:ilvl w:val="0"/>
          <w:numId w:val="2"/>
        </w:numPr>
        <w:spacing w:before="40" w:after="60"/>
      </w:pPr>
      <w:r>
        <w:rPr>
          <w:rFonts w:ascii="Arial" w:cs="Arial" w:eastAsia="Arial" w:hAnsi="Arial"/>
          <w:sz w:val="20"/>
          <w:szCs w:val="20"/>
        </w:rPr>
        <w:t xml:space="preserve">Deliverability Management: Dedicated sending domains, professional warming sequences, continuous inbox placement monitoring, and compliance with CAN-SPAM/GDPR. The technical layer that most AI tools ignore.</w:t>
      </w:r>
    </w:p>
    <w:p>
      <w:pPr>
        <w:pStyle w:val="ListParagraph"/>
        <w:numPr>
          <w:ilvl w:val="0"/>
          <w:numId w:val="2"/>
        </w:numPr>
        <w:spacing w:before="40" w:after="60"/>
      </w:pPr>
      <w:r>
        <w:rPr>
          <w:rFonts w:ascii="Arial" w:cs="Arial" w:eastAsia="Arial" w:hAnsi="Arial"/>
          <w:sz w:val="20"/>
          <w:szCs w:val="20"/>
        </w:rPr>
        <w:t xml:space="preserve">Outcome-Based Accountability: Meeting guarantees tied to each pricing tier. If targets are missed, the following month is provided at no charge. This aligns incentives completely with client success.</w:t>
      </w:r>
    </w:p>
    <w:p>
      <w:pPr>
        <w:pStyle w:val="ListParagraph"/>
        <w:numPr>
          <w:ilvl w:val="0"/>
          <w:numId w:val="2"/>
        </w:numPr>
        <w:spacing w:before="40" w:after="60"/>
      </w:pPr>
      <w:r>
        <w:rPr>
          <w:rFonts w:ascii="Arial" w:cs="Arial" w:eastAsia="Arial" w:hAnsi="Arial"/>
          <w:sz w:val="20"/>
          <w:szCs w:val="20"/>
        </w:rPr>
        <w:t xml:space="preserve">Cross-Client Intelligence: Performance data across all client campaigns feeds a proprietary optimisation loop — copy patterns, targeting angles, and vertical-specific benchmarks that compound with scale.</w:t>
      </w:r>
    </w:p>
    <w:p>
      <w:pPr>
        <w:spacing w:before="100" w:after="0"/>
      </w:pPr>
      <w:r>
        <w:t xml:space="preserve"/>
      </w:r>
    </w:p>
    <w:p>
      <w:pPr>
        <w:pStyle w:val="Heading2"/>
        <w:spacing w:before="280" w:after="140"/>
      </w:pPr>
      <w:r>
        <w:rPr>
          <w:rFonts w:ascii="Arial" w:cs="Arial" w:eastAsia="Arial" w:hAnsi="Arial"/>
          <w:b/>
          <w:bCs/>
          <w:color w:val="2E86C1"/>
          <w:sz w:val="28"/>
          <w:szCs w:val="28"/>
        </w:rPr>
        <w:t xml:space="preserve">1.4 Target Market</w:t>
      </w:r>
    </w:p>
    <w:p>
      <w:pPr>
        <w:spacing w:before="60" w:after="100"/>
        <w:jc w:val="left"/>
      </w:pPr>
      <w:r>
        <w:rPr>
          <w:rFonts w:ascii="Arial" w:cs="Arial" w:eastAsia="Arial" w:hAnsi="Arial"/>
          <w:b w:val="false"/>
          <w:bCs w:val="false"/>
          <w:color w:val="000000"/>
          <w:sz w:val="20"/>
          <w:szCs w:val="20"/>
        </w:rPr>
        <w:t xml:space="preserve">LeadFlow AI targets B2B service companies that have sufficient deal size to justify outsourced pipeline generation but lack the internal capability or budget for a dedicated SDR team.</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960"/>
        <w:gridCol w:w="2000"/>
      </w:tblGrid>
      <w:tr>
        <w:tc>
          <w:tcPr>
            <w:tcW w:type="dxa" w:w="22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Segment</w:t>
            </w:r>
          </w:p>
        </w:tc>
        <w:tc>
          <w:tcPr>
            <w:tcW w:type="dxa" w:w="16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Size</w:t>
            </w:r>
          </w:p>
        </w:tc>
        <w:tc>
          <w:tcPr>
            <w:tcW w:type="dxa" w:w="16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Revenue</w:t>
            </w:r>
          </w:p>
        </w:tc>
        <w:tc>
          <w:tcPr>
            <w:tcW w:type="dxa" w:w="196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Core Pain</w:t>
            </w:r>
          </w:p>
        </w:tc>
        <w:tc>
          <w:tcPr>
            <w:tcW w:type="dxa" w:w="20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ACV Potential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Management Consulting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10-200 staff</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$2M-$50M</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SDR team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$36,000</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IT Services / MSPs</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5-100 staff</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$1M-$30M</w:t>
            </w:r>
          </w:p>
        </w:tc>
        <w:tc>
          <w:tcPr>
            <w:tcW w:type="dxa" w:w="1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Referral dependent</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$36,000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Financial Services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10-150 staff</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$3M-$75M</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Compliance limits outreach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$42,000</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SaaS Companies</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5-50 staff</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$500K-$20M</w:t>
            </w:r>
          </w:p>
        </w:tc>
        <w:tc>
          <w:tcPr>
            <w:tcW w:type="dxa" w:w="1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Need pipeline fast</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$36,000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Professional Services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5-75 staff</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$1M-$25M</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Partners too busy to sell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$36,000</w:t>
            </w:r>
          </w:p>
        </w:tc>
      </w:tr>
    </w:tbl>
    <w:p>
      <w:pPr>
        <w:spacing w:before="200" w:after="0"/>
      </w:pPr>
      <w:r>
        <w:t xml:space="preserve"/>
      </w:r>
    </w:p>
    <w:p>
      <w:pPr>
        <w:pStyle w:val="Heading2"/>
        <w:spacing w:before="280" w:after="140"/>
      </w:pPr>
      <w:r>
        <w:rPr>
          <w:rFonts w:ascii="Arial" w:cs="Arial" w:eastAsia="Arial" w:hAnsi="Arial"/>
          <w:b/>
          <w:bCs/>
          <w:color w:val="2E86C1"/>
          <w:sz w:val="28"/>
          <w:szCs w:val="28"/>
        </w:rPr>
        <w:t xml:space="preserve">1.5 Revenue Model — Outcome-Based Tiers</w:t>
      </w:r>
    </w:p>
    <w:p>
      <w:pPr>
        <w:spacing w:before="60" w:after="100"/>
        <w:jc w:val="left"/>
      </w:pPr>
      <w:r>
        <w:rPr>
          <w:rFonts w:ascii="Arial" w:cs="Arial" w:eastAsia="Arial" w:hAnsi="Arial"/>
          <w:b w:val="false"/>
          <w:bCs w:val="false"/>
          <w:color w:val="000000"/>
          <w:sz w:val="20"/>
          <w:szCs w:val="20"/>
        </w:rPr>
        <w:t xml:space="preserve">V2 pricing is anchored to qualified meeting guarantees, not email volume. This directly addresses the commoditisation threat: any client can send emails themselves with a $29 tool, but they cannot guarantee meetings without strategy and expertise.</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3120"/>
      </w:tblGrid>
      <w:tr>
        <w:tc>
          <w:tcPr>
            <w:tcW w:type="dxa" w:w="156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Tier</w:t>
            </w:r>
          </w:p>
        </w:tc>
        <w:tc>
          <w:tcPr>
            <w:tcW w:type="dxa" w:w="156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Monthly Fee</w:t>
            </w:r>
          </w:p>
        </w:tc>
        <w:tc>
          <w:tcPr>
            <w:tcW w:type="dxa" w:w="156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Guaranteed Meetings</w:t>
            </w:r>
          </w:p>
        </w:tc>
        <w:tc>
          <w:tcPr>
            <w:tcW w:type="dxa" w:w="156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Channels</w:t>
            </w:r>
          </w:p>
        </w:tc>
        <w:tc>
          <w:tcPr>
            <w:tcW w:type="dxa" w:w="312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Target Client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Launch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$2,500/mo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 meetings/mo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Email + LinkedIn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Early-stage / $1M-$5M revenue companies testing outbound</w:t>
            </w:r>
          </w:p>
        </w:tc>
      </w:tr>
      <w:tr>
        <w:tc>
          <w:tcPr>
            <w:tcW w:type="dxa" w:w="1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Growth</w:t>
            </w:r>
          </w:p>
        </w:tc>
        <w:tc>
          <w:tcPr>
            <w:tcW w:type="dxa" w:w="1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$4,000/mo</w:t>
            </w:r>
          </w:p>
        </w:tc>
        <w:tc>
          <w:tcPr>
            <w:tcW w:type="dxa" w:w="1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 meetings/mo</w:t>
            </w:r>
          </w:p>
        </w:tc>
        <w:tc>
          <w:tcPr>
            <w:tcW w:type="dxa" w:w="1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Full multi-channel</w:t>
            </w:r>
          </w:p>
        </w:tc>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Established B2B firms with $5M-$25M revenue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Enterprise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$6,000/mo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18 meetings/mo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Full + dedicated mgr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$25M+ companies requiring senior oversight and CRM integration</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2"/>
              <w:left w:val="single" w:color="2E86C1" w:sz="12"/>
              <w:bottom w:val="single" w:color="CCCCCC" w:sz="1"/>
              <w:right w:val="single" w:color="CCCCCC" w:sz="1"/>
            </w:tcBorders>
            <w:shd w:fill="D6EAF8" w:val="clear"/>
            <w:tcMar>
              <w:top w:type="dxa" w:w="120"/>
              <w:left w:type="dxa" w:w="200"/>
              <w:bottom w:type="dxa" w:w="120"/>
              <w:right w:type="dxa" w:w="200"/>
            </w:tcMar>
          </w:tcPr>
          <w:p>
            <w:r>
              <w:rPr>
                <w:rFonts w:ascii="Arial" w:cs="Arial" w:eastAsia="Arial" w:hAnsi="Arial"/>
                <w:b/>
                <w:bCs/>
                <w:color w:val="1B4F72"/>
                <w:sz w:val="20"/>
                <w:szCs w:val="20"/>
              </w:rPr>
              <w:t xml:space="preserve">Guarantee Structure</w:t>
            </w:r>
          </w:p>
          <w:p>
            <w:pPr>
              <w:spacing w:before="60"/>
            </w:pPr>
            <w:r>
              <w:rPr>
                <w:rFonts w:ascii="Arial" w:cs="Arial" w:eastAsia="Arial" w:hAnsi="Arial"/>
                <w:sz w:val="20"/>
                <w:szCs w:val="20"/>
              </w:rPr>
              <w:t xml:space="preserve">If LeadFlow AI does not deliver the guaranteed meetings in any calendar month, the following month of service is provided at no charge. This applies to all tiers and is contractually binding. The guarantee is the product. No other AI outreach service offers this.</w:t>
            </w:r>
          </w:p>
        </w:tc>
      </w:tr>
    </w:tbl>
    <w:p>
      <w:pPr>
        <w:spacing w:before="200" w:after="0"/>
      </w:pPr>
      <w:r>
        <w:t xml:space="preserve"/>
      </w:r>
    </w:p>
    <w:p>
      <w:pPr>
        <w:spacing w:before="60" w:after="100"/>
        <w:jc w:val="left"/>
      </w:pPr>
      <w:r>
        <w:rPr>
          <w:rFonts w:ascii="Arial" w:cs="Arial" w:eastAsia="Arial" w:hAnsi="Arial"/>
          <w:b w:val="false"/>
          <w:bCs w:val="false"/>
          <w:color w:val="000000"/>
          <w:sz w:val="20"/>
          <w:szCs w:val="20"/>
        </w:rPr>
        <w:t xml:space="preserve">Additional revenue streams include: ad spend management (15% markup on managed budgets), one-time onboarding investment ($1,500), CRM integration add-on ($500/month), and custom reporting dashboards ($300/month).</w:t>
      </w:r>
    </w:p>
    <w:p>
      <w:pPr>
        <w:spacing w:before="100" w:after="0"/>
      </w:pPr>
      <w:r>
        <w:t xml:space="preserve"/>
      </w:r>
    </w:p>
    <w:p>
      <w:pPr>
        <w:pStyle w:val="Heading2"/>
        <w:spacing w:before="280" w:after="140"/>
      </w:pPr>
      <w:r>
        <w:rPr>
          <w:rFonts w:ascii="Arial" w:cs="Arial" w:eastAsia="Arial" w:hAnsi="Arial"/>
          <w:b/>
          <w:bCs/>
          <w:color w:val="2E86C1"/>
          <w:sz w:val="28"/>
          <w:szCs w:val="28"/>
        </w:rPr>
        <w:t xml:space="preserve">1.6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1200"/>
        <w:gridCol w:w="1280"/>
        <w:gridCol w:w="1280"/>
        <w:gridCol w:w="1000"/>
      </w:tblGrid>
      <w:tr>
        <w:tc>
          <w:tcPr>
            <w:tcW w:type="dxa" w:w="20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Competitor</w:t>
            </w:r>
          </w:p>
        </w:tc>
        <w:tc>
          <w:tcPr>
            <w:tcW w:type="dxa" w:w="14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Monthly Cost</w:t>
            </w:r>
          </w:p>
        </w:tc>
        <w:tc>
          <w:tcPr>
            <w:tcW w:type="dxa" w:w="12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Ramp Time</w:t>
            </w:r>
          </w:p>
        </w:tc>
        <w:tc>
          <w:tcPr>
            <w:tcW w:type="dxa" w:w="12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Guarantee</w:t>
            </w:r>
          </w:p>
        </w:tc>
        <w:tc>
          <w:tcPr>
            <w:tcW w:type="dxa" w:w="128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Multi-Channel</w:t>
            </w:r>
          </w:p>
        </w:tc>
        <w:tc>
          <w:tcPr>
            <w:tcW w:type="dxa" w:w="128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AI-Driven</w:t>
            </w:r>
          </w:p>
        </w:tc>
        <w:tc>
          <w:tcPr>
            <w:tcW w:type="dxa" w:w="10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Scalable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In-house SDR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$7K-$10K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3-4 months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Limited</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Linear</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Traditional Agency</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$5K-$15K</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4-8 weeks</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12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Partial</w:t>
            </w:r>
          </w:p>
        </w:tc>
        <w:tc>
          <w:tcPr>
            <w:tcW w:type="dxa" w:w="12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Partial</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Limited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DIY AI Tools (OpenClaw)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$0-$200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Ongoing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Fragmented</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Manual</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LeadFlow AI V2</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$2.5K-$6K</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7 days</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YES</w:t>
            </w:r>
          </w:p>
        </w:tc>
        <w:tc>
          <w:tcPr>
            <w:tcW w:type="dxa" w:w="12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Full</w:t>
            </w:r>
          </w:p>
        </w:tc>
        <w:tc>
          <w:tcPr>
            <w:tcW w:type="dxa" w:w="12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Fully autonomous</w:t>
            </w:r>
          </w:p>
        </w:tc>
        <w:tc>
          <w:tcPr>
            <w:tcW w:type="dxa" w:w="1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Infinite</w:t>
            </w:r>
          </w:p>
        </w:tc>
      </w:tr>
    </w:tbl>
    <w:p>
      <w:pPr>
        <w:spacing w:before="200" w:after="0"/>
      </w:pPr>
      <w:r>
        <w:t xml:space="preserve"/>
      </w:r>
    </w:p>
    <w:p>
      <w:pPr>
        <w:pStyle w:val="Heading2"/>
        <w:spacing w:before="280" w:after="140"/>
      </w:pPr>
      <w:r>
        <w:rPr>
          <w:rFonts w:ascii="Arial" w:cs="Arial" w:eastAsia="Arial" w:hAnsi="Arial"/>
          <w:b/>
          <w:bCs/>
          <w:color w:val="2E86C1"/>
          <w:sz w:val="28"/>
          <w:szCs w:val="28"/>
        </w:rPr>
        <w:t xml:space="preserve">1.7 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Metric</w:t>
            </w:r>
          </w:p>
        </w:tc>
        <w:tc>
          <w:tcPr>
            <w:tcW w:type="dxa" w:w="468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Value (Base Case)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Average Revenue Per Client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$3,000/month ($36,000/year)</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Variable Cost Per Client</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$310/month (Polsia + email + data)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Contribution Margin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$2,690/month (89.7%)</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Client Acquisition Cost</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$1,500-$3,000 (payback in 1 month)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Average Client Lifetime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10-14 months (improved by guarantee)</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LTV:CAC Ratio</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10x-24x (target &gt;5x)</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Break-Even Point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10-12 clients (Month 5-6)</w:t>
            </w:r>
          </w:p>
        </w:tc>
      </w:tr>
    </w:tbl>
    <w:p>
      <w:pPr>
        <w:spacing w:before="200" w:after="0"/>
      </w:pPr>
      <w:r>
        <w:t xml:space="preserve"/>
      </w:r>
    </w:p>
    <w:p>
      <w:pPr>
        <w:pStyle w:val="Heading2"/>
        <w:spacing w:before="280" w:after="140"/>
      </w:pPr>
      <w:r>
        <w:rPr>
          <w:rFonts w:ascii="Arial" w:cs="Arial" w:eastAsia="Arial" w:hAnsi="Arial"/>
          <w:b/>
          <w:bCs/>
          <w:color w:val="2E86C1"/>
          <w:sz w:val="28"/>
          <w:szCs w:val="28"/>
        </w:rPr>
        <w:t xml:space="preserve">1.8 The Five-Layer Competitive Moat</w:t>
      </w:r>
    </w:p>
    <w:p>
      <w:pPr>
        <w:pStyle w:val="ListParagraph"/>
        <w:numPr>
          <w:ilvl w:val="0"/>
          <w:numId w:val="2"/>
        </w:numPr>
        <w:spacing w:before="40" w:after="60"/>
      </w:pPr>
      <w:r>
        <w:rPr>
          <w:rFonts w:ascii="Arial" w:cs="Arial" w:eastAsia="Arial" w:hAnsi="Arial"/>
          <w:sz w:val="20"/>
          <w:szCs w:val="20"/>
        </w:rPr>
        <w:t xml:space="preserve">Vertical Playbooks: Proprietary ICP definitions, email sequences, objection frameworks, and benchmark data per industry vertical. Stored in Notion — your IP, not Polsia's. Compounds with every client engagement.</w:t>
      </w:r>
    </w:p>
    <w:p>
      <w:pPr>
        <w:pStyle w:val="ListParagraph"/>
        <w:numPr>
          <w:ilvl w:val="0"/>
          <w:numId w:val="2"/>
        </w:numPr>
        <w:spacing w:before="40" w:after="60"/>
      </w:pPr>
      <w:r>
        <w:rPr>
          <w:rFonts w:ascii="Arial" w:cs="Arial" w:eastAsia="Arial" w:hAnsi="Arial"/>
          <w:sz w:val="20"/>
          <w:szCs w:val="20"/>
        </w:rPr>
        <w:t xml:space="preserve">Deliverability Expertise: Domain warming, inbox placement monitoring (Google Postmaster), sending reputation management. This is the technical layer OpenClaw skill packs do not address. Burned domains kill client campaigns overnight.</w:t>
      </w:r>
    </w:p>
    <w:p>
      <w:pPr>
        <w:pStyle w:val="ListParagraph"/>
        <w:numPr>
          <w:ilvl w:val="0"/>
          <w:numId w:val="2"/>
        </w:numPr>
        <w:spacing w:before="40" w:after="60"/>
      </w:pPr>
      <w:r>
        <w:rPr>
          <w:rFonts w:ascii="Arial" w:cs="Arial" w:eastAsia="Arial" w:hAnsi="Arial"/>
          <w:sz w:val="20"/>
          <w:szCs w:val="20"/>
        </w:rPr>
        <w:t xml:space="preserve">Cross-Client Intelligence: Performance data across all campaigns identifies what works across verticals, company sizes, and geographies. A single client's data is noise; 30 clients' data is signal.</w:t>
      </w:r>
    </w:p>
    <w:p>
      <w:pPr>
        <w:pStyle w:val="ListParagraph"/>
        <w:numPr>
          <w:ilvl w:val="0"/>
          <w:numId w:val="2"/>
        </w:numPr>
        <w:spacing w:before="40" w:after="60"/>
      </w:pPr>
      <w:r>
        <w:rPr>
          <w:rFonts w:ascii="Arial" w:cs="Arial" w:eastAsia="Arial" w:hAnsi="Arial"/>
          <w:sz w:val="20"/>
          <w:szCs w:val="20"/>
        </w:rPr>
        <w:t xml:space="preserve">Outcome Accountability: The meeting guarantee creates skin in the game. No commodity tool offers a guarantee because they have no expertise to back it up. The guarantee is simultaneously a pricing signal and a moat.</w:t>
      </w:r>
    </w:p>
    <w:p>
      <w:pPr>
        <w:pStyle w:val="ListParagraph"/>
        <w:numPr>
          <w:ilvl w:val="0"/>
          <w:numId w:val="2"/>
        </w:numPr>
        <w:spacing w:before="40" w:after="60"/>
      </w:pPr>
      <w:r>
        <w:rPr>
          <w:rFonts w:ascii="Arial" w:cs="Arial" w:eastAsia="Arial" w:hAnsi="Arial"/>
          <w:sz w:val="20"/>
          <w:szCs w:val="20"/>
        </w:rPr>
        <w:t xml:space="preserve">Tool-Agnostic Execution: LeadFlow AI uses OpenClaw alongside Instantly, Apollo, and Expandi — demonstrating confidence in the strategy layer rather than dependence on any single tool. Clients see the expertise, not the tools.</w:t>
      </w:r>
    </w:p>
    <w:p>
      <w:pPr>
        <w:spacing w:before="200" w:after="0"/>
      </w:pPr>
      <w:r>
        <w:t xml:space="preserve"/>
      </w:r>
    </w:p>
    <w:p>
      <w:pPr>
        <w:pStyle w:val="Heading2"/>
        <w:spacing w:before="280" w:after="140"/>
      </w:pPr>
      <w:r>
        <w:rPr>
          <w:rFonts w:ascii="Arial" w:cs="Arial" w:eastAsia="Arial" w:hAnsi="Arial"/>
          <w:b/>
          <w:bCs/>
          <w:color w:val="2E86C1"/>
          <w:sz w:val="28"/>
          <w:szCs w:val="28"/>
        </w:rPr>
        <w:t xml:space="preserve">1.9 Key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960"/>
      </w:tblGrid>
      <w:tr>
        <w:tc>
          <w:tcPr>
            <w:tcW w:type="dxa" w:w="24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Risk</w:t>
            </w:r>
          </w:p>
        </w:tc>
        <w:tc>
          <w:tcPr>
            <w:tcW w:type="dxa" w:w="10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Impact</w:t>
            </w:r>
          </w:p>
        </w:tc>
        <w:tc>
          <w:tcPr>
            <w:tcW w:type="dxa" w:w="596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Guarantee payout (missing meeting targets)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Rigorous ICP validation pre-launch; quality gates; conservative guarantee levels set below actual delivery capacity</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Email deliverability degradation</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w:t>
            </w:r>
          </w:p>
        </w:tc>
        <w:tc>
          <w:tcPr>
            <w:tcW w:type="dxa" w:w="5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Dedicated domains per client; proper warming; continuous inbox placement monitoring; independent from Polsia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Polsia platform instability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Polsia-augmented architecture: all critical infrastructure independently owned. Polsia outage = 8-15 extra hrs/week manual work, not client-facing failure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Market commoditisation</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w:t>
            </w:r>
          </w:p>
        </w:tc>
        <w:tc>
          <w:tcPr>
            <w:tcW w:type="dxa" w:w="5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Moat is expertise + accountability, not tooling. WordPress didn't kill web design agencies; AI outreach tools won't kill strategic growth consultancies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Slow early client acquisition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Conservative base case (22-27 clients) built into financial model; JigsawAI network and inlumiSA relationships as early client pipeline</w:t>
            </w:r>
          </w:p>
        </w:tc>
      </w:tr>
    </w:tbl>
    <w:p>
      <w:pPr>
        <w:spacing w:before="200" w:after="0"/>
      </w:pPr>
      <w:r>
        <w:t xml:space="preserve"/>
      </w:r>
    </w:p>
    <w:p>
      <w:pPr>
        <w:pStyle w:val="Heading2"/>
        <w:spacing w:before="280" w:after="140"/>
      </w:pPr>
      <w:r>
        <w:rPr>
          <w:rFonts w:ascii="Arial" w:cs="Arial" w:eastAsia="Arial" w:hAnsi="Arial"/>
          <w:b/>
          <w:bCs/>
          <w:color w:val="2E86C1"/>
          <w:sz w:val="28"/>
          <w:szCs w:val="28"/>
        </w:rPr>
        <w:t xml:space="preserve">1.10 Implementation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160"/>
        <w:gridCol w:w="3400"/>
      </w:tblGrid>
      <w:tr>
        <w:tc>
          <w:tcPr>
            <w:tcW w:type="dxa" w:w="14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w:t>
            </w:r>
          </w:p>
        </w:tc>
        <w:tc>
          <w:tcPr>
            <w:tcW w:type="dxa" w:w="14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Timeline</w:t>
            </w:r>
          </w:p>
        </w:tc>
        <w:tc>
          <w:tcPr>
            <w:tcW w:type="dxa" w:w="316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Activities</w:t>
            </w:r>
          </w:p>
        </w:tc>
        <w:tc>
          <w:tcPr>
            <w:tcW w:type="dxa" w:w="34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Milestones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Foundation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Months 1-2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Independent infrastructure build, 3 vertical playbooks, Polsia co-pilot setup, domain warming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 paying clients, infrastructure live, playbooks approved by De Villiers</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Traction</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Months 3-4</w:t>
            </w:r>
          </w:p>
        </w:tc>
        <w:tc>
          <w:tcPr>
            <w:tcW w:type="dxa" w:w="3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Scale outbound, refine onboarding, build case studies, validate guarantee delivery</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 active clients (break-even), first case study, first guarantee test passed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Growth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Months 5-8</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Launch Growth tier, ad management, hire VA, partner channel development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 clients, $60K+ MRR, partner programme active</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Scale</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Months 9-12</w:t>
            </w:r>
          </w:p>
        </w:tc>
        <w:tc>
          <w:tcPr>
            <w:tcW w:type="dxa" w:w="3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Enterprise tier, 5+ verticals, CRM integrations, retention optimisation</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27 clients, $80K+ MRR, 88%+ retention</w:t>
            </w:r>
          </w:p>
        </w:tc>
      </w:tr>
    </w:tbl>
    <w:p>
      <w:pPr>
        <w:spacing w:before="200" w:after="0"/>
      </w:pPr>
      <w:r>
        <w:t xml:space="preserve"/>
      </w:r>
    </w:p>
    <w:p>
      <w:r>
        <w:br w:type="page"/>
      </w:r>
    </w:p>
    <w:p>
      <w:pPr>
        <w:pStyle w:val="Heading1"/>
        <w:pBdr>
          <w:bottom w:val="single" w:color="2E86C1" w:sz="8"/>
        </w:pBdr>
        <w:spacing w:before="360" w:after="200"/>
      </w:pPr>
      <w:r>
        <w:rPr>
          <w:rFonts w:ascii="Arial" w:cs="Arial" w:eastAsia="Arial" w:hAnsi="Arial"/>
          <w:b/>
          <w:bCs/>
          <w:color w:val="1B4F72"/>
          <w:sz w:val="36"/>
          <w:szCs w:val="36"/>
        </w:rPr>
        <w:t xml:space="preserve">Part 2: Marketing Plan</w:t>
      </w:r>
    </w:p>
    <w:p>
      <w:pPr>
        <w:pStyle w:val="Heading2"/>
        <w:spacing w:before="280" w:after="140"/>
      </w:pPr>
      <w:r>
        <w:rPr>
          <w:rFonts w:ascii="Arial" w:cs="Arial" w:eastAsia="Arial" w:hAnsi="Arial"/>
          <w:b/>
          <w:bCs/>
          <w:color w:val="2E86C1"/>
          <w:sz w:val="28"/>
          <w:szCs w:val="28"/>
        </w:rPr>
        <w:t xml:space="preserve">2.1 Strategy Overview — Eat Your Own Cooking</w:t>
      </w:r>
    </w:p>
    <w:p>
      <w:pPr>
        <w:spacing w:before="60" w:after="100"/>
        <w:jc w:val="left"/>
      </w:pPr>
      <w:r>
        <w:rPr>
          <w:rFonts w:ascii="Arial" w:cs="Arial" w:eastAsia="Arial" w:hAnsi="Arial"/>
          <w:b w:val="false"/>
          <w:bCs w:val="false"/>
          <w:color w:val="000000"/>
          <w:sz w:val="20"/>
          <w:szCs w:val="20"/>
        </w:rPr>
        <w:t xml:space="preserve">LeadFlow AI acquires clients using the same AI-orchestrated outbound methodology it sells. Every prospect receiving LeadFlow outreach is experiencing the product in action. The V2 marketing strategy differs from V1 in one critical way: the narrative leads with outcomes and guarantees, not AI features or cost savings.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600"/>
        <w:gridCol w:w="1800"/>
        <w:gridCol w:w="1960"/>
      </w:tblGrid>
      <w:tr>
        <w:tc>
          <w:tcPr>
            <w:tcW w:type="dxa" w:w="26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Channel</w:t>
            </w:r>
          </w:p>
        </w:tc>
        <w:tc>
          <w:tcPr>
            <w:tcW w:type="dxa" w:w="14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Acquisition</w:t>
            </w:r>
          </w:p>
        </w:tc>
        <w:tc>
          <w:tcPr>
            <w:tcW w:type="dxa" w:w="16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Monthly Budget</w:t>
            </w:r>
          </w:p>
        </w:tc>
        <w:tc>
          <w:tcPr>
            <w:tcW w:type="dxa" w:w="18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CAC Estimate</w:t>
            </w:r>
          </w:p>
        </w:tc>
        <w:tc>
          <w:tcPr>
            <w:tcW w:type="dxa" w:w="196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Year 1 Clients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Outbound (cold email/LinkedIn)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$1,200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11-14</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JigsawAI/inlumiSA Network</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$300</w:t>
            </w:r>
          </w:p>
        </w:tc>
        <w:tc>
          <w:tcPr>
            <w:tcW w:type="dxa" w:w="1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4-6</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Content &amp; SEO/GEO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$2,500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3-4</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Referrals &amp; Partnerships</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$300</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$800</w:t>
            </w:r>
          </w:p>
        </w:tc>
        <w:tc>
          <w:tcPr>
            <w:tcW w:type="dxa" w:w="1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2-3</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Paid Advertising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$4,000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w:t>
            </w:r>
          </w:p>
        </w:tc>
      </w:tr>
    </w:tbl>
    <w:p>
      <w:pPr>
        <w:spacing w:before="120" w:after="0"/>
      </w:pPr>
      <w:r>
        <w:t xml:space="preserve"/>
      </w:r>
    </w:p>
    <w:p>
      <w:pPr>
        <w:spacing w:before="60" w:after="100"/>
        <w:jc w:val="left"/>
      </w:pPr>
      <w:r>
        <w:rPr>
          <w:rFonts w:ascii="Arial" w:cs="Arial" w:eastAsia="Arial" w:hAnsi="Arial"/>
          <w:b w:val="false"/>
          <w:bCs w:val="false"/>
          <w:color w:val="000000"/>
          <w:sz w:val="20"/>
          <w:szCs w:val="20"/>
        </w:rPr>
        <w:t xml:space="preserve">Note: The JigsawAI/inlumiSA network is treated as a distinct acquisition channel in V2 given De Villiers and Marinus's existing relationships. This is the lowest-CAC channel and should be activated first.</w:t>
      </w:r>
    </w:p>
    <w:p>
      <w:pPr>
        <w:spacing w:before="100" w:after="0"/>
      </w:pPr>
      <w:r>
        <w:t xml:space="preserve"/>
      </w:r>
    </w:p>
    <w:p>
      <w:pPr>
        <w:pStyle w:val="Heading2"/>
        <w:spacing w:before="280" w:after="140"/>
      </w:pPr>
      <w:r>
        <w:rPr>
          <w:rFonts w:ascii="Arial" w:cs="Arial" w:eastAsia="Arial" w:hAnsi="Arial"/>
          <w:b/>
          <w:bCs/>
          <w:color w:val="2E86C1"/>
          <w:sz w:val="28"/>
          <w:szCs w:val="28"/>
        </w:rPr>
        <w:t xml:space="preserve">2.2 Outbound Playbook (50% of Acquisition)</w:t>
      </w:r>
    </w:p>
    <w:p>
      <w:pPr>
        <w:pStyle w:val="ListParagraph"/>
        <w:numPr>
          <w:ilvl w:val="0"/>
          <w:numId w:val="2"/>
        </w:numPr>
        <w:spacing w:before="40" w:after="60"/>
      </w:pPr>
      <w:r>
        <w:rPr>
          <w:rFonts w:ascii="Arial" w:cs="Arial" w:eastAsia="Arial" w:hAnsi="Arial"/>
          <w:sz w:val="20"/>
          <w:szCs w:val="20"/>
        </w:rPr>
        <w:t xml:space="preserve">Prospect identification: Apollo and LinkedIn Sales Navigator to build lists of Founders, CEOs, VPs of Sales at B2B service companies with 10-200 employees. Filter by growth signals: recent funding, hiring for sales roles, new market entry.</w:t>
      </w:r>
    </w:p>
    <w:p>
      <w:pPr>
        <w:pStyle w:val="ListParagraph"/>
        <w:numPr>
          <w:ilvl w:val="0"/>
          <w:numId w:val="2"/>
        </w:numPr>
        <w:spacing w:before="40" w:after="60"/>
      </w:pPr>
      <w:r>
        <w:rPr>
          <w:rFonts w:ascii="Arial" w:cs="Arial" w:eastAsia="Arial" w:hAnsi="Arial"/>
          <w:sz w:val="20"/>
          <w:szCs w:val="20"/>
        </w:rPr>
        <w:t xml:space="preserve">Email sequences: 5-touch sequence over 14 days. Under 100 words per email. Personalised to recipient company, recent activity, and vertical context. All sequences drafted by Polsia, reviewed and approved by De Villiers before deployment.</w:t>
      </w:r>
    </w:p>
    <w:p>
      <w:pPr>
        <w:pStyle w:val="ListParagraph"/>
        <w:numPr>
          <w:ilvl w:val="0"/>
          <w:numId w:val="2"/>
        </w:numPr>
        <w:spacing w:before="40" w:after="60"/>
      </w:pPr>
      <w:r>
        <w:rPr>
          <w:rFonts w:ascii="Arial" w:cs="Arial" w:eastAsia="Arial" w:hAnsi="Arial"/>
          <w:sz w:val="20"/>
          <w:szCs w:val="20"/>
        </w:rPr>
        <w:t xml:space="preserve">LinkedIn engagement: Connection requests with personalised notes. 3-5 days of content engagement before direct outreach. LinkedIn connections followed up with email for multi-channel effect.</w:t>
      </w:r>
    </w:p>
    <w:p>
      <w:pPr>
        <w:pStyle w:val="ListParagraph"/>
        <w:numPr>
          <w:ilvl w:val="0"/>
          <w:numId w:val="2"/>
        </w:numPr>
        <w:spacing w:before="40" w:after="60"/>
      </w:pPr>
      <w:r>
        <w:rPr>
          <w:rFonts w:ascii="Arial" w:cs="Arial" w:eastAsia="Arial" w:hAnsi="Arial"/>
          <w:sz w:val="20"/>
          <w:szCs w:val="20"/>
        </w:rPr>
        <w:t xml:space="preserve">V2 messaging shift: Lead with outcome and guarantee first. Subject lines test "How many qualified meetings could we book for [Company] this month?" rather than "AI-powered lead generation for [Company]".</w:t>
      </w:r>
    </w:p>
    <w:p>
      <w:pPr>
        <w:pStyle w:val="ListParagraph"/>
        <w:numPr>
          <w:ilvl w:val="0"/>
          <w:numId w:val="2"/>
        </w:numPr>
        <w:spacing w:before="40" w:after="60"/>
      </w:pPr>
      <w:r>
        <w:rPr>
          <w:rFonts w:ascii="Arial" w:cs="Arial" w:eastAsia="Arial" w:hAnsi="Arial"/>
          <w:sz w:val="20"/>
          <w:szCs w:val="20"/>
        </w:rPr>
        <w:t xml:space="preserve">Volume targets: 500 new prospects contacted per week. Target 3-5% positive response rate. Aim for 12-20 qualified conversations per month, converting 2-3 into clients.</w:t>
      </w:r>
    </w:p>
    <w:p>
      <w:pPr>
        <w:spacing w:before="100" w:after="0"/>
      </w:pPr>
      <w:r>
        <w:t xml:space="preserve"/>
      </w:r>
    </w:p>
    <w:p>
      <w:pPr>
        <w:pStyle w:val="Heading2"/>
        <w:spacing w:before="280" w:after="140"/>
      </w:pPr>
      <w:r>
        <w:rPr>
          <w:rFonts w:ascii="Arial" w:cs="Arial" w:eastAsia="Arial" w:hAnsi="Arial"/>
          <w:b/>
          <w:bCs/>
          <w:color w:val="2E86C1"/>
          <w:sz w:val="28"/>
          <w:szCs w:val="28"/>
        </w:rPr>
        <w:t xml:space="preserve">2.3 Network Activation (20% of Acquisition)</w:t>
      </w:r>
    </w:p>
    <w:p>
      <w:pPr>
        <w:spacing w:before="60" w:after="100"/>
        <w:jc w:val="left"/>
      </w:pPr>
      <w:r>
        <w:rPr>
          <w:rFonts w:ascii="Arial" w:cs="Arial" w:eastAsia="Arial" w:hAnsi="Arial"/>
          <w:b w:val="false"/>
          <w:bCs w:val="false"/>
          <w:color w:val="000000"/>
          <w:sz w:val="20"/>
          <w:szCs w:val="20"/>
        </w:rPr>
        <w:t xml:space="preserve">The JigsawAI and inlumiSA networks represent the highest-probability early pipeline. De Villiers and Marinus have existing professional relationships across management consulting, IT services, and financial services — the three primary target verticals.</w:t>
      </w:r>
    </w:p>
    <w:p>
      <w:pPr>
        <w:spacing w:before="80" w:after="0"/>
      </w:pPr>
      <w:r>
        <w:t xml:space="preserve"/>
      </w:r>
    </w:p>
    <w:p>
      <w:pPr>
        <w:pStyle w:val="ListParagraph"/>
        <w:numPr>
          <w:ilvl w:val="0"/>
          <w:numId w:val="2"/>
        </w:numPr>
        <w:spacing w:before="40" w:after="60"/>
      </w:pPr>
      <w:r>
        <w:rPr>
          <w:rFonts w:ascii="Arial" w:cs="Arial" w:eastAsia="Arial" w:hAnsi="Arial"/>
          <w:sz w:val="20"/>
          <w:szCs w:val="20"/>
        </w:rPr>
        <w:t xml:space="preserve">Month 1-2: Personal outreach to 50-100 existing contacts. Not a mass email — individual, contextual messages referencing shared history and offering the free ICP analysis as a value-first opener.</w:t>
      </w:r>
    </w:p>
    <w:p>
      <w:pPr>
        <w:pStyle w:val="ListParagraph"/>
        <w:numPr>
          <w:ilvl w:val="0"/>
          <w:numId w:val="2"/>
        </w:numPr>
        <w:spacing w:before="40" w:after="60"/>
      </w:pPr>
      <w:r>
        <w:rPr>
          <w:rFonts w:ascii="Arial" w:cs="Arial" w:eastAsia="Arial" w:hAnsi="Arial"/>
          <w:sz w:val="20"/>
          <w:szCs w:val="20"/>
        </w:rPr>
        <w:t xml:space="preserve">Month 3+: Formalise as a referral programme with 20% commission on first 3 months of referred client revenue ($1,500-$3,600 per referral depending on tier).</w:t>
      </w:r>
    </w:p>
    <w:p>
      <w:pPr>
        <w:pStyle w:val="ListParagraph"/>
        <w:numPr>
          <w:ilvl w:val="0"/>
          <w:numId w:val="2"/>
        </w:numPr>
        <w:spacing w:before="40" w:after="60"/>
      </w:pPr>
      <w:r>
        <w:rPr>
          <w:rFonts w:ascii="Arial" w:cs="Arial" w:eastAsia="Arial" w:hAnsi="Arial"/>
          <w:sz w:val="20"/>
          <w:szCs w:val="20"/>
        </w:rPr>
        <w:t xml:space="preserve">Partner channel: Complementary service providers (web agencies, CRM consultants, marketing firms) who have clients needing outbound. Revenue share: 10% ongoing.</w:t>
      </w:r>
    </w:p>
    <w:p>
      <w:pPr>
        <w:spacing w:before="100" w:after="0"/>
      </w:pPr>
      <w:r>
        <w:t xml:space="preserve"/>
      </w:r>
    </w:p>
    <w:p>
      <w:pPr>
        <w:pStyle w:val="Heading2"/>
        <w:spacing w:before="280" w:after="140"/>
      </w:pPr>
      <w:r>
        <w:rPr>
          <w:rFonts w:ascii="Arial" w:cs="Arial" w:eastAsia="Arial" w:hAnsi="Arial"/>
          <w:b/>
          <w:bCs/>
          <w:color w:val="2E86C1"/>
          <w:sz w:val="28"/>
          <w:szCs w:val="28"/>
        </w:rPr>
        <w:t xml:space="preserve">2.4 Marketing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c>
          <w:tcPr>
            <w:tcW w:type="dxa" w:w="36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Metric</w:t>
            </w:r>
          </w:p>
        </w:tc>
        <w:tc>
          <w:tcPr>
            <w:tcW w:type="dxa" w:w="192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Month 3</w:t>
            </w:r>
          </w:p>
        </w:tc>
        <w:tc>
          <w:tcPr>
            <w:tcW w:type="dxa" w:w="192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Month 6</w:t>
            </w:r>
          </w:p>
        </w:tc>
        <w:tc>
          <w:tcPr>
            <w:tcW w:type="dxa" w:w="192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Month 12</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Monthly outbound prospects contacted</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2,000</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2,500</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3,000</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Positive response rate</w:t>
            </w:r>
          </w:p>
        </w:tc>
        <w:tc>
          <w:tcPr>
            <w:tcW w:type="dxa" w:w="19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2.5%</w:t>
            </w:r>
          </w:p>
        </w:tc>
        <w:tc>
          <w:tcPr>
            <w:tcW w:type="dxa" w:w="19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3.5%</w:t>
            </w:r>
          </w:p>
        </w:tc>
        <w:tc>
          <w:tcPr>
            <w:tcW w:type="dxa" w:w="19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Qualified discovery calls / month</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Discovery-to-client conversion rate</w:t>
            </w:r>
          </w:p>
        </w:tc>
        <w:tc>
          <w:tcPr>
            <w:tcW w:type="dxa" w:w="19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w:t>
            </w:r>
          </w:p>
        </w:tc>
        <w:tc>
          <w:tcPr>
            <w:tcW w:type="dxa" w:w="19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25%</w:t>
            </w:r>
          </w:p>
        </w:tc>
        <w:tc>
          <w:tcPr>
            <w:tcW w:type="dxa" w:w="19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Monthly client churn rate</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Net Promoter Score</w:t>
            </w:r>
          </w:p>
        </w:tc>
        <w:tc>
          <w:tcPr>
            <w:tcW w:type="dxa" w:w="19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40+</w:t>
            </w:r>
          </w:p>
        </w:tc>
        <w:tc>
          <w:tcPr>
            <w:tcW w:type="dxa" w:w="19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w:t>
            </w:r>
          </w:p>
        </w:tc>
        <w:tc>
          <w:tcPr>
            <w:tcW w:type="dxa" w:w="19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60+</w:t>
            </w:r>
          </w:p>
        </w:tc>
      </w:tr>
    </w:tbl>
    <w:p>
      <w:pPr>
        <w:spacing w:before="200" w:after="0"/>
      </w:pPr>
      <w:r>
        <w:t xml:space="preserve"/>
      </w:r>
    </w:p>
    <w:p>
      <w:r>
        <w:br w:type="page"/>
      </w:r>
    </w:p>
    <w:p>
      <w:pPr>
        <w:pStyle w:val="Heading1"/>
        <w:pBdr>
          <w:bottom w:val="single" w:color="2E86C1" w:sz="8"/>
        </w:pBdr>
        <w:spacing w:before="360" w:after="200"/>
      </w:pPr>
      <w:r>
        <w:rPr>
          <w:rFonts w:ascii="Arial" w:cs="Arial" w:eastAsia="Arial" w:hAnsi="Arial"/>
          <w:b/>
          <w:bCs/>
          <w:color w:val="1B4F72"/>
          <w:sz w:val="36"/>
          <w:szCs w:val="36"/>
        </w:rPr>
        <w:t xml:space="preserve">Part 3: Go-to-Market Messaging</w:t>
      </w:r>
    </w:p>
    <w:p>
      <w:pPr>
        <w:pStyle w:val="Heading2"/>
        <w:spacing w:before="280" w:after="140"/>
      </w:pPr>
      <w:r>
        <w:rPr>
          <w:rFonts w:ascii="Arial" w:cs="Arial" w:eastAsia="Arial" w:hAnsi="Arial"/>
          <w:b/>
          <w:bCs/>
          <w:color w:val="2E86C1"/>
          <w:sz w:val="28"/>
          <w:szCs w:val="28"/>
        </w:rPr>
        <w:t xml:space="preserve">3.1 Brand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2"/>
              <w:left w:val="single" w:color="2E86C1" w:sz="12"/>
              <w:bottom w:val="single" w:color="CCCCCC" w:sz="1"/>
              <w:right w:val="single" w:color="CCCCCC" w:sz="1"/>
            </w:tcBorders>
            <w:shd w:fill="D6EAF8" w:val="clear"/>
            <w:tcMar>
              <w:top w:type="dxa" w:w="120"/>
              <w:left w:type="dxa" w:w="200"/>
              <w:bottom w:type="dxa" w:w="120"/>
              <w:right w:type="dxa" w:w="200"/>
            </w:tcMar>
          </w:tcPr>
          <w:p>
            <w:r>
              <w:rPr>
                <w:rFonts w:ascii="Arial" w:cs="Arial" w:eastAsia="Arial" w:hAnsi="Arial"/>
                <w:b/>
                <w:bCs/>
                <w:color w:val="1B4F72"/>
                <w:sz w:val="20"/>
                <w:szCs w:val="20"/>
              </w:rPr>
              <w:t xml:space="preserve">POSITIONING STATEMENT</w:t>
            </w:r>
          </w:p>
          <w:p>
            <w:pPr>
              <w:spacing w:before="60"/>
            </w:pPr>
            <w:r>
              <w:rPr>
                <w:rFonts w:ascii="Arial" w:cs="Arial" w:eastAsia="Arial" w:hAnsi="Arial"/>
                <w:sz w:val="20"/>
                <w:szCs w:val="20"/>
              </w:rPr>
              <w:t xml:space="preserve">For B2B service companies that need a predictable pipeline of qualified meetings, LeadFlow AI is the strategic growth consultancy that guarantees results. Unlike AI tools that automate activity, or traditional agencies that charge for effort, LeadFlow AI delivers outcomes — and backs them with a contractual guarantee.</w:t>
            </w:r>
          </w:p>
        </w:tc>
      </w:tr>
    </w:tbl>
    <w:p>
      <w:pPr>
        <w:spacing w:before="200" w:after="0"/>
      </w:pPr>
      <w:r>
        <w:t xml:space="preserve"/>
      </w:r>
    </w:p>
    <w:p>
      <w:pPr>
        <w:spacing w:before="60" w:after="100"/>
        <w:jc w:val="left"/>
      </w:pPr>
      <w:r>
        <w:rPr>
          <w:rFonts w:ascii="Arial" w:cs="Arial" w:eastAsia="Arial" w:hAnsi="Arial"/>
          <w:b/>
          <w:bCs/>
          <w:color w:val="000000"/>
          <w:sz w:val="20"/>
          <w:szCs w:val="20"/>
        </w:rPr>
        <w:t xml:space="preserve">Brand Promise: "Meetings that convert. Guaranteed."</w:t>
      </w:r>
    </w:p>
    <w:p>
      <w:pPr>
        <w:spacing w:before="100" w:after="0"/>
      </w:pPr>
      <w:r>
        <w:t xml:space="preserve"/>
      </w:r>
    </w:p>
    <w:p>
      <w:pPr>
        <w:spacing w:before="60" w:after="100"/>
        <w:jc w:val="left"/>
      </w:pPr>
      <w:r>
        <w:rPr>
          <w:rFonts w:ascii="Arial" w:cs="Arial" w:eastAsia="Arial" w:hAnsi="Arial"/>
          <w:b w:val="false"/>
          <w:bCs w:val="false"/>
          <w:color w:val="000000"/>
          <w:sz w:val="20"/>
          <w:szCs w:val="20"/>
        </w:rPr>
        <w:t xml:space="preserve">Value Proposition Pillars:</w:t>
      </w:r>
    </w:p>
    <w:p>
      <w:pPr>
        <w:pStyle w:val="ListParagraph"/>
        <w:numPr>
          <w:ilvl w:val="0"/>
          <w:numId w:val="2"/>
        </w:numPr>
        <w:spacing w:before="40" w:after="60"/>
      </w:pPr>
      <w:r>
        <w:rPr>
          <w:rFonts w:ascii="Arial" w:cs="Arial" w:eastAsia="Arial" w:hAnsi="Arial"/>
          <w:sz w:val="20"/>
          <w:szCs w:val="20"/>
        </w:rPr>
        <w:t xml:space="preserve">Guaranteed Outcomes: Not emails sent, not open rates — qualified meetings with decision-makers. If we miss, next month is free.</w:t>
      </w:r>
    </w:p>
    <w:p>
      <w:pPr>
        <w:pStyle w:val="ListParagraph"/>
        <w:numPr>
          <w:ilvl w:val="0"/>
          <w:numId w:val="2"/>
        </w:numPr>
        <w:spacing w:before="40" w:after="60"/>
      </w:pPr>
      <w:r>
        <w:rPr>
          <w:rFonts w:ascii="Arial" w:cs="Arial" w:eastAsia="Arial" w:hAnsi="Arial"/>
          <w:sz w:val="20"/>
          <w:szCs w:val="20"/>
        </w:rPr>
        <w:t xml:space="preserve">Speed: First outreach within 7 days. First meetings typically within 14-21 days.</w:t>
      </w:r>
    </w:p>
    <w:p>
      <w:pPr>
        <w:pStyle w:val="ListParagraph"/>
        <w:numPr>
          <w:ilvl w:val="0"/>
          <w:numId w:val="2"/>
        </w:numPr>
        <w:spacing w:before="40" w:after="60"/>
      </w:pPr>
      <w:r>
        <w:rPr>
          <w:rFonts w:ascii="Arial" w:cs="Arial" w:eastAsia="Arial" w:hAnsi="Arial"/>
          <w:sz w:val="20"/>
          <w:szCs w:val="20"/>
        </w:rPr>
        <w:t xml:space="preserve">Intelligence: Every campaign learns. Cross-client data identifies what works. Your campaigns improve every week.</w:t>
      </w:r>
    </w:p>
    <w:p>
      <w:pPr>
        <w:pStyle w:val="ListParagraph"/>
        <w:numPr>
          <w:ilvl w:val="0"/>
          <w:numId w:val="2"/>
        </w:numPr>
        <w:spacing w:before="40" w:after="60"/>
      </w:pPr>
      <w:r>
        <w:rPr>
          <w:rFonts w:ascii="Arial" w:cs="Arial" w:eastAsia="Arial" w:hAnsi="Arial"/>
          <w:sz w:val="20"/>
          <w:szCs w:val="20"/>
        </w:rPr>
        <w:t xml:space="preserve">Independence: Your prospects, your pipeline, your CRM. No lock-in. You own everything.</w:t>
      </w:r>
    </w:p>
    <w:p>
      <w:pPr>
        <w:spacing w:before="100" w:after="0"/>
      </w:pPr>
      <w:r>
        <w:t xml:space="preserve"/>
      </w:r>
    </w:p>
    <w:p>
      <w:pPr>
        <w:pStyle w:val="Heading2"/>
        <w:spacing w:before="280" w:after="140"/>
      </w:pPr>
      <w:r>
        <w:rPr>
          <w:rFonts w:ascii="Arial" w:cs="Arial" w:eastAsia="Arial" w:hAnsi="Arial"/>
          <w:b/>
          <w:bCs/>
          <w:color w:val="2E86C1"/>
          <w:sz w:val="28"/>
          <w:szCs w:val="28"/>
        </w:rPr>
        <w:t xml:space="preserve">3.2 Messaging Framework by Audience</w:t>
      </w:r>
    </w:p>
    <w:p>
      <w:pPr>
        <w:pStyle w:val="Heading3"/>
        <w:spacing w:before="200" w:after="100"/>
      </w:pPr>
      <w:r>
        <w:rPr>
          <w:rFonts w:ascii="Arial" w:cs="Arial" w:eastAsia="Arial" w:hAnsi="Arial"/>
          <w:b/>
          <w:bCs/>
          <w:color w:val="E67E22"/>
          <w:sz w:val="24"/>
          <w:szCs w:val="24"/>
        </w:rPr>
        <w:t xml:space="preserve">Founder / CEO</w:t>
      </w:r>
    </w:p>
    <w:p>
      <w:pPr>
        <w:spacing w:before="60" w:after="100"/>
        <w:jc w:val="left"/>
      </w:pPr>
      <w:r>
        <w:rPr>
          <w:rFonts w:ascii="Arial" w:cs="Arial" w:eastAsia="Arial" w:hAnsi="Arial"/>
          <w:b w:val="false"/>
          <w:bCs w:val="false"/>
          <w:color w:val="000000"/>
          <w:sz w:val="20"/>
          <w:szCs w:val="20"/>
        </w:rPr>
        <w:t xml:space="preserve">Pain: "I'm the best salesperson in my company but I can't scale myself."</w:t>
      </w:r>
    </w:p>
    <w:p>
      <w:pPr>
        <w:spacing w:before="60" w:after="100"/>
        <w:jc w:val="left"/>
      </w:pPr>
      <w:r>
        <w:rPr>
          <w:rFonts w:ascii="Arial" w:cs="Arial" w:eastAsia="Arial" w:hAnsi="Arial"/>
          <w:b w:val="false"/>
          <w:bCs w:val="false"/>
          <w:color w:val="000000"/>
          <w:sz w:val="20"/>
          <w:szCs w:val="20"/>
        </w:rPr>
        <w:t xml:space="preserve">Message: "LeadFlow AI gives you a guaranteed sales engine — 6 to 18 qualified meetings per month with the decision-makers you need to meet. If we don't deliver, you don't pay for the next month. You focus on closing. We guarantee the calendar."</w:t>
      </w:r>
    </w:p>
    <w:p>
      <w:pPr>
        <w:spacing w:before="60" w:after="100"/>
        <w:jc w:val="left"/>
      </w:pPr>
      <w:r>
        <w:rPr>
          <w:rFonts w:ascii="Arial" w:cs="Arial" w:eastAsia="Arial" w:hAnsi="Arial"/>
          <w:b w:val="false"/>
          <w:bCs w:val="false"/>
          <w:color w:val="000000"/>
          <w:sz w:val="20"/>
          <w:szCs w:val="20"/>
        </w:rPr>
        <w:t xml:space="preserve">CTA: "Get your free ICP analysis — we'll map exactly how many meetings we can guarantee in your target market within 30 days."</w:t>
      </w:r>
    </w:p>
    <w:p>
      <w:pPr>
        <w:spacing w:before="80" w:after="0"/>
      </w:pPr>
      <w:r>
        <w:t xml:space="preserve"/>
      </w:r>
    </w:p>
    <w:p>
      <w:pPr>
        <w:pStyle w:val="Heading3"/>
        <w:spacing w:before="200" w:after="100"/>
      </w:pPr>
      <w:r>
        <w:rPr>
          <w:rFonts w:ascii="Arial" w:cs="Arial" w:eastAsia="Arial" w:hAnsi="Arial"/>
          <w:b/>
          <w:bCs/>
          <w:color w:val="E67E22"/>
          <w:sz w:val="24"/>
          <w:szCs w:val="24"/>
        </w:rPr>
        <w:t xml:space="preserve">VP of Sales / Head of BD</w:t>
      </w:r>
    </w:p>
    <w:p>
      <w:pPr>
        <w:spacing w:before="60" w:after="100"/>
        <w:jc w:val="left"/>
      </w:pPr>
      <w:r>
        <w:rPr>
          <w:rFonts w:ascii="Arial" w:cs="Arial" w:eastAsia="Arial" w:hAnsi="Arial"/>
          <w:b w:val="false"/>
          <w:bCs w:val="false"/>
          <w:color w:val="000000"/>
          <w:sz w:val="20"/>
          <w:szCs w:val="20"/>
        </w:rPr>
        <w:t xml:space="preserve">Pain: "My team spends 70% of their time prospecting instead of closing."</w:t>
      </w:r>
    </w:p>
    <w:p>
      <w:pPr>
        <w:spacing w:before="60" w:after="100"/>
        <w:jc w:val="left"/>
      </w:pPr>
      <w:r>
        <w:rPr>
          <w:rFonts w:ascii="Arial" w:cs="Arial" w:eastAsia="Arial" w:hAnsi="Arial"/>
          <w:b w:val="false"/>
          <w:bCs w:val="false"/>
          <w:color w:val="000000"/>
          <w:sz w:val="20"/>
          <w:szCs w:val="20"/>
        </w:rPr>
        <w:t xml:space="preserve">Message: "LeadFlow AI fills your team's calendar with pre-qualified prospects so they can do what they're best at: closing. We're not replacing your team. We're guaranteeing their pipeline."</w:t>
      </w:r>
    </w:p>
    <w:p>
      <w:pPr>
        <w:spacing w:before="60" w:after="100"/>
        <w:jc w:val="left"/>
      </w:pPr>
      <w:r>
        <w:rPr>
          <w:rFonts w:ascii="Arial" w:cs="Arial" w:eastAsia="Arial" w:hAnsi="Arial"/>
          <w:b w:val="false"/>
          <w:bCs w:val="false"/>
          <w:color w:val="000000"/>
          <w:sz w:val="20"/>
          <w:szCs w:val="20"/>
        </w:rPr>
        <w:t xml:space="preserve">CTA: "Book a 15-minute demo to see the guarantee model and what it would mean for your team's close rate."</w:t>
      </w:r>
    </w:p>
    <w:p>
      <w:pPr>
        <w:spacing w:before="80" w:after="0"/>
      </w:pPr>
      <w:r>
        <w:t xml:space="preserve"/>
      </w:r>
    </w:p>
    <w:p>
      <w:pPr>
        <w:pStyle w:val="Heading3"/>
        <w:spacing w:before="200" w:after="100"/>
      </w:pPr>
      <w:r>
        <w:rPr>
          <w:rFonts w:ascii="Arial" w:cs="Arial" w:eastAsia="Arial" w:hAnsi="Arial"/>
          <w:b/>
          <w:bCs/>
          <w:color w:val="E67E22"/>
          <w:sz w:val="24"/>
          <w:szCs w:val="24"/>
        </w:rPr>
        <w:t xml:space="preserve">Handling the 'I'll Just Use OpenClaw' Objection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2"/>
              <w:left w:val="single" w:color="2E86C1" w:sz="12"/>
              <w:bottom w:val="single" w:color="CCCCCC" w:sz="1"/>
              <w:right w:val="single" w:color="CCCCCC" w:sz="1"/>
            </w:tcBorders>
            <w:shd w:fill="D6EAF8" w:val="clear"/>
            <w:tcMar>
              <w:top w:type="dxa" w:w="120"/>
              <w:left w:type="dxa" w:w="200"/>
              <w:bottom w:type="dxa" w:w="120"/>
              <w:right w:type="dxa" w:w="200"/>
            </w:tcMar>
          </w:tcPr>
          <w:p>
            <w:r>
              <w:rPr>
                <w:rFonts w:ascii="Arial" w:cs="Arial" w:eastAsia="Arial" w:hAnsi="Arial"/>
                <w:b/>
                <w:bCs/>
                <w:color w:val="1B4F72"/>
                <w:sz w:val="20"/>
                <w:szCs w:val="20"/>
              </w:rPr>
              <w:t xml:space="preserve">When a prospect says: "We could just set this up ourselves with AI tools"</w:t>
            </w:r>
          </w:p>
          <w:p>
            <w:pPr>
              <w:spacing w:before="60"/>
            </w:pPr>
            <w:r>
              <w:rPr>
                <w:rFonts w:ascii="Arial" w:cs="Arial" w:eastAsia="Arial" w:hAnsi="Arial"/>
                <w:sz w:val="20"/>
                <w:szCs w:val="20"/>
              </w:rPr>
              <w:t xml:space="preserve">"Absolutely you could — OpenClaw and Smartlead are free and powerful. Here's the question worth asking: do you have the ICP expertise to target the right 500 companies out of 600,000? The deliverability knowledge to keep your domains out of spam? The time to monitor, optimise, and A/B test continuously? We guarantee 12 meetings per month. Your DIY tool guarantees nothing. The difference isn't the technology — it's the strategy and accountability behind it."</w:t>
            </w:r>
          </w:p>
        </w:tc>
      </w:tr>
    </w:tbl>
    <w:p>
      <w:pPr>
        <w:spacing w:before="200" w:after="0"/>
      </w:pPr>
      <w:r>
        <w:t xml:space="preserve"/>
      </w:r>
    </w:p>
    <w:p>
      <w:pPr>
        <w:pStyle w:val="Heading2"/>
        <w:spacing w:before="280" w:after="140"/>
      </w:pPr>
      <w:r>
        <w:rPr>
          <w:rFonts w:ascii="Arial" w:cs="Arial" w:eastAsia="Arial" w:hAnsi="Arial"/>
          <w:b/>
          <w:bCs/>
          <w:color w:val="2E86C1"/>
          <w:sz w:val="28"/>
          <w:szCs w:val="28"/>
        </w:rPr>
        <w:t xml:space="preserve">3.3 V2 Cold Email Templates</w:t>
      </w:r>
    </w:p>
    <w:p>
      <w:pPr>
        <w:pStyle w:val="Heading3"/>
        <w:spacing w:before="200" w:after="100"/>
      </w:pPr>
      <w:r>
        <w:rPr>
          <w:rFonts w:ascii="Arial" w:cs="Arial" w:eastAsia="Arial" w:hAnsi="Arial"/>
          <w:b/>
          <w:bCs/>
          <w:color w:val="E67E22"/>
          <w:sz w:val="24"/>
          <w:szCs w:val="24"/>
        </w:rPr>
        <w:t xml:space="preserve">Sequence 1 — The Guarantee Opener (Founder/CEO)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3F4" w:val="clear"/>
            <w:tcMar>
              <w:top w:type="dxa" w:w="120"/>
              <w:left w:type="dxa" w:w="200"/>
              <w:bottom w:type="dxa" w:w="120"/>
              <w:right w:type="dxa" w:w="200"/>
            </w:tcMar>
          </w:tcPr>
          <w:p>
            <w:r>
              <w:rPr>
                <w:rFonts w:ascii="Arial" w:cs="Arial" w:eastAsia="Arial" w:hAnsi="Arial"/>
                <w:b/>
                <w:bCs/>
                <w:color w:val="1B4F72"/>
                <w:sz w:val="18"/>
                <w:szCs w:val="18"/>
              </w:rPr>
              <w:t xml:space="preserve">EMAIL 1 — GUARANTEE OPENER</w:t>
            </w:r>
          </w:p>
          <w:p>
            <w:pPr>
              <w:spacing w:before="80"/>
            </w:pPr>
            <w:r>
              <w:rPr>
                <w:rFonts w:ascii="Arial" w:cs="Arial" w:eastAsia="Arial" w:hAnsi="Arial"/>
                <w:i/>
                <w:iCs/>
                <w:sz w:val="20"/>
                <w:szCs w:val="20"/>
              </w:rPr>
              <w:t xml:space="preserve">Subject: 12 qualified meetings/month for [Company] — guaranteed</w:t>
            </w:r>
          </w:p>
          <w:p>
            <w:pPr>
              <w:spacing w:before="60" w:after="0"/>
            </w:pPr>
            <w:r>
              <w:t xml:space="preserve"/>
            </w:r>
          </w:p>
          <w:p>
            <w:r>
              <w:rPr>
                <w:rFonts w:ascii="Arial" w:cs="Arial" w:eastAsia="Arial" w:hAnsi="Arial"/>
                <w:sz w:val="20"/>
                <w:szCs w:val="20"/>
              </w:rPr>
              <w:t xml:space="preserve">Hi [First Name],</w:t>
            </w:r>
          </w:p>
          <w:p>
            <w:pPr>
              <w:spacing w:before="60"/>
            </w:pPr>
            <w:r>
              <w:rPr>
                <w:rFonts w:ascii="Arial" w:cs="Arial" w:eastAsia="Arial" w:hAnsi="Arial"/>
                <w:sz w:val="20"/>
                <w:szCs w:val="20"/>
              </w:rPr>
              <w:t xml:space="preserve">Quick question: how many qualified meetings does [Company] book each month with your ideal prospects?</w:t>
            </w:r>
          </w:p>
          <w:p>
            <w:pPr>
              <w:spacing w:before="60"/>
            </w:pPr>
            <w:r>
              <w:rPr>
                <w:rFonts w:ascii="Arial" w:cs="Arial" w:eastAsia="Arial" w:hAnsi="Arial"/>
                <w:sz w:val="20"/>
                <w:szCs w:val="20"/>
              </w:rPr>
              <w:t xml:space="preserve">We guarantee 12 qualified meetings per month for B2B service companies like yours — or the next month is on us. Not emails sent. Not open rates. Meetings in your calendar with decision-makers.</w:t>
            </w:r>
          </w:p>
          <w:p>
            <w:pPr>
              <w:spacing w:before="60"/>
            </w:pPr>
            <w:r>
              <w:rPr>
                <w:rFonts w:ascii="Arial" w:cs="Arial" w:eastAsia="Arial" w:hAnsi="Arial"/>
                <w:sz w:val="20"/>
                <w:szCs w:val="20"/>
              </w:rPr>
              <w:t xml:space="preserve">First campaigns live in 7 days. Worth a 15-minute conversation?</w:t>
            </w:r>
          </w:p>
          <w:p>
            <w:pPr>
              <w:spacing w:before="60"/>
            </w:pPr>
            <w:r>
              <w:rPr>
                <w:rFonts w:ascii="Arial" w:cs="Arial" w:eastAsia="Arial" w:hAnsi="Arial"/>
                <w:i/>
                <w:iCs/>
                <w:sz w:val="20"/>
                <w:szCs w:val="20"/>
              </w:rPr>
              <w:t xml:space="preserve">[Signature]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3F4" w:val="clear"/>
            <w:tcMar>
              <w:top w:type="dxa" w:w="120"/>
              <w:left w:type="dxa" w:w="200"/>
              <w:bottom w:type="dxa" w:w="120"/>
              <w:right w:type="dxa" w:w="200"/>
            </w:tcMar>
          </w:tcPr>
          <w:p>
            <w:r>
              <w:rPr>
                <w:rFonts w:ascii="Arial" w:cs="Arial" w:eastAsia="Arial" w:hAnsi="Arial"/>
                <w:b/>
                <w:bCs/>
                <w:color w:val="1B4F72"/>
                <w:sz w:val="18"/>
                <w:szCs w:val="18"/>
              </w:rPr>
              <w:t xml:space="preserve">EMAIL 2 — THE "DON'T DIY THIS" (Day 3)</w:t>
            </w:r>
          </w:p>
          <w:p>
            <w:pPr>
              <w:spacing w:before="80"/>
            </w:pPr>
            <w:r>
              <w:rPr>
                <w:rFonts w:ascii="Arial" w:cs="Arial" w:eastAsia="Arial" w:hAnsi="Arial"/>
                <w:i/>
                <w:iCs/>
                <w:sz w:val="20"/>
                <w:szCs w:val="20"/>
              </w:rPr>
              <w:t xml:space="preserve">Subject: Re: 12 qualified meetings for [Company]</w:t>
            </w:r>
          </w:p>
          <w:p>
            <w:pPr>
              <w:spacing w:before="60" w:after="0"/>
            </w:pPr>
            <w:r>
              <w:t xml:space="preserve"/>
            </w:r>
          </w:p>
          <w:p>
            <w:r>
              <w:rPr>
                <w:rFonts w:ascii="Arial" w:cs="Arial" w:eastAsia="Arial" w:hAnsi="Arial"/>
                <w:sz w:val="20"/>
                <w:szCs w:val="20"/>
              </w:rPr>
              <w:t xml:space="preserve">Hi [First Name],</w:t>
            </w:r>
          </w:p>
          <w:p>
            <w:pPr>
              <w:spacing w:before="60"/>
            </w:pPr>
            <w:r>
              <w:rPr>
                <w:rFonts w:ascii="Arial" w:cs="Arial" w:eastAsia="Arial" w:hAnsi="Arial"/>
                <w:sz w:val="20"/>
                <w:szCs w:val="20"/>
              </w:rPr>
              <w:t xml:space="preserve">You could set up outbound yourself with OpenClaw and Smartlead — total cost under $200. A lot of people try it.</w:t>
            </w:r>
          </w:p>
          <w:p>
            <w:pPr>
              <w:spacing w:before="60"/>
            </w:pPr>
            <w:r>
              <w:rPr>
                <w:rFonts w:ascii="Arial" w:cs="Arial" w:eastAsia="Arial" w:hAnsi="Arial"/>
                <w:sz w:val="20"/>
                <w:szCs w:val="20"/>
              </w:rPr>
              <w:t xml:space="preserve">What they find: the tech is the easy part. Knowing which 500 companies out of 600,000 match your ICP, keeping your domains out of spam, writing sequences that actually get replies — that's the hard part.</w:t>
            </w:r>
          </w:p>
          <w:p>
            <w:pPr>
              <w:spacing w:before="60"/>
            </w:pPr>
            <w:r>
              <w:rPr>
                <w:rFonts w:ascii="Arial" w:cs="Arial" w:eastAsia="Arial" w:hAnsi="Arial"/>
                <w:sz w:val="20"/>
                <w:szCs w:val="20"/>
              </w:rPr>
              <w:t xml:space="preserve">We've already done that work for [vertical]. I can share what we've learned. 15 minutes?</w:t>
            </w:r>
          </w:p>
          <w:p>
            <w:pPr>
              <w:spacing w:before="60"/>
            </w:pPr>
            <w:r>
              <w:rPr>
                <w:rFonts w:ascii="Arial" w:cs="Arial" w:eastAsia="Arial" w:hAnsi="Arial"/>
                <w:i/>
                <w:iCs/>
                <w:sz w:val="20"/>
                <w:szCs w:val="20"/>
              </w:rPr>
              <w:t xml:space="preserve">[Signature]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3F4" w:val="clear"/>
            <w:tcMar>
              <w:top w:type="dxa" w:w="120"/>
              <w:left w:type="dxa" w:w="200"/>
              <w:bottom w:type="dxa" w:w="120"/>
              <w:right w:type="dxa" w:w="200"/>
            </w:tcMar>
          </w:tcPr>
          <w:p>
            <w:r>
              <w:rPr>
                <w:rFonts w:ascii="Arial" w:cs="Arial" w:eastAsia="Arial" w:hAnsi="Arial"/>
                <w:b/>
                <w:bCs/>
                <w:color w:val="1B4F72"/>
                <w:sz w:val="18"/>
                <w:szCs w:val="18"/>
              </w:rPr>
              <w:t xml:space="preserve">EMAIL 3 — SOCIAL PROOF (Day 7)</w:t>
            </w:r>
          </w:p>
          <w:p>
            <w:pPr>
              <w:spacing w:before="80"/>
            </w:pPr>
            <w:r>
              <w:rPr>
                <w:rFonts w:ascii="Arial" w:cs="Arial" w:eastAsia="Arial" w:hAnsi="Arial"/>
                <w:i/>
                <w:iCs/>
                <w:sz w:val="20"/>
                <w:szCs w:val="20"/>
              </w:rPr>
              <w:t xml:space="preserve">Subject: How [Similar Company] fills their calendar now</w:t>
            </w:r>
          </w:p>
          <w:p>
            <w:pPr>
              <w:spacing w:before="60" w:after="0"/>
            </w:pPr>
            <w:r>
              <w:t xml:space="preserve"/>
            </w:r>
          </w:p>
          <w:p>
            <w:r>
              <w:rPr>
                <w:rFonts w:ascii="Arial" w:cs="Arial" w:eastAsia="Arial" w:hAnsi="Arial"/>
                <w:sz w:val="20"/>
                <w:szCs w:val="20"/>
              </w:rPr>
              <w:t xml:space="preserve">Hi [First Name],</w:t>
            </w:r>
          </w:p>
          <w:p>
            <w:pPr>
              <w:spacing w:before="60"/>
            </w:pPr>
            <w:r>
              <w:rPr>
                <w:rFonts w:ascii="Arial" w:cs="Arial" w:eastAsia="Arial" w:hAnsi="Arial"/>
                <w:sz w:val="20"/>
                <w:szCs w:val="20"/>
              </w:rPr>
              <w:t xml:space="preserve">[Similar Company] in [same vertical] was relying on referrals and networking events. We launched their outbound in 7 days. Within 30 days: 14 qualified meetings and $200K in pipeline.</w:t>
            </w:r>
          </w:p>
          <w:p>
            <w:pPr>
              <w:spacing w:before="60"/>
            </w:pPr>
            <w:r>
              <w:rPr>
                <w:rFonts w:ascii="Arial" w:cs="Arial" w:eastAsia="Arial" w:hAnsi="Arial"/>
                <w:sz w:val="20"/>
                <w:szCs w:val="20"/>
              </w:rPr>
              <w:t xml:space="preserve">Their guarantee tier: 12 meetings/month. We delivered 14. The second month was not free.</w:t>
            </w:r>
          </w:p>
          <w:p>
            <w:pPr>
              <w:spacing w:before="60"/>
            </w:pPr>
            <w:r>
              <w:rPr>
                <w:rFonts w:ascii="Arial" w:cs="Arial" w:eastAsia="Arial" w:hAnsi="Arial"/>
                <w:sz w:val="20"/>
                <w:szCs w:val="20"/>
              </w:rPr>
              <w:t xml:space="preserve">Happy to show you what that could look like for [Company].</w:t>
            </w:r>
          </w:p>
          <w:p>
            <w:pPr>
              <w:spacing w:before="60"/>
            </w:pPr>
            <w:r>
              <w:rPr>
                <w:rFonts w:ascii="Arial" w:cs="Arial" w:eastAsia="Arial" w:hAnsi="Arial"/>
                <w:i/>
                <w:iCs/>
                <w:sz w:val="20"/>
                <w:szCs w:val="20"/>
              </w:rPr>
              <w:t xml:space="preserve">[Signature]</w:t>
            </w:r>
          </w:p>
        </w:tc>
      </w:tr>
    </w:tbl>
    <w:p>
      <w:pPr>
        <w:spacing w:before="200" w:after="0"/>
      </w:pPr>
      <w:r>
        <w:t xml:space="preserve"/>
      </w:r>
    </w:p>
    <w:p>
      <w:pPr>
        <w:pStyle w:val="Heading2"/>
        <w:spacing w:before="280" w:after="140"/>
      </w:pPr>
      <w:r>
        <w:rPr>
          <w:rFonts w:ascii="Arial" w:cs="Arial" w:eastAsia="Arial" w:hAnsi="Arial"/>
          <w:b/>
          <w:bCs/>
          <w:color w:val="2E86C1"/>
          <w:sz w:val="28"/>
          <w:szCs w:val="28"/>
        </w:rPr>
        <w:t xml:space="preserve">3.4 Website Copy Framework</w:t>
      </w:r>
    </w:p>
    <w:p>
      <w:pPr>
        <w:spacing w:before="60" w:after="100"/>
        <w:jc w:val="left"/>
      </w:pPr>
      <w:r>
        <w:rPr>
          <w:rFonts w:ascii="Arial" w:cs="Arial" w:eastAsia="Arial" w:hAnsi="Arial"/>
          <w:b/>
          <w:bCs/>
          <w:color w:val="000000"/>
          <w:sz w:val="20"/>
          <w:szCs w:val="20"/>
        </w:rPr>
        <w:t xml:space="preserve">Hero Section:</w:t>
      </w:r>
    </w:p>
    <w:p>
      <w:pPr>
        <w:spacing w:before="60" w:after="100"/>
        <w:jc w:val="left"/>
      </w:pPr>
      <w:r>
        <w:rPr>
          <w:rFonts w:ascii="Arial" w:cs="Arial" w:eastAsia="Arial" w:hAnsi="Arial"/>
          <w:b w:val="false"/>
          <w:bCs w:val="false"/>
          <w:color w:val="000000"/>
          <w:sz w:val="20"/>
          <w:szCs w:val="20"/>
        </w:rPr>
        <w:t xml:space="preserve">Headline: "Meetings that convert. Guaranteed."</w:t>
      </w:r>
    </w:p>
    <w:p>
      <w:pPr>
        <w:spacing w:before="60" w:after="100"/>
        <w:jc w:val="left"/>
      </w:pPr>
      <w:r>
        <w:rPr>
          <w:rFonts w:ascii="Arial" w:cs="Arial" w:eastAsia="Arial" w:hAnsi="Arial"/>
          <w:b w:val="false"/>
          <w:bCs w:val="false"/>
          <w:color w:val="000000"/>
          <w:sz w:val="20"/>
          <w:szCs w:val="20"/>
        </w:rPr>
        <w:t xml:space="preserve">Subheadline: "LeadFlow AI books 6-18 qualified meetings per month for B2B service companies — and backs every campaign with a contractual guarantee. First campaigns live in 7 days."</w:t>
      </w:r>
    </w:p>
    <w:p>
      <w:pPr>
        <w:spacing w:before="60" w:after="100"/>
        <w:jc w:val="left"/>
      </w:pPr>
      <w:r>
        <w:rPr>
          <w:rFonts w:ascii="Arial" w:cs="Arial" w:eastAsia="Arial" w:hAnsi="Arial"/>
          <w:b w:val="false"/>
          <w:bCs w:val="false"/>
          <w:color w:val="000000"/>
          <w:sz w:val="20"/>
          <w:szCs w:val="20"/>
        </w:rPr>
        <w:t xml:space="preserve">CTA: "Get Your Free ICP Analysis"</w:t>
      </w:r>
    </w:p>
    <w:p>
      <w:pPr>
        <w:spacing w:before="80" w:after="0"/>
      </w:pPr>
      <w:r>
        <w:t xml:space="preserve"/>
      </w:r>
    </w:p>
    <w:p>
      <w:pPr>
        <w:spacing w:before="60" w:after="100"/>
        <w:jc w:val="left"/>
      </w:pPr>
      <w:r>
        <w:rPr>
          <w:rFonts w:ascii="Arial" w:cs="Arial" w:eastAsia="Arial" w:hAnsi="Arial"/>
          <w:b/>
          <w:bCs/>
          <w:color w:val="000000"/>
          <w:sz w:val="20"/>
          <w:szCs w:val="20"/>
        </w:rPr>
        <w:t xml:space="preserve">Objection Handling:</w:t>
      </w:r>
    </w:p>
    <w:p>
      <w:pPr>
        <w:pStyle w:val="ListParagraph"/>
        <w:numPr>
          <w:ilvl w:val="0"/>
          <w:numId w:val="2"/>
        </w:numPr>
        <w:spacing w:before="40" w:after="60"/>
      </w:pPr>
      <w:r>
        <w:rPr>
          <w:rFonts w:ascii="Arial" w:cs="Arial" w:eastAsia="Arial" w:hAnsi="Arial"/>
          <w:sz w:val="20"/>
          <w:szCs w:val="20"/>
        </w:rPr>
        <w:t xml:space="preserve">"We could use AI tools ourselves." — "You could. OpenClaw and Smartlead are free. The question is whether you want to run the tool or close the deals. We guarantee meetings. Your DIY setup guarantees nothing."</w:t>
      </w:r>
    </w:p>
    <w:p>
      <w:pPr>
        <w:pStyle w:val="ListParagraph"/>
        <w:numPr>
          <w:ilvl w:val="0"/>
          <w:numId w:val="2"/>
        </w:numPr>
        <w:spacing w:before="40" w:after="60"/>
      </w:pPr>
      <w:r>
        <w:rPr>
          <w:rFonts w:ascii="Arial" w:cs="Arial" w:eastAsia="Arial" w:hAnsi="Arial"/>
          <w:sz w:val="20"/>
          <w:szCs w:val="20"/>
        </w:rPr>
        <w:t xml:space="preserve">"We've tried agencies before." — "Traditional agencies charge for effort. We charge for outcomes. Our guarantee means you pay for results, not activity. If we miss, next month is on us."</w:t>
      </w:r>
    </w:p>
    <w:p>
      <w:pPr>
        <w:pStyle w:val="ListParagraph"/>
        <w:numPr>
          <w:ilvl w:val="0"/>
          <w:numId w:val="2"/>
        </w:numPr>
        <w:spacing w:before="40" w:after="60"/>
      </w:pPr>
      <w:r>
        <w:rPr>
          <w:rFonts w:ascii="Arial" w:cs="Arial" w:eastAsia="Arial" w:hAnsi="Arial"/>
          <w:sz w:val="20"/>
          <w:szCs w:val="20"/>
        </w:rPr>
        <w:t xml:space="preserve">"What if meetings aren't qualified?" — "Every prospect is validated against your ICP before outreach begins. Meetings not meeting your criteria are replaced. The guarantee applies to qualified meetings only."</w:t>
      </w:r>
    </w:p>
    <w:p>
      <w:pPr>
        <w:pStyle w:val="ListParagraph"/>
        <w:numPr>
          <w:ilvl w:val="0"/>
          <w:numId w:val="2"/>
        </w:numPr>
        <w:spacing w:before="40" w:after="60"/>
      </w:pPr>
      <w:r>
        <w:rPr>
          <w:rFonts w:ascii="Arial" w:cs="Arial" w:eastAsia="Arial" w:hAnsi="Arial"/>
          <w:sz w:val="20"/>
          <w:szCs w:val="20"/>
        </w:rPr>
        <w:t xml:space="preserve">"We can't afford $2,500/month." — "One closed deal from our pipeline typically returns 5-20x the monthly fee. And unlike an SDR hire, there's no severance, no ramp time, and a contractual guarantee."</w:t>
      </w:r>
    </w:p>
    <w:p>
      <w:pPr>
        <w:spacing w:before="200" w:after="0"/>
      </w:pPr>
      <w:r>
        <w:t xml:space="preserve"/>
      </w:r>
    </w:p>
    <w:p>
      <w:pPr>
        <w:pStyle w:val="Heading2"/>
        <w:spacing w:before="280" w:after="140"/>
      </w:pPr>
      <w:r>
        <w:rPr>
          <w:rFonts w:ascii="Arial" w:cs="Arial" w:eastAsia="Arial" w:hAnsi="Arial"/>
          <w:b/>
          <w:bCs/>
          <w:color w:val="2E86C1"/>
          <w:sz w:val="28"/>
          <w:szCs w:val="28"/>
        </w:rPr>
        <w:t xml:space="preserve">3.5 Launch Sequence — First 30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760"/>
        <w:gridCol w:w="2400"/>
      </w:tblGrid>
      <w:tr>
        <w:tc>
          <w:tcPr>
            <w:tcW w:type="dxa" w:w="8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Day</w:t>
            </w:r>
          </w:p>
        </w:tc>
        <w:tc>
          <w:tcPr>
            <w:tcW w:type="dxa" w:w="24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Activity</w:t>
            </w:r>
          </w:p>
        </w:tc>
        <w:tc>
          <w:tcPr>
            <w:tcW w:type="dxa" w:w="376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Detail</w:t>
            </w:r>
          </w:p>
        </w:tc>
        <w:tc>
          <w:tcPr>
            <w:tcW w:type="dxa" w:w="24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Goal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Infrastructure setup</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Domains, Instantly, Apollo, HubSpot, Stripe, Calendly — all independent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Technical readiness</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4-7</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Polsia setup + playbooks</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Polsia instance, ICP for 3 verticals, sequences drafted, De Villiers approval gate</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Playbooks approved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8-14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Network activation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Personal outreach to 50-100 JigsawAI/inlumiSA contacts; free ICP analysis offer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2-3 early conversations</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8-14</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Outbound launch</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Cold email + LinkedIn to consulting, IT services, SaaS verticals</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500 prospects contacted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15-21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Content seeding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 blog posts (Polsia drafts, De Villiers approves), LinkedIn profile live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Digital presence live</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15-21</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Pipeline building</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Follow up responses, book discovery calls, run demos</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8-10 discovery calls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22-30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First clients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Close first 2-3 clients from network + outbound, begin onboarding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2-3 paying clients</w:t>
            </w:r>
          </w:p>
        </w:tc>
      </w:tr>
    </w:tbl>
    <w:p>
      <w:pPr>
        <w:spacing w:before="300" w:after="0"/>
      </w:pPr>
      <w:r>
        <w:t xml:space="preserve"/>
      </w:r>
    </w:p>
    <w:p>
      <w:r>
        <w:br w:type="page"/>
      </w:r>
    </w:p>
    <w:p>
      <w:pPr>
        <w:pStyle w:val="Heading1"/>
        <w:pBdr>
          <w:bottom w:val="single" w:color="2E86C1" w:sz="8"/>
        </w:pBdr>
        <w:spacing w:before="360" w:after="200"/>
      </w:pPr>
      <w:r>
        <w:rPr>
          <w:rFonts w:ascii="Arial" w:cs="Arial" w:eastAsia="Arial" w:hAnsi="Arial"/>
          <w:b/>
          <w:bCs/>
          <w:color w:val="1B4F72"/>
          <w:sz w:val="36"/>
          <w:szCs w:val="36"/>
        </w:rPr>
        <w:t xml:space="preserve">Appendix A: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400"/>
        <w:gridCol w:w="4960"/>
      </w:tblGrid>
      <w:tr>
        <w:tc>
          <w:tcPr>
            <w:tcW w:type="dxa" w:w="18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Tool</w:t>
            </w:r>
          </w:p>
        </w:tc>
        <w:tc>
          <w:tcPr>
            <w:tcW w:type="dxa" w:w="12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Category</w:t>
            </w:r>
          </w:p>
        </w:tc>
        <w:tc>
          <w:tcPr>
            <w:tcW w:type="dxa" w:w="14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Monthly Cost</w:t>
            </w:r>
          </w:p>
        </w:tc>
        <w:tc>
          <w:tcPr>
            <w:tcW w:type="dxa" w:w="496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Role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Instantly.ai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Email Sending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$97-$176</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YOUR account. High-volume cold email with automated warmup. Independent of Polsia.</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Apollo.io</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 Enrichment</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$99/mo</w:t>
            </w:r>
          </w:p>
        </w:tc>
        <w:tc>
          <w:tcPr>
            <w:tcW w:type="dxa" w:w="4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YOUR account. 275M+ contacts. Export and own all prospect data. Polsia generates ICP criteria; you run searches.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HubSpot CRM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$0-$50/mo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YOUR client relationships. Pipeline tracking, deal stages, reporting. Independent of Polsia.</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Stripe (YOUR account)</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Billing</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2.9% + $0.30</w:t>
            </w:r>
          </w:p>
        </w:tc>
        <w:tc>
          <w:tcPr>
            <w:tcW w:type="dxa" w:w="4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 margin retention. No Polsia 20% revenue share. Full financial control.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Polsia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AI Co-Pilot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$49/mo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Drafts sequences, ICP criteria, content, analysis. ALL output reviewed by De Villiers before deployment. Not infrastructure.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Expandi / Dripify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LinkedIn</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$99/mo</w:t>
            </w:r>
          </w:p>
        </w:tc>
        <w:tc>
          <w:tcPr>
            <w:tcW w:type="dxa" w:w="4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LinkedIn automation. YOUR network. Independent cloud-based tool.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Knowledge Base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Vertical playbooks, ICP definitions, SOPs, email templates. YOUR IP. Polsia outputs stored here.</w:t>
            </w:r>
          </w:p>
        </w:tc>
      </w:tr>
    </w:tbl>
    <w:p>
      <w:pPr>
        <w:spacing w:before="200" w:after="0"/>
      </w:pPr>
      <w:r>
        <w:t xml:space="preserve"/>
      </w:r>
    </w:p>
    <w:p>
      <w:pPr>
        <w:pStyle w:val="Heading1"/>
        <w:pBdr>
          <w:bottom w:val="single" w:color="2E86C1" w:sz="8"/>
        </w:pBdr>
        <w:spacing w:before="360" w:after="200"/>
      </w:pPr>
      <w:r>
        <w:rPr>
          <w:rFonts w:ascii="Arial" w:cs="Arial" w:eastAsia="Arial" w:hAnsi="Arial"/>
          <w:b/>
          <w:bCs/>
          <w:color w:val="1B4F72"/>
          <w:sz w:val="36"/>
          <w:szCs w:val="36"/>
        </w:rPr>
        <w:t xml:space="preserve">Appendix B: Vertical Playbook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2960"/>
      </w:tblGrid>
      <w:tr>
        <w:tc>
          <w:tcPr>
            <w:tcW w:type="dxa" w:w="20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Vertical</w:t>
            </w:r>
          </w:p>
        </w:tc>
        <w:tc>
          <w:tcPr>
            <w:tcW w:type="dxa" w:w="24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Target ICP</w:t>
            </w:r>
          </w:p>
        </w:tc>
        <w:tc>
          <w:tcPr>
            <w:tcW w:type="dxa" w:w="20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Core Angle</w:t>
            </w:r>
          </w:p>
        </w:tc>
        <w:tc>
          <w:tcPr>
            <w:tcW w:type="dxa" w:w="296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Benchmark Targets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Management Consulting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Partners/Directors, 10-100 consultants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"Your consultants should be on client site, not making cold calls."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14 meetings/month guaranteed; 8.2% reply rate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IT Services / MSPs</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Owners/VPs, $1M-$30M MSPs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"Stop relying on referrals. Build a predictable pipeline."</w:t>
            </w:r>
          </w:p>
        </w:tc>
        <w:tc>
          <w:tcPr>
            <w:tcW w:type="dxa" w:w="2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16 meetings/month guaranteed; 6.8% reply rate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SaaS Companies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Founders/Heads of Growth, pre-Series 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"Your product is ready. Your pipeline isn't."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 meetings/month guaranteed; 5.4% reply rate</w:t>
            </w:r>
          </w:p>
        </w:tc>
      </w:tr>
    </w:tbl>
    <w:p>
      <w:pPr>
        <w:spacing w:before="200" w:after="0"/>
      </w:pPr>
      <w:r>
        <w:t xml:space="preserve"/>
      </w:r>
    </w:p>
    <w:p>
      <w:pPr>
        <w:pStyle w:val="Heading1"/>
        <w:pBdr>
          <w:bottom w:val="single" w:color="2E86C1" w:sz="8"/>
        </w:pBdr>
        <w:spacing w:before="360" w:after="200"/>
      </w:pPr>
      <w:r>
        <w:rPr>
          <w:rFonts w:ascii="Arial" w:cs="Arial" w:eastAsia="Arial" w:hAnsi="Arial"/>
          <w:b/>
          <w:bCs/>
          <w:color w:val="1B4F72"/>
          <w:sz w:val="36"/>
          <w:szCs w:val="36"/>
        </w:rPr>
        <w:t xml:space="preserve">Appendix C: Key Assumptions (V2 Revised)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Assumption</w:t>
            </w:r>
          </w:p>
        </w:tc>
        <w:tc>
          <w:tcPr>
            <w:tcW w:type="dxa" w:w="268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Base Case</w:t>
            </w:r>
          </w:p>
        </w:tc>
        <w:tc>
          <w:tcPr>
            <w:tcW w:type="dxa" w:w="2680"/>
            <w:tcBorders>
              <w:top w:val="single" w:color="1B4F72" w:sz="1"/>
              <w:left w:val="single" w:color="1B4F72" w:sz="1"/>
              <w:bottom w:val="single" w:color="1B4F72" w:sz="1"/>
              <w:right w:val="single" w:color="1B4F72"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Conservative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Client acquisition rate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2-3 new clients/month (from Month 3)</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 new clients/month</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Average monthly retainer</w:t>
            </w:r>
          </w:p>
        </w:tc>
        <w:tc>
          <w:tcPr>
            <w:tcW w:type="dxa" w:w="2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$3,000 (blended Launch/Growth mix)</w:t>
            </w:r>
          </w:p>
        </w:tc>
        <w:tc>
          <w:tcPr>
            <w:tcW w:type="dxa" w:w="2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$2,500 (Launch-heavy early mix)</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Monthly client churn</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5-6% (improving to 4% by Month 12)</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8-10%</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Year-end active clients</w:t>
            </w:r>
          </w:p>
        </w:tc>
        <w:tc>
          <w:tcPr>
            <w:tcW w:type="dxa" w:w="2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22-27</w:t>
            </w:r>
          </w:p>
        </w:tc>
        <w:tc>
          <w:tcPr>
            <w:tcW w:type="dxa" w:w="2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14-18</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Guarantee payout rate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5-8% of months (1 in 15 months per client)</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10-12% of months</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Polsia revenue share</w:t>
            </w:r>
          </w:p>
        </w:tc>
        <w:tc>
          <w:tcPr>
            <w:tcW w:type="dxa" w:w="2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 (YOUR Stripe account)</w:t>
            </w:r>
          </w:p>
        </w:tc>
        <w:tc>
          <w:tcPr>
            <w:tcW w:type="dxa" w:w="2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 (same)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Operating margin at scale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70-75% before staffing</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60-65%</w:t>
            </w:r>
          </w:p>
        </w:tc>
      </w:tr>
    </w:tbl>
    <w:p>
      <w:pPr>
        <w:spacing w:before="300" w:after="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6"/>
      </w:pBdr>
      <w:tabs>
        <w:tab w:val="right" w:pos="9026"/>
      </w:tabs>
    </w:pPr>
    <w:r>
      <w:rPr>
        <w:rFonts w:ascii="Arial" w:cs="Arial" w:eastAsia="Arial" w:hAnsi="Arial"/>
        <w:color w:val="888888"/>
        <w:sz w:val="16"/>
        <w:szCs w:val="16"/>
      </w:rPr>
      <w:t xml:space="preserve">March 2026  |  De Villiers &amp; Marinus  |  JigsawAI</w:t>
    </w:r>
    <w:r>
      <w:rPr>
        <w:rFonts w:ascii="Arial" w:cs="Arial" w:eastAsia="Arial" w:hAnsi="Arial"/>
        <w:color w:val="888888"/>
        <w:sz w:val="16"/>
        <w:szCs w:val="16"/>
      </w:rPr>
      <w:t xml:space="preserve">	Page </w:t>
    </w:r>
    <w:r>
      <w:rPr>
        <w:rFonts w:ascii="Arial" w:cs="Arial" w:eastAsia="Arial" w:hAnsi="Arial"/>
        <w:color w:val="888888"/>
        <w:sz w:val="16"/>
        <w:szCs w:val="16"/>
      </w:rPr>
      <type>PAGE</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6"/>
      </w:pBdr>
    </w:pPr>
    <w:r>
      <w:rPr>
        <w:rFonts w:ascii="Arial" w:cs="Arial" w:eastAsia="Arial" w:hAnsi="Arial"/>
        <w:color w:val="888888"/>
        <w:sz w:val="16"/>
        <w:szCs w:val="16"/>
      </w:rPr>
      <w:t xml:space="preserve">LEADFLOW AI  |  V2 Business Plan  |  JigsawAI Initiative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E67E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2026-03-24T14:49:50.789Z</dcterms:created>
  <dcterms:modified xsi:type="dcterms:W3CDTF">2026-03-24T14:49:50.790Z</dcterms:modified>
</cp:coreProperties>
</file>

<file path=docProps/custom.xml><?xml version="1.0" encoding="utf-8"?>
<Properties xmlns="http://schemas.openxmlformats.org/officeDocument/2006/custom-properties" xmlns:vt="http://schemas.openxmlformats.org/officeDocument/2006/docPropsVTypes"/>
</file>