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503F" w:sz="1"/>
              <w:left w:val="none" w:color="FFFFFF" w:sz="0"/>
              <w:bottom w:val="single" w:color="E5503F" w:sz="1"/>
              <w:right w:val="none" w:color="FFFFFF" w:sz="0"/>
            </w:tcBorders>
            <w:shd w:fill="FFFFFF" w:val="clear"/>
            <w:tcMar>
              <w:top w:type="dxa" w:w="200"/>
              <w:left w:type="dxa" w:w="0"/>
              <w:bottom w:type="dxa" w:w="240"/>
              <w:right w:type="dxa" w:w="0"/>
            </w:tcMar>
          </w:tcPr>
          <w:p>
            <w:pPr>
              <w:spacing w:before="0" w:after="60"/>
            </w:pPr>
            <w:r>
              <w:rPr>
                <w:rFonts w:ascii="Calibri" w:cs="Calibri" w:eastAsia="Calibri" w:hAnsi="Calibri"/>
                <w:b/>
                <w:bCs/>
                <w:color w:val="E5503F"/>
                <w:spacing w:val="100"/>
                <w:sz w:val="16"/>
                <w:szCs w:val="16"/>
              </w:rPr>
              <w:t xml:space="preserve">JIGSAWAI INITIATIVE  ·  CONFIDENTIAL</w:t>
            </w:r>
          </w:p>
          <w:p>
            <w:pPr>
              <w:spacing w:before="0" w:after="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80"/>
                <w:szCs w:val="80"/>
              </w:rPr>
              <w:t xml:space="preserve">SnapGrowth</w:t>
            </w:r>
          </w:p>
          <w:p>
            <w:pPr>
              <w:spacing w:before="0" w:after="60"/>
            </w:pPr>
            <w:r>
              <w:rPr>
                <w:rFonts w:ascii="Georgia" w:cs="Georgia" w:eastAsia="Georgia" w:hAnsi="Georgia"/>
                <w:i/>
                <w:iCs/>
                <w:color w:val="E5503F"/>
                <w:sz w:val="52"/>
                <w:szCs w:val="52"/>
              </w:rPr>
              <w:t xml:space="preserve">Brand Guidelines</w:t>
            </w:r>
          </w:p>
          <w:p>
            <w:pPr>
              <w:spacing w:before="0" w:after="60"/>
            </w:pPr>
            <w:r>
              <w:rPr>
                <w:rFonts w:ascii="Calibri" w:cs="Calibri" w:eastAsia="Calibri" w:hAnsi="Calibri"/>
                <w:color w:val="8C7B75"/>
                <w:sz w:val="20"/>
                <w:szCs w:val="20"/>
              </w:rPr>
              <w:t xml:space="preserve">Version 1.0  ·  March 2026</w:t>
            </w:r>
          </w:p>
          <w:p>
            <w:pPr>
              <w:spacing w:before="40" w:after="0"/>
            </w:pPr>
            <w:r>
              <w:rPr>
                <w:rFonts w:ascii="Calibri" w:cs="Calibri" w:eastAsia="Calibri" w:hAnsi="Calibri"/>
                <w:color w:val="C4B5AF"/>
                <w:sz w:val="20"/>
                <w:szCs w:val="20"/>
              </w:rPr>
              <w:t xml:space="preserve">De Villiers (Lead)  ·  Marinus (Collaborator)  ·  snapgrowth.ai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spacing w:before="40" w:after="0"/>
        <w:jc w:val="left"/>
      </w:pPr>
      <w:r>
        <w:drawing>
          <wp:inline distT="0" distB="0" distL="0" distR="0">
            <wp:extent cx="7534275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0" w:after="0"/>
      </w:pPr>
      <w:r>
        <w:t xml:space="preserve"/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8C7B75"/>
          <w:sz w:val="20"/>
          <w:szCs w:val="20"/>
        </w:rPr>
        <w:t xml:space="preserve">This document defines the SnapGrowth visual identity — the logo, colors, typography, usage rules, brand voice, and application guidelines. Consistent use of these elements builds recognition and trust with every client, prospect, and partner.</w:t>
      </w:r>
    </w:p>
    <w:p>
      <w:r>
        <w:br w:type="page"/>
      </w:r>
    </w:p>
    <w:p>
      <w:pPr>
        <w:pStyle w:val="Heading1"/>
        <w:pBdr>
          <w:bottom w:val="single" w:color="E5503F" w:sz="8"/>
        </w:pBdr>
        <w:spacing w:before="400" w:after="200"/>
      </w:pPr>
      <w:r>
        <w:rPr>
          <w:rFonts w:ascii="Georgia" w:cs="Georgia" w:eastAsia="Georgia" w:hAnsi="Georgia"/>
          <w:b/>
          <w:bCs/>
          <w:color w:val="2C2826"/>
          <w:sz w:val="40"/>
          <w:szCs w:val="40"/>
        </w:rPr>
        <w:t xml:space="preserve">01 — The Logo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The SnapGrowth mark combines a warm rounded square with a characteristic growth line — an upward trajectory with a signature ‘snap’ jog at the midpoint. This references connection, momentum, and the JigsawAI puzzle lineage. The wordmark pairs Georgia Bold with a Coral accent on ‘Growth’.</w:t>
      </w:r>
    </w:p>
    <w:p>
      <w:pPr>
        <w:spacing w:before="8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503F" w:sz="16"/>
              <w:left w:val="single" w:color="E5503F" w:sz="16"/>
              <w:bottom w:val="single" w:color="DDDDDD" w:sz="1"/>
              <w:right w:val="single" w:color="DDDDDD" w:sz="1"/>
            </w:tcBorders>
            <w:shd w:fill="FFF0E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E5503F"/>
                <w:sz w:val="20"/>
                <w:szCs w:val="20"/>
              </w:rPr>
              <w:t xml:space="preserve">Logo Concept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2C2826"/>
                <w:sz w:val="20"/>
                <w:szCs w:val="20"/>
              </w:rPr>
              <w:t xml:space="preserve">Rounded square (warm, approachable) + upward growth line (momentum, results) + snap jog at midpoint (the JigsawAI piece clicking into place). Gradient: Coral #FF6B5E → Amber #FFAB5E left-to-right.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Full Lockup — Four Background Variants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Use the appropriate lockup depending on the background. Never place the logo on a busy or patterned background without a clear zone.</w:t>
      </w:r>
    </w:p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Light / Cream backgrounds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Dark / Charcoal backgrounds</w:t>
            </w:r>
          </w:p>
        </w:tc>
      </w:tr>
    </w:tbl>
    <w:p>
      <w:pPr>
        <w:spacing w:before="16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6B5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D4C8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0975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6B5E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Coral backgrounds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D4C8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Blush / Pastel backgrounds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Symbol Mark — Icon Only Variants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Use the symbol mark independently as an app icon, favicon, or avatar where the full lockup cannot fit (below 120px wide).</w:t>
      </w:r>
    </w:p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286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286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6B5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286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6286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Light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Dark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6B5E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Coral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B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On Blush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Wordmark — Text Only Variants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The wordmark without the symbol mark. Use only where the symbol has already been established in the same context, such as a document footer or secondary reference.</w:t>
      </w:r>
    </w:p>
    <w:p>
      <w:pPr>
        <w:spacing w:before="10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04950" cy="352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504950" cy="352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Wordmark on Light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6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8C7B75"/>
                <w:sz w:val="16"/>
                <w:szCs w:val="16"/>
              </w:rPr>
              <w:t xml:space="preserve">Wordmark on Dark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Logo Lockup Usage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Variant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Light / white / cream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Full lockup — gradient mark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Standard usage. Charcoal wordmark, Coral on ‘Growth’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Dark / charcoal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Full lockup — gradient mark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White wordmark, Blush on ‘Growth’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Coral background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Ghost mark (no gradient)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White semi-transparent mark. White wordmark.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Blush / pastel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Full lockup — gradient mark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Same as primary light variant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Icon / favicon / avatar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Symbol mark only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Use when full lockup ≤120px wide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Document footer / secondary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Wordmark only</w:t>
            </w:r>
          </w:p>
        </w:tc>
        <w:tc>
          <w:tcPr>
            <w:tcW w:type="dxa" w:w="4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Only when symbol already established nearby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Icon Size 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80px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Profile / avatar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LinkedIn, email header, social profiles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48px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App icon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Browser tab group, Slack workspace icon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32px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Navigation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Website nav bar, document headers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20px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Inline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In-text references, email signatures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16px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Favicon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Browser tab — use simplified mark at this size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Logo Usage Rules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E5503F"/>
          <w:sz w:val="20"/>
          <w:szCs w:val="20"/>
        </w:rPr>
        <w:t xml:space="preserve">Do ✔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Use the logo on white, cream, blush, dark charcoal, and coral backgrounds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Use the gradient mark on light backgrounds; ghost/white mark on dark or coral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Keep the wordmark in Georgia Bold only — never substitute another typeface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Scale proportionally — always lock the aspect ratio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Use the symbol mark alone only when the full lockup cannot fit (≤120px wide)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Always use the approved files — never recreate the logo in another application</w:t>
      </w:r>
    </w:p>
    <w:p>
      <w:pPr>
        <w:spacing w:before="80" w:after="0"/>
      </w:pPr>
      <w:r>
        <w:t xml:space="preserve"/>
      </w:r>
    </w:p>
    <w:p>
      <w:pPr>
        <w:spacing w:before="60" w:after="10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2C2826"/>
          <w:sz w:val="20"/>
          <w:szCs w:val="20"/>
        </w:rPr>
        <w:t xml:space="preserve">Don’t ✘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Stretch, squish, skew, or rotate the logo at any angle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Change individual logo colors or apply a different color scheme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Add drop shadows, outlines, glows, or visual effects to the logo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Place the logo on a busy photograph or patterned background without a clear zone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Calibri" w:cs="Calibri" w:eastAsia="Calibri" w:hAnsi="Calibri"/>
          <w:color w:val="2C2826"/>
          <w:sz w:val="20"/>
          <w:szCs w:val="20"/>
        </w:rPr>
        <w:t xml:space="preserve">Place the logo below 120px wide for the full horizontal lockup</w:t>
      </w:r>
    </w:p>
    <w:p>
      <w:pPr>
        <w:spacing w:before="20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5503F" w:sz="8"/>
        </w:pBdr>
        <w:spacing w:before="400" w:after="200"/>
      </w:pPr>
      <w:r>
        <w:rPr>
          <w:rFonts w:ascii="Georgia" w:cs="Georgia" w:eastAsia="Georgia" w:hAnsi="Georgia"/>
          <w:b/>
          <w:bCs/>
          <w:color w:val="2C2826"/>
          <w:sz w:val="40"/>
          <w:szCs w:val="40"/>
        </w:rPr>
        <w:t xml:space="preserve">02 — Color System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A warm, pastel-forward palette built on Coral energy and Amber warmth. Blush and Sage provide breathing room. Every color is chosen to feel approachable and human — not cold, corporate, or generic.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Primary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FF6B5E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Coral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#FF6B5E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Primary CTAs, links, key accent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FFAB5E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Amber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#FFAB5E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Secondary accent, warmth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2C2826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Charcoal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#2C2826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Body text, dark backgrounds</w:t>
            </w:r>
          </w:p>
        </w:tc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FFF8F3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Cream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#FFF8F3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Page background, warm white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Extended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FFD4C8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Blush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#FFD4C8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Pastel highlights, badges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FFF0EB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Blush Pale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#FFF0EB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Card backgrounds, callouts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A8D5BA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Sage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#A8D5BA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Positive states, success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C9B8E8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Lavender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#C9B8E8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Cool contrast, variety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8C7B75" w:val="clear"/>
              <w:spacing w:before="0" w:after="0"/>
            </w:pPr>
            <w:r>
              <w:rPr>
                <w:rFonts w:ascii="Calibri" w:cs="Calibri" w:eastAsia="Calibri" w:hAnsi="Calibri"/>
                <w:sz w:val="40"/>
                <w:szCs w:val="40"/>
              </w:rPr>
              <w:t xml:space="preserve">                              </w:t>
            </w:r>
          </w:p>
          <w:p>
            <w:pPr>
              <w:spacing w:before="80" w:after="20"/>
              <w:ind w:left="10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20"/>
                <w:szCs w:val="20"/>
              </w:rPr>
              <w:t xml:space="preserve">Smoke</w:t>
            </w:r>
          </w:p>
          <w:p>
            <w:pPr>
              <w:spacing w:before="0" w:after="20"/>
              <w:ind w:left="100"/>
            </w:pPr>
            <w:r>
              <w:rPr>
                <w:rFonts w:ascii="Courier New" w:cs="Courier New" w:eastAsia="Courier New" w:hAnsi="Courier New"/>
                <w:color w:val="8C7B75"/>
                <w:sz w:val="18"/>
                <w:szCs w:val="18"/>
              </w:rPr>
              <w:t xml:space="preserve">#8C7B75</w:t>
            </w:r>
          </w:p>
          <w:p>
            <w:pPr>
              <w:spacing w:before="0" w:after="80"/>
              <w:ind w:left="100"/>
            </w:pPr>
            <w:r>
              <w:rPr>
                <w:rFonts w:ascii="Calibri" w:cs="Calibri" w:eastAsia="Calibri" w:hAnsi="Calibri"/>
                <w:color w:val="C4B5AF"/>
                <w:sz w:val="16"/>
                <w:szCs w:val="16"/>
              </w:rPr>
              <w:t xml:space="preserve">Secondary text, captions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Color Usage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Coral is for Action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Blush is for Breathing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Sage is for Positivity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CTAs, links, active states, logo. Never use for large body text — contrast is critical on pale backgrounds.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Card backgrounds, callout fills, pastel zones. Gives the eye a resting place alongside energetic Coral.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Success states, positive indicators, cool contrast. Use sparingly to balance the warm palette.</w:t>
            </w:r>
          </w:p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5503F" w:sz="8"/>
        </w:pBdr>
        <w:spacing w:before="400" w:after="200"/>
      </w:pPr>
      <w:r>
        <w:rPr>
          <w:rFonts w:ascii="Georgia" w:cs="Georgia" w:eastAsia="Georgia" w:hAnsi="Georgia"/>
          <w:b/>
          <w:bCs/>
          <w:color w:val="2C2826"/>
          <w:sz w:val="40"/>
          <w:szCs w:val="40"/>
        </w:rPr>
        <w:t xml:space="preserve">03 — Typography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Georgia for character and warmth in headlines. Calibri for clarity in body text. Both are universally available in Microsoft Office environments.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Display — Georgia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E5503F"/>
                <w:spacing w:val="120"/>
                <w:sz w:val="14"/>
                <w:szCs w:val="14"/>
              </w:rPr>
              <w:t xml:space="preserve">DISPLAY TYPEFACE</w:t>
            </w:r>
          </w:p>
          <w:p>
            <w:pPr>
              <w:spacing w:before="80" w:after="0"/>
            </w:pPr>
            <w:r>
              <w:rPr>
                <w:rFonts w:ascii="Georgia" w:cs="Georgia" w:eastAsia="Georgia" w:hAnsi="Georgia"/>
                <w:b/>
                <w:bCs/>
                <w:color w:val="2C2826"/>
                <w:sz w:val="52"/>
                <w:szCs w:val="52"/>
              </w:rPr>
              <w:t xml:space="preserve">Meetings that snap into place.</w:t>
            </w:r>
          </w:p>
          <w:p>
            <w:pPr>
              <w:spacing w:before="0" w:after="80"/>
            </w:pPr>
            <w:r>
              <w:rPr>
                <w:rFonts w:ascii="Georgia" w:cs="Georgia" w:eastAsia="Georgia" w:hAnsi="Georgia"/>
                <w:i/>
                <w:iCs/>
                <w:color w:val="E5503F"/>
                <w:sz w:val="52"/>
                <w:szCs w:val="52"/>
              </w:rPr>
              <w:t xml:space="preserve">Guaranteed.</w:t>
            </w:r>
          </w:p>
          <w:p>
            <w:pPr>
              <w:spacing w:before="40" w:after="0"/>
            </w:pPr>
            <w:r>
              <w:rPr>
                <w:rFonts w:ascii="Calibri" w:cs="Calibri" w:eastAsia="Calibri" w:hAnsi="Calibri"/>
                <w:color w:val="8C7B75"/>
                <w:sz w:val="16"/>
                <w:szCs w:val="16"/>
              </w:rPr>
              <w:t xml:space="preserve">Georgia  ·  Bold (700) for headlines  ·  Regular Italic for emphasis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Body — Calibri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spacing w:before="0" w:after="0"/>
            </w:pPr>
            <w:r>
              <w:rPr>
                <w:rFonts w:ascii="Calibri" w:cs="Calibri" w:eastAsia="Calibri" w:hAnsi="Calibri"/>
                <w:b/>
                <w:bCs/>
                <w:color w:val="FFAB5E"/>
                <w:spacing w:val="120"/>
                <w:sz w:val="14"/>
                <w:szCs w:val="14"/>
              </w:rPr>
              <w:t xml:space="preserve">BODY TYPEFACE</w:t>
            </w:r>
          </w:p>
          <w:p>
            <w:pPr>
              <w:spacing w:before="80" w:after="80"/>
            </w:pPr>
            <w:r>
              <w:rPr>
                <w:rFonts w:ascii="Calibri" w:cs="Calibri" w:eastAsia="Calibri" w:hAnsi="Calibri"/>
                <w:color w:val="CCCCCC"/>
                <w:sz w:val="22"/>
                <w:szCs w:val="22"/>
              </w:rPr>
              <w:t xml:space="preserve">SnapGrowth delivers qualified meetings with decision-makers — not just emails sent. Every campaign is backed by a contractual guarantee, powered by AI, and guided by consulting-grade ICP strategy.</w:t>
            </w:r>
          </w:p>
          <w:p>
            <w:r>
              <w:rPr>
                <w:rFonts w:ascii="Calibri" w:cs="Calibri" w:eastAsia="Calibri" w:hAnsi="Calibri"/>
                <w:color w:val="8C7B75"/>
                <w:sz w:val="16"/>
                <w:szCs w:val="16"/>
              </w:rPr>
              <w:t xml:space="preserve">Calibri  ·  Light / Regular / Medium  ·  All body text, descriptions, labels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Type 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000"/>
        <w:gridCol w:w="1560"/>
        <w:gridCol w:w="1400"/>
      </w:tblGrid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Typeface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Display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C2826"/>
                <w:sz w:val="56"/>
                <w:szCs w:val="56"/>
              </w:rPr>
              <w:t xml:space="preserve">The headline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28pt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Georgia Bold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Heading 1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C2826"/>
                <w:sz w:val="36"/>
                <w:szCs w:val="36"/>
              </w:rPr>
              <w:t xml:space="preserve">Page section title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18pt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Georgia Bold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Heading 2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E5503F"/>
                <w:sz w:val="28"/>
                <w:szCs w:val="28"/>
              </w:rPr>
              <w:t xml:space="preserve">Subsection heading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14pt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Georgia Bold Coral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Body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2C2826"/>
                <w:sz w:val="20"/>
                <w:szCs w:val="20"/>
              </w:rPr>
              <w:t xml:space="preserve">Body text — readable, friendly, never cramped.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10pt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Calibri Regular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Caption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8C7B75"/>
                <w:sz w:val="16"/>
                <w:szCs w:val="16"/>
              </w:rPr>
              <w:t xml:space="preserve">Labels, metadata, secondary information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8pt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Calibri Smoke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Eyebrow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E5503F"/>
                <w:spacing w:val="100"/>
                <w:sz w:val="16"/>
                <w:szCs w:val="16"/>
              </w:rPr>
              <w:t xml:space="preserve">SECTION LABEL  ·  CATEGORY TAG</w:t>
            </w:r>
          </w:p>
        </w:tc>
        <w:tc>
          <w:tcPr>
            <w:tcW w:type="dxa" w:w="1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8pt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Calibri Bold Coral</w:t>
            </w:r>
          </w:p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5503F" w:sz="8"/>
        </w:pBdr>
        <w:spacing w:before="400" w:after="200"/>
      </w:pPr>
      <w:r>
        <w:rPr>
          <w:rFonts w:ascii="Georgia" w:cs="Georgia" w:eastAsia="Georgia" w:hAnsi="Georgia"/>
          <w:b/>
          <w:bCs/>
          <w:color w:val="2C2826"/>
          <w:sz w:val="40"/>
          <w:szCs w:val="40"/>
        </w:rPr>
        <w:t xml:space="preserve">04 — Brand Voice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SnapGrowth sounds like a confident friend who happens to be an expert. Direct without being blunt. Warm without being fluffy. The guarantee means every word has to earn its place.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Three Voice Traits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🎯  Direct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☀️  Warm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⚡  Energetic</w:t>
            </w:r>
          </w:p>
        </w:tc>
      </w:tr>
      <w:tr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i/>
                <w:iCs/>
                <w:color w:val="C4B5AF"/>
                <w:sz w:val="16"/>
                <w:szCs w:val="16"/>
              </w:rPr>
              <w:t xml:space="preserve">Not → blunt or aggressive</w:t>
            </w:r>
          </w:p>
          <w:p>
            <w:r>
              <w:rPr>
                <w:rFonts w:ascii="Calibri" w:cs="Calibri" w:eastAsia="Calibri" w:hAnsi="Calibri"/>
                <w:color w:val="2C2826"/>
                <w:sz w:val="19"/>
                <w:szCs w:val="19"/>
              </w:rPr>
              <w:t xml:space="preserve">We say what we mean. No jargon, no padding, no hedging. If we guarantee 12 meetings, we say ‘12 meetings’.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4F4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i/>
                <w:iCs/>
                <w:color w:val="C4B5AF"/>
                <w:sz w:val="16"/>
                <w:szCs w:val="16"/>
              </w:rPr>
              <w:t xml:space="preserve">Not → cheesy or sycophantic</w:t>
            </w:r>
          </w:p>
          <w:p>
            <w:r>
              <w:rPr>
                <w:rFonts w:ascii="Calibri" w:cs="Calibri" w:eastAsia="Calibri" w:hAnsi="Calibri"/>
                <w:color w:val="2C2826"/>
                <w:sz w:val="19"/>
                <w:szCs w:val="19"/>
              </w:rPr>
              <w:t xml:space="preserve">We genuinely care about client success. The warmth comes from confidence, not flattery.</w:t>
            </w:r>
          </w:p>
        </w:tc>
        <w:tc>
          <w:tcPr>
            <w:tcW w:type="dxa" w:w="31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DE8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40"/>
            </w:pPr>
            <w:r>
              <w:rPr>
                <w:rFonts w:ascii="Calibri" w:cs="Calibri" w:eastAsia="Calibri" w:hAnsi="Calibri"/>
                <w:i/>
                <w:iCs/>
                <w:color w:val="C4B5AF"/>
                <w:sz w:val="16"/>
                <w:szCs w:val="16"/>
              </w:rPr>
              <w:t xml:space="preserve">Not → breathless or hyped</w:t>
            </w:r>
          </w:p>
          <w:p>
            <w:r>
              <w:rPr>
                <w:rFonts w:ascii="Calibri" w:cs="Calibri" w:eastAsia="Calibri" w:hAnsi="Calibri"/>
                <w:color w:val="2C2826"/>
                <w:sz w:val="19"/>
                <w:szCs w:val="19"/>
              </w:rPr>
              <w:t xml:space="preserve">Short sentences. Active voice. Verbs that move. We show what happens next for the client.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Tone in Action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✔  SnapGrowth Says This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✘  Not This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4F4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2C2826"/>
                <w:sz w:val="20"/>
                <w:szCs w:val="20"/>
              </w:rPr>
              <w:t xml:space="preserve">“We guarantee 12 qualified meetings per month — or the next month is free. First campaigns live in 7 days.”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8C7B75"/>
                <w:sz w:val="20"/>
                <w:szCs w:val="20"/>
              </w:rPr>
              <w:t xml:space="preserve">“Our AI-powered platform leverages cutting-edge machine learning algorithms to potentially optimise your lead generation funnel.”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4F4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2C2826"/>
                <w:sz w:val="20"/>
                <w:szCs w:val="20"/>
              </w:rPr>
              <w:t xml:space="preserve">“Your team should be closing deals, not making cold calls. We fill the calendar — you focus on the handshake.”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0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8C7B75"/>
                <w:sz w:val="20"/>
                <w:szCs w:val="20"/>
              </w:rPr>
              <w:t xml:space="preserve">“We are pleased to offer a comprehensive suite of B2B demand generation solutions designed to enhance your sales pipeline efficiency.”</w:t>
            </w:r>
          </w:p>
        </w:tc>
      </w:tr>
    </w:tbl>
    <w:p>
      <w:pPr>
        <w:spacing w:before="20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E5503F" w:sz="8"/>
        </w:pBdr>
        <w:spacing w:before="400" w:after="200"/>
      </w:pPr>
      <w:r>
        <w:rPr>
          <w:rFonts w:ascii="Georgia" w:cs="Georgia" w:eastAsia="Georgia" w:hAnsi="Georgia"/>
          <w:b/>
          <w:bCs/>
          <w:color w:val="2C2826"/>
          <w:sz w:val="40"/>
          <w:szCs w:val="40"/>
        </w:rPr>
        <w:t xml:space="preserve">05 — Applications</w:t>
      </w:r>
    </w:p>
    <w:p>
      <w:pPr>
        <w:spacing w:before="60" w:after="100"/>
        <w:jc w:val="left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2C2826"/>
          <w:sz w:val="20"/>
          <w:szCs w:val="20"/>
        </w:rPr>
        <w:t xml:space="preserve">How the brand shows up in the real world. Follow these templates exactly to ensure visual consistency across every touchpoint.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Email Signature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E5503F" w:sz="24"/>
              <w:bottom w:val="single" w:color="DDDDDD" w:sz="1"/>
              <w:right w:val="single" w:color="DDDDDD" w:sz="1"/>
            </w:tcBorders>
            <w:shd w:fill="FFFFFF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2C2826"/>
                <w:sz w:val="28"/>
                <w:szCs w:val="28"/>
              </w:rPr>
              <w:t xml:space="preserve">De Villiers</w:t>
            </w:r>
          </w:p>
          <w:p>
            <w:pPr>
              <w:spacing w:before="40" w:after="80"/>
            </w:pPr>
            <w:r>
              <w:rPr>
                <w:rFonts w:ascii="Calibri" w:cs="Calibri" w:eastAsia="Calibri" w:hAnsi="Calibri"/>
                <w:color w:val="8C7B75"/>
                <w:sz w:val="18"/>
                <w:szCs w:val="18"/>
              </w:rPr>
              <w:t xml:space="preserve">Founder  ·  SnapGrowth</w:t>
            </w:r>
          </w:p>
          <w:p>
            <w:pPr>
              <w:spacing w:before="0" w:after="0"/>
            </w:pPr>
            <w:r>
              <w:rPr>
                <w:rFonts w:ascii="Calibri" w:cs="Calibri" w:eastAsia="Calibri" w:hAnsi="Calibri"/>
                <w:color w:val="E5503F"/>
                <w:sz w:val="16"/>
                <w:szCs w:val="16"/>
              </w:rPr>
              <w:t xml:space="preserve">————————</w:t>
            </w:r>
          </w:p>
          <w:p>
            <w:pPr>
              <w:spacing w:before="80" w:after="20"/>
            </w:pPr>
            <w:r>
              <w:rPr>
                <w:rFonts w:ascii="Calibri" w:cs="Calibri" w:eastAsia="Calibri" w:hAnsi="Calibri"/>
                <w:color w:val="2C2826"/>
                <w:sz w:val="18"/>
                <w:szCs w:val="18"/>
              </w:rPr>
              <w:t xml:space="preserve">📧  dv@snapgrowth.ai</w:t>
            </w:r>
          </w:p>
          <w:p>
            <w:pPr>
              <w:spacing w:before="0" w:after="20"/>
            </w:pPr>
            <w:r>
              <w:rPr>
                <w:rFonts w:ascii="Calibri" w:cs="Calibri" w:eastAsia="Calibri" w:hAnsi="Calibri"/>
                <w:color w:val="E5503F"/>
                <w:sz w:val="18"/>
                <w:szCs w:val="18"/>
              </w:rPr>
              <w:t xml:space="preserve">🌐  snapgrowth.ai</w:t>
            </w:r>
          </w:p>
          <w:p>
            <w:pPr>
              <w:spacing w:before="0" w:after="80"/>
            </w:pPr>
            <w:r>
              <w:rPr>
                <w:rFonts w:ascii="Calibri" w:cs="Calibri" w:eastAsia="Calibri" w:hAnsi="Calibri"/>
                <w:color w:val="E5503F"/>
                <w:sz w:val="18"/>
                <w:szCs w:val="18"/>
              </w:rPr>
              <w:t xml:space="preserve">📅  Book a call</w:t>
            </w:r>
          </w:p>
          <w:p>
            <w:pPr>
              <w:spacing w:before="0" w:after="40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Georgia" w:cs="Georgia" w:eastAsia="Georgia" w:hAnsi="Georgia"/>
                <w:b/>
                <w:bCs/>
                <w:color w:val="2C2826"/>
                <w:sz w:val="18"/>
                <w:szCs w:val="18"/>
              </w:rPr>
              <w:t xml:space="preserve">  SnapGrowth  ·  </w:t>
            </w:r>
            <w:r>
              <w:rPr>
                <w:rFonts w:ascii="Georgia" w:cs="Georgia" w:eastAsia="Georgia" w:hAnsi="Georgia"/>
                <w:i/>
                <w:iCs/>
                <w:color w:val="8C7B75"/>
                <w:sz w:val="18"/>
                <w:szCs w:val="18"/>
              </w:rPr>
              <w:t xml:space="preserve">Meetings that snap into place.</w:t>
            </w:r>
          </w:p>
        </w:tc>
      </w:tr>
    </w:tbl>
    <w:p>
      <w:pPr>
        <w:spacing w:before="200" w:after="0"/>
      </w:pPr>
      <w:r>
        <w:t xml:space="preserve"/>
      </w:r>
    </w:p>
    <w:p>
      <w:pPr>
        <w:pStyle w:val="Heading2"/>
        <w:spacing w:before="280" w:after="140"/>
      </w:pPr>
      <w:r>
        <w:rPr>
          <w:rFonts w:ascii="Georgia" w:cs="Georgia" w:eastAsia="Georgia" w:hAnsi="Georgia"/>
          <w:b/>
          <w:bCs/>
          <w:color w:val="E5503F"/>
          <w:sz w:val="28"/>
          <w:szCs w:val="28"/>
        </w:rPr>
        <w:t xml:space="preserve">Brand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C282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Brand name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SnapGrowth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snapgrowth.ai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Primary gradient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Coral #FF6B5E → Amber #FFAB5E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Cream #FFF8F3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Display font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Georgia (Bold headlines, Italic emphasis)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Body font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Calibri (Light / Regular / Medium)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Tagline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C2826"/>
                <w:sz w:val="20"/>
                <w:szCs w:val="20"/>
              </w:rPr>
              <w:t xml:space="preserve">“Meetings that snap into place. Guaranteed.”</w:t>
            </w:r>
          </w:p>
        </w:tc>
      </w:tr>
      <w:tr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C2826"/>
                <w:sz w:val="20"/>
                <w:szCs w:val="20"/>
              </w:rPr>
              <w:t xml:space="preserve">Initiative</w:t>
            </w:r>
          </w:p>
        </w:tc>
        <w:tc>
          <w:tcPr>
            <w:tcW w:type="dxa" w:w="4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8F3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C2826"/>
                <w:sz w:val="20"/>
                <w:szCs w:val="20"/>
              </w:rPr>
              <w:t xml:space="preserve">JigsawAI · De Villiers (Lead) · Marinus (Collaborator)</w:t>
            </w:r>
          </w:p>
        </w:tc>
      </w:tr>
    </w:tbl>
    <w:p>
      <w:pPr>
        <w:spacing w:before="200" w:after="0"/>
      </w:pPr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503F" w:sz="6"/>
      </w:pBdr>
      <w:tabs>
        <w:tab w:val="right" w:pos="9026"/>
      </w:tabs>
    </w:pPr>
    <w:r>
      <w:rPr>
        <w:rFonts w:ascii="Calibri" w:cs="Calibri" w:eastAsia="Calibri" w:hAnsi="Calibri"/>
        <w:color w:val="C4B5AF"/>
        <w:sz w:val="16"/>
        <w:szCs w:val="16"/>
      </w:rPr>
      <w:t xml:space="preserve">March 2026  |  JigsawAI Initiative  |  De Villiers (Lead)  |  Marinus (Collaborator)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503F" w:sz="6"/>
      </w:pBdr>
      <w:tabs>
        <w:tab w:val="right" w:pos="9026"/>
      </w:tabs>
    </w:pPr>
    <w:r>
      <w:rPr>
        <w:rFonts w:ascii="Calibri" w:cs="Calibri" w:eastAsia="Calibri" w:hAnsi="Calibri"/>
        <w:color w:val="C4B5AF"/>
        <w:sz w:val="16"/>
        <w:szCs w:val="16"/>
      </w:rPr>
      <w:t xml:space="preserve">SNAPGROWTH  |  Brand Guidelines V1.0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Georgia" w:cs="Georgia" w:eastAsia="Georgia" w:hAnsi="Georgia"/>
      <w:b/>
      <w:bCs/>
      <w:color w:val="2C2826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Georgia" w:cs="Georgia" w:eastAsia="Georgia" w:hAnsi="Georgia"/>
      <w:b/>
      <w:bCs/>
      <w:color w:val="E5503F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Georgia" w:cs="Georgia" w:eastAsia="Georgia" w:hAnsi="Georgia"/>
      <w:b/>
      <w:bCs/>
      <w:color w:val="2C282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09aaeb50b0a737e0e66c7da0b3687a78bf898d7.png"/><Relationship Id="rId9" Type="http://schemas.openxmlformats.org/officeDocument/2006/relationships/image" Target="media/b4b0d8b587cd270d296772811738cc14c5343ed1.png"/><Relationship Id="rId10" Type="http://schemas.openxmlformats.org/officeDocument/2006/relationships/image" Target="media/9f3c81bd3d719cf33fdf8eadf4a87c1a0753193d.png"/><Relationship Id="rId11" Type="http://schemas.openxmlformats.org/officeDocument/2006/relationships/image" Target="media/9ee66af5060cbfe7374d701858c737b6f9b6bb41.png"/><Relationship Id="rId12" Type="http://schemas.openxmlformats.org/officeDocument/2006/relationships/image" Target="media/527ff3f6bc26ecb47ba6ec600437be4ad80d8aa1.png"/><Relationship Id="rId13" Type="http://schemas.openxmlformats.org/officeDocument/2006/relationships/image" Target="media/b1a75e0d67a11ed8a3f7afcde99be861f41b9d38.png"/><Relationship Id="rId14" Type="http://schemas.openxmlformats.org/officeDocument/2006/relationships/image" Target="media/1254c32866bd0ed607309ddc590cd74d3128aaea.png"/><Relationship Id="rId15" Type="http://schemas.openxmlformats.org/officeDocument/2006/relationships/image" Target="media/5c4067862925685a9353864a878c821a9435e6cd.png"/><Relationship Id="rId16" Type="http://schemas.openxmlformats.org/officeDocument/2006/relationships/image" Target="media/3b83e7acaca1c5b8da06ce7c600376714536b97d.png"/><Relationship Id="rId17" Type="http://schemas.openxmlformats.org/officeDocument/2006/relationships/image" Target="media/354c4d53f1c9f02c4ff1792cc20f7a69769518a5.png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2026-03-25T06:46:36.676Z</dcterms:created>
  <dcterms:modified xsi:type="dcterms:W3CDTF">2026-03-25T06:46:36.677Z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