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43FBE" w14:textId="1A602438" w:rsidR="008D18B1" w:rsidRPr="002B62FC" w:rsidRDefault="003E2287" w:rsidP="008C277E">
      <w:pPr>
        <w:pStyle w:val="ListParagraph"/>
        <w:numPr>
          <w:ilvl w:val="0"/>
          <w:numId w:val="1"/>
        </w:numPr>
        <w:spacing w:line="360" w:lineRule="auto"/>
        <w:rPr>
          <w:rFonts w:ascii="Times New Roman" w:hAnsi="Times New Roman" w:cs="Times New Roman"/>
        </w:rPr>
      </w:pPr>
      <w:r w:rsidRPr="008C277E">
        <w:rPr>
          <w:rFonts w:ascii="Times New Roman" w:hAnsi="Times New Roman" w:cs="Times New Roman"/>
        </w:rPr>
        <w:t>Statistical analysis</w:t>
      </w:r>
    </w:p>
    <w:p w14:paraId="0F37131A" w14:textId="77777777" w:rsidR="002B62FC" w:rsidRDefault="003E2287" w:rsidP="008C277E">
      <w:pPr>
        <w:spacing w:line="360" w:lineRule="auto"/>
        <w:rPr>
          <w:rFonts w:ascii="Times New Roman" w:hAnsi="Times New Roman" w:cs="Times New Roman"/>
        </w:rPr>
      </w:pPr>
      <w:r w:rsidRPr="008C277E">
        <w:rPr>
          <w:rFonts w:ascii="Times New Roman" w:hAnsi="Times New Roman" w:cs="Times New Roman"/>
        </w:rPr>
        <w:t xml:space="preserve">All statistical analyses </w:t>
      </w:r>
      <w:r w:rsidRPr="008C277E">
        <w:rPr>
          <w:rFonts w:ascii="Times New Roman" w:hAnsi="Times New Roman" w:cs="Times New Roman"/>
        </w:rPr>
        <w:t>were</w:t>
      </w:r>
      <w:r w:rsidRPr="008C277E">
        <w:rPr>
          <w:rFonts w:ascii="Times New Roman" w:hAnsi="Times New Roman" w:cs="Times New Roman"/>
        </w:rPr>
        <w:t xml:space="preserve"> conducted in R (v</w:t>
      </w:r>
      <w:r w:rsidRPr="008C277E">
        <w:rPr>
          <w:rFonts w:ascii="Times New Roman" w:hAnsi="Times New Roman" w:cs="Times New Roman"/>
        </w:rPr>
        <w:t xml:space="preserve"> </w:t>
      </w:r>
      <w:r w:rsidRPr="008C277E">
        <w:rPr>
          <w:rFonts w:ascii="Times New Roman" w:hAnsi="Times New Roman" w:cs="Times New Roman"/>
        </w:rPr>
        <w:t>4.</w:t>
      </w:r>
      <w:r w:rsidRPr="008C277E">
        <w:rPr>
          <w:rFonts w:ascii="Times New Roman" w:hAnsi="Times New Roman" w:cs="Times New Roman"/>
        </w:rPr>
        <w:t>4</w:t>
      </w:r>
      <w:r w:rsidRPr="008C277E">
        <w:rPr>
          <w:rFonts w:ascii="Times New Roman" w:hAnsi="Times New Roman" w:cs="Times New Roman"/>
        </w:rPr>
        <w:t>.</w:t>
      </w:r>
      <w:r w:rsidRPr="008C277E">
        <w:rPr>
          <w:rFonts w:ascii="Times New Roman" w:hAnsi="Times New Roman" w:cs="Times New Roman"/>
        </w:rPr>
        <w:t>2</w:t>
      </w:r>
      <w:r w:rsidRPr="008C277E">
        <w:rPr>
          <w:rFonts w:ascii="Times New Roman" w:hAnsi="Times New Roman" w:cs="Times New Roman"/>
        </w:rPr>
        <w:t>;</w:t>
      </w:r>
      <w:r w:rsidRPr="008C277E">
        <w:rPr>
          <w:rFonts w:ascii="Times New Roman" w:hAnsi="Times New Roman" w:cs="Times New Roman"/>
        </w:rPr>
        <w:t xml:space="preserve"> </w:t>
      </w:r>
      <w:r w:rsidRPr="008C277E">
        <w:rPr>
          <w:rFonts w:ascii="Times New Roman" w:hAnsi="Times New Roman" w:cs="Times New Roman"/>
        </w:rPr>
        <w:t>R</w:t>
      </w:r>
      <w:r w:rsidRPr="008C277E">
        <w:rPr>
          <w:rFonts w:ascii="Times New Roman" w:hAnsi="Times New Roman" w:cs="Times New Roman"/>
        </w:rPr>
        <w:t xml:space="preserve"> </w:t>
      </w:r>
      <w:r w:rsidRPr="008C277E">
        <w:rPr>
          <w:rFonts w:ascii="Times New Roman" w:hAnsi="Times New Roman" w:cs="Times New Roman"/>
        </w:rPr>
        <w:t>Core</w:t>
      </w:r>
      <w:r w:rsidRPr="008C277E">
        <w:rPr>
          <w:rFonts w:ascii="Times New Roman" w:hAnsi="Times New Roman" w:cs="Times New Roman"/>
        </w:rPr>
        <w:t xml:space="preserve"> </w:t>
      </w:r>
      <w:r w:rsidRPr="008C277E">
        <w:rPr>
          <w:rFonts w:ascii="Times New Roman" w:hAnsi="Times New Roman" w:cs="Times New Roman"/>
        </w:rPr>
        <w:t>Team,</w:t>
      </w:r>
      <w:r w:rsidRPr="008C277E">
        <w:rPr>
          <w:rFonts w:ascii="Times New Roman" w:hAnsi="Times New Roman" w:cs="Times New Roman"/>
        </w:rPr>
        <w:t xml:space="preserve"> </w:t>
      </w:r>
      <w:hyperlink r:id="rId5" w:history="1">
        <w:r w:rsidRPr="008C277E">
          <w:rPr>
            <w:rStyle w:val="Hyperlink"/>
            <w:rFonts w:ascii="Times New Roman" w:hAnsi="Times New Roman" w:cs="Times New Roman"/>
          </w:rPr>
          <w:t>https://www.r-project.org/</w:t>
        </w:r>
      </w:hyperlink>
      <w:r w:rsidRPr="008C277E">
        <w:rPr>
          <w:rFonts w:ascii="Times New Roman" w:hAnsi="Times New Roman" w:cs="Times New Roman"/>
        </w:rPr>
        <w:t>)</w:t>
      </w:r>
      <w:r w:rsidRPr="008C277E">
        <w:rPr>
          <w:rFonts w:ascii="Times New Roman" w:hAnsi="Times New Roman" w:cs="Times New Roman"/>
        </w:rPr>
        <w:t xml:space="preserve"> </w:t>
      </w:r>
      <w:r w:rsidRPr="008C277E">
        <w:rPr>
          <w:rFonts w:ascii="Times New Roman" w:hAnsi="Times New Roman" w:cs="Times New Roman"/>
        </w:rPr>
        <w:t>within a Bayesian framework</w:t>
      </w:r>
      <w:r w:rsidR="008D18B1">
        <w:rPr>
          <w:rFonts w:ascii="Times New Roman" w:hAnsi="Times New Roman" w:cs="Times New Roman"/>
        </w:rPr>
        <w:t xml:space="preserve"> </w:t>
      </w:r>
      <w:r w:rsidRPr="008C277E">
        <w:rPr>
          <w:rFonts w:ascii="Times New Roman" w:hAnsi="Times New Roman" w:cs="Times New Roman"/>
        </w:rPr>
        <w:t xml:space="preserve">using the “brms” package interfaced with Stan to perform </w:t>
      </w:r>
      <w:r w:rsidRPr="008C277E">
        <w:rPr>
          <w:rFonts w:ascii="Times New Roman" w:hAnsi="Times New Roman" w:cs="Times New Roman"/>
        </w:rPr>
        <w:t>sampling (</w:t>
      </w:r>
      <w:proofErr w:type="spellStart"/>
      <w:r w:rsidRPr="008C277E">
        <w:rPr>
          <w:rFonts w:ascii="Times New Roman" w:hAnsi="Times New Roman" w:cs="Times New Roman"/>
        </w:rPr>
        <w:t>Bürkner</w:t>
      </w:r>
      <w:proofErr w:type="spellEnd"/>
      <w:r w:rsidRPr="008C277E">
        <w:rPr>
          <w:rFonts w:ascii="Times New Roman" w:hAnsi="Times New Roman" w:cs="Times New Roman"/>
        </w:rPr>
        <w:t>, 2023).</w:t>
      </w:r>
      <w:r w:rsidRPr="008C277E">
        <w:rPr>
          <w:rFonts w:ascii="Times New Roman" w:hAnsi="Times New Roman" w:cs="Times New Roman"/>
        </w:rPr>
        <w:t xml:space="preserve"> </w:t>
      </w:r>
      <w:r w:rsidR="008D18B1" w:rsidRPr="008D18B1">
        <w:rPr>
          <w:rFonts w:ascii="Times New Roman" w:hAnsi="Times New Roman" w:cs="Times New Roman"/>
        </w:rPr>
        <w:t>Instead of dichotomizing findings through null hypothesis significance testing, which has been widely critiqued</w:t>
      </w:r>
      <w:r w:rsidR="008D18B1">
        <w:rPr>
          <w:rFonts w:ascii="Times New Roman" w:hAnsi="Times New Roman" w:cs="Times New Roman"/>
        </w:rPr>
        <w:t xml:space="preserve"> (</w:t>
      </w:r>
      <w:r w:rsidR="008D18B1" w:rsidRPr="008C277E">
        <w:rPr>
          <w:rFonts w:ascii="Times New Roman" w:hAnsi="Times New Roman" w:cs="Times New Roman"/>
        </w:rPr>
        <w:t>Amrhein</w:t>
      </w:r>
      <w:r w:rsidR="008D18B1">
        <w:rPr>
          <w:rFonts w:ascii="Times New Roman" w:hAnsi="Times New Roman" w:cs="Times New Roman"/>
        </w:rPr>
        <w:t xml:space="preserve">, 2019), </w:t>
      </w:r>
      <w:r w:rsidR="008D18B1" w:rsidRPr="008D18B1">
        <w:rPr>
          <w:rFonts w:ascii="Times New Roman" w:hAnsi="Times New Roman" w:cs="Times New Roman"/>
        </w:rPr>
        <w:t>we adopted an estimation-based approach. Each model was fit using non-informative priors (default “brms” priors) and employed four Hamiltonian Monte Carlo Markov Chains with 2000 warmup and 2000 sampling iterations. Posterior predictive checks and trace plots were visually inspected to ensure model validity and convergence</w:t>
      </w:r>
      <w:r w:rsidR="008D18B1">
        <w:rPr>
          <w:rFonts w:ascii="Times New Roman" w:hAnsi="Times New Roman" w:cs="Times New Roman"/>
        </w:rPr>
        <w:t xml:space="preserve"> before extracting any estimates</w:t>
      </w:r>
      <w:r w:rsidR="008D18B1" w:rsidRPr="008D18B1">
        <w:rPr>
          <w:rFonts w:ascii="Times New Roman" w:hAnsi="Times New Roman" w:cs="Times New Roman"/>
        </w:rPr>
        <w:t>.</w:t>
      </w:r>
      <w:r w:rsidR="008D18B1">
        <w:rPr>
          <w:rFonts w:ascii="Times New Roman" w:hAnsi="Times New Roman" w:cs="Times New Roman"/>
        </w:rPr>
        <w:t xml:space="preserve"> </w:t>
      </w:r>
    </w:p>
    <w:p w14:paraId="7527C02A" w14:textId="6066910C" w:rsidR="002B62FC" w:rsidRDefault="002B62FC" w:rsidP="002B62FC">
      <w:pPr>
        <w:spacing w:line="360" w:lineRule="auto"/>
        <w:rPr>
          <w:rFonts w:ascii="Times New Roman" w:hAnsi="Times New Roman" w:cs="Times New Roman"/>
        </w:rPr>
      </w:pPr>
      <w:r>
        <w:rPr>
          <w:rFonts w:ascii="Times New Roman" w:hAnsi="Times New Roman" w:cs="Times New Roman"/>
        </w:rPr>
        <w:t>For our primary outcome (i.e., change in muscle thickness), a linear mixed-effects model was generated t</w:t>
      </w:r>
      <w:r w:rsidRPr="00FF7065">
        <w:rPr>
          <w:rFonts w:ascii="Times New Roman" w:hAnsi="Times New Roman" w:cs="Times New Roman"/>
        </w:rPr>
        <w:t>o assess mean</w:t>
      </w:r>
      <w:r>
        <w:rPr>
          <w:rFonts w:ascii="Times New Roman" w:hAnsi="Times New Roman" w:cs="Times New Roman"/>
        </w:rPr>
        <w:t xml:space="preserve"> </w:t>
      </w:r>
      <w:r w:rsidRPr="00FF7065">
        <w:rPr>
          <w:rFonts w:ascii="Times New Roman" w:hAnsi="Times New Roman" w:cs="Times New Roman"/>
        </w:rPr>
        <w:t xml:space="preserve">differences in outcome measures between </w:t>
      </w:r>
      <w:r>
        <w:rPr>
          <w:rFonts w:ascii="Times New Roman" w:hAnsi="Times New Roman" w:cs="Times New Roman"/>
        </w:rPr>
        <w:t>conditions at two</w:t>
      </w:r>
      <w:r w:rsidR="00427B8E">
        <w:rPr>
          <w:rFonts w:ascii="Times New Roman" w:hAnsi="Times New Roman" w:cs="Times New Roman"/>
        </w:rPr>
        <w:t xml:space="preserve"> muscle</w:t>
      </w:r>
      <w:r>
        <w:rPr>
          <w:rFonts w:ascii="Times New Roman" w:hAnsi="Times New Roman" w:cs="Times New Roman"/>
        </w:rPr>
        <w:t xml:space="preserve"> regions - mid-thigh and side-thigh individually, as well as the interaction of condition and </w:t>
      </w:r>
      <w:r w:rsidR="00427B8E">
        <w:rPr>
          <w:rFonts w:ascii="Times New Roman" w:hAnsi="Times New Roman" w:cs="Times New Roman"/>
        </w:rPr>
        <w:t xml:space="preserve">measurement </w:t>
      </w:r>
      <w:r>
        <w:rPr>
          <w:rFonts w:ascii="Times New Roman" w:hAnsi="Times New Roman" w:cs="Times New Roman"/>
        </w:rPr>
        <w:t>site within each muscle region. Models were adjusted for the baseline values of the muscle thickness mimicking an analysis of covariance (i.e., ANCOVA). Specifically, each model included condition and the interaction between condition and site as fixed effects, and as each model contained multiple observations, participants were added as random intercepts.</w:t>
      </w:r>
    </w:p>
    <w:p w14:paraId="2E545AAF" w14:textId="41D29DDD" w:rsidR="002B62FC" w:rsidRDefault="002B62FC" w:rsidP="008C277E">
      <w:pPr>
        <w:spacing w:line="360" w:lineRule="auto"/>
        <w:rPr>
          <w:rFonts w:ascii="Times New Roman" w:hAnsi="Times New Roman" w:cs="Times New Roman"/>
        </w:rPr>
      </w:pPr>
      <w:r>
        <w:rPr>
          <w:rFonts w:ascii="Times New Roman" w:hAnsi="Times New Roman" w:cs="Times New Roman"/>
        </w:rPr>
        <w:t xml:space="preserve">To compare longitudinal trend of fatigue between sets, weeks and conditions, a linear mixed-effects model was generated. Peak torque values were standardized to a z-score via the following equation: </w:t>
      </w:r>
      <m:oMath>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(Torque-</m:t>
            </m:r>
            <m:sSub>
              <m:sSubPr>
                <m:ctrlPr>
                  <w:rPr>
                    <w:rFonts w:ascii="Cambria Math" w:hAnsi="Cambria Math" w:cs="Times New Roman"/>
                    <w:i/>
                  </w:rPr>
                </m:ctrlPr>
              </m:sSubPr>
              <m:e>
                <m:r>
                  <w:rPr>
                    <w:rFonts w:ascii="Cambria Math" w:hAnsi="Cambria Math" w:cs="Times New Roman"/>
                  </w:rPr>
                  <m:t>firstSet</m:t>
                </m:r>
              </m:e>
              <m:sub>
                <m:r>
                  <w:rPr>
                    <w:rFonts w:ascii="Cambria Math" w:hAnsi="Cambria Math" w:cs="Times New Roman"/>
                  </w:rPr>
                  <m:t>torque</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firstSet</m:t>
                </m:r>
              </m:e>
              <m:sub>
                <m:r>
                  <w:rPr>
                    <w:rFonts w:ascii="Cambria Math" w:hAnsi="Cambria Math" w:cs="Times New Roman"/>
                  </w:rPr>
                  <m:t>SD</m:t>
                </m:r>
              </m:sub>
            </m:sSub>
          </m:den>
        </m:f>
      </m:oMath>
      <w:r>
        <w:rPr>
          <w:rFonts w:ascii="Times New Roman" w:hAnsi="Times New Roman" w:cs="Times New Roman"/>
        </w:rPr>
        <w:t>. The fixed effects included set number, week, and the interaction between set number and condition, and the interaction between set number and week. Participants were added as r</w:t>
      </w:r>
      <w:r w:rsidRPr="002B62FC">
        <w:rPr>
          <w:rFonts w:ascii="Times New Roman" w:hAnsi="Times New Roman" w:cs="Times New Roman"/>
        </w:rPr>
        <w:t>andom intercepts</w:t>
      </w:r>
      <w:r>
        <w:rPr>
          <w:rFonts w:ascii="Times New Roman" w:hAnsi="Times New Roman" w:cs="Times New Roman"/>
        </w:rPr>
        <w:t xml:space="preserve">, </w:t>
      </w:r>
      <w:r w:rsidRPr="002B62FC">
        <w:rPr>
          <w:rFonts w:ascii="Times New Roman" w:hAnsi="Times New Roman" w:cs="Times New Roman"/>
        </w:rPr>
        <w:t>and random slopes were included for the effects of set number, set number by condition, week, and set number by week interactions.</w:t>
      </w:r>
    </w:p>
    <w:p w14:paraId="11ABC263" w14:textId="3FB574AC" w:rsidR="008B075E" w:rsidRDefault="008D18B1" w:rsidP="008C277E">
      <w:pPr>
        <w:spacing w:line="360" w:lineRule="auto"/>
        <w:rPr>
          <w:rFonts w:ascii="Times New Roman" w:hAnsi="Times New Roman" w:cs="Times New Roman"/>
        </w:rPr>
      </w:pPr>
      <w:r w:rsidRPr="008D18B1">
        <w:rPr>
          <w:rFonts w:ascii="Times New Roman" w:hAnsi="Times New Roman" w:cs="Times New Roman"/>
        </w:rPr>
        <w:t>Posterior draws were extracted using the “</w:t>
      </w:r>
      <w:proofErr w:type="spellStart"/>
      <w:r w:rsidRPr="008D18B1">
        <w:rPr>
          <w:rFonts w:ascii="Times New Roman" w:hAnsi="Times New Roman" w:cs="Times New Roman"/>
        </w:rPr>
        <w:t>tidybayes</w:t>
      </w:r>
      <w:proofErr w:type="spellEnd"/>
      <w:r w:rsidRPr="008D18B1">
        <w:rPr>
          <w:rFonts w:ascii="Times New Roman" w:hAnsi="Times New Roman" w:cs="Times New Roman"/>
        </w:rPr>
        <w:t>” package (Kay, 2023), and estimated marginal effects were calculated using the “</w:t>
      </w:r>
      <w:proofErr w:type="spellStart"/>
      <w:r w:rsidRPr="008D18B1">
        <w:rPr>
          <w:rFonts w:ascii="Times New Roman" w:hAnsi="Times New Roman" w:cs="Times New Roman"/>
        </w:rPr>
        <w:t>emmeans</w:t>
      </w:r>
      <w:proofErr w:type="spellEnd"/>
      <w:r w:rsidRPr="008D18B1">
        <w:rPr>
          <w:rFonts w:ascii="Times New Roman" w:hAnsi="Times New Roman" w:cs="Times New Roman"/>
        </w:rPr>
        <w:t>” package (Lenth, 2023).</w:t>
      </w:r>
      <w:r>
        <w:rPr>
          <w:rFonts w:ascii="Times New Roman" w:hAnsi="Times New Roman" w:cs="Times New Roman"/>
        </w:rPr>
        <w:t xml:space="preserve"> </w:t>
      </w:r>
      <w:r w:rsidR="00427B8E">
        <w:rPr>
          <w:rFonts w:ascii="Times New Roman" w:hAnsi="Times New Roman" w:cs="Times New Roman"/>
        </w:rPr>
        <w:t>Inferences for all analyses were made on p</w:t>
      </w:r>
      <w:r w:rsidRPr="008D18B1">
        <w:rPr>
          <w:rFonts w:ascii="Times New Roman" w:hAnsi="Times New Roman" w:cs="Times New Roman"/>
        </w:rPr>
        <w:t>osterior distributions</w:t>
      </w:r>
      <w:r w:rsidR="00427B8E">
        <w:rPr>
          <w:rFonts w:ascii="Times New Roman" w:hAnsi="Times New Roman" w:cs="Times New Roman"/>
        </w:rPr>
        <w:t xml:space="preserve">, </w:t>
      </w:r>
      <w:r w:rsidRPr="008D18B1">
        <w:rPr>
          <w:rFonts w:ascii="Times New Roman" w:hAnsi="Times New Roman" w:cs="Times New Roman"/>
        </w:rPr>
        <w:t>summarized using point estimates (posterior means) and their associated 95% high-density credible intervals (</w:t>
      </w:r>
      <w:r w:rsidR="0009280D">
        <w:rPr>
          <w:rFonts w:ascii="Times New Roman" w:hAnsi="Times New Roman" w:cs="Times New Roman"/>
        </w:rPr>
        <w:t xml:space="preserve">95% </w:t>
      </w:r>
      <w:r w:rsidRPr="008D18B1">
        <w:rPr>
          <w:rFonts w:ascii="Times New Roman" w:hAnsi="Times New Roman" w:cs="Times New Roman"/>
        </w:rPr>
        <w:t>HDI)</w:t>
      </w:r>
      <w:r w:rsidR="00427B8E">
        <w:rPr>
          <w:rFonts w:ascii="Times New Roman" w:hAnsi="Times New Roman" w:cs="Times New Roman"/>
        </w:rPr>
        <w:t xml:space="preserve">. </w:t>
      </w:r>
      <w:r>
        <w:rPr>
          <w:rFonts w:ascii="Times New Roman" w:hAnsi="Times New Roman" w:cs="Times New Roman"/>
        </w:rPr>
        <w:t xml:space="preserve">We </w:t>
      </w:r>
      <w:r w:rsidRPr="008D18B1">
        <w:rPr>
          <w:rFonts w:ascii="Times New Roman" w:hAnsi="Times New Roman" w:cs="Times New Roman"/>
        </w:rPr>
        <w:t xml:space="preserve">compared the posterior distributions to a region of practical equivalence (ROPE), defined by the typical error </w:t>
      </w:r>
      <w:r w:rsidR="0009280D">
        <w:rPr>
          <w:rFonts w:ascii="Times New Roman" w:hAnsi="Times New Roman" w:cs="Times New Roman"/>
        </w:rPr>
        <w:t xml:space="preserve">(TE) </w:t>
      </w:r>
      <w:r w:rsidRPr="008D18B1">
        <w:rPr>
          <w:rFonts w:ascii="Times New Roman" w:hAnsi="Times New Roman" w:cs="Times New Roman"/>
        </w:rPr>
        <w:t xml:space="preserve">of measurement (REF). </w:t>
      </w:r>
      <w:r w:rsidR="002B62FC">
        <w:rPr>
          <w:rFonts w:ascii="Times New Roman" w:hAnsi="Times New Roman" w:cs="Times New Roman"/>
        </w:rPr>
        <w:t>All of the R code for the statistical analyses used can be found on the Open Science Framework (REF).</w:t>
      </w:r>
    </w:p>
    <w:p w14:paraId="6D8C76B9" w14:textId="77E3DAF2" w:rsidR="00670E35" w:rsidRDefault="00670E35" w:rsidP="00670E35">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Results</w:t>
      </w:r>
    </w:p>
    <w:p w14:paraId="4B5F6708" w14:textId="2CFAAB82" w:rsidR="00C635BC" w:rsidRPr="00C635BC" w:rsidRDefault="00C635BC" w:rsidP="00C635BC">
      <w:pPr>
        <w:pStyle w:val="ListParagraph"/>
        <w:numPr>
          <w:ilvl w:val="1"/>
          <w:numId w:val="1"/>
        </w:numPr>
        <w:spacing w:line="360" w:lineRule="auto"/>
        <w:rPr>
          <w:rFonts w:ascii="Times New Roman" w:hAnsi="Times New Roman" w:cs="Times New Roman"/>
          <w:i/>
          <w:iCs/>
        </w:rPr>
      </w:pPr>
      <w:r w:rsidRPr="00C635BC">
        <w:rPr>
          <w:rFonts w:ascii="Times New Roman" w:hAnsi="Times New Roman" w:cs="Times New Roman"/>
          <w:i/>
          <w:iCs/>
        </w:rPr>
        <w:t xml:space="preserve">Overall muscle thickness </w:t>
      </w:r>
    </w:p>
    <w:p w14:paraId="09C9B4A5" w14:textId="4EA69A56" w:rsidR="00996331" w:rsidRDefault="00670E35" w:rsidP="00C635BC">
      <w:pPr>
        <w:spacing w:line="360" w:lineRule="auto"/>
        <w:ind w:left="360"/>
        <w:rPr>
          <w:rFonts w:ascii="Times New Roman" w:hAnsi="Times New Roman" w:cs="Times New Roman"/>
        </w:rPr>
      </w:pPr>
      <w:r>
        <w:rPr>
          <w:rFonts w:ascii="Times New Roman" w:hAnsi="Times New Roman" w:cs="Times New Roman"/>
        </w:rPr>
        <w:t>Raw mid-thigh and side-thigh muscle thickness</w:t>
      </w:r>
      <w:r w:rsidR="00F87323">
        <w:rPr>
          <w:rFonts w:ascii="Times New Roman" w:hAnsi="Times New Roman" w:cs="Times New Roman"/>
        </w:rPr>
        <w:t xml:space="preserve"> (average of three measurement sites)</w:t>
      </w:r>
      <w:r>
        <w:rPr>
          <w:rFonts w:ascii="Times New Roman" w:hAnsi="Times New Roman" w:cs="Times New Roman"/>
        </w:rPr>
        <w:t xml:space="preserve"> </w:t>
      </w:r>
      <w:r w:rsidR="00F87323">
        <w:rPr>
          <w:rFonts w:ascii="Times New Roman" w:hAnsi="Times New Roman" w:cs="Times New Roman"/>
        </w:rPr>
        <w:t xml:space="preserve">changes from pre-post intervention </w:t>
      </w:r>
      <w:r>
        <w:rPr>
          <w:rFonts w:ascii="Times New Roman" w:hAnsi="Times New Roman" w:cs="Times New Roman"/>
        </w:rPr>
        <w:t>can be found in Figure XX. Estimates of posterior distributions suggest similar increases mid-thigh muscle thickness for ISOM [1.11 mm (</w:t>
      </w:r>
      <w:r w:rsidR="00996331">
        <w:rPr>
          <w:rFonts w:ascii="Times New Roman" w:hAnsi="Times New Roman" w:cs="Times New Roman"/>
        </w:rPr>
        <w:t>95% HDI</w:t>
      </w:r>
      <w:r>
        <w:rPr>
          <w:rFonts w:ascii="Times New Roman" w:hAnsi="Times New Roman" w:cs="Times New Roman"/>
        </w:rPr>
        <w:t>: -0.09</w:t>
      </w:r>
      <w:r w:rsidR="00996331">
        <w:rPr>
          <w:rFonts w:ascii="Times New Roman" w:hAnsi="Times New Roman" w:cs="Times New Roman"/>
        </w:rPr>
        <w:t xml:space="preserve">, </w:t>
      </w:r>
      <w:r>
        <w:rPr>
          <w:rFonts w:ascii="Times New Roman" w:hAnsi="Times New Roman" w:cs="Times New Roman"/>
        </w:rPr>
        <w:t>2.32)] and DYN [0.435</w:t>
      </w:r>
      <w:r>
        <w:rPr>
          <w:rFonts w:ascii="Times New Roman" w:hAnsi="Times New Roman" w:cs="Times New Roman"/>
        </w:rPr>
        <w:t xml:space="preserve"> mm (</w:t>
      </w:r>
      <w:r w:rsidR="00996331">
        <w:rPr>
          <w:rFonts w:ascii="Times New Roman" w:hAnsi="Times New Roman" w:cs="Times New Roman"/>
        </w:rPr>
        <w:t xml:space="preserve">95% </w:t>
      </w:r>
      <w:r>
        <w:rPr>
          <w:rFonts w:ascii="Times New Roman" w:hAnsi="Times New Roman" w:cs="Times New Roman"/>
        </w:rPr>
        <w:t>HDI: -</w:t>
      </w:r>
      <w:r>
        <w:rPr>
          <w:rFonts w:ascii="Times New Roman" w:hAnsi="Times New Roman" w:cs="Times New Roman"/>
        </w:rPr>
        <w:t>0.724</w:t>
      </w:r>
      <w:r w:rsidR="00996331">
        <w:rPr>
          <w:rFonts w:ascii="Times New Roman" w:hAnsi="Times New Roman" w:cs="Times New Roman"/>
        </w:rPr>
        <w:t xml:space="preserve">, </w:t>
      </w:r>
      <w:r>
        <w:rPr>
          <w:rFonts w:ascii="Times New Roman" w:hAnsi="Times New Roman" w:cs="Times New Roman"/>
        </w:rPr>
        <w:t>1.68</w:t>
      </w:r>
      <w:r>
        <w:rPr>
          <w:rFonts w:ascii="Times New Roman" w:hAnsi="Times New Roman" w:cs="Times New Roman"/>
        </w:rPr>
        <w:t>)]</w:t>
      </w:r>
      <w:r>
        <w:rPr>
          <w:rFonts w:ascii="Times New Roman" w:hAnsi="Times New Roman" w:cs="Times New Roman"/>
        </w:rPr>
        <w:t xml:space="preserve"> conditions. Probabilities of the change being greater than null effect and the ROPE was 96%, 85%</w:t>
      </w:r>
      <w:r w:rsidR="00F87323">
        <w:rPr>
          <w:rFonts w:ascii="Times New Roman" w:hAnsi="Times New Roman" w:cs="Times New Roman"/>
        </w:rPr>
        <w:t xml:space="preserve"> for the ISOM,</w:t>
      </w:r>
      <w:r>
        <w:rPr>
          <w:rFonts w:ascii="Times New Roman" w:hAnsi="Times New Roman" w:cs="Times New Roman"/>
        </w:rPr>
        <w:t xml:space="preserve"> and 77%, 48% for DYN conditions, respectively.</w:t>
      </w:r>
      <w:r w:rsidR="00F87323">
        <w:rPr>
          <w:rFonts w:ascii="Times New Roman" w:hAnsi="Times New Roman" w:cs="Times New Roman"/>
        </w:rPr>
        <w:t xml:space="preserve"> The model estimates for between condition </w:t>
      </w:r>
      <w:r w:rsidR="00210A17">
        <w:rPr>
          <w:rFonts w:ascii="Times New Roman" w:hAnsi="Times New Roman" w:cs="Times New Roman"/>
        </w:rPr>
        <w:t xml:space="preserve">changes (contrasts) </w:t>
      </w:r>
      <w:r w:rsidR="00F87323">
        <w:rPr>
          <w:rFonts w:ascii="Times New Roman" w:hAnsi="Times New Roman" w:cs="Times New Roman"/>
        </w:rPr>
        <w:t xml:space="preserve">was </w:t>
      </w:r>
      <w:r w:rsidR="00996331">
        <w:rPr>
          <w:rFonts w:ascii="Times New Roman" w:hAnsi="Times New Roman" w:cs="Times New Roman"/>
        </w:rPr>
        <w:t>-0.67 mm (95% HDI: -1.46, 0.03)</w:t>
      </w:r>
      <w:r w:rsidR="00210A17">
        <w:rPr>
          <w:rFonts w:ascii="Times New Roman" w:hAnsi="Times New Roman" w:cs="Times New Roman"/>
        </w:rPr>
        <w:t xml:space="preserve">, with a </w:t>
      </w:r>
      <w:r w:rsidR="00C635BC">
        <w:rPr>
          <w:rFonts w:ascii="Times New Roman" w:hAnsi="Times New Roman" w:cs="Times New Roman"/>
        </w:rPr>
        <w:t>96</w:t>
      </w:r>
      <w:r w:rsidR="00210A17">
        <w:rPr>
          <w:rFonts w:ascii="Times New Roman" w:hAnsi="Times New Roman" w:cs="Times New Roman"/>
        </w:rPr>
        <w:t xml:space="preserve">% and </w:t>
      </w:r>
      <w:r w:rsidR="00C635BC">
        <w:rPr>
          <w:rFonts w:ascii="Times New Roman" w:hAnsi="Times New Roman" w:cs="Times New Roman"/>
        </w:rPr>
        <w:t>71</w:t>
      </w:r>
      <w:r w:rsidR="00210A17">
        <w:rPr>
          <w:rFonts w:ascii="Times New Roman" w:hAnsi="Times New Roman" w:cs="Times New Roman"/>
        </w:rPr>
        <w:t>% probability of the change being greater than a null effect, and ROPE, respectively.</w:t>
      </w:r>
    </w:p>
    <w:p w14:paraId="6D4A6B99" w14:textId="70682BA5" w:rsidR="00E41E51" w:rsidRDefault="00E41E51" w:rsidP="00C635BC">
      <w:pPr>
        <w:spacing w:line="360" w:lineRule="auto"/>
        <w:ind w:left="360"/>
        <w:rPr>
          <w:rFonts w:ascii="Times New Roman" w:hAnsi="Times New Roman" w:cs="Times New Roman"/>
        </w:rPr>
      </w:pPr>
      <w:r w:rsidRPr="00E41E51">
        <w:rPr>
          <w:rFonts w:ascii="Times New Roman" w:hAnsi="Times New Roman" w:cs="Times New Roman"/>
        </w:rPr>
        <w:drawing>
          <wp:inline distT="0" distB="0" distL="0" distR="0" wp14:anchorId="675F4164" wp14:editId="30E461B6">
            <wp:extent cx="5943600" cy="2101850"/>
            <wp:effectExtent l="0" t="0" r="0" b="0"/>
            <wp:docPr id="1798647555"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47555" name="Picture 1" descr="A diagram of a normal distribution&#10;&#10;Description automatically generated"/>
                    <pic:cNvPicPr/>
                  </pic:nvPicPr>
                  <pic:blipFill>
                    <a:blip r:embed="rId6"/>
                    <a:stretch>
                      <a:fillRect/>
                    </a:stretch>
                  </pic:blipFill>
                  <pic:spPr>
                    <a:xfrm>
                      <a:off x="0" y="0"/>
                      <a:ext cx="5943600" cy="2101850"/>
                    </a:xfrm>
                    <a:prstGeom prst="rect">
                      <a:avLst/>
                    </a:prstGeom>
                  </pic:spPr>
                </pic:pic>
              </a:graphicData>
            </a:graphic>
          </wp:inline>
        </w:drawing>
      </w:r>
    </w:p>
    <w:p w14:paraId="5E46B5A2" w14:textId="5F918E1A" w:rsidR="00E41E51" w:rsidRDefault="00E41E51" w:rsidP="00C635BC">
      <w:pPr>
        <w:spacing w:line="360" w:lineRule="auto"/>
        <w:ind w:left="360"/>
        <w:rPr>
          <w:rFonts w:ascii="Times New Roman" w:hAnsi="Times New Roman" w:cs="Times New Roman"/>
        </w:rPr>
      </w:pPr>
      <w:r>
        <w:rPr>
          <w:rFonts w:ascii="Times New Roman" w:hAnsi="Times New Roman" w:cs="Times New Roman"/>
        </w:rPr>
        <w:t>Figure X. Mid-thigh within-condition, and between-condition (i.e., contrasts between DYN and ISOM) posterior distributions that show central tendency (i.e., point estimates) and 95% high density credible intervals. Grey shaded area indicates the region of practical equivalence (ROPE).</w:t>
      </w:r>
    </w:p>
    <w:p w14:paraId="023949A0" w14:textId="1D46053F" w:rsidR="00670E35" w:rsidRDefault="00F87323" w:rsidP="00C635BC">
      <w:pPr>
        <w:spacing w:line="360" w:lineRule="auto"/>
        <w:ind w:left="360"/>
        <w:rPr>
          <w:rFonts w:ascii="Times New Roman" w:hAnsi="Times New Roman" w:cs="Times New Roman"/>
        </w:rPr>
      </w:pPr>
      <w:r>
        <w:rPr>
          <w:rFonts w:ascii="Times New Roman" w:hAnsi="Times New Roman" w:cs="Times New Roman"/>
        </w:rPr>
        <w:t>Increases in side-thigh muscle thickness were observed for</w:t>
      </w:r>
      <w:r w:rsidR="00670E35">
        <w:rPr>
          <w:rFonts w:ascii="Times New Roman" w:hAnsi="Times New Roman" w:cs="Times New Roman"/>
        </w:rPr>
        <w:t xml:space="preserve"> </w:t>
      </w:r>
      <w:r w:rsidR="00670E35">
        <w:rPr>
          <w:rFonts w:ascii="Times New Roman" w:hAnsi="Times New Roman" w:cs="Times New Roman"/>
        </w:rPr>
        <w:t xml:space="preserve">ISOM </w:t>
      </w:r>
      <w:r>
        <w:rPr>
          <w:rFonts w:ascii="Times New Roman" w:hAnsi="Times New Roman" w:cs="Times New Roman"/>
        </w:rPr>
        <w:t xml:space="preserve">condition </w:t>
      </w:r>
      <w:r w:rsidR="00670E35">
        <w:rPr>
          <w:rFonts w:ascii="Times New Roman" w:hAnsi="Times New Roman" w:cs="Times New Roman"/>
        </w:rPr>
        <w:t>[</w:t>
      </w:r>
      <w:r>
        <w:rPr>
          <w:rFonts w:ascii="Times New Roman" w:hAnsi="Times New Roman" w:cs="Times New Roman"/>
        </w:rPr>
        <w:t>0.47</w:t>
      </w:r>
      <w:r w:rsidR="00670E35">
        <w:rPr>
          <w:rFonts w:ascii="Times New Roman" w:hAnsi="Times New Roman" w:cs="Times New Roman"/>
        </w:rPr>
        <w:t xml:space="preserve"> mm (HDI: -</w:t>
      </w:r>
      <w:r>
        <w:rPr>
          <w:rFonts w:ascii="Times New Roman" w:hAnsi="Times New Roman" w:cs="Times New Roman"/>
        </w:rPr>
        <w:t>0.08</w:t>
      </w:r>
      <w:r w:rsidR="00996331">
        <w:rPr>
          <w:rFonts w:ascii="Times New Roman" w:hAnsi="Times New Roman" w:cs="Times New Roman"/>
        </w:rPr>
        <w:t xml:space="preserve">, </w:t>
      </w:r>
      <w:r>
        <w:rPr>
          <w:rFonts w:ascii="Times New Roman" w:hAnsi="Times New Roman" w:cs="Times New Roman"/>
        </w:rPr>
        <w:t>1.06</w:t>
      </w:r>
      <w:r w:rsidR="00670E35">
        <w:rPr>
          <w:rFonts w:ascii="Times New Roman" w:hAnsi="Times New Roman" w:cs="Times New Roman"/>
        </w:rPr>
        <w:t xml:space="preserve">)] </w:t>
      </w:r>
      <w:r>
        <w:rPr>
          <w:rFonts w:ascii="Times New Roman" w:hAnsi="Times New Roman" w:cs="Times New Roman"/>
        </w:rPr>
        <w:t xml:space="preserve">with </w:t>
      </w:r>
      <w:r>
        <w:rPr>
          <w:rFonts w:ascii="Times New Roman" w:hAnsi="Times New Roman" w:cs="Times New Roman"/>
        </w:rPr>
        <w:t>95</w:t>
      </w:r>
      <w:r>
        <w:rPr>
          <w:rFonts w:ascii="Times New Roman" w:hAnsi="Times New Roman" w:cs="Times New Roman"/>
        </w:rPr>
        <w:t xml:space="preserve">% and </w:t>
      </w:r>
      <w:r>
        <w:rPr>
          <w:rFonts w:ascii="Times New Roman" w:hAnsi="Times New Roman" w:cs="Times New Roman"/>
        </w:rPr>
        <w:t>52</w:t>
      </w:r>
      <w:r>
        <w:rPr>
          <w:rFonts w:ascii="Times New Roman" w:hAnsi="Times New Roman" w:cs="Times New Roman"/>
        </w:rPr>
        <w:t>% probabilities of the change being greater than a null effect and the ROPE, respectively.</w:t>
      </w:r>
      <w:r>
        <w:rPr>
          <w:rFonts w:ascii="Times New Roman" w:hAnsi="Times New Roman" w:cs="Times New Roman"/>
        </w:rPr>
        <w:t xml:space="preserve"> Similarly, The </w:t>
      </w:r>
      <w:r w:rsidR="00670E35">
        <w:rPr>
          <w:rFonts w:ascii="Times New Roman" w:hAnsi="Times New Roman" w:cs="Times New Roman"/>
        </w:rPr>
        <w:t xml:space="preserve">DYN </w:t>
      </w:r>
      <w:r>
        <w:rPr>
          <w:rFonts w:ascii="Times New Roman" w:hAnsi="Times New Roman" w:cs="Times New Roman"/>
        </w:rPr>
        <w:t xml:space="preserve">condition observed </w:t>
      </w:r>
      <w:r w:rsidR="00670E35">
        <w:rPr>
          <w:rFonts w:ascii="Times New Roman" w:hAnsi="Times New Roman" w:cs="Times New Roman"/>
        </w:rPr>
        <w:t>0</w:t>
      </w:r>
      <w:r>
        <w:rPr>
          <w:rFonts w:ascii="Times New Roman" w:hAnsi="Times New Roman" w:cs="Times New Roman"/>
        </w:rPr>
        <w:t>.21</w:t>
      </w:r>
      <w:r w:rsidR="00670E35">
        <w:rPr>
          <w:rFonts w:ascii="Times New Roman" w:hAnsi="Times New Roman" w:cs="Times New Roman"/>
        </w:rPr>
        <w:t xml:space="preserve"> mm</w:t>
      </w:r>
      <w:r>
        <w:rPr>
          <w:rFonts w:ascii="Times New Roman" w:hAnsi="Times New Roman" w:cs="Times New Roman"/>
        </w:rPr>
        <w:t xml:space="preserve"> increase in muscle thickness</w:t>
      </w:r>
      <w:r w:rsidR="00670E35">
        <w:rPr>
          <w:rFonts w:ascii="Times New Roman" w:hAnsi="Times New Roman" w:cs="Times New Roman"/>
        </w:rPr>
        <w:t xml:space="preserve"> (</w:t>
      </w:r>
      <w:r w:rsidR="004E1048">
        <w:rPr>
          <w:rFonts w:ascii="Times New Roman" w:hAnsi="Times New Roman" w:cs="Times New Roman"/>
        </w:rPr>
        <w:t xml:space="preserve">95% </w:t>
      </w:r>
      <w:r w:rsidR="00670E35">
        <w:rPr>
          <w:rFonts w:ascii="Times New Roman" w:hAnsi="Times New Roman" w:cs="Times New Roman"/>
        </w:rPr>
        <w:t>HDI: -0.</w:t>
      </w:r>
      <w:r>
        <w:rPr>
          <w:rFonts w:ascii="Times New Roman" w:hAnsi="Times New Roman" w:cs="Times New Roman"/>
        </w:rPr>
        <w:t>38</w:t>
      </w:r>
      <w:r w:rsidR="00996331">
        <w:rPr>
          <w:rFonts w:ascii="Times New Roman" w:hAnsi="Times New Roman" w:cs="Times New Roman"/>
        </w:rPr>
        <w:t xml:space="preserve">, </w:t>
      </w:r>
      <w:r>
        <w:rPr>
          <w:rFonts w:ascii="Times New Roman" w:hAnsi="Times New Roman" w:cs="Times New Roman"/>
        </w:rPr>
        <w:t>0.78</w:t>
      </w:r>
      <w:r w:rsidR="00670E35">
        <w:rPr>
          <w:rFonts w:ascii="Times New Roman" w:hAnsi="Times New Roman" w:cs="Times New Roman"/>
        </w:rPr>
        <w:t xml:space="preserve">) </w:t>
      </w:r>
      <w:r>
        <w:rPr>
          <w:rFonts w:ascii="Times New Roman" w:hAnsi="Times New Roman" w:cs="Times New Roman"/>
        </w:rPr>
        <w:t>with 77% and 20% probabilities of the change being greater than a null effect and the ROPE, respectively.</w:t>
      </w:r>
      <w:r w:rsidR="00210A17">
        <w:rPr>
          <w:rFonts w:ascii="Times New Roman" w:hAnsi="Times New Roman" w:cs="Times New Roman"/>
        </w:rPr>
        <w:t xml:space="preserve"> </w:t>
      </w:r>
      <w:r w:rsidR="00210A17">
        <w:rPr>
          <w:rFonts w:ascii="Times New Roman" w:hAnsi="Times New Roman" w:cs="Times New Roman"/>
        </w:rPr>
        <w:t>The model estimates for between condition changes (contrasts) was -0</w:t>
      </w:r>
      <w:r w:rsidR="00210A17">
        <w:rPr>
          <w:rFonts w:ascii="Times New Roman" w:hAnsi="Times New Roman" w:cs="Times New Roman"/>
        </w:rPr>
        <w:t>.25</w:t>
      </w:r>
      <w:r w:rsidR="00210A17">
        <w:rPr>
          <w:rFonts w:ascii="Times New Roman" w:hAnsi="Times New Roman" w:cs="Times New Roman"/>
        </w:rPr>
        <w:t xml:space="preserve"> mm (95% HDI: -</w:t>
      </w:r>
      <w:r w:rsidR="00210A17">
        <w:rPr>
          <w:rFonts w:ascii="Times New Roman" w:hAnsi="Times New Roman" w:cs="Times New Roman"/>
        </w:rPr>
        <w:t>0.80</w:t>
      </w:r>
      <w:r w:rsidR="00210A17">
        <w:rPr>
          <w:rFonts w:ascii="Times New Roman" w:hAnsi="Times New Roman" w:cs="Times New Roman"/>
        </w:rPr>
        <w:t xml:space="preserve">, </w:t>
      </w:r>
      <w:r w:rsidR="00210A17">
        <w:rPr>
          <w:rFonts w:ascii="Times New Roman" w:hAnsi="Times New Roman" w:cs="Times New Roman"/>
        </w:rPr>
        <w:t>0.30</w:t>
      </w:r>
      <w:r w:rsidR="00210A17">
        <w:rPr>
          <w:rFonts w:ascii="Times New Roman" w:hAnsi="Times New Roman" w:cs="Times New Roman"/>
        </w:rPr>
        <w:t xml:space="preserve">), with </w:t>
      </w:r>
      <w:proofErr w:type="gramStart"/>
      <w:r w:rsidR="00C635BC">
        <w:rPr>
          <w:rFonts w:ascii="Times New Roman" w:hAnsi="Times New Roman" w:cs="Times New Roman"/>
        </w:rPr>
        <w:t>a</w:t>
      </w:r>
      <w:proofErr w:type="gramEnd"/>
      <w:r w:rsidR="00210A17">
        <w:rPr>
          <w:rFonts w:ascii="Times New Roman" w:hAnsi="Times New Roman" w:cs="Times New Roman"/>
        </w:rPr>
        <w:t xml:space="preserve"> </w:t>
      </w:r>
      <w:r w:rsidR="00C635BC">
        <w:rPr>
          <w:rFonts w:ascii="Times New Roman" w:hAnsi="Times New Roman" w:cs="Times New Roman"/>
        </w:rPr>
        <w:t>82</w:t>
      </w:r>
      <w:r w:rsidR="00210A17">
        <w:rPr>
          <w:rFonts w:ascii="Times New Roman" w:hAnsi="Times New Roman" w:cs="Times New Roman"/>
        </w:rPr>
        <w:t xml:space="preserve">% and </w:t>
      </w:r>
      <w:r w:rsidR="00C635BC">
        <w:rPr>
          <w:rFonts w:ascii="Times New Roman" w:hAnsi="Times New Roman" w:cs="Times New Roman"/>
        </w:rPr>
        <w:t>23</w:t>
      </w:r>
      <w:r w:rsidR="00210A17">
        <w:rPr>
          <w:rFonts w:ascii="Times New Roman" w:hAnsi="Times New Roman" w:cs="Times New Roman"/>
        </w:rPr>
        <w:t>% probabilit</w:t>
      </w:r>
      <w:r w:rsidR="00C635BC">
        <w:rPr>
          <w:rFonts w:ascii="Times New Roman" w:hAnsi="Times New Roman" w:cs="Times New Roman"/>
        </w:rPr>
        <w:t>y</w:t>
      </w:r>
      <w:r w:rsidR="00210A17">
        <w:rPr>
          <w:rFonts w:ascii="Times New Roman" w:hAnsi="Times New Roman" w:cs="Times New Roman"/>
        </w:rPr>
        <w:t xml:space="preserve"> of the change being greater than a null effect, and ROPE, respectively.</w:t>
      </w:r>
    </w:p>
    <w:p w14:paraId="62B30389" w14:textId="77777777" w:rsidR="00E41E51" w:rsidRDefault="00E41E51" w:rsidP="00E41E51">
      <w:pPr>
        <w:spacing w:line="360" w:lineRule="auto"/>
        <w:ind w:left="360"/>
        <w:rPr>
          <w:rFonts w:ascii="Times New Roman" w:hAnsi="Times New Roman" w:cs="Times New Roman"/>
        </w:rPr>
      </w:pPr>
    </w:p>
    <w:p w14:paraId="54906F3E" w14:textId="55A77824" w:rsidR="00E41E51" w:rsidRDefault="00E41E51" w:rsidP="00E41E51">
      <w:pPr>
        <w:spacing w:line="360" w:lineRule="auto"/>
        <w:ind w:left="360"/>
        <w:rPr>
          <w:rFonts w:ascii="Times New Roman" w:hAnsi="Times New Roman" w:cs="Times New Roman"/>
        </w:rPr>
      </w:pPr>
      <w:r w:rsidRPr="00E41E51">
        <w:rPr>
          <w:rFonts w:ascii="Times New Roman" w:hAnsi="Times New Roman" w:cs="Times New Roman"/>
        </w:rPr>
        <w:drawing>
          <wp:inline distT="0" distB="0" distL="0" distR="0" wp14:anchorId="14B8DE1D" wp14:editId="745E0405">
            <wp:extent cx="5943600" cy="2025650"/>
            <wp:effectExtent l="0" t="0" r="0" b="0"/>
            <wp:docPr id="1599531" name="Picture 1"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31" name="Picture 1" descr="A diagram of a normal distribution&#10;&#10;Description automatically generated"/>
                    <pic:cNvPicPr/>
                  </pic:nvPicPr>
                  <pic:blipFill>
                    <a:blip r:embed="rId7"/>
                    <a:stretch>
                      <a:fillRect/>
                    </a:stretch>
                  </pic:blipFill>
                  <pic:spPr>
                    <a:xfrm>
                      <a:off x="0" y="0"/>
                      <a:ext cx="5943600" cy="2025650"/>
                    </a:xfrm>
                    <a:prstGeom prst="rect">
                      <a:avLst/>
                    </a:prstGeom>
                  </pic:spPr>
                </pic:pic>
              </a:graphicData>
            </a:graphic>
          </wp:inline>
        </w:drawing>
      </w:r>
    </w:p>
    <w:p w14:paraId="64B21089" w14:textId="78B12CD3" w:rsidR="00E41E51" w:rsidRDefault="00E41E51" w:rsidP="00E41E51">
      <w:pPr>
        <w:spacing w:line="360" w:lineRule="auto"/>
        <w:ind w:left="360"/>
        <w:rPr>
          <w:rFonts w:ascii="Times New Roman" w:hAnsi="Times New Roman" w:cs="Times New Roman"/>
        </w:rPr>
      </w:pPr>
      <w:r>
        <w:rPr>
          <w:rFonts w:ascii="Times New Roman" w:hAnsi="Times New Roman" w:cs="Times New Roman"/>
        </w:rPr>
        <w:t>Figure X. Mid-thigh within-condition, and between-condition (i.e., contrasts between DYN and ISOM) posterior distributions that show central tendency (i.e., point estimates) and 95% high density credible intervals. Grey shaded area indicates the region of practical equivalence</w:t>
      </w:r>
      <w:r>
        <w:rPr>
          <w:rFonts w:ascii="Times New Roman" w:hAnsi="Times New Roman" w:cs="Times New Roman"/>
        </w:rPr>
        <w:t>.</w:t>
      </w:r>
    </w:p>
    <w:p w14:paraId="64DBF0CF" w14:textId="77777777" w:rsidR="00E41E51" w:rsidRDefault="00E41E51" w:rsidP="00C635BC">
      <w:pPr>
        <w:spacing w:line="360" w:lineRule="auto"/>
        <w:ind w:left="360"/>
        <w:rPr>
          <w:rFonts w:ascii="Times New Roman" w:hAnsi="Times New Roman" w:cs="Times New Roman"/>
        </w:rPr>
      </w:pPr>
    </w:p>
    <w:p w14:paraId="4B6121B1" w14:textId="386A42A0" w:rsidR="00C635BC" w:rsidRPr="00C635BC" w:rsidRDefault="00C635BC" w:rsidP="00C635BC">
      <w:pPr>
        <w:pStyle w:val="ListParagraph"/>
        <w:numPr>
          <w:ilvl w:val="1"/>
          <w:numId w:val="1"/>
        </w:numPr>
        <w:spacing w:line="360" w:lineRule="auto"/>
        <w:rPr>
          <w:rFonts w:ascii="Times New Roman" w:hAnsi="Times New Roman" w:cs="Times New Roman"/>
        </w:rPr>
      </w:pPr>
      <w:r>
        <w:rPr>
          <w:rFonts w:ascii="Times New Roman" w:hAnsi="Times New Roman" w:cs="Times New Roman"/>
          <w:i/>
          <w:iCs/>
        </w:rPr>
        <w:t>Regional muscle thickness</w:t>
      </w:r>
    </w:p>
    <w:p w14:paraId="49CDA6C1" w14:textId="0BC4B585" w:rsidR="00670E35" w:rsidRPr="00670E35" w:rsidRDefault="00670E35" w:rsidP="00670E35">
      <w:pPr>
        <w:spacing w:line="360" w:lineRule="auto"/>
        <w:rPr>
          <w:rFonts w:ascii="Times New Roman" w:hAnsi="Times New Roman" w:cs="Times New Roman"/>
        </w:rPr>
      </w:pPr>
    </w:p>
    <w:sectPr w:rsidR="00670E35" w:rsidRPr="0067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4B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333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7700193">
    <w:abstractNumId w:val="0"/>
  </w:num>
  <w:num w:numId="2" w16cid:durableId="341396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87"/>
    <w:rsid w:val="0009280D"/>
    <w:rsid w:val="000F1C40"/>
    <w:rsid w:val="00210A17"/>
    <w:rsid w:val="002B62FC"/>
    <w:rsid w:val="003E2287"/>
    <w:rsid w:val="00427B8E"/>
    <w:rsid w:val="004E1048"/>
    <w:rsid w:val="00670E35"/>
    <w:rsid w:val="007C6D5F"/>
    <w:rsid w:val="008B075E"/>
    <w:rsid w:val="008C277E"/>
    <w:rsid w:val="008D18B1"/>
    <w:rsid w:val="00996331"/>
    <w:rsid w:val="00A84BF0"/>
    <w:rsid w:val="00C635BC"/>
    <w:rsid w:val="00E41E51"/>
    <w:rsid w:val="00F87323"/>
    <w:rsid w:val="00FF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4E57"/>
  <w15:chartTrackingRefBased/>
  <w15:docId w15:val="{227108BE-9FFD-4651-911D-3C700390E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2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2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2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2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2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2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2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2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2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2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2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2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2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287"/>
    <w:rPr>
      <w:rFonts w:eastAsiaTheme="majorEastAsia" w:cstheme="majorBidi"/>
      <w:color w:val="272727" w:themeColor="text1" w:themeTint="D8"/>
    </w:rPr>
  </w:style>
  <w:style w:type="paragraph" w:styleId="Title">
    <w:name w:val="Title"/>
    <w:basedOn w:val="Normal"/>
    <w:next w:val="Normal"/>
    <w:link w:val="TitleChar"/>
    <w:uiPriority w:val="10"/>
    <w:qFormat/>
    <w:rsid w:val="003E2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2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2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287"/>
    <w:pPr>
      <w:spacing w:before="160"/>
      <w:jc w:val="center"/>
    </w:pPr>
    <w:rPr>
      <w:i/>
      <w:iCs/>
      <w:color w:val="404040" w:themeColor="text1" w:themeTint="BF"/>
    </w:rPr>
  </w:style>
  <w:style w:type="character" w:customStyle="1" w:styleId="QuoteChar">
    <w:name w:val="Quote Char"/>
    <w:basedOn w:val="DefaultParagraphFont"/>
    <w:link w:val="Quote"/>
    <w:uiPriority w:val="29"/>
    <w:rsid w:val="003E2287"/>
    <w:rPr>
      <w:i/>
      <w:iCs/>
      <w:color w:val="404040" w:themeColor="text1" w:themeTint="BF"/>
    </w:rPr>
  </w:style>
  <w:style w:type="paragraph" w:styleId="ListParagraph">
    <w:name w:val="List Paragraph"/>
    <w:basedOn w:val="Normal"/>
    <w:uiPriority w:val="34"/>
    <w:qFormat/>
    <w:rsid w:val="003E2287"/>
    <w:pPr>
      <w:ind w:left="720"/>
      <w:contextualSpacing/>
    </w:pPr>
  </w:style>
  <w:style w:type="character" w:styleId="IntenseEmphasis">
    <w:name w:val="Intense Emphasis"/>
    <w:basedOn w:val="DefaultParagraphFont"/>
    <w:uiPriority w:val="21"/>
    <w:qFormat/>
    <w:rsid w:val="003E2287"/>
    <w:rPr>
      <w:i/>
      <w:iCs/>
      <w:color w:val="0F4761" w:themeColor="accent1" w:themeShade="BF"/>
    </w:rPr>
  </w:style>
  <w:style w:type="paragraph" w:styleId="IntenseQuote">
    <w:name w:val="Intense Quote"/>
    <w:basedOn w:val="Normal"/>
    <w:next w:val="Normal"/>
    <w:link w:val="IntenseQuoteChar"/>
    <w:uiPriority w:val="30"/>
    <w:qFormat/>
    <w:rsid w:val="003E2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287"/>
    <w:rPr>
      <w:i/>
      <w:iCs/>
      <w:color w:val="0F4761" w:themeColor="accent1" w:themeShade="BF"/>
    </w:rPr>
  </w:style>
  <w:style w:type="character" w:styleId="IntenseReference">
    <w:name w:val="Intense Reference"/>
    <w:basedOn w:val="DefaultParagraphFont"/>
    <w:uiPriority w:val="32"/>
    <w:qFormat/>
    <w:rsid w:val="003E2287"/>
    <w:rPr>
      <w:b/>
      <w:bCs/>
      <w:smallCaps/>
      <w:color w:val="0F4761" w:themeColor="accent1" w:themeShade="BF"/>
      <w:spacing w:val="5"/>
    </w:rPr>
  </w:style>
  <w:style w:type="character" w:styleId="Hyperlink">
    <w:name w:val="Hyperlink"/>
    <w:basedOn w:val="DefaultParagraphFont"/>
    <w:uiPriority w:val="99"/>
    <w:unhideWhenUsed/>
    <w:rsid w:val="003E2287"/>
    <w:rPr>
      <w:color w:val="467886" w:themeColor="hyperlink"/>
      <w:u w:val="single"/>
    </w:rPr>
  </w:style>
  <w:style w:type="character" w:styleId="UnresolvedMention">
    <w:name w:val="Unresolved Mention"/>
    <w:basedOn w:val="DefaultParagraphFont"/>
    <w:uiPriority w:val="99"/>
    <w:semiHidden/>
    <w:unhideWhenUsed/>
    <w:rsid w:val="003E2287"/>
    <w:rPr>
      <w:color w:val="605E5C"/>
      <w:shd w:val="clear" w:color="auto" w:fill="E1DFDD"/>
    </w:rPr>
  </w:style>
  <w:style w:type="character" w:styleId="CommentReference">
    <w:name w:val="annotation reference"/>
    <w:basedOn w:val="DefaultParagraphFont"/>
    <w:uiPriority w:val="99"/>
    <w:semiHidden/>
    <w:unhideWhenUsed/>
    <w:rsid w:val="003E2287"/>
    <w:rPr>
      <w:sz w:val="16"/>
      <w:szCs w:val="16"/>
    </w:rPr>
  </w:style>
  <w:style w:type="paragraph" w:styleId="CommentText">
    <w:name w:val="annotation text"/>
    <w:basedOn w:val="Normal"/>
    <w:link w:val="CommentTextChar"/>
    <w:uiPriority w:val="99"/>
    <w:semiHidden/>
    <w:unhideWhenUsed/>
    <w:rsid w:val="003E2287"/>
    <w:pPr>
      <w:spacing w:line="240" w:lineRule="auto"/>
    </w:pPr>
    <w:rPr>
      <w:sz w:val="20"/>
      <w:szCs w:val="20"/>
    </w:rPr>
  </w:style>
  <w:style w:type="character" w:customStyle="1" w:styleId="CommentTextChar">
    <w:name w:val="Comment Text Char"/>
    <w:basedOn w:val="DefaultParagraphFont"/>
    <w:link w:val="CommentText"/>
    <w:uiPriority w:val="99"/>
    <w:semiHidden/>
    <w:rsid w:val="003E2287"/>
    <w:rPr>
      <w:sz w:val="20"/>
      <w:szCs w:val="20"/>
    </w:rPr>
  </w:style>
  <w:style w:type="paragraph" w:styleId="CommentSubject">
    <w:name w:val="annotation subject"/>
    <w:basedOn w:val="CommentText"/>
    <w:next w:val="CommentText"/>
    <w:link w:val="CommentSubjectChar"/>
    <w:uiPriority w:val="99"/>
    <w:semiHidden/>
    <w:unhideWhenUsed/>
    <w:rsid w:val="003E2287"/>
    <w:rPr>
      <w:b/>
      <w:bCs/>
    </w:rPr>
  </w:style>
  <w:style w:type="character" w:customStyle="1" w:styleId="CommentSubjectChar">
    <w:name w:val="Comment Subject Char"/>
    <w:basedOn w:val="CommentTextChar"/>
    <w:link w:val="CommentSubject"/>
    <w:uiPriority w:val="99"/>
    <w:semiHidden/>
    <w:rsid w:val="003E2287"/>
    <w:rPr>
      <w:b/>
      <w:bCs/>
      <w:sz w:val="20"/>
      <w:szCs w:val="20"/>
    </w:rPr>
  </w:style>
  <w:style w:type="character" w:styleId="PlaceholderText">
    <w:name w:val="Placeholder Text"/>
    <w:basedOn w:val="DefaultParagraphFont"/>
    <w:uiPriority w:val="99"/>
    <w:semiHidden/>
    <w:rsid w:val="004E10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Varovic</dc:creator>
  <cp:keywords/>
  <dc:description/>
  <cp:lastModifiedBy>Dorian Varovic</cp:lastModifiedBy>
  <cp:revision>7</cp:revision>
  <dcterms:created xsi:type="dcterms:W3CDTF">2025-01-09T14:31:00Z</dcterms:created>
  <dcterms:modified xsi:type="dcterms:W3CDTF">2025-01-09T23:18:00Z</dcterms:modified>
</cp:coreProperties>
</file>