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8612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3"/>
        <w:gridCol w:w="4899"/>
      </w:tblGrid>
      <w:tr w14:paraId="565B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2" w:type="dxa"/>
            <w:gridSpan w:val="2"/>
            <w:shd w:val="clear" w:color="auto" w:fill="D0CECE" w:themeFill="background2" w:themeFillShade="E6"/>
          </w:tcPr>
          <w:p w14:paraId="25C01E68">
            <w:pPr>
              <w:spacing w:after="0" w:line="240" w:lineRule="auto"/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eastAsia="pt-BR"/>
              </w:rPr>
            </w:pPr>
            <w:bookmarkStart w:id="0" w:name="_Hlk129789522"/>
            <w:r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eastAsia="pt-BR"/>
              </w:rPr>
              <w:t>Gerente do Projeto</w:t>
            </w:r>
          </w:p>
        </w:tc>
      </w:tr>
      <w:tr w14:paraId="143F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2" w:type="dxa"/>
            <w:gridSpan w:val="2"/>
          </w:tcPr>
          <w:p w14:paraId="2A1F77AF">
            <w:pPr>
              <w:spacing w:after="0" w:line="240" w:lineRule="auto"/>
              <w:rPr>
                <w:rFonts w:hint="default" w:ascii="Calibri" w:hAnsi="Calibri" w:cs="Calibri" w:eastAsiaTheme="minorEastAsia"/>
                <w:sz w:val="24"/>
                <w:szCs w:val="24"/>
                <w:lang w:eastAsia="pt-BR"/>
              </w:rPr>
            </w:pPr>
            <w:r>
              <w:rPr>
                <w:rFonts w:hint="default" w:ascii="Calibri" w:hAnsi="Calibri" w:cs="Calibri" w:eastAsiaTheme="minorEastAsia"/>
                <w:sz w:val="24"/>
                <w:szCs w:val="24"/>
                <w:lang w:eastAsia="pt-BR"/>
              </w:rPr>
              <w:t xml:space="preserve">Douglas Vinicius Carvalho Crespo</w:t>
            </w:r>
          </w:p>
        </w:tc>
      </w:tr>
      <w:tr w14:paraId="7C8C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2" w:type="dxa"/>
            <w:gridSpan w:val="2"/>
            <w:shd w:val="clear" w:color="auto" w:fill="D0CECE" w:themeFill="background2" w:themeFillShade="E6"/>
          </w:tcPr>
          <w:p w14:paraId="75B359E4">
            <w:pPr>
              <w:spacing w:after="0" w:line="240" w:lineRule="auto"/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eastAsia="pt-BR"/>
              </w:rPr>
              <w:t>Analista</w:t>
            </w:r>
          </w:p>
        </w:tc>
      </w:tr>
      <w:tr w14:paraId="4055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2" w:type="dxa"/>
            <w:gridSpan w:val="2"/>
          </w:tcPr>
          <w:p w14:paraId="31D12A6B">
            <w:pPr>
              <w:spacing w:after="0" w:line="240" w:lineRule="auto"/>
              <w:rPr>
                <w:rFonts w:hint="default" w:ascii="Calibri" w:hAnsi="Calibri" w:cs="Calibri" w:eastAsiaTheme="minorEastAsia"/>
                <w:sz w:val="24"/>
                <w:szCs w:val="24"/>
                <w:lang w:eastAsia="pt-BR"/>
              </w:rPr>
            </w:pPr>
            <w:r>
              <w:rPr>
                <w:rFonts w:hint="default" w:ascii="Calibri" w:hAnsi="Calibri" w:cs="Calibri" w:eastAsiaTheme="minorEastAsia"/>
                <w:sz w:val="24"/>
                <w:szCs w:val="24"/>
                <w:lang w:eastAsia="pt-BR"/>
              </w:rPr>
              <w:t xml:space="preserve">Ashley Assis Ribeiro</w:t>
            </w:r>
          </w:p>
        </w:tc>
      </w:tr>
      <w:tr w14:paraId="2D8C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3" w:type="dxa"/>
            <w:shd w:val="clear" w:color="auto" w:fill="D0CECE" w:themeFill="background2" w:themeFillShade="E6"/>
          </w:tcPr>
          <w:p w14:paraId="24B4F580">
            <w:pPr>
              <w:spacing w:after="0" w:line="240" w:lineRule="auto"/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eastAsia="pt-BR"/>
              </w:rPr>
              <w:t>Sistema</w:t>
            </w:r>
          </w:p>
        </w:tc>
        <w:tc>
          <w:tcPr>
            <w:tcW w:w="4899" w:type="dxa"/>
            <w:shd w:val="clear" w:color="auto" w:fill="D0CECE" w:themeFill="background2" w:themeFillShade="E6"/>
          </w:tcPr>
          <w:p w14:paraId="585770B8">
            <w:pPr>
              <w:spacing w:after="0" w:line="240" w:lineRule="auto"/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hint="default" w:ascii="Calibri" w:hAnsi="Calibri" w:cs="Calibri" w:eastAsiaTheme="minorEastAsia"/>
                <w:b/>
                <w:bCs/>
                <w:sz w:val="24"/>
                <w:szCs w:val="24"/>
                <w:lang w:eastAsia="pt-BR"/>
              </w:rPr>
              <w:t xml:space="preserve">Banco de Dados</w:t>
            </w:r>
          </w:p>
        </w:tc>
      </w:tr>
      <w:tr w14:paraId="5219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3" w:type="dxa"/>
          </w:tcPr>
          <w:p w14:paraId="4EAE076D">
            <w:pPr>
              <w:spacing w:after="0" w:line="240" w:lineRule="auto"/>
              <w:rPr>
                <w:rFonts w:hint="default" w:ascii="Calibri" w:hAnsi="Calibri" w:cs="Calibri" w:eastAsiaTheme="minorEastAsia"/>
                <w:sz w:val="24"/>
                <w:szCs w:val="24"/>
                <w:lang w:eastAsia="pt-BR"/>
              </w:rPr>
            </w:pPr>
            <w:r>
              <w:rPr>
                <w:rFonts w:hint="default" w:ascii="Calibri" w:hAnsi="Calibri" w:cs="Calibri" w:eastAsiaTheme="minorEastAsia"/>
                <w:sz w:val="24"/>
                <w:szCs w:val="24"/>
                <w:lang w:eastAsia="pt-BR"/>
              </w:rPr>
              <w:t xml:space="preserve">Biblioteca+ — Plataforma Distribuída de Gerenciamento de Biblioteca</w:t>
            </w:r>
          </w:p>
        </w:tc>
        <w:tc>
          <w:tcPr>
            <w:tcW w:w="4899" w:type="dxa"/>
          </w:tcPr>
          <w:p w14:paraId="641343B5">
            <w:pPr>
              <w:spacing w:after="0" w:line="240" w:lineRule="auto"/>
              <w:rPr>
                <w:rFonts w:hint="default" w:ascii="Calibri" w:hAnsi="Calibri" w:cs="Calibri" w:eastAsiaTheme="minorEastAsia"/>
                <w:sz w:val="24"/>
                <w:szCs w:val="24"/>
                <w:lang w:eastAsia="pt-BR"/>
              </w:rPr>
            </w:pPr>
            <w:r>
              <w:rPr>
                <w:rFonts w:hint="default" w:ascii="Calibri" w:hAnsi="Calibri" w:cs="Calibri" w:eastAsiaTheme="minorEastAsia"/>
                <w:sz w:val="24"/>
                <w:szCs w:val="24"/>
                <w:lang w:eastAsia="pt-BR"/>
              </w:rPr>
              <w:t xml:space="preserve">PostgreSQL 16</w:t>
            </w:r>
          </w:p>
        </w:tc>
      </w:tr>
      <w:bookmarkEnd w:id="0"/>
    </w:tbl>
    <w:p w14:paraId="4FEB10CC">
      <w:pPr>
        <w:jc w:val="center"/>
        <w:rPr>
          <w:rFonts w:hint="default" w:ascii="Calibri" w:hAnsi="Calibri" w:cs="Calibri"/>
          <w:sz w:val="24"/>
          <w:szCs w:val="24"/>
        </w:rPr>
      </w:pPr>
    </w:p>
    <w:p w14:paraId="36A17B3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00" w:lineRule="atLeast"/>
        <w:ind w:left="425" w:leftChars="0" w:hanging="425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>Obje</w:t>
      </w:r>
      <w:bookmarkStart w:id="1" w:name="_GoBack"/>
      <w:bookmarkEnd w:id="1"/>
      <w:r>
        <w:rPr>
          <w:rFonts w:hint="default" w:ascii="Calibri" w:hAnsi="Calibri" w:cs="Calibri"/>
          <w:i w:val="0"/>
          <w:iCs w:val="0"/>
          <w:sz w:val="28"/>
          <w:szCs w:val="28"/>
        </w:rPr>
        <w:t>tivo</w:t>
      </w:r>
    </w:p>
    <w:p w14:paraId="2DA944CB">
      <w:pPr>
        <w:pStyle w:val="1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>Este documento tem por objetivo descrever a estrutura de dados utilizada pelo sistema, detalhando tabelas, campos, relacionamentos, regras de negócio e restrições aplicáveis.</w:t>
      </w:r>
    </w:p>
    <w:p w14:paraId="6C346FEB">
      <w:pPr>
        <w:jc w:val="center"/>
        <w:rPr>
          <w:rFonts w:ascii="Arial" w:hAnsi="Arial" w:cs="Arial"/>
          <w:sz w:val="32"/>
          <w:szCs w:val="32"/>
        </w:rPr>
      </w:pPr>
    </w:p>
    <w:p w14:paraId="3D1FD49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00" w:lineRule="atLeast"/>
        <w:ind w:left="425" w:leftChars="0" w:hanging="425" w:firstLineChars="0"/>
        <w:rPr>
          <w:rFonts w:hint="default" w:ascii="Calibri (Corpo)" w:hAnsi="Calibri (Corpo)" w:eastAsia="Times New Roman" w:cs="Calibri (Corpo)"/>
          <w:sz w:val="28"/>
          <w:szCs w:val="28"/>
        </w:rPr>
      </w:pPr>
      <w:r>
        <w:rPr>
          <w:rFonts w:hint="default" w:ascii="Calibri (Corpo)" w:hAnsi="Calibri (Corpo)" w:cs="Calibri (Corpo)"/>
          <w:i w:val="0"/>
          <w:iCs w:val="0"/>
          <w:sz w:val="28"/>
          <w:szCs w:val="28"/>
        </w:rPr>
        <w:t>Histórico de Revisões</w:t>
      </w:r>
      <w:r>
        <w:rPr>
          <w:rFonts w:hint="default" w:ascii="Calibri (Corpo)" w:hAnsi="Calibri (Corpo)" w:eastAsia="Times New Roman" w:cs="Calibri (Corpo)"/>
          <w:sz w:val="28"/>
          <w:szCs w:val="28"/>
        </w:rPr>
        <w:t> </w:t>
      </w:r>
    </w:p>
    <w:tbl>
      <w:tblPr>
        <w:tblStyle w:val="6"/>
        <w:tblpPr w:leftFromText="141" w:rightFromText="141" w:vertAnchor="text" w:tblpX="-233" w:tblpY="1"/>
        <w:tblOverlap w:val="never"/>
        <w:tblW w:w="8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100"/>
        <w:gridCol w:w="2700"/>
        <w:gridCol w:w="3900"/>
      </w:tblGrid>
      <w:tr w14:paraId="35E1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shd w:val="clear" w:color="auto" w:fill="F2F2F2"/>
          </w:tcPr>
          <w:p w14:paraId="01F2F538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Versão</w:t>
            </w:r>
          </w:p>
        </w:tc>
        <w:tc>
          <w:tcPr>
            <w:tcW w:w="1100" w:type="dxa"/>
            <w:shd w:val="clear" w:color="auto" w:fill="F2F2F2"/>
          </w:tcPr>
          <w:p w14:paraId="2BC06786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Data</w:t>
            </w:r>
          </w:p>
        </w:tc>
        <w:tc>
          <w:tcPr>
            <w:tcW w:w="2700" w:type="dxa"/>
            <w:shd w:val="clear" w:color="auto" w:fill="F2F2F2"/>
          </w:tcPr>
          <w:p w14:paraId="0F560919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Autor</w:t>
            </w:r>
          </w:p>
        </w:tc>
        <w:tc>
          <w:tcPr>
            <w:tcW w:w="3900" w:type="dxa"/>
            <w:shd w:val="clear" w:color="auto" w:fill="F2F2F2"/>
          </w:tcPr>
          <w:p w14:paraId="168F8818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Descrição</w:t>
            </w:r>
          </w:p>
        </w:tc>
      </w:tr>
      <w:tr w14:paraId="0964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</w:tcPr>
          <w:p w14:paraId="0A1555C0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1.0</w:t>
            </w:r>
          </w:p>
        </w:tc>
        <w:tc>
          <w:tcPr>
            <w:tcW w:w="1100" w:type="dxa"/>
          </w:tcPr>
          <w:p w14:paraId="4CA04401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11/10/2026</w:t>
            </w:r>
          </w:p>
        </w:tc>
        <w:tc>
          <w:tcPr>
            <w:tcW w:w="2700" w:type="dxa"/>
          </w:tcPr>
          <w:p w14:paraId="44F8B4A0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Ashley Assis Ribeiro e Douglas Vinicius Carvalho Crespo</w:t>
            </w:r>
          </w:p>
        </w:tc>
        <w:tc>
          <w:tcPr>
            <w:tcW w:w="3900" w:type="dxa"/>
          </w:tcPr>
          <w:p w14:paraId="42BCD041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Versão inicial: dicionário de dados das 4 tabelas do schema (banco_de_dados/01_schema.sql).</w:t>
            </w:r>
          </w:p>
        </w:tc>
      </w:tr>
    </w:tbl>
    <w:p w14:paraId="544F93C5"/>
    <w:p w14:paraId="56AA46FA">
      <w:pPr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</w:p>
    <w:p w14:paraId="0B9EA7E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00" w:lineRule="atLeast"/>
        <w:ind w:left="425" w:leftChars="0" w:hanging="425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>Visão Geral da Base de Dados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9"/>
        <w:gridCol w:w="5714"/>
      </w:tblGrid>
      <w:tr w14:paraId="39DAF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1A7E36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566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11A7ED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Valor</w:t>
            </w:r>
          </w:p>
        </w:tc>
      </w:tr>
      <w:tr w14:paraId="51056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4AC3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Banco de Dados</w:t>
            </w:r>
          </w:p>
        </w:tc>
        <w:tc>
          <w:tcPr>
            <w:tcW w:w="566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3340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PostgreSQL 16 (imagem postgres:16-alpine, via Docker Compose)</w:t>
            </w:r>
          </w:p>
        </w:tc>
      </w:tr>
      <w:tr w14:paraId="2BC40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30A5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Schema</w:t>
            </w:r>
          </w:p>
        </w:tc>
        <w:tc>
          <w:tcPr>
            <w:tcW w:w="566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CF1F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public (padrão); banco "biblioteca", usuário "biblioteca_user" (definidos no arquivo .env)</w:t>
            </w:r>
          </w:p>
        </w:tc>
      </w:tr>
      <w:tr w14:paraId="51056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4AC3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Acesso a dados</w:t>
            </w:r>
          </w:p>
        </w:tc>
        <w:tc>
          <w:tcPr>
            <w:tcW w:w="566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3340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SQL puro com psycopg2 (sem ORM); uma conexão curta por requisição</w:t>
            </w:r>
          </w:p>
        </w:tc>
      </w:tr>
      <w:tr w14:paraId="51056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4AC3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Scripts</w:t>
            </w:r>
          </w:p>
        </w:tc>
        <w:tc>
          <w:tcPr>
            <w:tcW w:w="566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3340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01_schema.sql (criação das tabelas) e 02_dados_exemplo.sql (6 livros de exemplo), executados automaticamente na primeira criação do banco</w:t>
            </w:r>
          </w:p>
        </w:tc>
      </w:tr>
      <w:tr w14:paraId="51056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4AC3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Organização</w:t>
            </w:r>
          </w:p>
        </w:tc>
        <w:tc>
          <w:tcPr>
            <w:tcW w:w="566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3340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Um único banco com tabelas separadas por microsserviço. Um serviço nunca lê a tabela de outro: a ligação é feita por API REST</w:t>
            </w:r>
          </w:p>
        </w:tc>
      </w:tr>
    </w:tbl>
    <w:p w14:paraId="008693B2">
      <w:pPr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</w:p>
    <w:p w14:paraId="2428BF0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00" w:lineRule="atLeast"/>
        <w:ind w:left="425" w:leftChars="0" w:hanging="425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>Tabelas Relacionadas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2"/>
        <w:gridCol w:w="5727"/>
      </w:tblGrid>
      <w:tr w14:paraId="3A83C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69BC5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Tabela</w:t>
            </w:r>
          </w:p>
        </w:tc>
        <w:tc>
          <w:tcPr>
            <w:tcW w:w="56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B747B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3982B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CFF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usuarios</w:t>
            </w:r>
          </w:p>
        </w:tc>
        <w:tc>
          <w:tcPr>
            <w:tcW w:w="56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F2CA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Cadastro de usuários e credenciais de acesso (serviço de Usuários)</w:t>
            </w:r>
          </w:p>
        </w:tc>
      </w:tr>
      <w:tr w14:paraId="18120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12F8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livros</w:t>
            </w:r>
          </w:p>
        </w:tc>
        <w:tc>
          <w:tcPr>
            <w:tcW w:w="56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AB64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Acervo e disponibilidade dos livros (serviço de Livros)</w:t>
            </w:r>
          </w:p>
        </w:tc>
      </w:tr>
      <w:tr w14:paraId="1EB32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0663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emprestimos</w:t>
            </w:r>
          </w:p>
        </w:tc>
        <w:tc>
          <w:tcPr>
            <w:tcW w:w="56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FF14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Empréstimos, devoluções e cancelamentos (serviço de Empréstimos)</w:t>
            </w:r>
          </w:p>
        </w:tc>
      </w:tr>
      <w:tr w14:paraId="3982B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0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CFF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notificacoes</w:t>
            </w:r>
          </w:p>
        </w:tc>
        <w:tc>
          <w:tcPr>
            <w:tcW w:w="568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F2CA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Histórico de avisos simulados enviados aos usuários (serviço de Notificações)</w:t>
            </w:r>
          </w:p>
        </w:tc>
      </w:tr>
    </w:tbl>
    <w:p w14:paraId="7D464A7B">
      <w:pPr>
        <w:pageBreakBefore/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00" w:lineRule="atLeast"/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Dicionário de Dados</w:t>
      </w:r>
    </w:p>
    <w:p w14:paraId="11C0214B">
      <w:pPr>
        <w:pStyle w:val="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Tabela: usuarios</w:t>
      </w:r>
    </w:p>
    <w:p w14:paraId="7FC3EF59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Descrição</w:t>
      </w:r>
    </w:p>
    <w:p w14:paraId="226C441E">
      <w:pPr>
        <w:pStyle w:val="1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Armazena os dados cadastrais e as credenciais dos usuários da plataforma. É usada pelo serviço de Usuários (cadastro, login com JWT, consulta e atualização de dados).</w:t>
      </w:r>
    </w:p>
    <w:p w14:paraId="5CBB8CCF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Chave Primária</w:t>
      </w:r>
    </w:p>
    <w:p w14:paraId="3560D3F4">
      <w:pPr>
        <w:pStyle w:val="13"/>
        <w:keepNext w:val="0"/>
        <w:keepLines w:val="0"/>
        <w:widowControl/>
        <w:suppressLineNumbers w:val="0"/>
        <w:spacing w:line="300" w:lineRule="atLeast"/>
        <w:rPr>
          <w:rStyle w:val="7"/>
          <w:rFonts w:hint="default" w:ascii="Calibri" w:hAnsi="Calibri" w:eastAsia="Segoe UI" w:cs="Calibri"/>
          <w:i w:val="0"/>
          <w:iCs w:val="0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id</w:t>
      </w:r>
    </w:p>
    <w:p w14:paraId="3D98C2B1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Campos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0"/>
        <w:gridCol w:w="1250"/>
        <w:gridCol w:w="950"/>
        <w:gridCol w:w="600"/>
        <w:gridCol w:w="500"/>
        <w:gridCol w:w="500"/>
        <w:gridCol w:w="2850"/>
      </w:tblGrid>
      <w:tr w14:paraId="0DE42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5A84E2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Campo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14CBB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7C8BE9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Tamanho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CE596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Nulo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74CF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2B0F06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BDF6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30C75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4E5B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91DB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SERIAL (INTEGER)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341A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220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03DE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Sim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C4DB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822E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Identificador único do usuário (gerado automaticamente)</w:t>
            </w:r>
          </w:p>
        </w:tc>
      </w:tr>
      <w:tr w14:paraId="02B70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1E3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nome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E28B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VARCHAR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A72B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100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C754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AAD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57C7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A6E7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Nome completo do usuário</w:t>
            </w:r>
          </w:p>
        </w:tc>
      </w:tr>
      <w:tr w14:paraId="2985F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6E63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email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5645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VARCHAR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108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150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3447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A258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B45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32C0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E-mail do usuário, usado no login (gravado em minúsculas; único)</w:t>
            </w:r>
          </w:p>
        </w:tc>
      </w:tr>
      <w:tr w14:paraId="3547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03C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senha_hash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09B4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VARCHAR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65DE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255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6F9F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BAA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366B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768F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Hash da senha (PBKDF2-HMAC-SHA256 com sal, formato sal$hash). A senha nunca é gravada em texto puro</w:t>
            </w:r>
          </w:p>
        </w:tc>
      </w:tr>
      <w:tr w14:paraId="3A803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90AB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criado_em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B295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TIMESTAMP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13B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D4FF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E15F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9C5F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3C7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Data e hora do cadastro (padrão: NOW())</w:t>
            </w:r>
          </w:p>
        </w:tc>
      </w:tr>
    </w:tbl>
    <w:p w14:paraId="6DD2E662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i w:val="0"/>
          <w:iCs w:val="0"/>
          <w:sz w:val="24"/>
          <w:szCs w:val="24"/>
        </w:rPr>
      </w:pPr>
    </w:p>
    <w:p w14:paraId="3A82758B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Índices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5605"/>
      </w:tblGrid>
      <w:tr w14:paraId="697E8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7A512F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Índice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61C2D3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Campos</w:t>
            </w:r>
          </w:p>
        </w:tc>
      </w:tr>
      <w:tr w14:paraId="0406C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B1DD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usuarios_pkey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61FB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 (chave primária)</w:t>
            </w:r>
          </w:p>
        </w:tc>
      </w:tr>
      <w:tr w14:paraId="4D40D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63EE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usuarios_email_key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DAFE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email (único, criado pela restrição UNIQUE)</w:t>
            </w:r>
          </w:p>
        </w:tc>
      </w:tr>
    </w:tbl>
    <w:p w14:paraId="579D3CF8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i w:val="0"/>
          <w:iCs w:val="0"/>
          <w:sz w:val="24"/>
          <w:szCs w:val="24"/>
        </w:rPr>
      </w:pPr>
    </w:p>
    <w:p w14:paraId="7E07736F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Regras de Negócio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7528"/>
      </w:tblGrid>
      <w:tr w14:paraId="6CFED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43308D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Código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17EB6B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5E79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2F3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RD01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E2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O e-mail deve ser único; duplicidade retorna 409 "E-mail já cadastrado".</w:t>
            </w:r>
          </w:p>
        </w:tc>
      </w:tr>
      <w:tr w14:paraId="72445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5434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RD02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1CD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 senha é armazenada somente como hash com sal; nome (2 a 100) e senha (6 a 100 caracteres) são validados pela API.</w:t>
            </w:r>
          </w:p>
        </w:tc>
      </w:tr>
      <w:tr w14:paraId="6FF3C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FB05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RN01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F025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Somente usuário autenticado (token JWT válido por 60 minutos, emitido após login) pode realizar empréstimos.</w:t>
            </w:r>
          </w:p>
        </w:tc>
      </w:tr>
    </w:tbl>
    <w:p w14:paraId="2C856260">
      <w:pPr>
        <w:rPr>
          <w:rFonts w:hint="default" w:ascii="Calibri" w:hAnsi="Calibri" w:cs="Calibri"/>
          <w:sz w:val="24"/>
          <w:szCs w:val="24"/>
        </w:rPr>
      </w:pPr>
    </w:p>
    <w:p w14:paraId="11C0214B">
      <w:pPr>
        <w:pStyle w:val="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Tabela: livros</w:t>
      </w:r>
    </w:p>
    <w:p w14:paraId="7FC3EF59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Descrição</w:t>
      </w:r>
    </w:p>
    <w:p w14:paraId="226C441E">
      <w:pPr>
        <w:pStyle w:val="1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Armazena o acervo da biblioteca e controla a disponibilidade de cada livro. É usada pelo serviço de Livros, que também executa a reserva e a liberação do livro a pedido do serviço de Empréstimos.</w:t>
      </w:r>
    </w:p>
    <w:p w14:paraId="5CBB8CCF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Chave Primária</w:t>
      </w:r>
    </w:p>
    <w:p w14:paraId="3560D3F4">
      <w:pPr>
        <w:pStyle w:val="13"/>
        <w:keepNext w:val="0"/>
        <w:keepLines w:val="0"/>
        <w:widowControl/>
        <w:suppressLineNumbers w:val="0"/>
        <w:spacing w:line="300" w:lineRule="atLeast"/>
        <w:rPr>
          <w:rStyle w:val="7"/>
          <w:rFonts w:hint="default" w:ascii="Calibri" w:hAnsi="Calibri" w:eastAsia="Segoe UI" w:cs="Calibri"/>
          <w:i w:val="0"/>
          <w:iCs w:val="0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id</w:t>
      </w:r>
    </w:p>
    <w:p w14:paraId="3D98C2B1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Campos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0"/>
        <w:gridCol w:w="1250"/>
        <w:gridCol w:w="950"/>
        <w:gridCol w:w="600"/>
        <w:gridCol w:w="500"/>
        <w:gridCol w:w="500"/>
        <w:gridCol w:w="2850"/>
      </w:tblGrid>
      <w:tr w14:paraId="0DE42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5A84E2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Campo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14CBB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7C8BE9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Tamanho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CE596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Nulo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74CF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2B0F06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BDF6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30C75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4E5B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91DB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SERIAL (INTEGER)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341A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220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03DE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Sim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C4DB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822E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Identificador único do livro (gerado automaticamente)</w:t>
            </w:r>
          </w:p>
        </w:tc>
      </w:tr>
      <w:tr w14:paraId="02B70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1E3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titulo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E28B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VARCHAR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A72B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200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C754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AAD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57C7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A6E7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Título do livro</w:t>
            </w:r>
          </w:p>
        </w:tc>
      </w:tr>
      <w:tr w14:paraId="2985F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6E63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autor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5645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VARCHAR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108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150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3447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A258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B45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32C0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Autor do livro</w:t>
            </w:r>
          </w:p>
        </w:tc>
      </w:tr>
      <w:tr w14:paraId="3547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03C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ano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09B4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INTEGER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65DE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6F9F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Sim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BAA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366B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768F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Ano de publicação (opcional; a API aceita de 0 a 2100)</w:t>
            </w:r>
          </w:p>
        </w:tc>
      </w:tr>
      <w:tr w14:paraId="3A803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90AB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disponivel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B295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BOOLEAN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13B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D4FF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E15F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9C5F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3C7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Situação do livro: TRUE = disponível; FALSE = emprestado (padrão: TRUE)</w:t>
            </w:r>
          </w:p>
        </w:tc>
      </w:tr>
    </w:tbl>
    <w:p w14:paraId="6DD2E662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i w:val="0"/>
          <w:iCs w:val="0"/>
          <w:sz w:val="24"/>
          <w:szCs w:val="24"/>
        </w:rPr>
      </w:pPr>
    </w:p>
    <w:p w14:paraId="3A82758B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Índices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5605"/>
      </w:tblGrid>
      <w:tr w14:paraId="697E8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7A512F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Índice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61C2D3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Campos</w:t>
            </w:r>
          </w:p>
        </w:tc>
      </w:tr>
      <w:tr w14:paraId="0406C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B1DD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livros_pkey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61FB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 (chave primária)</w:t>
            </w:r>
          </w:p>
        </w:tc>
      </w:tr>
    </w:tbl>
    <w:p w14:paraId="579D3CF8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i w:val="0"/>
          <w:iCs w:val="0"/>
          <w:sz w:val="24"/>
          <w:szCs w:val="24"/>
        </w:rPr>
      </w:pPr>
    </w:p>
    <w:p w14:paraId="7E07736F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Regras de Negócio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7528"/>
      </w:tblGrid>
      <w:tr w14:paraId="6CFED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43308D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Código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17EB6B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5E79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2F3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RN02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E2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Um livro indisponível (disponivel = FALSE) não pode ser emprestado; a tentativa retorna 409 "Livro indisponível".</w:t>
            </w:r>
          </w:p>
        </w:tc>
      </w:tr>
      <w:tr w14:paraId="72445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5434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RN04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1CD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Ao registrar um empréstimo o livro passa para indisponível e só volta a disponível após devolução ou cancelamento.</w:t>
            </w:r>
          </w:p>
        </w:tc>
      </w:tr>
      <w:tr w14:paraId="6FF3C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FB05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RD03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F025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 reserva é atômica (UPDATE ... WHERE disponivel = TRUE): se dois usuários pedem o mesmo livro ao mesmo tempo, apenas um consegue.</w:t>
            </w:r>
          </w:p>
        </w:tc>
      </w:tr>
      <w:tr w14:paraId="5E79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2F3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RD04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E2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Título e autor são obrigatórios (não vazios); a consulta é pública e aceita filtros por título, autor e somente disponíveis.</w:t>
            </w:r>
          </w:p>
        </w:tc>
      </w:tr>
    </w:tbl>
    <w:p w14:paraId="2C856260">
      <w:pPr>
        <w:rPr>
          <w:rFonts w:hint="default" w:ascii="Calibri" w:hAnsi="Calibri" w:cs="Calibri"/>
          <w:sz w:val="24"/>
          <w:szCs w:val="24"/>
        </w:rPr>
      </w:pPr>
    </w:p>
    <w:p w14:paraId="11C0214B">
      <w:pPr>
        <w:pStyle w:val="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Tabela: emprestimos</w:t>
      </w:r>
    </w:p>
    <w:p w14:paraId="7FC3EF59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Descrição</w:t>
      </w:r>
    </w:p>
    <w:p w14:paraId="226C441E">
      <w:pPr>
        <w:pStyle w:val="1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Registra o ciclo de vida dos empréstimos (ativo, devolvido ou cancelado). É usada pelo serviço de Empréstimos. As colunas usuario_id e livro_id são referências lógicas, sem chave estrangeira física, pois os dados pertencem a outros serviços.</w:t>
      </w:r>
    </w:p>
    <w:p w14:paraId="5CBB8CCF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Chave Primária</w:t>
      </w:r>
    </w:p>
    <w:p w14:paraId="3560D3F4">
      <w:pPr>
        <w:pStyle w:val="13"/>
        <w:keepNext w:val="0"/>
        <w:keepLines w:val="0"/>
        <w:widowControl/>
        <w:suppressLineNumbers w:val="0"/>
        <w:spacing w:line="300" w:lineRule="atLeast"/>
        <w:rPr>
          <w:rStyle w:val="7"/>
          <w:rFonts w:hint="default" w:ascii="Calibri" w:hAnsi="Calibri" w:eastAsia="Segoe UI" w:cs="Calibri"/>
          <w:i w:val="0"/>
          <w:iCs w:val="0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id</w:t>
      </w:r>
    </w:p>
    <w:p w14:paraId="3D98C2B1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Campos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0"/>
        <w:gridCol w:w="1250"/>
        <w:gridCol w:w="950"/>
        <w:gridCol w:w="600"/>
        <w:gridCol w:w="500"/>
        <w:gridCol w:w="500"/>
        <w:gridCol w:w="2850"/>
      </w:tblGrid>
      <w:tr w14:paraId="0DE42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5A84E2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Campo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14CBB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7C8BE9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Tamanho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CE596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Nulo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74CF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2B0F06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BDF6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30C75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4E5B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91DB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SERIAL (INTEGER)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341A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220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03DE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Sim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C4DB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822E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Identificador único do empréstimo (gerado automaticamente)</w:t>
            </w:r>
          </w:p>
        </w:tc>
      </w:tr>
      <w:tr w14:paraId="02B70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1E3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usuario_id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E28B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INTEGER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A72B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C754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AAD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57C7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A6E7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Usuário que realizou o empréstimo. Referência lógica a usuarios.id (sem FK; validada pelo token JWT)</w:t>
            </w:r>
          </w:p>
        </w:tc>
      </w:tr>
      <w:tr w14:paraId="2985F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6E63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livro_id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5645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INTEGER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108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3447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A258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B45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32C0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Livro emprestado. Referência lógica a livros.id (sem FK; validada pelo serviço de Livros)</w:t>
            </w:r>
          </w:p>
        </w:tc>
      </w:tr>
      <w:tr w14:paraId="3547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03C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status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09B4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VARCHAR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65DE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20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6F9F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BAA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366B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768F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Situação: ativo, devolvido ou cancelado (CHECK; padrão: ativo)</w:t>
            </w:r>
          </w:p>
        </w:tc>
      </w:tr>
      <w:tr w14:paraId="3A803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90AB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data_emprestimo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B295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TIMESTAMP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13B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D4FF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E15F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9C5F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3C7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Data e hora do empréstimo (padrão: NOW())</w:t>
            </w:r>
          </w:p>
        </w:tc>
      </w:tr>
      <w:tr w14:paraId="72782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8152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data_prevista_devolucao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E95B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TIMESTAMP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5A28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9DB3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87038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1FD9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C201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Prazo de devolução (data do empréstimo + 14 dias)</w:t>
            </w:r>
          </w:p>
        </w:tc>
      </w:tr>
      <w:tr w14:paraId="30C75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4E5B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data_devolucao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91DB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TIMESTAMP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341A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220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Sim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03DE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C4DB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822E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Data e hora do encerramento (devolução ou cancelamento); nulo enquanto o empréstimo está ativo</w:t>
            </w:r>
          </w:p>
        </w:tc>
      </w:tr>
    </w:tbl>
    <w:p w14:paraId="6DD2E662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i w:val="0"/>
          <w:iCs w:val="0"/>
          <w:sz w:val="24"/>
          <w:szCs w:val="24"/>
        </w:rPr>
      </w:pPr>
    </w:p>
    <w:p w14:paraId="3A82758B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Índices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5605"/>
      </w:tblGrid>
      <w:tr w14:paraId="697E8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7A512F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Índice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61C2D3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Campos</w:t>
            </w:r>
          </w:p>
        </w:tc>
      </w:tr>
      <w:tr w14:paraId="0406C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B1DD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emprestimos_pkey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61FB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 (chave primária)</w:t>
            </w:r>
          </w:p>
        </w:tc>
      </w:tr>
      <w:tr w14:paraId="4D40D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63EE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idx_um_emprestimo_ativo_por_livro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DAFE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livro_id, único parcial, somente onde status = 'ativo'</w:t>
            </w:r>
          </w:p>
        </w:tc>
      </w:tr>
    </w:tbl>
    <w:p w14:paraId="579D3CF8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i w:val="0"/>
          <w:iCs w:val="0"/>
          <w:sz w:val="24"/>
          <w:szCs w:val="24"/>
        </w:rPr>
      </w:pPr>
    </w:p>
    <w:p w14:paraId="7E07736F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Regras de Negócio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7528"/>
      </w:tblGrid>
      <w:tr w14:paraId="6CFED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43308D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Código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17EB6B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5E79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2F3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RN01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E2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 criação, consulta, devolução e cancelamento exigem usuário autenticado; cada usuário só acessa os próprios empréstimos (403 caso contrário).</w:t>
            </w:r>
          </w:p>
        </w:tc>
      </w:tr>
      <w:tr w14:paraId="72445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5434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RN02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1CD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Um livro só pode ter um empréstimo ativo por vez (índice único parcial, segunda barreira além da reserva atômica).</w:t>
            </w:r>
          </w:p>
        </w:tc>
      </w:tr>
      <w:tr w14:paraId="6FF3C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FB05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RN03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F025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Cada usuário pode ter no máximo 3 empréstimos ativos (variável MAX_EMPRESTIMOS); acima disso retorna 409.</w:t>
            </w:r>
          </w:p>
        </w:tc>
      </w:tr>
      <w:tr w14:paraId="5E79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2F3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RN04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E2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 devolução ou o cancelamento muda o status, grava data_devolucao e libera o livro.</w:t>
            </w:r>
          </w:p>
        </w:tc>
      </w:tr>
      <w:tr w14:paraId="5E79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2F3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RD05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E2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status só aceita ativo, devolvido ou cancelado. O cancelamento só é permitido em até 24 horas após o empréstimo.</w:t>
            </w:r>
          </w:p>
        </w:tc>
      </w:tr>
    </w:tbl>
    <w:p w14:paraId="2C856260">
      <w:pPr>
        <w:rPr>
          <w:rFonts w:hint="default" w:ascii="Calibri" w:hAnsi="Calibri" w:cs="Calibri"/>
          <w:sz w:val="24"/>
          <w:szCs w:val="24"/>
        </w:rPr>
      </w:pPr>
    </w:p>
    <w:p w14:paraId="11C0214B">
      <w:pPr>
        <w:pStyle w:val="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Tabela: notificacoes</w:t>
      </w:r>
    </w:p>
    <w:p w14:paraId="7FC3EF59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Descrição</w:t>
      </w:r>
    </w:p>
    <w:p w14:paraId="226C441E">
      <w:pPr>
        <w:pStyle w:val="13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Guarda o histórico das notificações simuladas (confirmação de empréstimo, devolução, cancelamento e aviso de vencimento). É usada pelo serviço de Notificações. usuario_id é referência lógica a usuarios.id, sem FK física.</w:t>
      </w:r>
    </w:p>
    <w:p w14:paraId="5CBB8CCF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Chave Primária</w:t>
      </w:r>
    </w:p>
    <w:p w14:paraId="3560D3F4">
      <w:pPr>
        <w:pStyle w:val="13"/>
        <w:keepNext w:val="0"/>
        <w:keepLines w:val="0"/>
        <w:widowControl/>
        <w:suppressLineNumbers w:val="0"/>
        <w:spacing w:line="300" w:lineRule="atLeast"/>
        <w:rPr>
          <w:rStyle w:val="7"/>
          <w:rFonts w:hint="default" w:ascii="Calibri" w:hAnsi="Calibri" w:eastAsia="Segoe UI" w:cs="Calibri"/>
          <w:i w:val="0"/>
          <w:iCs w:val="0"/>
          <w:sz w:val="24"/>
          <w:szCs w:val="24"/>
        </w:rPr>
      </w:pPr>
      <w:r>
        <w:rPr>
          <w:rStyle w:val="7"/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id</w:t>
      </w:r>
    </w:p>
    <w:p w14:paraId="3D98C2B1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Campos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0"/>
        <w:gridCol w:w="1250"/>
        <w:gridCol w:w="950"/>
        <w:gridCol w:w="600"/>
        <w:gridCol w:w="500"/>
        <w:gridCol w:w="500"/>
        <w:gridCol w:w="2850"/>
      </w:tblGrid>
      <w:tr w14:paraId="0DE42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5A84E2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Campo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14CBB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7C8BE9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Tamanho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CE596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Nulo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074CF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2B0F06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3BDF6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30C75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4E5B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91DB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SERIAL (INTEGER)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341A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220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03DE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Sim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C4DB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822E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Identificador único da notificação (gerado automaticamente)</w:t>
            </w:r>
          </w:p>
        </w:tc>
      </w:tr>
      <w:tr w14:paraId="02B70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1E3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usuario_id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E28B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INTEGER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A72B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C754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AAD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57C7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A6E7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Usuário destinatário. Referência lógica a usuarios.id (sem FK)</w:t>
            </w:r>
          </w:p>
        </w:tc>
      </w:tr>
      <w:tr w14:paraId="2985F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6E63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tipo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5645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VARCHAR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A108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30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3447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A258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B45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32C0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Tipo do aviso: emprestimo, devolucao, cancelamento ou aviso_devolucao</w:t>
            </w:r>
          </w:p>
        </w:tc>
      </w:tr>
      <w:tr w14:paraId="35470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B03C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mensagem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09B4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TEXT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65DE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6F9F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BAA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366B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1768F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Texto da notificação (a API limita a 500 caracteres)</w:t>
            </w:r>
          </w:p>
        </w:tc>
      </w:tr>
      <w:tr w14:paraId="3A803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90AB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criado_em</w:t>
            </w:r>
          </w:p>
        </w:tc>
        <w:tc>
          <w:tcPr>
            <w:tcW w:w="12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B295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TIMESTAMP</w:t>
            </w:r>
          </w:p>
        </w:tc>
        <w:tc>
          <w:tcPr>
            <w:tcW w:w="9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13B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-</w:t>
            </w:r>
          </w:p>
        </w:tc>
        <w:tc>
          <w:tcPr>
            <w:tcW w:w="6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D4FF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E15F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50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9C5F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Não</w:t>
            </w:r>
          </w:p>
        </w:tc>
        <w:tc>
          <w:tcPr>
            <w:tcW w:w="285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3C7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Data e hora de geração (padrão: NOW())</w:t>
            </w:r>
          </w:p>
        </w:tc>
      </w:tr>
    </w:tbl>
    <w:p w14:paraId="6DD2E662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i w:val="0"/>
          <w:iCs w:val="0"/>
          <w:sz w:val="24"/>
          <w:szCs w:val="24"/>
        </w:rPr>
      </w:pPr>
    </w:p>
    <w:p w14:paraId="3A82758B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Índices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5605"/>
      </w:tblGrid>
      <w:tr w14:paraId="697E8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7A512F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Índice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61C2D3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Campos</w:t>
            </w:r>
          </w:p>
        </w:tc>
      </w:tr>
      <w:tr w14:paraId="0406C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84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B1DD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notificacoes_pkey</w:t>
            </w:r>
          </w:p>
        </w:tc>
        <w:tc>
          <w:tcPr>
            <w:tcW w:w="55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361FB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id (chave primária)</w:t>
            </w:r>
          </w:p>
        </w:tc>
      </w:tr>
    </w:tbl>
    <w:p w14:paraId="579D3CF8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i w:val="0"/>
          <w:iCs w:val="0"/>
          <w:sz w:val="24"/>
          <w:szCs w:val="24"/>
        </w:rPr>
      </w:pPr>
    </w:p>
    <w:p w14:paraId="7E07736F">
      <w:pPr>
        <w:pStyle w:val="4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Regras de Negócio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7528"/>
      </w:tblGrid>
      <w:tr w14:paraId="6CFED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43308D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Código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14:paraId="17EB6B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</w:tr>
      <w:tr w14:paraId="5E79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22F3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RF15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7CE2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Notificações são geradas automaticamente pelo serviço de Empréstimos (empréstimo, devolução, cancelamento e lembrete de vencimento em até 2 dias).</w:t>
            </w:r>
          </w:p>
        </w:tc>
      </w:tr>
      <w:tr w14:paraId="72445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05434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RD06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621CD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 criação é interna: POST /notificacoes é bloqueado no gateway. Falha no serviço de Notificações não impede o empréstimo.</w:t>
            </w:r>
          </w:p>
        </w:tc>
      </w:tr>
      <w:tr w14:paraId="6FF3C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5FB05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RD07</w:t>
            </w:r>
          </w:p>
        </w:tc>
        <w:tc>
          <w:tcPr>
            <w:tcW w:w="748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vAlign w:val="center"/>
          </w:tcPr>
          <w:p w14:paraId="4F025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O usuário só consulta as próprias notificações, da mais recente para a mais antiga.</w:t>
            </w:r>
          </w:p>
        </w:tc>
      </w:tr>
    </w:tbl>
    <w:p w14:paraId="2C856260">
      <w:pPr>
        <w:rPr>
          <w:rFonts w:hint="default" w:ascii="Calibri" w:hAnsi="Calibri" w:cs="Calibri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284" w:footer="17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(Corpo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5251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5244"/>
      <w:gridCol w:w="452"/>
      <w:gridCol w:w="3235"/>
    </w:tblGrid>
    <w:tr w14:paraId="46EC6C3B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936" w:type="pct"/>
        </w:tcPr>
        <w:p w14:paraId="32C2CBFE">
          <w:pPr>
            <w:pStyle w:val="16"/>
            <w:rPr>
              <w:caps/>
              <w:color w:val="4472C4" w:themeColor="accent1"/>
              <w:sz w:val="18"/>
              <w:szCs w:val="18"/>
              <w14:textFill>
                <w14:solidFill>
                  <w14:schemeClr w14:val="accent1"/>
                </w14:solidFill>
              </w14:textFill>
            </w:rPr>
          </w:pPr>
        </w:p>
      </w:tc>
      <w:tc>
        <w:tcPr>
          <w:tcW w:w="253" w:type="pct"/>
        </w:tcPr>
        <w:p w14:paraId="76189C5F">
          <w:pPr>
            <w:pStyle w:val="16"/>
            <w:rPr>
              <w:caps/>
              <w:color w:val="4472C4" w:themeColor="accent1"/>
              <w:sz w:val="18"/>
              <w:szCs w:val="18"/>
              <w14:textFill>
                <w14:solidFill>
                  <w14:schemeClr w14:val="accent1"/>
                </w14:solidFill>
              </w14:textFill>
            </w:rPr>
          </w:pPr>
        </w:p>
      </w:tc>
      <w:tc>
        <w:tcPr>
          <w:tcW w:w="1811" w:type="pct"/>
        </w:tcPr>
        <w:p w14:paraId="2933E532">
          <w:pPr>
            <w:pStyle w:val="16"/>
            <w:jc w:val="right"/>
            <w:rPr>
              <w:caps/>
              <w:color w:val="4472C4" w:themeColor="accent1"/>
              <w:sz w:val="18"/>
              <w:szCs w:val="18"/>
              <w14:textFill>
                <w14:solidFill>
                  <w14:schemeClr w14:val="accent1"/>
                </w14:solidFill>
              </w14:textFill>
            </w:rPr>
          </w:pPr>
        </w:p>
      </w:tc>
    </w:tr>
  </w:tbl>
  <w:p w14:paraId="5858E965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76ED0">
    <w:pPr>
      <w:keepNext w:val="0"/>
      <w:keepLines w:val="0"/>
      <w:widowControl/>
      <w:suppressLineNumbers w:val="0"/>
      <w:spacing w:line="300" w:lineRule="atLeast"/>
      <w:jc w:val="left"/>
      <w:rPr>
        <w:rFonts w:hint="default" w:ascii="Segoe UI" w:hAnsi="Segoe UI" w:eastAsia="Segoe UI" w:cs="Segoe UI"/>
        <w:i w:val="0"/>
        <w:iCs w:val="0"/>
        <w:kern w:val="0"/>
        <w:sz w:val="21"/>
        <w:szCs w:val="21"/>
        <w:lang w:val="en-US" w:eastAsia="zh-CN" w:bidi="ar"/>
      </w:rPr>
    </w:pPr>
  </w:p>
  <w:p w14:paraId="7A2F105A">
    <w:pPr>
      <w:keepNext w:val="0"/>
      <w:keepLines w:val="0"/>
      <w:widowControl/>
      <w:suppressLineNumbers w:val="0"/>
      <w:spacing w:line="300" w:lineRule="atLeast"/>
      <w:jc w:val="center"/>
      <w:rPr>
        <w:rFonts w:ascii="Segoe UI" w:hAnsi="Segoe UI" w:eastAsia="Segoe UI" w:cs="Segoe UI"/>
        <w:b/>
        <w:bCs/>
        <w:i w:val="0"/>
        <w:iCs w:val="0"/>
        <w:sz w:val="21"/>
        <w:szCs w:val="21"/>
      </w:rPr>
    </w:pPr>
    <w:r>
      <w:rPr>
        <w:rFonts w:hint="default" w:ascii="Segoe UI" w:hAnsi="Segoe UI" w:eastAsia="Segoe UI" w:cs="Segoe UI"/>
        <w:b/>
        <w:bCs/>
        <w:i w:val="0"/>
        <w:iCs w:val="0"/>
        <w:kern w:val="0"/>
        <w:sz w:val="21"/>
        <w:szCs w:val="21"/>
        <w:lang w:val="en-US" w:eastAsia="zh-CN" w:bidi="ar"/>
      </w:rPr>
      <w:t>DOCUMENTO DE DICIONÁRIO DE DADOS</w:t>
    </w:r>
  </w:p>
  <w:p w14:paraId="2EF9D7C0">
    <w:pPr>
      <w:pStyle w:val="1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9FBEC6"/>
    <w:multiLevelType w:val="singleLevel"/>
    <w:tmpl w:val="C19FBE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C60"/>
    <w:rsid w:val="0000146A"/>
    <w:rsid w:val="00007FDF"/>
    <w:rsid w:val="00017FA9"/>
    <w:rsid w:val="00022B50"/>
    <w:rsid w:val="00032E4F"/>
    <w:rsid w:val="00051714"/>
    <w:rsid w:val="00055463"/>
    <w:rsid w:val="00067911"/>
    <w:rsid w:val="000738E3"/>
    <w:rsid w:val="000A7B4C"/>
    <w:rsid w:val="000B090B"/>
    <w:rsid w:val="000B5A76"/>
    <w:rsid w:val="000D1EC6"/>
    <w:rsid w:val="000E54F9"/>
    <w:rsid w:val="000F3005"/>
    <w:rsid w:val="00145D74"/>
    <w:rsid w:val="0015768F"/>
    <w:rsid w:val="00164762"/>
    <w:rsid w:val="0017323F"/>
    <w:rsid w:val="0017647B"/>
    <w:rsid w:val="00192651"/>
    <w:rsid w:val="00193FD9"/>
    <w:rsid w:val="001A2822"/>
    <w:rsid w:val="001B58C2"/>
    <w:rsid w:val="001C12CB"/>
    <w:rsid w:val="001C3453"/>
    <w:rsid w:val="001C5EC9"/>
    <w:rsid w:val="001C62C3"/>
    <w:rsid w:val="001E25A7"/>
    <w:rsid w:val="001F117D"/>
    <w:rsid w:val="001F2AA2"/>
    <w:rsid w:val="001F5180"/>
    <w:rsid w:val="001F769D"/>
    <w:rsid w:val="00215459"/>
    <w:rsid w:val="002158A5"/>
    <w:rsid w:val="00215EEC"/>
    <w:rsid w:val="0022464F"/>
    <w:rsid w:val="00225E49"/>
    <w:rsid w:val="002373CA"/>
    <w:rsid w:val="0025219E"/>
    <w:rsid w:val="00270D00"/>
    <w:rsid w:val="0027311A"/>
    <w:rsid w:val="00291195"/>
    <w:rsid w:val="002B1628"/>
    <w:rsid w:val="002B7F7C"/>
    <w:rsid w:val="002D5E87"/>
    <w:rsid w:val="00302817"/>
    <w:rsid w:val="00320903"/>
    <w:rsid w:val="003365BA"/>
    <w:rsid w:val="00356747"/>
    <w:rsid w:val="00367B51"/>
    <w:rsid w:val="00371F3F"/>
    <w:rsid w:val="003842B1"/>
    <w:rsid w:val="00386FE1"/>
    <w:rsid w:val="003A050F"/>
    <w:rsid w:val="003A0C58"/>
    <w:rsid w:val="003A0F72"/>
    <w:rsid w:val="003B2955"/>
    <w:rsid w:val="003B720B"/>
    <w:rsid w:val="003C0821"/>
    <w:rsid w:val="003C13C0"/>
    <w:rsid w:val="003E6921"/>
    <w:rsid w:val="003F0307"/>
    <w:rsid w:val="003F0FC9"/>
    <w:rsid w:val="00404225"/>
    <w:rsid w:val="00413E65"/>
    <w:rsid w:val="00416F04"/>
    <w:rsid w:val="004210E0"/>
    <w:rsid w:val="00431C88"/>
    <w:rsid w:val="0043464A"/>
    <w:rsid w:val="0044401B"/>
    <w:rsid w:val="00444BCE"/>
    <w:rsid w:val="00451205"/>
    <w:rsid w:val="00466726"/>
    <w:rsid w:val="00480268"/>
    <w:rsid w:val="004839A1"/>
    <w:rsid w:val="00484EB5"/>
    <w:rsid w:val="00485488"/>
    <w:rsid w:val="00492335"/>
    <w:rsid w:val="00496E07"/>
    <w:rsid w:val="004A322D"/>
    <w:rsid w:val="004B0493"/>
    <w:rsid w:val="004E7AA2"/>
    <w:rsid w:val="004F3F13"/>
    <w:rsid w:val="00501783"/>
    <w:rsid w:val="00503A94"/>
    <w:rsid w:val="0050742C"/>
    <w:rsid w:val="00522816"/>
    <w:rsid w:val="0052598F"/>
    <w:rsid w:val="00527206"/>
    <w:rsid w:val="00533977"/>
    <w:rsid w:val="00536FEF"/>
    <w:rsid w:val="005379AD"/>
    <w:rsid w:val="005415A7"/>
    <w:rsid w:val="00545F54"/>
    <w:rsid w:val="00550803"/>
    <w:rsid w:val="00553BB3"/>
    <w:rsid w:val="00572461"/>
    <w:rsid w:val="00586426"/>
    <w:rsid w:val="005974BB"/>
    <w:rsid w:val="005B235F"/>
    <w:rsid w:val="005C57FF"/>
    <w:rsid w:val="005D1642"/>
    <w:rsid w:val="005E31B6"/>
    <w:rsid w:val="005F203A"/>
    <w:rsid w:val="005F3D5D"/>
    <w:rsid w:val="006036DD"/>
    <w:rsid w:val="00610C63"/>
    <w:rsid w:val="00611DB0"/>
    <w:rsid w:val="00632DF7"/>
    <w:rsid w:val="006442E9"/>
    <w:rsid w:val="0064558F"/>
    <w:rsid w:val="00650EBF"/>
    <w:rsid w:val="0066681A"/>
    <w:rsid w:val="00667E84"/>
    <w:rsid w:val="00671454"/>
    <w:rsid w:val="00676363"/>
    <w:rsid w:val="00677550"/>
    <w:rsid w:val="006800A3"/>
    <w:rsid w:val="00681F6C"/>
    <w:rsid w:val="00685371"/>
    <w:rsid w:val="0069071B"/>
    <w:rsid w:val="006A2A02"/>
    <w:rsid w:val="006A58C0"/>
    <w:rsid w:val="006B18C8"/>
    <w:rsid w:val="006D01E6"/>
    <w:rsid w:val="006E3769"/>
    <w:rsid w:val="006F6EC0"/>
    <w:rsid w:val="007054BD"/>
    <w:rsid w:val="0070560C"/>
    <w:rsid w:val="00715D59"/>
    <w:rsid w:val="0072355B"/>
    <w:rsid w:val="00730B9C"/>
    <w:rsid w:val="007357C5"/>
    <w:rsid w:val="00735CA2"/>
    <w:rsid w:val="00736B50"/>
    <w:rsid w:val="007428E5"/>
    <w:rsid w:val="007461CB"/>
    <w:rsid w:val="00747F38"/>
    <w:rsid w:val="007608D5"/>
    <w:rsid w:val="00765464"/>
    <w:rsid w:val="00770F3F"/>
    <w:rsid w:val="007808D6"/>
    <w:rsid w:val="00796EAA"/>
    <w:rsid w:val="007A7D18"/>
    <w:rsid w:val="007C0339"/>
    <w:rsid w:val="007C2FB7"/>
    <w:rsid w:val="007C5374"/>
    <w:rsid w:val="007E1E46"/>
    <w:rsid w:val="007E60C2"/>
    <w:rsid w:val="007F7650"/>
    <w:rsid w:val="00802994"/>
    <w:rsid w:val="008043A2"/>
    <w:rsid w:val="008069A2"/>
    <w:rsid w:val="008140B7"/>
    <w:rsid w:val="00830725"/>
    <w:rsid w:val="008309B9"/>
    <w:rsid w:val="00835FB8"/>
    <w:rsid w:val="008457A5"/>
    <w:rsid w:val="00863DB7"/>
    <w:rsid w:val="008756E7"/>
    <w:rsid w:val="00876D6D"/>
    <w:rsid w:val="00882F1B"/>
    <w:rsid w:val="00896BF1"/>
    <w:rsid w:val="008A2372"/>
    <w:rsid w:val="008A6389"/>
    <w:rsid w:val="008A7597"/>
    <w:rsid w:val="008B01DF"/>
    <w:rsid w:val="008B1F5D"/>
    <w:rsid w:val="008D219D"/>
    <w:rsid w:val="008D5C34"/>
    <w:rsid w:val="008E1198"/>
    <w:rsid w:val="008E1C21"/>
    <w:rsid w:val="008F7AE0"/>
    <w:rsid w:val="00905490"/>
    <w:rsid w:val="0090583B"/>
    <w:rsid w:val="00913258"/>
    <w:rsid w:val="009309D1"/>
    <w:rsid w:val="00962E74"/>
    <w:rsid w:val="0097155A"/>
    <w:rsid w:val="009728E3"/>
    <w:rsid w:val="009A4E12"/>
    <w:rsid w:val="009C06C8"/>
    <w:rsid w:val="009C51B2"/>
    <w:rsid w:val="009F1961"/>
    <w:rsid w:val="00A00991"/>
    <w:rsid w:val="00A0123E"/>
    <w:rsid w:val="00A107AB"/>
    <w:rsid w:val="00A11FF2"/>
    <w:rsid w:val="00A21FB4"/>
    <w:rsid w:val="00A24715"/>
    <w:rsid w:val="00A30E5F"/>
    <w:rsid w:val="00A319D2"/>
    <w:rsid w:val="00A379E0"/>
    <w:rsid w:val="00A4181F"/>
    <w:rsid w:val="00A557D4"/>
    <w:rsid w:val="00A6633E"/>
    <w:rsid w:val="00A85848"/>
    <w:rsid w:val="00A86FC2"/>
    <w:rsid w:val="00A87BF0"/>
    <w:rsid w:val="00A96003"/>
    <w:rsid w:val="00AA76ED"/>
    <w:rsid w:val="00AB6FC1"/>
    <w:rsid w:val="00AB7B2B"/>
    <w:rsid w:val="00AC3D96"/>
    <w:rsid w:val="00AC60B2"/>
    <w:rsid w:val="00AC62E7"/>
    <w:rsid w:val="00AD06A5"/>
    <w:rsid w:val="00AD37E9"/>
    <w:rsid w:val="00AE1926"/>
    <w:rsid w:val="00AF3036"/>
    <w:rsid w:val="00AF5ADF"/>
    <w:rsid w:val="00B02BD4"/>
    <w:rsid w:val="00B1088B"/>
    <w:rsid w:val="00B12F63"/>
    <w:rsid w:val="00B14338"/>
    <w:rsid w:val="00B17340"/>
    <w:rsid w:val="00B209BC"/>
    <w:rsid w:val="00B22B07"/>
    <w:rsid w:val="00B25E30"/>
    <w:rsid w:val="00B47203"/>
    <w:rsid w:val="00B74229"/>
    <w:rsid w:val="00B86A2E"/>
    <w:rsid w:val="00BA08AB"/>
    <w:rsid w:val="00BC65CC"/>
    <w:rsid w:val="00BD14B6"/>
    <w:rsid w:val="00BD6A3F"/>
    <w:rsid w:val="00C01A6F"/>
    <w:rsid w:val="00C05FBC"/>
    <w:rsid w:val="00C0789A"/>
    <w:rsid w:val="00C07A43"/>
    <w:rsid w:val="00C10B52"/>
    <w:rsid w:val="00C12401"/>
    <w:rsid w:val="00C26167"/>
    <w:rsid w:val="00C3020C"/>
    <w:rsid w:val="00C44EE0"/>
    <w:rsid w:val="00C55208"/>
    <w:rsid w:val="00C60D5C"/>
    <w:rsid w:val="00C674B9"/>
    <w:rsid w:val="00C711D7"/>
    <w:rsid w:val="00C719B8"/>
    <w:rsid w:val="00C87445"/>
    <w:rsid w:val="00C94E0B"/>
    <w:rsid w:val="00C9594A"/>
    <w:rsid w:val="00CA6181"/>
    <w:rsid w:val="00CC67B9"/>
    <w:rsid w:val="00CD1B66"/>
    <w:rsid w:val="00CD289F"/>
    <w:rsid w:val="00CD31F7"/>
    <w:rsid w:val="00CD3DDC"/>
    <w:rsid w:val="00CE188D"/>
    <w:rsid w:val="00CE46E1"/>
    <w:rsid w:val="00D113EA"/>
    <w:rsid w:val="00D16246"/>
    <w:rsid w:val="00D2038D"/>
    <w:rsid w:val="00D2720E"/>
    <w:rsid w:val="00D416F0"/>
    <w:rsid w:val="00D53026"/>
    <w:rsid w:val="00D534F1"/>
    <w:rsid w:val="00D57016"/>
    <w:rsid w:val="00D650FA"/>
    <w:rsid w:val="00D70B97"/>
    <w:rsid w:val="00D710B5"/>
    <w:rsid w:val="00D72DFB"/>
    <w:rsid w:val="00DB71D0"/>
    <w:rsid w:val="00DB7F85"/>
    <w:rsid w:val="00DC1A16"/>
    <w:rsid w:val="00DC1D37"/>
    <w:rsid w:val="00DC2AE7"/>
    <w:rsid w:val="00DC5A46"/>
    <w:rsid w:val="00DE786F"/>
    <w:rsid w:val="00DF3304"/>
    <w:rsid w:val="00E0016C"/>
    <w:rsid w:val="00E14A48"/>
    <w:rsid w:val="00E15F69"/>
    <w:rsid w:val="00E1730D"/>
    <w:rsid w:val="00E24A31"/>
    <w:rsid w:val="00E333A8"/>
    <w:rsid w:val="00E3611D"/>
    <w:rsid w:val="00E44610"/>
    <w:rsid w:val="00E6001F"/>
    <w:rsid w:val="00E62C1B"/>
    <w:rsid w:val="00E63FFA"/>
    <w:rsid w:val="00E70407"/>
    <w:rsid w:val="00E704EE"/>
    <w:rsid w:val="00E76D52"/>
    <w:rsid w:val="00E80ADC"/>
    <w:rsid w:val="00E87C60"/>
    <w:rsid w:val="00E90003"/>
    <w:rsid w:val="00E9023D"/>
    <w:rsid w:val="00EA4BE9"/>
    <w:rsid w:val="00EA632B"/>
    <w:rsid w:val="00EA7A1A"/>
    <w:rsid w:val="00EB22AE"/>
    <w:rsid w:val="00EC6A59"/>
    <w:rsid w:val="00EF0D33"/>
    <w:rsid w:val="00EF5692"/>
    <w:rsid w:val="00F04CD4"/>
    <w:rsid w:val="00F07A8F"/>
    <w:rsid w:val="00F1304A"/>
    <w:rsid w:val="00F161F0"/>
    <w:rsid w:val="00F26F51"/>
    <w:rsid w:val="00F2793B"/>
    <w:rsid w:val="00F43D78"/>
    <w:rsid w:val="00F44536"/>
    <w:rsid w:val="00F44551"/>
    <w:rsid w:val="00F47BC4"/>
    <w:rsid w:val="00F47CEC"/>
    <w:rsid w:val="00F50A89"/>
    <w:rsid w:val="00F660D6"/>
    <w:rsid w:val="00F73B6A"/>
    <w:rsid w:val="00F7574F"/>
    <w:rsid w:val="00F80842"/>
    <w:rsid w:val="00F81AEF"/>
    <w:rsid w:val="00F90333"/>
    <w:rsid w:val="00F927CC"/>
    <w:rsid w:val="00FB2687"/>
    <w:rsid w:val="00FB3DAE"/>
    <w:rsid w:val="00FC19E0"/>
    <w:rsid w:val="00FC202E"/>
    <w:rsid w:val="00FC4648"/>
    <w:rsid w:val="00FE58E1"/>
    <w:rsid w:val="00FF0712"/>
    <w:rsid w:val="5503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9">
    <w:name w:val="FollowedHyperlink"/>
    <w:basedOn w:val="5"/>
    <w:semiHidden/>
    <w:unhideWhenUsed/>
    <w:uiPriority w:val="99"/>
    <w:rPr>
      <w:color w:val="464FEB"/>
      <w:u w:val="none"/>
    </w:rPr>
  </w:style>
  <w:style w:type="character" w:styleId="10">
    <w:name w:val="Hyperlink"/>
    <w:basedOn w:val="5"/>
    <w:semiHidden/>
    <w:unhideWhenUsed/>
    <w:uiPriority w:val="99"/>
    <w:rPr>
      <w:color w:val="464FEB"/>
      <w:u w:val="none"/>
    </w:rPr>
  </w:style>
  <w:style w:type="character" w:styleId="11">
    <w:name w:val="page number"/>
    <w:basedOn w:val="5"/>
    <w:qFormat/>
    <w:uiPriority w:val="0"/>
  </w:style>
  <w:style w:type="paragraph" w:styleId="12">
    <w:name w:val="annotation text"/>
    <w:basedOn w:val="1"/>
    <w:link w:val="24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14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annotation subject"/>
    <w:basedOn w:val="12"/>
    <w:next w:val="12"/>
    <w:link w:val="25"/>
    <w:semiHidden/>
    <w:unhideWhenUsed/>
    <w:qFormat/>
    <w:uiPriority w:val="99"/>
    <w:rPr>
      <w:b/>
      <w:bCs/>
    </w:rPr>
  </w:style>
  <w:style w:type="paragraph" w:styleId="16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7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table" w:styleId="18">
    <w:name w:val="Table Grid"/>
    <w:basedOn w:val="6"/>
    <w:qFormat/>
    <w:uiPriority w:val="59"/>
    <w:pPr>
      <w:spacing w:after="0" w:line="240" w:lineRule="auto"/>
    </w:pPr>
    <w:rPr>
      <w:rFonts w:eastAsiaTheme="minorEastAsia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Cabeçalho Char"/>
    <w:basedOn w:val="5"/>
    <w:link w:val="14"/>
    <w:qFormat/>
    <w:uiPriority w:val="99"/>
  </w:style>
  <w:style w:type="character" w:customStyle="1" w:styleId="20">
    <w:name w:val="Rodapé Char"/>
    <w:basedOn w:val="5"/>
    <w:link w:val="16"/>
    <w:qFormat/>
    <w:uiPriority w:val="99"/>
  </w:style>
  <w:style w:type="character" w:customStyle="1" w:styleId="21">
    <w:name w:val="Título 2 Char"/>
    <w:basedOn w:val="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2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2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customStyle="1" w:styleId="24">
    <w:name w:val="Texto de comentário Char"/>
    <w:basedOn w:val="5"/>
    <w:link w:val="12"/>
    <w:semiHidden/>
    <w:qFormat/>
    <w:uiPriority w:val="99"/>
    <w:rPr>
      <w:sz w:val="20"/>
      <w:szCs w:val="20"/>
    </w:rPr>
  </w:style>
  <w:style w:type="character" w:customStyle="1" w:styleId="25">
    <w:name w:val="Assunto do comentário Char"/>
    <w:basedOn w:val="24"/>
    <w:link w:val="15"/>
    <w:semiHidden/>
    <w:qFormat/>
    <w:uiPriority w:val="99"/>
    <w:rPr>
      <w:b/>
      <w:bCs/>
      <w:sz w:val="20"/>
      <w:szCs w:val="20"/>
    </w:rPr>
  </w:style>
  <w:style w:type="character" w:customStyle="1" w:styleId="26">
    <w:name w:val="normaltextrun"/>
    <w:basedOn w:val="5"/>
    <w:qFormat/>
    <w:uiPriority w:val="0"/>
  </w:style>
  <w:style w:type="character" w:customStyle="1" w:styleId="27">
    <w:name w:val="eop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0CE03300A776459B1B6A2A36E01B9B" ma:contentTypeVersion="2" ma:contentTypeDescription="Crie um novo documento." ma:contentTypeScope="" ma:versionID="713bfd4cb4185dd793cdd1d23f5ccc5a">
  <xsd:schema xmlns:xsd="http://www.w3.org/2001/XMLSchema" xmlns:xs="http://www.w3.org/2001/XMLSchema" xmlns:p="http://schemas.microsoft.com/office/2006/metadata/properties" xmlns:ns2="914f1a8e-3894-492d-b2e8-a85be37c9c3b" targetNamespace="http://schemas.microsoft.com/office/2006/metadata/properties" ma:root="true" ma:fieldsID="6ffddd8203952ca632b6b2175d1bfced" ns2:_="">
    <xsd:import namespace="914f1a8e-3894-492d-b2e8-a85be37c9c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f1a8e-3894-492d-b2e8-a85be37c9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1D696C-E2AF-4D5B-B9EE-708B7F7EC38F}">
  <ds:schemaRefs/>
</ds:datastoreItem>
</file>

<file path=customXml/itemProps2.xml><?xml version="1.0" encoding="utf-8"?>
<ds:datastoreItem xmlns:ds="http://schemas.openxmlformats.org/officeDocument/2006/customXml" ds:itemID="{6DF595F0-536E-447C-9E38-A1509FEC3C91}">
  <ds:schemaRefs/>
</ds:datastoreItem>
</file>

<file path=customXml/itemProps3.xml><?xml version="1.0" encoding="utf-8"?>
<ds:datastoreItem xmlns:ds="http://schemas.openxmlformats.org/officeDocument/2006/customXml" ds:itemID="{1813FE03-1C79-4926-BF4C-DC6EC52FB3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</Words>
  <Characters>298</Characters>
  <Lines>3</Lines>
  <Paragraphs>1</Paragraphs>
  <TotalTime>0</TotalTime>
  <ScaleCrop>false</ScaleCrop>
  <LinksUpToDate>false</LinksUpToDate>
  <CharactersWithSpaces>339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2023-03-08T17:04:00Z</dcterms:created>
  <dc:creator>07/03/23</dc:creator>
  <cp:lastModifiedBy>Vinicius Marques 2026</cp:lastModifiedBy>
  <cp:lastPrinted>2023-03-08T19:16:00Z</cp:lastPrinted>
  <dcterms:modified xsi:type="dcterms:W3CDTF">2026-10-11T13:24:12Z</dcterms:modified>
  <cp:revision>149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eyJoZGlkIjoiMTk0MjVkOWNkYWExNDIxYmMxOWU1MzdhZDhlOTk3MDUiLCJ1c2VySWQiOiIxMjM2OTU0MjY4MjQxIn0=</vt:lpwstr>
  </property>
  <property fmtid="{D5CDD505-2E9C-101B-9397-08002B2CF9AE}" pid="3" name="KSOProductBuildVer">
    <vt:lpwstr>1046-12.1.0.28485</vt:lpwstr>
  </property>
  <property fmtid="{D5CDD505-2E9C-101B-9397-08002B2CF9AE}" pid="4" name="ICV">
    <vt:lpwstr>9CB4940DDC5546F8A52EA9CE92E570B9_12</vt:lpwstr>
  </property>
</Properties>
</file>