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带隙基准电压源电路"/>
    <w:p>
      <w:pPr>
        <w:pStyle w:val="Heading1"/>
      </w:pPr>
      <w:r>
        <w:rPr>
          <w:rFonts w:hint="eastAsia" w:eastAsia="黑体"/>
        </w:rPr>
        <w:t xml:space="preserve">带隙基准电压源电路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两只面积比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N:1（常见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8:1）的</w:t>
      </w:r>
      <w:r>
        <w:rPr>
          <w:rFonts w:eastAsia="黑体"/>
          <w:b/>
          <w:bCs/>
        </w:rPr>
        <w:t xml:space="preserve"> NPN </w:t>
      </w:r>
      <w:r>
        <w:rPr>
          <w:rFonts w:hint="eastAsia" w:eastAsia="黑体"/>
          <w:b/>
          <w:bCs/>
        </w:rPr>
        <w:t xml:space="preserve">晶体管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组成的基准电压源电路。电路共有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基极偏置节点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与偏置基准相连）；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带隙电压节点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把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转为</w:t>
      </w:r>
      <w:r>
        <w:rPr>
          <w:rFonts w:eastAsia="黑体"/>
        </w:rPr>
        <w:t xml:space="preserve"> PTAT </w:t>
      </w:r>
      <w:r>
        <w:rPr>
          <w:rFonts w:hint="eastAsia" w:eastAsia="黑体"/>
        </w:rPr>
        <w:t xml:space="preserve">电流并与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加权相加得到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</m:oMath>
      <w:r>
        <w:rPr>
          <w:rFonts w:hint="eastAsia" w:eastAsia="黑体"/>
        </w:rPr>
        <w:t xml:space="preserve">，引至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另一端与发射极公共参考相连）。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接节点①、集电极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接带隙电压节点②、发射极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的发射极相接；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接节点①、集电极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接带隙电压节点②、发射极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另一端（因面积不同产生正温度系数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ln</m:t>
        </m:r>
        <m:r>
          <m:t>N</m:t>
        </m:r>
      </m:oMath>
      <w:r>
        <w:rPr>
          <w:rFonts w:hint="eastAsia" w:eastAsia="黑体"/>
        </w:rPr>
        <w:t xml:space="preserve">）；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的发射极、另一端接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的发射极，两端跨出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一端接反相输入节点③、另一端接地节点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一端接反相输入节点③、另一端接输出节点④；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接带隙电压节点②、IN−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接反相输入节点③、OUT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接输出节点④、正电源脚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−VEE（或地）。</w:t>
      </w:r>
    </w:p>
    <w:p>
      <w:pPr/>
      <w:r>
        <w:rPr>
          <w:rFonts w:hint="eastAsia" w:eastAsia="黑体"/>
        </w:rPr>
        <w:t xml:space="preserve">由此构成”面积比</w:t>
      </w:r>
      <w:r>
        <w:rPr>
          <w:rFonts w:eastAsia="黑体"/>
        </w:rPr>
        <w:t xml:space="preserve"> N:1 </w:t>
      </w:r>
      <w:r>
        <w:rPr>
          <w:rFonts w:hint="eastAsia" w:eastAsia="黑体"/>
        </w:rPr>
        <w:t xml:space="preserve">的两管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上提供正温度系数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、与负温度系数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加权相加得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  <m:r>
          <m:rPr>
            <m:sty m:val="p"/>
          </m:rPr>
          <m:t>≈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，再由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同相放大”的带隙基准组态，输出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，一阶温度漂移被抵消。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两只工作在不同电流密度下的晶体管，其基射极电压差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ln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随温度线性升高（正温度系数，PTAT），而基射极电压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随温度线性下降（负温度系数，CTAT）。二者按比例加权合成，消去一阶温度项，得到与温度无关的带隙电压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  <m:r>
          <m:rPr>
            <m:sty m:val="p"/>
          </m:rPr>
          <m:t>≈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PTAT </w:t>
      </w:r>
      <w:r>
        <w:rPr>
          <w:rFonts w:hint="eastAsia" w:eastAsia="黑体"/>
        </w:rPr>
        <w:t xml:space="preserve">电压差（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为面积比）：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ln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热电压：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带隙输出电压（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为加权系数）：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一阶温度补偿条件（使</w:t>
      </w:r>
      <w:r>
        <w:rPr>
          <w:rFonts w:eastAsia="黑体"/>
        </w:rPr>
        <w:t xml:space="preserve"> </w:t>
      </w:r>
      <m:oMath>
        <m:r>
          <m:rPr>
            <m:sty m:val="p"/>
          </m:rPr>
          <m:t>∂</m:t>
        </m:r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den>
          </m:f>
          <m:r>
            <m:t> </m:t>
          </m:r>
          <m:r>
            <m:rPr>
              <m:nor/>
              <m:sty m:val="p"/>
            </m:rPr>
            <m:t>附近取值（约 17 量级）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经放大后的基准输出（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为反馈增益）：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G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基射极电压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两管基射极电压差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热电压（室温约</w:t>
            </w:r>
            <w:r>
              <w:rPr>
                <w:rFonts w:eastAsia="黑体"/>
              </w:rPr>
              <w:t xml:space="preserve"> 26 </w:t>
            </w:r>
            <w:r>
              <w:rPr>
                <w:rFonts w:hint="eastAsia" w:eastAsia="黑体"/>
              </w:rPr>
              <w:t xml:space="preserve">mV）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玻尔兹曼常数（</w:t>
            </w:r>
            <m:oMath>
              <m:r>
                <m:t>1.38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J/K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电子电荷（</w:t>
            </w:r>
            <m:oMath>
              <m:r>
                <m:t>1.6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晶体管面积比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带隙基准电压（约</w:t>
            </w:r>
            <w:r>
              <w:rPr>
                <w:rFonts w:eastAsia="黑体"/>
              </w:rPr>
              <w:t xml:space="preserve"> 1.2 </w:t>
            </w:r>
            <w:r>
              <w:rPr>
                <w:rFonts w:hint="eastAsia" w:eastAsia="黑体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面积比</w:t>
      </w:r>
      <w:r>
        <w:rPr>
          <w:rFonts w:eastAsia="黑体"/>
          <w:b/>
          <w:bCs/>
        </w:rPr>
        <w:t xml:space="preserve"> N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增大，正温度系数分量增强，可与更高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匹配。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加权系数</w:t>
      </w:r>
      <w:r>
        <w:rPr>
          <w:rFonts w:eastAsia="黑体"/>
          <w:b/>
          <w:bCs/>
        </w:rPr>
        <w:t xml:space="preserve"> </w:t>
      </w:r>
      <m:oMath>
        <m:r>
          <m:t>K</m:t>
        </m:r>
      </m:oMath>
      <w:r>
        <w:rPr>
          <w:rFonts w:hint="eastAsia" w:eastAsia="黑体"/>
          <w:b/>
          <w:bCs/>
        </w:rPr>
        <w:t xml:space="preserve">（即</w:t>
      </w:r>
      <w:r>
        <w:rPr>
          <w:rFonts w:eastAsia="黑体"/>
          <w:b/>
          <w:bCs/>
        </w:rPr>
        <w:t xml:space="preserve"> R2/R3 </w:t>
      </w:r>
      <w:r>
        <w:rPr>
          <w:rFonts w:hint="eastAsia" w:eastAsia="黑体"/>
          <w:b/>
          <w:bCs/>
        </w:rPr>
        <w:t xml:space="preserve">等比例）↑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输出电压升高，需重新匹配温度补偿点。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电阻比例失配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温度补偿点偏移，温漂增大。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电阻温度系数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影响高阶补偿精度，精密设计需用同类型匹配电阻。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eastAsia="黑体"/>
        </w:rPr>
        <w:t xml:space="preserve">、</w:t>
      </w:r>
      <m:oMath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26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，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26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t>8</m:t>
        </m:r>
        <m:r>
          <m:rPr>
            <m:sty m:val="p"/>
          </m:rPr>
          <m:t>≈</m:t>
        </m:r>
        <m:r>
          <m:t>26</m:t>
        </m:r>
        <m:r>
          <m:rPr>
            <m:sty m:val="p"/>
          </m:rPr>
          <m:t>×</m:t>
        </m:r>
        <m:r>
          <m:t>2.079</m:t>
        </m:r>
        <m:r>
          <m:rPr>
            <m:sty m:val="p"/>
          </m:rPr>
          <m:t>≈</m:t>
        </m:r>
        <m:r>
          <m:t>54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≈</m:t>
        </m:r>
        <m:r>
          <m:t>0.65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，若加权系数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≈</m:t>
        </m:r>
        <m:r>
          <m:t>10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  <m:r>
          <m:rPr>
            <m:sty m:val="p"/>
          </m:rPr>
          <m:t>=</m:t>
        </m:r>
        <m:r>
          <m:t>0.65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0.054</m:t>
        </m:r>
        <m:r>
          <m:rPr>
            <m:sty m:val="p"/>
          </m:rPr>
          <m:t>≈</m:t>
        </m:r>
        <m:r>
          <m:t>1.19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集成带隙基准：TL431、LM4040、REF30xx、ADR3433。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精密带隙：LT6654、MAX6070、REF50xx。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内部集成带隙的稳压器：LM317、78xx、LDO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带隙基准实现温漂抵消需要精确的电阻比例与晶体管匹配，通常依赖集成电路版图而非分立实现。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一阶补偿后仍存在高阶温度曲率（</w:t>
      </w:r>
      <w:r>
        <w:rPr>
          <w:rFonts w:hint="eastAsia" w:eastAsia="黑体"/>
        </w:rPr>
        <w:t xml:space="preserve">“弓形”</w:t>
      </w:r>
      <w:r>
        <w:rPr>
          <w:rFonts w:hint="eastAsia" w:eastAsia="黑体"/>
        </w:rPr>
        <w:t xml:space="preserve">特性），精密场合需曲率校正。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分立搭棚难以达到手册性能，工程上直接选用集成带隙基准芯片。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Bandgap voltage reference。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《模拟集成电路设计》（拉扎维，Razavi）。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带隙基准电压源电路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带隙基准电压源电路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