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 w:eastAsia="黑体"/>
        </w:rPr>
        <w:t xml:space="preserve">交错并联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电路由两路（或多路）结构相同的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升压单元并联组成，每路含一个升压电感、一个开关管与一个续流二极管，共享同一输入与输出。以两路为例，元件为升压电感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L1、L2，开关管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S1、S2，续流二极管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C。关键节点如下：公共输入节点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同时接两路电感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的入端；每路的开关节点</w:t>
      </w:r>
      <w:r>
        <w:rPr>
          <w:rFonts w:eastAsia="黑体"/>
        </w:rPr>
        <w:t xml:space="preserve"> SW1、SW2 </w:t>
      </w:r>
      <w:r>
        <w:rPr>
          <w:rFonts w:hint="eastAsia" w:eastAsia="黑体"/>
        </w:rPr>
        <w:t xml:space="preserve">分别由电感出端、开关管漏极与二极管阳极相连而成；公共输出节点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由两路二极管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的下端与两路开关管</w:t>
      </w:r>
      <w:r>
        <w:rPr>
          <w:rFonts w:eastAsia="黑体"/>
        </w:rPr>
        <w:t xml:space="preserve"> S1、S2 </w:t>
      </w:r>
      <w:r>
        <w:rPr>
          <w:rFonts w:hint="eastAsia" w:eastAsia="黑体"/>
        </w:rPr>
        <w:t xml:space="preserve">的源极一并接地。</w:t>
      </w:r>
    </w:p>
    <w:p>
      <w:pPr/>
      <w:r>
        <w:rPr>
          <w:rFonts w:hint="eastAsia" w:eastAsia="黑体"/>
        </w:rPr>
        <w:t xml:space="preserve">各元件管脚连接：电感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的一端分别接公共输入节点、另一端各接本路开关节点；开关管</w:t>
      </w:r>
      <w:r>
        <w:rPr>
          <w:rFonts w:eastAsia="黑体"/>
        </w:rPr>
        <w:t xml:space="preserve"> S1、S2 </w:t>
      </w:r>
      <w:r>
        <w:rPr>
          <w:rFonts w:hint="eastAsia" w:eastAsia="黑体"/>
        </w:rPr>
        <w:t xml:space="preserve">的漏极各接本路开关节点、源极接地、栅极接相位交错的驱动信号（两路相差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180°）；续流二极管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的阳极各接本路开关节点、阴极并接公共输出节点；输出电容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一端接公共输出节点、另一端接地。</w:t>
      </w:r>
    </w:p>
    <w:p>
      <w:pPr/>
      <w:r>
        <w:rPr>
          <w:rFonts w:hint="eastAsia" w:eastAsia="黑体"/>
        </w:rPr>
        <w:t xml:space="preserve">就组态而言，这是多路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单元交错并联、开关管相位错开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的交错并联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电路，通过纹波相互抵消减小输入电流纹波、提高等效纹波频率，实现大功率升压与</w:t>
      </w:r>
      <w:r>
        <w:rPr>
          <w:rFonts w:eastAsia="黑体"/>
        </w:rPr>
        <w:t xml:space="preserve"> PFC。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单元的开关管按相位依次错开导通，使各单元的电感电流纹波在输出端相互叠加时部分抵消。总输入电流纹波比单路明显减小，等效纹波频率提高为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为并联路数），从而可用更小的滤波电容与电感，改善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和散热分布。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单路占空比（CCM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单路电感值（连续导通模式）：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输入电流纹波抵消因子（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路交错，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为整数（</w:t>
      </w:r>
      <m:oMath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eastAsia="黑体"/>
        </w:rPr>
        <w:t xml:space="preserve">）时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，各相纹波完全抵消；单相纹波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t>D</m:t>
            </m:r>
          </m:num>
          <m:den>
            <m:r>
              <m:t>L</m:t>
            </m:r>
            <m:sSub>
              <m:e>
                <m:r>
                  <m:t>f</m:t>
                </m:r>
              </m:e>
              <m:sub>
                <m:r>
                  <m:t>s</m:t>
                </m:r>
                <m:r>
                  <m:t>w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单路峰值电流：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单路升压电感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并联路数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增大（输入降低或输出升高）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升压比增大，电感储能增加。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单路电感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电流纹波减小，但动态响应变慢、体积增大。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并联路数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总纹波减小、等效频率升高、功率扩展，但成本与控制复杂度增加。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电感与输出电容可减小，开关损耗增大。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：单路占空比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L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控制芯片：UCC28070（交错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PFC）、LM5122、LT3757、TPS43060。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功率开关管：IRF3205、CSD19531、IPA60R280（高压场合）。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续流二极管：MBR20100、STPS20M100（或同步整流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各相占空比需精确均流，否则各相电感电流不均、部分器件过热。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交错相位偏差会削弱纹波抵消效果，需控制器支持严格相移。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输出电容需按合成后的纹波电流选择低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时升压比剧增、效率下降，需限制最小输入电压范围。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Boost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SLVA882《Interleaved Boost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BlockText"/>
      </w:pPr>
      <w:r>
        <w:rPr>
          <w:rFonts w:hint="eastAsia" w:eastAsia="黑体"/>
        </w:rPr>
        <w:t xml:space="preserve">说明：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区间时取相应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