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副边同步整流正激电路"/>
    <w:p>
      <w:pPr>
        <w:pStyle w:val="Heading1"/>
      </w:pPr>
      <w:r>
        <w:rPr>
          <w:rFonts w:hint="eastAsia" w:eastAsia="黑体"/>
        </w:rPr>
        <w:t xml:space="preserve">副边同步整流正激电路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电路在单管正激变换器基础上，由主开关管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Q、隔离变压器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T、副边同步整流</w:t>
      </w:r>
      <w:r>
        <w:rPr>
          <w:rFonts w:eastAsia="黑体"/>
        </w:rPr>
        <w:t xml:space="preserve"> MOSFET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、续流同步整流</w:t>
      </w:r>
      <w:r>
        <w:rPr>
          <w:rFonts w:eastAsia="黑体"/>
        </w:rPr>
        <w:t xml:space="preserve"> MOSFET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、滤波电感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组成。关键节点如下：输入节点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接主开关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的漏极；原边开关节点由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的源极与变压器初级同名端相连而成，初级异名端接地；副边同名端接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的源极作为整流输入，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的漏极、滤波电感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的入端相连于中间节点；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的源极接副边地；输出节点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的出端与输出电容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的上端相连并接负载，输出电容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的下端与变压器次级异名端一并接副边地。</w:t>
      </w:r>
    </w:p>
    <w:p>
      <w:pPr/>
      <w:r>
        <w:rPr>
          <w:rFonts w:hint="eastAsia" w:eastAsia="黑体"/>
        </w:rPr>
        <w:t xml:space="preserve">各元件管脚连接：主开关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的漏极接输入节点、源极接原边开关节点、栅极接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信号；变压器初级同名端接原边开关节点、初级异名端接地，次级同名端接整流同步管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的源极、次级异名端接副边地；整流同步管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的漏极接中间节点、栅极接同步整流驱动；续流同步管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的漏极接中间节点、源极接副边地、栅极接与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互补的同步整流驱动；滤波电感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一端接中间节点、另一端接输出节点；输出电容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一端接输出节点、另一端接副边地。</w:t>
      </w:r>
    </w:p>
    <w:p>
      <w:pPr/>
      <w:r>
        <w:rPr>
          <w:rFonts w:hint="eastAsia" w:eastAsia="黑体"/>
        </w:rPr>
        <w:t xml:space="preserve">就组态而言，这是以两只</w:t>
      </w:r>
      <w:r>
        <w:rPr>
          <w:rFonts w:eastAsia="黑体"/>
        </w:rPr>
        <w:t xml:space="preserve"> MOS </w:t>
      </w:r>
      <w:r>
        <w:rPr>
          <w:rFonts w:hint="eastAsia" w:eastAsia="黑体"/>
        </w:rPr>
        <w:t xml:space="preserve">同步整流管取代副边整流与续流二极管的单管正激变换器，通过与主开关时序配合、以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低导通压降承担整流续流，用于低压大电流的隔离电源以显著降低导通损耗。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主开关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导通、变压器副边感应电压为正半周时，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开通（作为整流管）、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关断，能量经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传给负载；主开关关断、反压半周时，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开通续流、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关断，电感经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R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续流维持输出电流。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同步整流管导通损耗：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同步管电流有效值：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ad>
            <m:radPr>
              <m:degHide m:val="on"/>
            </m:radPr>
            <m:deg/>
            <m:e>
              <m:r>
                <m:t>D</m:t>
              </m:r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副边整流/续流两管的导通压降：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远小于二极管 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主开关占空比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原、副边匝数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同步管导通电阻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同步管电流有效值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导通损耗与压降减小，效率提高、发热降低。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导通损耗随</w:t>
      </w:r>
      <w:r>
        <w:rPr>
          <w:rFonts w:eastAsia="黑体"/>
        </w:rPr>
        <w:t xml:space="preserve"> </w:t>
      </w:r>
      <m:oMath>
        <m:sSubSup>
          <m:e>
            <m:r>
              <m:t>I</m:t>
            </m:r>
          </m:e>
          <m:sub>
            <m:r>
              <m:t>o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上升，同步整流优势越明显。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输出电压增大，整流管导通时间与有效电流增大。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同步整流在较大电流时相对二极管整流优势显著，小电流时收益有限。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0.5</m:t>
            </m:r>
          </m:e>
        </m:rad>
        <m:r>
          <m:rPr>
            <m:sty m:val="p"/>
          </m:rPr>
          <m:t>≈</m:t>
        </m:r>
        <m:r>
          <m:t>14.14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14.14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0.002</m:t>
        </m:r>
        <m:r>
          <m:rPr>
            <m:sty m:val="p"/>
          </m:rPr>
          <m:t>≈</m:t>
        </m:r>
        <m:r>
          <m:t>0.4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对比二极管（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）整流损耗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，同步整流损耗低一个数量级。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MOSFET：IRF7822、SiS468、BSC010N04、CSD18501。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同步整流控制器：UCC24610、NCP4306、IR1167。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主开关：IRF540N、IPB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变压器：定制高频低漏感磁芯。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需精确控制同步管的开通关断时序，防止两管同时导通导致环流短路。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轻载或高频时驱动损耗可能超过节约的导通损耗，需整体权衡。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需设死区并注意同步管体二极管的续流与反向恢复。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同步管栅极驱动需与主开关时序严格同步。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SLUA690（同步整流）。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IR1167 </w:t>
      </w:r>
      <w:r>
        <w:rPr>
          <w:rFonts w:hint="eastAsia" w:eastAsia="黑体"/>
        </w:rPr>
        <w:t xml:space="preserve">数据手册（Infineon）。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副边同步整流正激电路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副边同步整流正激电路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