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oost-电路"/>
    <w:p>
      <w:pPr>
        <w:pStyle w:val="Heading1"/>
      </w:pPr>
      <w:r>
        <w:rPr>
          <w:rFonts w:hint="eastAsia" w:eastAsia="黑体"/>
        </w:rPr>
        <w:t xml:space="preserve">交错并联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个并联的</w:t>
      </w:r>
      <w:r>
        <w:rPr>
          <w:rFonts w:eastAsia="黑体"/>
          <w:b/>
          <w:bCs/>
        </w:rPr>
        <w:t xml:space="preserve"> Boost </w:t>
      </w:r>
      <w:r>
        <w:rPr>
          <w:rFonts w:hint="eastAsia" w:eastAsia="黑体"/>
          <w:b/>
          <w:bCs/>
        </w:rPr>
        <w:t xml:space="preserve">单元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相含升压电感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、开关管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 w:eastAsia="黑体"/>
        </w:rPr>
        <w:t xml:space="preserve">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共享的输入母线电容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  <w:b/>
          <w:bCs/>
        </w:rPr>
        <w:t xml:space="preserve">、输出母线电容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正端、各相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</w:t>
      </w:r>
      <w:r>
        <w:rPr>
          <w:rFonts w:eastAsia="黑体"/>
          <w:b/>
          <w:bCs/>
        </w:rPr>
        <w:t xml:space="preserve"> </w:t>
      </w:r>
      <m:oMath>
        <m:r>
          <m:t>i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（各相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负端、各相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各元件管脚连接（对第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相）：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一端接节点①、另一端接节点②_i；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接相位错开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接节点②_i、源极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阳极接节点②_i、阴极接节点③；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由此构成各相开关以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相位交错驱动、共享输入与输出母线的”交错并联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Boost”组态（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），通过纹波抵消把等效纹波频率提高到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、把单相电流应力降到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 w:eastAsia="黑体"/>
        </w:rPr>
        <w:t xml:space="preserve">，广泛用于</w:t>
      </w:r>
      <w:r>
        <w:rPr>
          <w:rFonts w:eastAsia="黑体"/>
        </w:rPr>
        <w:t xml:space="preserve"> CPU/GPU </w:t>
      </w:r>
      <w:r>
        <w:rPr>
          <w:rFonts w:hint="eastAsia" w:eastAsia="黑体"/>
        </w:rPr>
        <w:t xml:space="preserve">供电、汽车电源等大电流升压场合。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各相开关相位错开，使各相输入电流纹波在时间上相互叠加时部分相互抵消；当占空比满足纹波抵消条件时，输入与输出纹波幅值显著减小、等效纹波频率升高为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。整体功率由各相均分，单相器件仅承担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每相平均电感电流：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总输入电流纹波（纹波抵消后）：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该式在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CCM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理想开关</w:t>
      </w:r>
      <w:r>
        <w:rPr>
          <w:rFonts w:hint="eastAsia" w:eastAsia="黑体"/>
        </w:rPr>
        <w:t xml:space="preserve">，且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时成立；当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时，须对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取绝对值，或按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落在各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区间分段取值。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纹波抵消最佳占空比：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输入电流纹波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相数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纹波抵消更强、单相电流应力更低，但成本与复杂度上升。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各相电感一致性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一致则均流与纹波抵消良好，不一致则电流失衡、抵消退化。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纹波与磁件减小，开关损耗增大。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占空比偏离</w:t>
      </w:r>
      <w:r>
        <w:rPr>
          <w:rFonts w:eastAsia="黑体"/>
          <w:b/>
          <w:bCs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纹波抵消效果变差，输入/输出电容需相应加大。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控制方式（峰值/平均电流模式）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决定各相均流能力与动态响应。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12</m:t>
            </m:r>
          </m:num>
          <m:den>
            <m:r>
              <m:t>48</m:t>
            </m:r>
          </m:den>
        </m:f>
        <m:r>
          <m:rPr>
            <m:sty m:val="p"/>
          </m:rPr>
          <m:t>=</m:t>
        </m:r>
        <m:r>
          <m:t>0.75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相、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400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；</w:t>
      </w:r>
      <m:oMath>
        <m:r>
          <m:t>D</m:t>
        </m:r>
        <m:r>
          <m:rPr>
            <m:sty m:val="p"/>
          </m:rPr>
          <m:t>=</m:t>
        </m:r>
        <m:r>
          <m:t>0.75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恰好处于最佳抵消点。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多相控制器：LTC3862、TPS40170、IR35204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各相布局与器件参数需严格对称，否则均流失衡导致单相过热。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交错相位由控制器保证，需核对驱动时序与占空比较准。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输入侧纹波抵消依赖于精确的占空比与相移，设计工况偏离时需重新核算纹波。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均流不良时需外加均流环（如采样各相电流做抖频/补偿）。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TPS40170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ADI LTC3862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交错并联Boost电路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