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相-boost-电路"/>
    <w:p>
      <w:pPr>
        <w:pStyle w:val="Heading1"/>
      </w:pPr>
      <w:r>
        <w:rPr>
          <w:rFonts w:hint="eastAsia" w:eastAsia="黑体"/>
        </w:rPr>
        <w:t xml:space="preserve">多相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个并联的</w:t>
      </w:r>
      <w:r>
        <w:rPr>
          <w:rFonts w:eastAsia="黑体"/>
          <w:b/>
          <w:bCs/>
        </w:rPr>
        <w:t xml:space="preserve"> Boost </w:t>
      </w:r>
      <w:r>
        <w:rPr>
          <w:rFonts w:hint="eastAsia" w:eastAsia="黑体"/>
          <w:b/>
          <w:bCs/>
        </w:rPr>
        <w:t xml:space="preserve">单元</w:t>
      </w:r>
      <w:r>
        <w:rPr>
          <w:rFonts w:hint="eastAsia" w:eastAsia="黑体"/>
        </w:rPr>
        <w:t xml:space="preserve">（第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相含输入电感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、主开关管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、整流二极管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hint="eastAsia" w:eastAsia="黑体"/>
        </w:rPr>
        <w:t xml:space="preserve">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共享的输入电容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  <w:b/>
          <w:bCs/>
        </w:rPr>
        <w:t xml:space="preserve">、输出电容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正端、各相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第</w:t>
      </w:r>
      <w:r>
        <w:rPr>
          <w:rFonts w:eastAsia="黑体"/>
          <w:b/>
          <w:bCs/>
        </w:rPr>
        <w:t xml:space="preserve"> </w:t>
      </w:r>
      <m:oMath>
        <m:r>
          <m:t>i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相开关节点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（各相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负端、各相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的另一端相连）。</w:t>
      </w:r>
    </w:p>
    <w:p>
      <w:pPr/>
      <w:r>
        <w:rPr>
          <w:rFonts w:hint="eastAsia" w:eastAsia="黑体"/>
        </w:rPr>
        <w:t xml:space="preserve">各元件管脚连接（对第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相）：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一端接节点①、另一端接节点②_i；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接相位错开</w:t>
      </w:r>
      <w:r>
        <w:rPr>
          <w:rFonts w:eastAsia="黑体"/>
        </w:rP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接节点②_i、源极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接节点④；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阳极接节点②_i、阴极接节点③；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由此构成各相以</w:t>
      </w:r>
      <w:r>
        <w:rPr>
          <w:rFonts w:eastAsia="黑体"/>
        </w:rP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相位交错导通、共享输入与输出电容的”多相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Boost”组态，保持单相升压关系（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），通过相位交错把等效纹波频率提高到</w:t>
      </w:r>
      <w:r>
        <w:rPr>
          <w:rFonts w:eastAsia="黑体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并把电流应力分散到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相，适用于大电流升压场合。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各相电感在时间上交错地储能与续流，输入电流纹波因各相纹波相位错开而部分抵消；输出电容的充电电流也交错，使输入与输出纹波频率变为</w:t>
      </w:r>
      <w:r>
        <w:rPr>
          <w:rFonts w:eastAsia="黑体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且幅值下降。整体输出电流为各相电流之和，功率均匀分配到每一相。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单相升压比（同单相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Boost）：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输入电流纹波（纹波抵消后，</w:t>
      </w:r>
      <m:oMath>
        <m:r>
          <m:t>D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区间）：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每相平均电感电流：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等效纹波频率：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每相电感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单相开关频率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输出总电流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输入电流纹波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相数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纹波抵消更强、纹波频率更高，输入/输出电容需求减小，但元件数量与成本上升。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各相电感</w:t>
      </w:r>
      <w:r>
        <w:rPr>
          <w:rFonts w:eastAsia="黑体"/>
          <w:b/>
          <w:bCs/>
        </w:rPr>
        <w:t xml:space="preserve"> L </w:t>
      </w:r>
      <w:r>
        <w:rPr>
          <w:rFonts w:hint="eastAsia" w:eastAsia="黑体"/>
          <w:b/>
          <w:bCs/>
        </w:rPr>
        <w:t xml:space="preserve">一致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电流均衡更好，不均会带来热失衡与纹波不抵消。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纹波与电感需求减小，开关损耗增大。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均流不良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某相过载发热，需外加均流环路或同一控制占空比严格对齐。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占空比与相位数匹配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时纹波抵消最理想。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相、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300</m:t>
        </m:r>
        <m:r>
          <m:t> </m:t>
        </m:r>
        <m:r>
          <m:rPr>
            <m:nor/>
            <m:sty m:val="p"/>
          </m:rPr>
          <m:t>kHz</m:t>
        </m:r>
        <m:r>
          <m:rPr>
            <m:sty m:val="p"/>
          </m:rPr>
          <m:t>=</m:t>
        </m:r>
        <m:r>
          <m:t>600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）、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4.7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4.7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≈</m:t>
        </m:r>
        <m:r>
          <m:t>2.55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多相控制器：LTC3862、TPS40170、ISL78225。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各相器件与布局需对称，否则电流不均导致局部过热。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交错相位与占空比设定须由控制器保证，避免纹波抵消失效。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输入输出电容仍须满足最小纹波与瞬态要求，但可小于单相等效方案。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多相带来更复杂的驱动与采样，需注意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DSP/模拟控制器的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资源。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TPS40170 </w:t>
      </w:r>
      <w:r>
        <w:rPr>
          <w:rFonts w:hint="eastAsia" w:eastAsia="黑体"/>
        </w:rPr>
        <w:t xml:space="preserve">数据手册（多相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控制器）。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LTC3862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多相Boost电路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多相Boost电路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