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uck-电路"/>
    <w:p>
      <w:pPr>
        <w:pStyle w:val="Heading1"/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个并联的</w:t>
      </w:r>
      <w:r>
        <w:rPr>
          <w:rFonts w:eastAsia="黑体"/>
          <w:b/>
          <w:bCs/>
        </w:rPr>
        <w:t xml:space="preserve"> Buck </w:t>
      </w:r>
      <w:r>
        <w:rPr>
          <w:rFonts w:hint="eastAsia" w:eastAsia="黑体"/>
          <w:b/>
          <w:bCs/>
        </w:rPr>
        <w:t xml:space="preserve">单元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相含高侧开关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 w:eastAsia="黑体"/>
        </w:rPr>
        <w:t xml:space="preserve">、低侧开关或续流二极管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/D_i </w:t>
      </w:r>
      <w:r>
        <w:rPr>
          <w:rFonts w:hint="eastAsia" w:eastAsia="黑体"/>
        </w:rPr>
        <w:t xml:space="preserve">与电感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共享的输入电容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的一端与各相高侧开关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S、低侧开关/二极管的连接端子与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（各相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的另一端、各相低侧开关/二极管端子与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各元件管脚连接（对第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相）：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接相位错开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接节点②_i；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若为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则栅极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接节点②_i、源极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接节点④，若为续流二极管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则阳极接节点④、阴极接节点②_i；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一端接节点②_i、另一端接节点③；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由此构成各相以</w:t>
      </w:r>
      <w:r>
        <w:rPr>
          <w:rFonts w:eastAsia="黑体"/>
        </w:rP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相位交错导通、共享输入与输出电容的”多相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Buck”组态（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），通过纹波抵消把等效纹波频率提高到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、把单相电流应力降到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，是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CPU/GPU/服务器等大电流、低压场合的标准方案。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各相电感电流在输出端汇集，因各相开关错相，电感电流纹波在叠加时部分抵消，使总输出纹波幅值下降、纹波频率升高到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，降低对输出电容的需求。每相仅承担总电流的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，功率与热量均匀分配，整体瞬态响应与效率优于同电流的单相方案。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总输出电流纹波（纹波抵消后）：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该输出纹波抵消因子随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区间而分段，需按区间取值；该式在理想</w:t>
      </w:r>
      <w:r>
        <w:rPr>
          <w:rFonts w:eastAsia="黑体"/>
        </w:rPr>
        <w:t xml:space="preserve"> CCM </w:t>
      </w:r>
      <w:r>
        <w:rPr>
          <w:rFonts w:hint="eastAsia" w:eastAsia="黑体"/>
        </w:rPr>
        <w:t xml:space="preserve">工况下成立。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纹波完全抵消条件：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每相平均电流：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总输出纹波电流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纹波抵消更强、每相电流应力更低，输出电容需求减小，但器件与成本上升。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各相电感一致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均流与纹波抵消良好；不一致则热失衡、抵消退化。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磁件与电容减小、瞬态更快，开关损耗增大。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纹波抵消最彻底，常规设计尽量靠近该比值。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均流环路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决定各相电流分配是否均衡，影响整体可靠性。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500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控制器：TPS53679、ISL68137、RAA228228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各相布局需对称，开关节点远离敏感信号，避免电流不均。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控制器需支持相数配置、交错相位与该相数下的均流策略。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低压大电流下占空比很低，注意最小脉宽限制与采样噪声。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输出电容虽可减小，但仍须满足瞬态跌落与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TPS53679 </w:t>
      </w:r>
      <w:r>
        <w:rPr>
          <w:rFonts w:hint="eastAsia" w:eastAsia="黑体"/>
        </w:rPr>
        <w:t xml:space="preserve">数据手册（多相降压）。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多相Buck电路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