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大电流-buck-电路"/>
    <w:p>
      <w:pPr>
        <w:pStyle w:val="Heading1"/>
      </w:pPr>
      <w:r>
        <w:rPr>
          <w:rFonts w:hint="eastAsia" w:eastAsia="黑体"/>
        </w:rPr>
        <w:t xml:space="preserve">大电流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面向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大输出电流</w:t>
      </w:r>
      <w:r>
        <w:rPr>
          <w:rFonts w:hint="eastAsia" w:eastAsia="黑体"/>
        </w:rPr>
        <w:t xml:space="preserve">（数十安培以上）的降压变换电路，以同步整流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为基本单元，由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高侧开关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低侧开关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（MOSFET，替代续流二极管）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接节点①、源极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接节点②；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接互补驱动信号、漏极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由此构成高侧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与低侧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互补导通、电感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滤波的同步整流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降压组态（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），为分摊大电流常扩展为多相并联（各相电流错相叠加、单相仅承担部分电流），并配大尺寸电感、多个并联电容与厚铜/铜排布局，用于</w:t>
      </w:r>
      <w:r>
        <w:rPr>
          <w:rFonts w:eastAsia="黑体"/>
        </w:rPr>
        <w:t xml:space="preserve"> CPU/GPU </w:t>
      </w:r>
      <w:r>
        <w:rPr>
          <w:rFonts w:hint="eastAsia" w:eastAsia="黑体"/>
        </w:rPr>
        <w:t xml:space="preserve">核心供电、服务器</w:t>
      </w:r>
      <w:r>
        <w:rPr>
          <w:rFonts w:eastAsia="黑体"/>
        </w:rPr>
        <w:t xml:space="preserve"> VRM </w:t>
      </w:r>
      <w:r>
        <w:rPr>
          <w:rFonts w:hint="eastAsia" w:eastAsia="黑体"/>
        </w:rPr>
        <w:t xml:space="preserve">等场合。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高侧管导通时输入电流经电感流向负载、电感储能；低侧管导通时电感续流、维持输出电流。两管互补导通，因低侧开关导通压降远低于二极管，在大电流下显著降低续流损耗。多相并联时各相电流错相叠加，总纹波抵消且单相仅承担部分电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稳态输出电压：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低侧（同步）管导通损耗：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o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高侧管导通损耗：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o</m:t>
              </m:r>
            </m:sub>
            <m:sup>
              <m:r>
                <m:t>2</m:t>
              </m:r>
            </m:sup>
          </m:sSubSup>
          <m:r>
            <m:t>D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8</m:t>
              </m:r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MOSFET </w:t>
            </w:r>
            <w:r>
              <w:rPr>
                <w:rFonts w:hint="eastAsia" w:eastAsia="黑体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多相并联（相数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↑）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单相电流与热应力下降，纹波抵消，但成本与布线难度上升。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纹波电流减小，峰值电流应力降低，但饱和电流与体积需加大。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低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同步管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大电流下导通损耗显著下降，是效率关键。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电感/电容减小、响应加快，但开关损耗与死区损耗占比上升。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</w:t>
      </w:r>
      <w:r>
        <w:rPr>
          <w:rFonts w:eastAsia="黑体"/>
          <w:b/>
          <w:bCs/>
        </w:rPr>
        <w:t xml:space="preserve"> ESR </w:t>
      </w:r>
      <w:r>
        <w:rPr>
          <w:rFonts w:hint="eastAsia" w:eastAsia="黑体"/>
          <w:b/>
          <w:bCs/>
        </w:rPr>
        <w:t xml:space="preserve">↓（多颗并联）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输出电压纹波与瞬态跌落减小。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=</m:t>
        </m:r>
        <m:r>
          <m:t>0.1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0.4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0.1</m:t>
            </m:r>
            <m:r>
              <m:rPr>
                <m:sty m:val="p"/>
              </m:rPr>
              <m:t>)</m:t>
            </m:r>
          </m:num>
          <m:den>
            <m:r>
              <m:t>0.4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多相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控制器：Intersil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ISL68137、瑞萨</w:t>
      </w:r>
      <w:r>
        <w:rPr>
          <w:rFonts w:eastAsia="黑体"/>
        </w:rPr>
        <w:t xml:space="preserve"> RAA228228、TI TPS53679 </w:t>
      </w:r>
      <w:r>
        <w:rPr>
          <w:rFonts w:hint="eastAsia" w:eastAsia="黑体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大电流下占空比通常很低（如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12V→1.2V，D=0.1），需注意最小导通时间限制与采样噪声。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电感饱和电流须大于峰值电流，磁芯需满足散热与损耗要求。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低侧同步管承担绝大部分续流导通损耗，选型与并联是效率重点。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死区时间、驱动能力与开关节点布局对大电流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的可靠性与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至关重要。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TPS53679 </w:t>
      </w:r>
      <w:r>
        <w:rPr>
          <w:rFonts w:hint="eastAsia" w:eastAsia="黑体"/>
        </w:rPr>
        <w:t xml:space="preserve">数据手册（多相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VRM）。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Buck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大电流Buck电路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大电流Buck电路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