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m="http://schemas.openxmlformats.org/officeDocument/2006/math" xmlns:r="http://schemas.openxmlformats.org/officeDocument/2006/relationships" xmlns:w="http://schemas.openxmlformats.org/wordprocessingml/2006/main"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电流模式控制-buck-电路"/>
    <w:p>
      <w:pPr>
        <w:pStyle w:val="Heading1"/>
      </w:pPr>
      <w:r>
        <w:rPr>
          <w:rFonts w:hint="eastAsia" w:eastAsia="黑体"/>
        </w:rPr>
        <w:t xml:space="preserve">电流模式控制</w:t>
      </w:r>
      <w:r>
        <w:rPr>
          <w:rFonts w:eastAsia="黑体"/>
        </w:rPr>
        <w:t xml:space="preserve"> Buck </w:t>
      </w:r>
      <w:r>
        <w:rPr>
          <w:rFonts w:hint="eastAsia" w:eastAsia="黑体"/>
        </w:rPr>
        <w:t xml:space="preserve">电路</w:t>
      </w:r>
    </w:p>
    <w:bookmarkStart w:id="19" w:name="拓扑描述"/>
    <w:p>
      <w:pPr>
        <w:pStyle w:val="Heading2"/>
      </w:pPr>
      <w:r>
        <w:rPr>
          <w:rFonts w:hint="eastAsia" w:eastAsia="黑体"/>
        </w:rPr>
        <w:t xml:space="preserve">拓扑描述</w:t>
      </w:r>
    </w:p>
    <w:p>
      <w:pPr>
        <w:pStyle w:val="FirstParagraph"/>
      </w:pPr>
      <w:r>
        <w:rPr>
          <w:rFonts w:hint="eastAsia" w:eastAsia="黑体"/>
        </w:rPr>
        <w:t xml:space="preserve">电路由高侧开关管</w:t>
      </w:r>
      <w:r>
        <w:rPr>
          <w:rFonts w:eastAsia="黑体"/>
        </w:rPr>
        <w:t xml:space="preserve"> </w:t>
      </w:r>
      <w:r>
        <w:rPr>
          <w:rFonts w:hint="eastAsia" w:eastAsia="黑体"/>
        </w:rPr>
        <w:t xml:space="preserve">Q1、续流二极管（或低侧同步整流开关管</w:t>
      </w:r>
      <w:r>
        <w:rPr>
          <w:rFonts w:eastAsia="黑体"/>
        </w:rPr>
        <w:t xml:space="preserve"> </w:t>
      </w:r>
      <w:r>
        <w:rPr>
          <w:rFonts w:hint="eastAsia" w:eastAsia="黑体"/>
        </w:rPr>
        <w:t xml:space="preserve">Q2）D、储能电感</w:t>
      </w:r>
      <w:r>
        <w:rPr>
          <w:rFonts w:eastAsia="黑体"/>
        </w:rPr>
        <w:t xml:space="preserve"> </w:t>
      </w:r>
      <w:r>
        <w:rPr>
          <w:rFonts w:hint="eastAsia" w:eastAsia="黑体"/>
        </w:rPr>
        <w:t xml:space="preserve">L、输出电容</w:t>
      </w:r>
      <w:r>
        <w:rPr>
          <w:rFonts w:eastAsia="黑体"/>
        </w:rPr>
        <w:t xml:space="preserve"> C </w:t>
      </w:r>
      <w:r>
        <w:rPr>
          <w:rFonts w:hint="eastAsia" w:eastAsia="黑体"/>
        </w:rPr>
        <w:t xml:space="preserve">与电流采样电阻</w:t>
      </w:r>
      <w:r>
        <w:rPr>
          <w:rFonts w:eastAsia="黑体"/>
        </w:rPr>
        <w:t xml:space="preserve"> </w:t>
      </w:r>
      <m:oMath>
        <m:sSub>
          <m:e>
            <m:r>
              <m:t>R</m:t>
            </m:r>
          </m:e>
          <m:sub>
            <m:r>
              <m:t>s</m:t>
            </m:r>
            <m:r>
              <m:t>e</m:t>
            </m:r>
            <m:r>
              <m:t>n</m:t>
            </m:r>
            <m:r>
              <m:t>s</m:t>
            </m:r>
            <m:r>
              <m:t>e</m:t>
            </m:r>
          </m:sub>
        </m:sSub>
      </m:oMath>
      <w:r>
        <w:rPr>
          <w:rFonts w:eastAsia="黑体"/>
        </w:rPr>
        <w:t xml:space="preserve"> </w:t>
      </w:r>
      <w:r>
        <w:rPr>
          <w:rFonts w:hint="eastAsia" w:eastAsia="黑体"/>
        </w:rPr>
        <w:t xml:space="preserve">构成，配合电流模式控制（CMC）环路。关键节点如下：输入节点</w:t>
      </w:r>
      <w:r>
        <w:rPr>
          <w:rFonts w:eastAsia="黑体"/>
        </w:rPr>
        <w:t xml:space="preserve"> </w:t>
      </w:r>
      <m:oMath>
        <m:sSub>
          <m:e>
            <m:r>
              <m:t>V</m:t>
            </m:r>
          </m:e>
          <m:sub>
            <m:r>
              <m:t>i</m:t>
            </m:r>
            <m:r>
              <m:t>n</m:t>
            </m:r>
          </m:sub>
        </m:sSub>
      </m:oMath>
      <w:r>
        <w:rPr>
          <w:rFonts w:eastAsia="黑体"/>
        </w:rPr>
        <w:t xml:space="preserve"> </w:t>
      </w:r>
      <w:r>
        <w:rPr>
          <w:rFonts w:hint="eastAsia" w:eastAsia="黑体"/>
        </w:rPr>
        <w:t xml:space="preserve">接</w:t>
      </w:r>
      <w:r>
        <w:rPr>
          <w:rFonts w:eastAsia="黑体"/>
        </w:rPr>
        <w:t xml:space="preserve"> Q1 </w:t>
      </w:r>
      <w:r>
        <w:rPr>
          <w:rFonts w:hint="eastAsia" w:eastAsia="黑体"/>
        </w:rPr>
        <w:t xml:space="preserve">的漏极与采样电阻（或采样元件）上游；开关节点</w:t>
      </w:r>
      <w:r>
        <w:rPr>
          <w:rFonts w:eastAsia="黑体"/>
        </w:rPr>
        <w:t xml:space="preserve"> SW </w:t>
      </w:r>
      <w:r>
        <w:rPr>
          <w:rFonts w:hint="eastAsia" w:eastAsia="黑体"/>
        </w:rPr>
        <w:t xml:space="preserve">由</w:t>
      </w:r>
      <w:r>
        <w:rPr>
          <w:rFonts w:eastAsia="黑体"/>
        </w:rPr>
        <w:t xml:space="preserve"> Q1 </w:t>
      </w:r>
      <w:r>
        <w:rPr>
          <w:rFonts w:hint="eastAsia" w:eastAsia="黑体"/>
        </w:rPr>
        <w:t xml:space="preserve">的源极、二极管</w:t>
      </w:r>
      <w:r>
        <w:rPr>
          <w:rFonts w:eastAsia="黑体"/>
        </w:rPr>
        <w:t xml:space="preserve"> D </w:t>
      </w:r>
      <w:r>
        <w:rPr>
          <w:rFonts w:hint="eastAsia" w:eastAsia="黑体"/>
        </w:rPr>
        <w:t xml:space="preserve">的阴极（或</w:t>
      </w:r>
      <w:r>
        <w:rPr>
          <w:rFonts w:eastAsia="黑体"/>
        </w:rPr>
        <w:t xml:space="preserve"> Q2 </w:t>
      </w:r>
      <w:r>
        <w:rPr>
          <w:rFonts w:hint="eastAsia" w:eastAsia="黑体"/>
        </w:rPr>
        <w:t xml:space="preserve">的漏极）与电感</w:t>
      </w:r>
      <w:r>
        <w:rPr>
          <w:rFonts w:eastAsia="黑体"/>
        </w:rPr>
        <w:t xml:space="preserve"> L </w:t>
      </w:r>
      <w:r>
        <w:rPr>
          <w:rFonts w:hint="eastAsia" w:eastAsia="黑体"/>
        </w:rPr>
        <w:t xml:space="preserve">的入端相连而成；输出节点</w:t>
      </w:r>
      <w:r>
        <w:rPr>
          <w:rFonts w:eastAsia="黑体"/>
        </w:rPr>
        <w:t xml:space="preserve"> </w:t>
      </w:r>
      <m:oMath>
        <m:sSub>
          <m:e>
            <m:r>
              <m:t>V</m:t>
            </m:r>
          </m:e>
          <m:sub>
            <m:r>
              <m:t>o</m:t>
            </m:r>
            <m:r>
              <m:t>u</m:t>
            </m:r>
            <m:r>
              <m:t>t</m:t>
            </m:r>
          </m:sub>
        </m:sSub>
      </m:oMath>
      <w:r>
        <w:rPr>
          <w:rFonts w:eastAsia="黑体"/>
        </w:rPr>
        <w:t xml:space="preserve"> </w:t>
      </w:r>
      <w:r>
        <w:rPr>
          <w:rFonts w:hint="eastAsia" w:eastAsia="黑体"/>
        </w:rPr>
        <w:t xml:space="preserve">由电感</w:t>
      </w:r>
      <w:r>
        <w:rPr>
          <w:rFonts w:eastAsia="黑体"/>
        </w:rPr>
        <w:t xml:space="preserve"> L </w:t>
      </w:r>
      <w:r>
        <w:rPr>
          <w:rFonts w:hint="eastAsia" w:eastAsia="黑体"/>
        </w:rPr>
        <w:t xml:space="preserve">的出端与输出电容</w:t>
      </w:r>
      <w:r>
        <w:rPr>
          <w:rFonts w:eastAsia="黑体"/>
        </w:rPr>
        <w:t xml:space="preserve"> C </w:t>
      </w:r>
      <w:r>
        <w:rPr>
          <w:rFonts w:hint="eastAsia" w:eastAsia="黑体"/>
        </w:rPr>
        <w:t xml:space="preserve">的上端相连并接负载，输出电容</w:t>
      </w:r>
      <w:r>
        <w:rPr>
          <w:rFonts w:eastAsia="黑体"/>
        </w:rPr>
        <w:t xml:space="preserve"> C </w:t>
      </w:r>
      <w:r>
        <w:rPr>
          <w:rFonts w:hint="eastAsia" w:eastAsia="黑体"/>
        </w:rPr>
        <w:t xml:space="preserve">的下端、二极管</w:t>
      </w:r>
      <w:r>
        <w:rPr>
          <w:rFonts w:eastAsia="黑体"/>
        </w:rPr>
        <w:t xml:space="preserve"> D </w:t>
      </w:r>
      <w:r>
        <w:rPr>
          <w:rFonts w:hint="eastAsia" w:eastAsia="黑体"/>
        </w:rPr>
        <w:t xml:space="preserve">的阳极（或</w:t>
      </w:r>
      <w:r>
        <w:rPr>
          <w:rFonts w:eastAsia="黑体"/>
        </w:rPr>
        <w:t xml:space="preserve"> Q2 </w:t>
      </w:r>
      <w:r>
        <w:rPr>
          <w:rFonts w:hint="eastAsia" w:eastAsia="黑体"/>
        </w:rPr>
        <w:t xml:space="preserve">的源极）及采样电阻下游一并接到地节点</w:t>
      </w:r>
      <w:r>
        <w:rPr>
          <w:rFonts w:eastAsia="黑体"/>
        </w:rPr>
        <w:t xml:space="preserve"> GND。</w:t>
      </w:r>
    </w:p>
    <w:p>
      <w:pPr/>
      <w:r>
        <w:rPr>
          <w:rFonts w:hint="eastAsia" w:eastAsia="黑体"/>
        </w:rPr>
        <w:t xml:space="preserve">各元件管脚连接：高侧开关管</w:t>
      </w:r>
      <w:r>
        <w:rPr>
          <w:rFonts w:eastAsia="黑体"/>
        </w:rPr>
        <w:t xml:space="preserve"> Q1 </w:t>
      </w:r>
      <w:r>
        <w:rPr>
          <w:rFonts w:hint="eastAsia" w:eastAsia="黑体"/>
        </w:rPr>
        <w:t xml:space="preserve">的漏极接输入节点，栅极</w:t>
      </w:r>
      <w:r>
        <w:rPr>
          <w:rFonts w:eastAsia="黑体"/>
        </w:rPr>
        <w:t xml:space="preserve"> G </w:t>
      </w:r>
      <w:r>
        <w:rPr>
          <w:rFonts w:hint="eastAsia" w:eastAsia="黑体"/>
        </w:rPr>
        <w:t xml:space="preserve">接</w:t>
      </w:r>
      <w:r>
        <w:rPr>
          <w:rFonts w:eastAsia="黑体"/>
        </w:rPr>
        <w:t xml:space="preserve"> PWM </w:t>
      </w:r>
      <w:r>
        <w:rPr>
          <w:rFonts w:hint="eastAsia" w:eastAsia="黑体"/>
        </w:rPr>
        <w:t xml:space="preserve">控制信号，源极接开关节点</w:t>
      </w:r>
      <w:r>
        <w:rPr>
          <w:rFonts w:eastAsia="黑体"/>
        </w:rPr>
        <w:t xml:space="preserve"> </w:t>
      </w:r>
      <w:r>
        <w:rPr>
          <w:rFonts w:hint="eastAsia" w:eastAsia="黑体"/>
        </w:rPr>
        <w:t xml:space="preserve">SW；续流二极管</w:t>
      </w:r>
      <w:r>
        <w:rPr>
          <w:rFonts w:eastAsia="黑体"/>
        </w:rPr>
        <w:t xml:space="preserve"> D </w:t>
      </w:r>
      <w:r>
        <w:rPr>
          <w:rFonts w:hint="eastAsia" w:eastAsia="黑体"/>
        </w:rPr>
        <w:t xml:space="preserve">的阴极接开关节点、阳极接地；若用低侧开关管</w:t>
      </w:r>
      <w:r>
        <w:rPr>
          <w:rFonts w:eastAsia="黑体"/>
        </w:rPr>
        <w:t xml:space="preserve"> </w:t>
      </w:r>
      <w:r>
        <w:rPr>
          <w:rFonts w:hint="eastAsia" w:eastAsia="黑体"/>
        </w:rPr>
        <w:t xml:space="preserve">Q2，则</w:t>
      </w:r>
      <w:r>
        <w:rPr>
          <w:rFonts w:eastAsia="黑体"/>
        </w:rPr>
        <w:t xml:space="preserve"> Q2 </w:t>
      </w:r>
      <w:r>
        <w:rPr>
          <w:rFonts w:hint="eastAsia" w:eastAsia="黑体"/>
        </w:rPr>
        <w:t xml:space="preserve">的漏极接</w:t>
      </w:r>
      <w:r>
        <w:rPr>
          <w:rFonts w:eastAsia="黑体"/>
        </w:rPr>
        <w:t xml:space="preserve"> </w:t>
      </w:r>
      <w:r>
        <w:rPr>
          <w:rFonts w:hint="eastAsia" w:eastAsia="黑体"/>
        </w:rPr>
        <w:t xml:space="preserve">SW、源极接地、栅极接互补驱动信号；电感</w:t>
      </w:r>
      <w:r>
        <w:rPr>
          <w:rFonts w:eastAsia="黑体"/>
        </w:rPr>
        <w:t xml:space="preserve"> L </w:t>
      </w:r>
      <w:r>
        <w:rPr>
          <w:rFonts w:hint="eastAsia" w:eastAsia="黑体"/>
        </w:rPr>
        <w:t xml:space="preserve">一端接开关节点、另一端接输出节点；输出电容</w:t>
      </w:r>
      <w:r>
        <w:rPr>
          <w:rFonts w:eastAsia="黑体"/>
        </w:rPr>
        <w:t xml:space="preserve"> C </w:t>
      </w:r>
      <w:r>
        <w:rPr>
          <w:rFonts w:hint="eastAsia" w:eastAsia="黑体"/>
        </w:rPr>
        <w:t xml:space="preserve">一端接输出节点、另一端接地；电流采样电阻</w:t>
      </w:r>
      <w:r>
        <w:rPr>
          <w:rFonts w:eastAsia="黑体"/>
        </w:rPr>
        <w:t xml:space="preserve"> </w:t>
      </w:r>
      <m:oMath>
        <m:sSub>
          <m:e>
            <m:r>
              <m:t>R</m:t>
            </m:r>
          </m:e>
          <m:sub>
            <m:r>
              <m:t>s</m:t>
            </m:r>
            <m:r>
              <m:t>e</m:t>
            </m:r>
            <m:r>
              <m:t>n</m:t>
            </m:r>
            <m:r>
              <m:t>s</m:t>
            </m:r>
            <m:r>
              <m:t>e</m:t>
            </m:r>
          </m:sub>
        </m:sSub>
      </m:oMath>
      <w:r>
        <w:rPr>
          <w:rFonts w:eastAsia="黑体"/>
        </w:rPr>
        <w:t xml:space="preserve"> </w:t>
      </w:r>
      <w:r>
        <w:rPr>
          <w:rFonts w:hint="eastAsia" w:eastAsia="黑体"/>
        </w:rPr>
        <w:t xml:space="preserve">一端接地、另一端接二极管阳极（或</w:t>
      </w:r>
      <w:r>
        <w:rPr>
          <w:rFonts w:eastAsia="黑体"/>
        </w:rPr>
        <w:t xml:space="preserve"> Q2 </w:t>
      </w:r>
      <w:r>
        <w:rPr>
          <w:rFonts w:hint="eastAsia" w:eastAsia="黑体"/>
        </w:rPr>
        <w:t xml:space="preserve">源极）以取出电感电流检测信号。</w:t>
      </w:r>
    </w:p>
    <w:p>
      <w:pPr/>
      <w:r>
        <w:rPr>
          <w:rFonts w:hint="eastAsia" w:eastAsia="黑体"/>
        </w:rPr>
        <w:t xml:space="preserve">就组态而言，这是一个降压（Buck）功率级叠加电压外环与电感电流内环的电流模式控制（CMC），用开关管峰值电流或电感平均电流作为内环反馈并经斜坡补偿生成占空比，兼具降压稳压、快速瞬态响应与逐周期限流功能。</w:t>
      </w:r>
    </w:p>
    <w:bookmarkEnd w:id="19"/>
    <w:bookmarkStart w:id="20" w:name="工作原理"/>
    <w:p>
      <w:pPr>
        <w:pStyle w:val="Heading2"/>
      </w:pPr>
      <w:r>
        <w:rPr>
          <w:rFonts w:hint="eastAsia" w:eastAsia="黑体"/>
        </w:rPr>
        <w:t xml:space="preserve">工作原理</w:t>
      </w:r>
    </w:p>
    <w:p>
      <w:pPr>
        <w:pStyle w:val="FirstParagraph"/>
      </w:pPr>
      <w:r>
        <w:rPr>
          <w:rFonts w:hint="eastAsia" w:eastAsia="黑体"/>
        </w:rPr>
        <w:t xml:space="preserve">电压误差放大器输出</w:t>
      </w:r>
      <w:r>
        <w:rPr>
          <w:rFonts w:eastAsia="黑体"/>
        </w:rPr>
        <w:t xml:space="preserve"> </w:t>
      </w:r>
      <m:oMath>
        <m:sSub>
          <m:e>
            <m:r>
              <m:t>V</m:t>
            </m:r>
          </m:e>
          <m:sub>
            <m:r>
              <m:t>c</m:t>
            </m:r>
          </m:sub>
        </m:sSub>
      </m:oMath>
      <w:r>
        <w:rPr>
          <w:rFonts w:eastAsia="黑体"/>
        </w:rPr>
        <w:t xml:space="preserve"> </w:t>
      </w:r>
      <w:r>
        <w:rPr>
          <w:rFonts w:hint="eastAsia" w:eastAsia="黑体"/>
        </w:rPr>
        <w:t xml:space="preserve">作为电流内环的给定，控制器将实际电感电流与</w:t>
      </w:r>
      <w:r>
        <w:rPr>
          <w:rFonts w:eastAsia="黑体"/>
        </w:rPr>
        <w:t xml:space="preserve"> </w:t>
      </w:r>
      <m:oMath>
        <m:sSub>
          <m:e>
            <m:r>
              <m:t>V</m:t>
            </m:r>
          </m:e>
          <m:sub>
            <m:r>
              <m:t>c</m:t>
            </m:r>
          </m:sub>
        </m:sSub>
      </m:oMath>
      <w:r>
        <w:rPr>
          <w:rFonts w:eastAsia="黑体"/>
        </w:rPr>
        <w:t xml:space="preserve"> </w:t>
      </w:r>
      <w:r>
        <w:rPr>
          <w:rFonts w:hint="eastAsia" w:eastAsia="黑体"/>
        </w:rPr>
        <w:t xml:space="preserve">比较，决定开关管导通时刻与关断时刻（峰值电流模式在每个周期内直接限流）。因引入电流反馈，功率级由二阶</w:t>
      </w:r>
      <w:r>
        <w:rPr>
          <w:rFonts w:eastAsia="黑体"/>
        </w:rPr>
        <w:t xml:space="preserve"> LC </w:t>
      </w:r>
      <w:r>
        <w:rPr>
          <w:rFonts w:hint="eastAsia" w:eastAsia="黑体"/>
        </w:rPr>
        <w:t xml:space="preserve">特性退化为近似一阶，环路补偿更简单，逐周期限流响应快；但占空比</w:t>
      </w:r>
      <w:r>
        <w:rPr>
          <w:rFonts w:eastAsia="黑体"/>
        </w:rPr>
        <w:t xml:space="preserve"> &gt; 50% </w:t>
      </w:r>
      <w:r>
        <w:rPr>
          <w:rFonts w:hint="eastAsia" w:eastAsia="黑体"/>
        </w:rPr>
        <w:t xml:space="preserve">时需斜坡补偿以防次谐波振荡。</w:t>
      </w:r>
    </w:p>
    <w:bookmarkEnd w:id="20"/>
    <w:bookmarkStart w:id="21" w:name="关键计算公式"/>
    <w:p>
      <w:pPr>
        <w:pStyle w:val="Heading2"/>
      </w:pPr>
      <w:r>
        <w:rPr>
          <w:rFonts w:hint="eastAsia" w:eastAsia="黑体"/>
        </w:rPr>
        <w:t xml:space="preserve">关键计算公式</w:t>
      </w:r>
    </w:p>
    <w:p>
      <w:pPr>
        <w:numPr>
          <w:ilvl w:val="0"/>
          <w:numId w:val="1001"/>
        </w:numPr>
      </w:pPr>
      <w:r>
        <w:rPr>
          <w:rFonts w:hint="eastAsia" w:eastAsia="黑体"/>
        </w:rPr>
        <w:t xml:space="preserve">稳态输出电压（Buck）：</w:t>
      </w:r>
    </w:p>
    <w:p>
      <w:pPr>
        <w:spacing w:before="120" w:after="120"/>
        <w:jc w:val="center"/>
      </w:pPr>
      <m:oMathPara>
        <m:oMathParaPr>
          <m:jc m:val="center"/>
        </m:oMathParaPr>
        <m:oMath>
          <m:sSub>
            <m:e>
              <m:r>
                <m:t>V</m:t>
              </m:r>
            </m:e>
            <m:sub>
              <m:r>
                <m:t>o</m:t>
              </m:r>
            </m:sub>
          </m:sSub>
          <m:r>
            <m:rPr>
              <m:sty m:val="p"/>
            </m:rPr>
            <m:t>=</m:t>
          </m:r>
          <m:sSub>
            <m:e>
              <m:r>
                <m:t>V</m:t>
              </m:r>
            </m:e>
            <m:sub>
              <m:r>
                <m:t>i</m:t>
              </m:r>
              <m:r>
                <m:t>n</m:t>
              </m:r>
            </m:sub>
          </m:sSub>
          <m:r>
            <m:t>D</m:t>
          </m:r>
        </m:oMath>
      </m:oMathPara>
    </w:p>
    <w:p>
      <w:pPr>
        <w:numPr>
          <w:ilvl w:val="0"/>
          <w:numId w:val="1001"/>
        </w:numPr>
      </w:pPr>
      <w:r>
        <w:rPr>
          <w:rFonts w:hint="eastAsia" w:eastAsia="黑体"/>
        </w:rPr>
        <w:t xml:space="preserve">电感电流纹波：</w:t>
      </w:r>
    </w:p>
    <w:p>
      <w:pPr>
        <w:spacing w:before="120" w:after="120"/>
        <w:jc w:val="center"/>
      </w:pPr>
      <m:oMathPara>
        <m:oMathParaPr>
          <m:jc m:val="center"/>
        </m:oMathParaPr>
        <m:oMath>
          <m:r>
            <m:rPr>
              <m:sty m:val="p"/>
            </m:rPr>
            <m:t>Δ</m:t>
          </m:r>
          <m:sSub>
            <m:e>
              <m:r>
                <m:t>I</m:t>
              </m:r>
            </m:e>
            <m:sub>
              <m:r>
                <m:t>L</m:t>
              </m:r>
            </m:sub>
          </m:sSub>
          <m:r>
            <m:rPr>
              <m:sty m:val="p"/>
            </m:rPr>
            <m:t>=</m:t>
          </m:r>
          <m:f>
            <m:fPr>
              <m:type m:val="bar"/>
            </m:fPr>
            <m:num>
              <m:sSub>
                <m:e>
                  <m:r>
                    <m:t>V</m:t>
                  </m:r>
                </m:e>
                <m:sub>
                  <m:r>
                    <m:t>o</m:t>
                  </m:r>
                </m:sub>
              </m:sSub>
              <m:r>
                <m:rPr>
                  <m:sty m:val="p"/>
                </m:rPr>
                <m:t>(</m:t>
              </m:r>
              <m:r>
                <m:t>1</m:t>
              </m:r>
              <m:r>
                <m:rPr>
                  <m:sty m:val="p"/>
                </m:rPr>
                <m:t>−</m:t>
              </m:r>
              <m:r>
                <m:t>D</m:t>
              </m:r>
              <m:r>
                <m:rPr>
                  <m:sty m:val="p"/>
                </m:rPr>
                <m:t>)</m:t>
              </m:r>
            </m:num>
            <m:den>
              <m:r>
                <m:t>L</m:t>
              </m:r>
              <m:sSub>
                <m:e>
                  <m:r>
                    <m:t>f</m:t>
                  </m:r>
                </m:e>
                <m:sub>
                  <m:r>
                    <m:t>s</m:t>
                  </m:r>
                  <m:r>
                    <m:t>w</m:t>
                  </m:r>
                </m:sub>
              </m:sSub>
            </m:den>
          </m:f>
        </m:oMath>
      </m:oMathPara>
    </w:p>
    <w:p>
      <w:pPr>
        <w:numPr>
          <w:ilvl w:val="0"/>
          <w:numId w:val="1001"/>
        </w:numPr>
      </w:pPr>
      <w:r>
        <w:rPr>
          <w:rFonts w:hint="eastAsia" w:eastAsia="黑体"/>
        </w:rPr>
        <w:t xml:space="preserve">峰值电流内环给定（峰值电流模式）：</w:t>
      </w:r>
    </w:p>
    <w:p>
      <w:pPr>
        <w:spacing w:before="120" w:after="120"/>
        <w:jc w:val="center"/>
      </w:pPr>
      <m:oMathPara>
        <m:oMathParaPr>
          <m:jc m:val="center"/>
        </m:oMathParaPr>
        <m:oMath>
          <m:sSub>
            <m:e>
              <m:r>
                <m:t>I</m:t>
              </m:r>
            </m:e>
            <m:sub>
              <m:r>
                <m:t>p</m:t>
              </m:r>
              <m:r>
                <m:t>k</m:t>
              </m:r>
            </m:sub>
          </m:sSub>
          <m:r>
            <m:rPr>
              <m:sty m:val="p"/>
            </m:rPr>
            <m:t>=</m:t>
          </m:r>
          <m:sSub>
            <m:e>
              <m:r>
                <m:t>I</m:t>
              </m:r>
            </m:e>
            <m:sub>
              <m:r>
                <m:t>L</m:t>
              </m:r>
              <m:r>
                <m:rPr>
                  <m:sty m:val="p"/>
                </m:rPr>
                <m:t>,</m:t>
              </m:r>
              <m:r>
                <m:t>a</m:t>
              </m:r>
              <m:r>
                <m:t>v</m:t>
              </m:r>
              <m:r>
                <m:t>g</m:t>
              </m:r>
            </m:sub>
          </m:sSub>
          <m:r>
            <m:rPr>
              <m:sty m:val="p"/>
            </m:rPr>
            <m:t>+</m:t>
          </m:r>
          <m:f>
            <m:fPr>
              <m:type m:val="bar"/>
            </m:fPr>
            <m:num>
              <m:r>
                <m:rPr>
                  <m:sty m:val="p"/>
                </m:rPr>
                <m:t>Δ</m:t>
              </m:r>
              <m:sSub>
                <m:e>
                  <m:r>
                    <m:t>I</m:t>
                  </m:r>
                </m:e>
                <m:sub>
                  <m:r>
                    <m:t>L</m:t>
                  </m:r>
                </m:sub>
              </m:sSub>
            </m:num>
            <m:den>
              <m:r>
                <m:t>2</m:t>
              </m:r>
            </m:den>
          </m:f>
        </m:oMath>
      </m:oMathPara>
    </w:p>
    <w:p>
      <w:pPr>
        <w:numPr>
          <w:ilvl w:val="0"/>
          <w:numId w:val="1001"/>
        </w:numPr>
      </w:pPr>
      <w:r>
        <w:rPr>
          <w:rFonts w:hint="eastAsia" w:eastAsia="黑体"/>
        </w:rPr>
        <w:t xml:space="preserve">斜坡补偿斜率（稳定性所需）：</w:t>
      </w:r>
    </w:p>
    <w:p>
      <w:pPr>
        <w:spacing w:before="120" w:after="120"/>
        <w:jc w:val="center"/>
      </w:pPr>
      <m:oMathPara>
        <m:oMathParaPr>
          <m:jc m:val="center"/>
        </m:oMathParaPr>
        <m:oMath>
          <m:sSub>
            <m:e>
              <m:r>
                <m:t>m</m:t>
              </m:r>
            </m:e>
            <m:sub>
              <m:r>
                <m:t>c</m:t>
              </m:r>
            </m:sub>
          </m:sSub>
          <m:r>
            <m:rPr>
              <m:sty m:val="p"/>
            </m:rPr>
            <m:t>≥</m:t>
          </m:r>
          <m:f>
            <m:fPr>
              <m:type m:val="bar"/>
            </m:fPr>
            <m:num>
              <m:sSub>
                <m:e>
                  <m:r>
                    <m:t>m</m:t>
                  </m:r>
                </m:e>
                <m:sub>
                  <m:r>
                    <m:t>2</m:t>
                  </m:r>
                </m:sub>
              </m:sSub>
            </m:num>
            <m:den>
              <m:r>
                <m:t>2</m:t>
              </m:r>
            </m:den>
          </m:f>
          <m:r>
            <m:rPr>
              <m:sty m:val="p"/>
            </m:rPr>
            <m:t>=</m:t>
          </m:r>
          <m:f>
            <m:fPr>
              <m:type m:val="bar"/>
            </m:fPr>
            <m:num>
              <m:sSub>
                <m:e>
                  <m:r>
                    <m:t>V</m:t>
                  </m:r>
                </m:e>
                <m:sub>
                  <m:r>
                    <m:t>o</m:t>
                  </m:r>
                </m:sub>
              </m:sSub>
            </m:num>
            <m:den>
              <m:r>
                <m:t>2</m:t>
              </m:r>
              <m:r>
                <m:t>L</m:t>
              </m:r>
            </m:den>
          </m:f>
        </m:oMath>
      </m:oMathPara>
    </w:p>
    <w:p>
      <w:pPr>
        <w:numPr>
          <w:ilvl w:val="0"/>
          <w:numId w:val="1001"/>
        </w:numPr>
      </w:pPr>
      <w:r>
        <w:rPr>
          <w:rFonts w:hint="eastAsia" w:eastAsia="黑体"/>
        </w:rPr>
        <w:t xml:space="preserve">次谐波振荡判据（补偿后斜率比）：</w:t>
      </w:r>
    </w:p>
    <w:p>
      <w:pPr>
        <w:spacing w:before="120" w:after="120"/>
        <w:jc w:val="center"/>
      </w:pPr>
      <m:oMathPara>
        <m:oMathParaPr>
          <m:jc m:val="center"/>
        </m:oMathParaPr>
        <m:oMath>
          <m:f>
            <m:fPr>
              <m:type m:val="bar"/>
            </m:fPr>
            <m:num>
              <m:sSub>
                <m:e>
                  <m:r>
                    <m:t>m</m:t>
                  </m:r>
                </m:e>
                <m:sub>
                  <m:r>
                    <m:t>c</m:t>
                  </m:r>
                </m:sub>
              </m:sSub>
            </m:num>
            <m:den>
              <m:sSub>
                <m:e>
                  <m:r>
                    <m:t>m</m:t>
                  </m:r>
                </m:e>
                <m:sub>
                  <m:r>
                    <m:t>2</m:t>
                  </m:r>
                </m:sub>
              </m:sSub>
            </m:den>
          </m:f>
          <m:r>
            <m:rPr>
              <m:sty m:val="p"/>
            </m:rPr>
            <m:t>≥</m:t>
          </m:r>
          <m:r>
            <m:t>0.5</m:t>
          </m:r>
        </m:oMath>
      </m:oMathPara>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hint="eastAsia" w:eastAsia="黑体"/>
              </w:rPr>
              <w:t xml:space="preserve">符号</w:t>
            </w:r>
          </w:p>
        </w:tc>
        <w:tc>
          <w:tcPr/>
          <w:p>
            <w:pPr>
              <w:pStyle w:val="Compact"/>
            </w:pPr>
            <w:r>
              <w:rPr>
                <w:rFonts w:hint="eastAsia" w:eastAsia="黑体"/>
              </w:rPr>
              <w:t xml:space="preserve">含义</w:t>
            </w:r>
          </w:p>
        </w:tc>
        <w:tc>
          <w:tcPr/>
          <w:p>
            <w:pPr>
              <w:pStyle w:val="Compact"/>
            </w:pPr>
            <w:r>
              <w:rPr>
                <w:rFonts w:hint="eastAsia" w:eastAsia="黑体"/>
              </w:rPr>
              <w:t xml:space="preserve">单位</w:t>
            </w:r>
          </w:p>
        </w:tc>
      </w:tr>
      <w:tr>
        <w:tc>
          <w:tcPr/>
          <w:p>
            <w:pPr>
              <w:pStyle w:val="Compact"/>
            </w:pPr>
            <m:oMath>
              <m:sSub>
                <m:e>
                  <m:r>
                    <m:t>V</m:t>
                  </m:r>
                </m:e>
                <m:sub>
                  <m:r>
                    <m:t>i</m:t>
                  </m:r>
                  <m:r>
                    <m:t>n</m:t>
                  </m:r>
                </m:sub>
              </m:sSub>
            </m:oMath>
            <w:r>
              <w:rPr>
                <w:rFonts w:eastAsia="黑体"/>
              </w:rPr>
              <w:t xml:space="preserve">​</w:t>
            </w:r>
          </w:p>
        </w:tc>
        <w:tc>
          <w:tcPr/>
          <w:p>
            <w:pPr>
              <w:pStyle w:val="Compact"/>
            </w:pPr>
            <w:r>
              <w:rPr>
                <w:rFonts w:hint="eastAsia" w:eastAsia="黑体"/>
              </w:rPr>
              <w:t xml:space="preserve">输入电压</w:t>
            </w:r>
          </w:p>
        </w:tc>
        <w:tc>
          <w:tcPr/>
          <w:p>
            <w:pPr>
              <w:pStyle w:val="Compact"/>
            </w:pPr>
            <w:r>
              <w:rPr>
                <w:rFonts w:eastAsia="黑体"/>
              </w:rPr>
              <w:t xml:space="preserve">V</w:t>
            </w:r>
          </w:p>
        </w:tc>
      </w:tr>
      <w:tr>
        <w:tc>
          <w:tcPr/>
          <w:p>
            <w:pPr>
              <w:pStyle w:val="Compact"/>
            </w:pPr>
            <m:oMath>
              <m:sSub>
                <m:e>
                  <m:r>
                    <m:t>V</m:t>
                  </m:r>
                </m:e>
                <m:sub>
                  <m:r>
                    <m:t>o</m:t>
                  </m:r>
                </m:sub>
              </m:sSub>
            </m:oMath>
            <w:r>
              <w:rPr>
                <w:rFonts w:eastAsia="黑体"/>
              </w:rPr>
              <w:t xml:space="preserve">​</w:t>
            </w:r>
          </w:p>
        </w:tc>
        <w:tc>
          <w:tcPr/>
          <w:p>
            <w:pPr>
              <w:pStyle w:val="Compact"/>
            </w:pPr>
            <w:r>
              <w:rPr>
                <w:rFonts w:hint="eastAsia" w:eastAsia="黑体"/>
              </w:rPr>
              <w:t xml:space="preserve">输出电压</w:t>
            </w:r>
          </w:p>
        </w:tc>
        <w:tc>
          <w:tcPr/>
          <w:p>
            <w:pPr>
              <w:pStyle w:val="Compact"/>
            </w:pPr>
            <w:r>
              <w:rPr>
                <w:rFonts w:eastAsia="黑体"/>
              </w:rPr>
              <w:t xml:space="preserve">V</w:t>
            </w:r>
          </w:p>
        </w:tc>
      </w:tr>
      <w:tr>
        <w:tc>
          <w:tcPr/>
          <w:p>
            <w:pPr>
              <w:pStyle w:val="Compact"/>
            </w:pPr>
            <m:oMath>
              <m:r>
                <m:t>D</m:t>
              </m:r>
            </m:oMath>
            <w:r>
              <w:rPr>
                <w:rFonts w:eastAsia="黑体"/>
              </w:rPr>
              <w:t xml:space="preserve">​</w:t>
            </w:r>
          </w:p>
        </w:tc>
        <w:tc>
          <w:tcPr/>
          <w:p>
            <w:pPr>
              <w:pStyle w:val="Compact"/>
            </w:pPr>
            <w:r>
              <w:rPr>
                <w:rFonts w:hint="eastAsia" w:eastAsia="黑体"/>
              </w:rPr>
              <w:t xml:space="preserve">占空比</w:t>
            </w:r>
          </w:p>
        </w:tc>
        <w:tc>
          <w:tcPr/>
          <w:p>
            <w:pPr>
              <w:pStyle w:val="Compact"/>
            </w:pPr>
            <w:r>
              <w:rPr>
                <w:rFonts w:eastAsia="黑体"/>
              </w:rPr>
              <w:t xml:space="preserve">—</w:t>
            </w:r>
          </w:p>
        </w:tc>
      </w:tr>
      <w:tr>
        <w:tc>
          <w:tcPr/>
          <w:p>
            <w:pPr>
              <w:pStyle w:val="Compact"/>
            </w:pPr>
            <m:oMath>
              <m:r>
                <m:t>L</m:t>
              </m:r>
            </m:oMath>
            <w:r>
              <w:rPr>
                <w:rFonts w:eastAsia="黑体"/>
              </w:rPr>
              <w:t xml:space="preserve">​</w:t>
            </w:r>
          </w:p>
        </w:tc>
        <w:tc>
          <w:tcPr/>
          <w:p>
            <w:pPr>
              <w:pStyle w:val="Compact"/>
            </w:pPr>
            <w:r>
              <w:rPr>
                <w:rFonts w:hint="eastAsia" w:eastAsia="黑体"/>
              </w:rPr>
              <w:t xml:space="preserve">电感</w:t>
            </w:r>
          </w:p>
        </w:tc>
        <w:tc>
          <w:tcPr/>
          <w:p>
            <w:pPr>
              <w:pStyle w:val="Compact"/>
            </w:pPr>
            <w:r>
              <w:rPr>
                <w:rFonts w:eastAsia="黑体"/>
              </w:rPr>
              <w:t xml:space="preserve">H</w:t>
            </w:r>
          </w:p>
        </w:tc>
      </w:tr>
      <w:tr>
        <w:tc>
          <w:tcPr/>
          <w:p>
            <w:pPr>
              <w:pStyle w:val="Compact"/>
            </w:pPr>
            <m:oMath>
              <m:sSub>
                <m:e>
                  <m:r>
                    <m:t>f</m:t>
                  </m:r>
                </m:e>
                <m:sub>
                  <m:r>
                    <m:t>s</m:t>
                  </m:r>
                  <m:r>
                    <m:t>w</m:t>
                  </m:r>
                </m:sub>
              </m:sSub>
            </m:oMath>
            <w:r>
              <w:rPr>
                <w:rFonts w:eastAsia="黑体"/>
              </w:rPr>
              <w:t xml:space="preserve">​</w:t>
            </w:r>
          </w:p>
        </w:tc>
        <w:tc>
          <w:tcPr/>
          <w:p>
            <w:pPr>
              <w:pStyle w:val="Compact"/>
            </w:pPr>
            <w:r>
              <w:rPr>
                <w:rFonts w:hint="eastAsia" w:eastAsia="黑体"/>
              </w:rPr>
              <w:t xml:space="preserve">开关频率</w:t>
            </w:r>
          </w:p>
        </w:tc>
        <w:tc>
          <w:tcPr/>
          <w:p>
            <w:pPr>
              <w:pStyle w:val="Compact"/>
            </w:pPr>
            <w:r>
              <w:rPr>
                <w:rFonts w:eastAsia="黑体"/>
              </w:rPr>
              <w:t xml:space="preserve">Hz</w:t>
            </w:r>
          </w:p>
        </w:tc>
      </w:tr>
      <w:tr>
        <w:tc>
          <w:tcPr/>
          <w:p>
            <w:pPr>
              <w:pStyle w:val="Compact"/>
            </w:pPr>
            <m:oMath>
              <m:sSub>
                <m:e>
                  <m:r>
                    <m:t>I</m:t>
                  </m:r>
                </m:e>
                <m:sub>
                  <m:r>
                    <m:t>L</m:t>
                  </m:r>
                  <m:r>
                    <m:rPr>
                      <m:sty m:val="p"/>
                    </m:rPr>
                    <m:t>,</m:t>
                  </m:r>
                  <m:r>
                    <m:t>a</m:t>
                  </m:r>
                  <m:r>
                    <m:t>v</m:t>
                  </m:r>
                  <m:r>
                    <m:t>g</m:t>
                  </m:r>
                </m:sub>
              </m:sSub>
            </m:oMath>
            <w:r>
              <w:rPr>
                <w:rFonts w:eastAsia="黑体"/>
              </w:rPr>
              <w:t xml:space="preserve">​</w:t>
            </w:r>
          </w:p>
        </w:tc>
        <w:tc>
          <w:tcPr/>
          <w:p>
            <w:pPr>
              <w:pStyle w:val="Compact"/>
            </w:pPr>
            <w:r>
              <w:rPr>
                <w:rFonts w:hint="eastAsia" w:eastAsia="黑体"/>
              </w:rPr>
              <w:t xml:space="preserve">电感平均电流</w:t>
            </w:r>
          </w:p>
        </w:tc>
        <w:tc>
          <w:tcPr/>
          <w:p>
            <w:pPr>
              <w:pStyle w:val="Compact"/>
            </w:pPr>
            <w:r>
              <w:rPr>
                <w:rFonts w:eastAsia="黑体"/>
              </w:rPr>
              <w:t xml:space="preserve">A</w:t>
            </w:r>
          </w:p>
        </w:tc>
      </w:tr>
      <w:tr>
        <w:tc>
          <w:tcPr/>
          <w:p>
            <w:pPr>
              <w:pStyle w:val="Compact"/>
            </w:pPr>
            <m:oMath>
              <m:sSub>
                <m:e>
                  <m:r>
                    <m:t>I</m:t>
                  </m:r>
                </m:e>
                <m:sub>
                  <m:r>
                    <m:t>p</m:t>
                  </m:r>
                  <m:r>
                    <m:t>k</m:t>
                  </m:r>
                </m:sub>
              </m:sSub>
            </m:oMath>
            <w:r>
              <w:rPr>
                <w:rFonts w:eastAsia="黑体"/>
              </w:rPr>
              <w:t xml:space="preserve">​</w:t>
            </w:r>
          </w:p>
        </w:tc>
        <w:tc>
          <w:tcPr/>
          <w:p>
            <w:pPr>
              <w:pStyle w:val="Compact"/>
            </w:pPr>
            <w:r>
              <w:rPr>
                <w:rFonts w:hint="eastAsia" w:eastAsia="黑体"/>
              </w:rPr>
              <w:t xml:space="preserve">峰值电流给定</w:t>
            </w:r>
          </w:p>
        </w:tc>
        <w:tc>
          <w:tcPr/>
          <w:p>
            <w:pPr>
              <w:pStyle w:val="Compact"/>
            </w:pPr>
            <w:r>
              <w:rPr>
                <w:rFonts w:eastAsia="黑体"/>
              </w:rPr>
              <w:t xml:space="preserve">A</w:t>
            </w:r>
          </w:p>
        </w:tc>
      </w:tr>
      <w:tr>
        <w:tc>
          <w:tcPr/>
          <w:p>
            <w:pPr>
              <w:pStyle w:val="Compact"/>
            </w:pPr>
            <m:oMath>
              <m:sSub>
                <m:e>
                  <m:r>
                    <m:t>m</m:t>
                  </m:r>
                </m:e>
                <m:sub>
                  <m:r>
                    <m:t>c</m:t>
                  </m:r>
                </m:sub>
              </m:sSub>
            </m:oMath>
            <w:r>
              <w:rPr>
                <w:rFonts w:eastAsia="黑体"/>
              </w:rPr>
              <w:t xml:space="preserve">​</w:t>
            </w:r>
          </w:p>
        </w:tc>
        <w:tc>
          <w:tcPr/>
          <w:p>
            <w:pPr>
              <w:pStyle w:val="Compact"/>
            </w:pPr>
            <w:r>
              <w:rPr>
                <w:rFonts w:hint="eastAsia" w:eastAsia="黑体"/>
              </w:rPr>
              <w:t xml:space="preserve">补偿斜率</w:t>
            </w:r>
          </w:p>
        </w:tc>
        <w:tc>
          <w:tcPr/>
          <w:p>
            <w:pPr>
              <w:pStyle w:val="Compact"/>
            </w:pPr>
            <w:r>
              <w:rPr>
                <w:rFonts w:eastAsia="黑体"/>
              </w:rPr>
              <w:t xml:space="preserve">A/s</w:t>
            </w:r>
          </w:p>
        </w:tc>
      </w:tr>
      <w:tr>
        <w:tc>
          <w:tcPr/>
          <w:p>
            <w:pPr>
              <w:pStyle w:val="Compact"/>
            </w:pPr>
            <m:oMath>
              <m:sSub>
                <m:e>
                  <m:r>
                    <m:t>m</m:t>
                  </m:r>
                </m:e>
                <m:sub>
                  <m:r>
                    <m:t>2</m:t>
                  </m:r>
                </m:sub>
              </m:sSub>
            </m:oMath>
            <w:r>
              <w:rPr>
                <w:rFonts w:eastAsia="黑体"/>
              </w:rPr>
              <w:t xml:space="preserve">​</w:t>
            </w:r>
          </w:p>
        </w:tc>
        <w:tc>
          <w:tcPr/>
          <w:p>
            <w:pPr>
              <w:pStyle w:val="Compact"/>
            </w:pPr>
            <w:r>
              <w:rPr>
                <w:rFonts w:hint="eastAsia" w:eastAsia="黑体"/>
              </w:rPr>
              <w:t xml:space="preserve">关断期电感电流下降斜率</w:t>
            </w:r>
          </w:p>
        </w:tc>
        <w:tc>
          <w:tcPr/>
          <w:p>
            <w:pPr>
              <w:pStyle w:val="Compact"/>
            </w:pPr>
            <w:r>
              <w:rPr>
                <w:rFonts w:eastAsia="黑体"/>
              </w:rPr>
              <w:t xml:space="preserve">A/s</w:t>
            </w:r>
          </w:p>
        </w:tc>
      </w:tr>
    </w:tbl>
    <w:bookmarkEnd w:id="21"/>
    <w:bookmarkStart w:id="22" w:name="元件调整影响"/>
    <w:p>
      <w:pPr>
        <w:pStyle w:val="Heading2"/>
      </w:pPr>
      <w:r>
        <w:rPr>
          <w:rFonts w:hint="eastAsia" w:eastAsia="黑体"/>
        </w:rPr>
        <w:t xml:space="preserve">元件调整影响</w:t>
      </w:r>
    </w:p>
    <w:p>
      <w:pPr>
        <w:pStyle w:val="Compact"/>
        <w:numPr>
          <w:ilvl w:val="0"/>
          <w:numId w:val="1002"/>
        </w:numPr>
      </w:pPr>
      <w:r>
        <w:rPr>
          <w:rFonts w:hint="eastAsia" w:eastAsia="黑体"/>
          <w:b/>
          <w:bCs/>
        </w:rPr>
        <w:t xml:space="preserve">电流采样电阻</w:t>
      </w:r>
      <w:r>
        <w:rPr>
          <w:rFonts w:eastAsia="黑体"/>
          <w:b/>
          <w:bCs/>
        </w:rPr>
        <w:t xml:space="preserve"> </w:t>
      </w:r>
      <m:oMath>
        <m:sSub>
          <m:e>
            <m:r>
              <m:t>R</m:t>
            </m:r>
          </m:e>
          <m:sub>
            <m:r>
              <m:t>s</m:t>
            </m:r>
            <m:r>
              <m:t>e</m:t>
            </m:r>
            <m:r>
              <m:t>n</m:t>
            </m:r>
            <m:r>
              <m:t>s</m:t>
            </m:r>
            <m:r>
              <m:t>e</m:t>
            </m:r>
          </m:sub>
        </m:sSub>
      </m:oMath>
      <w:r>
        <w:rPr>
          <w:rFonts w:eastAsia="黑体"/>
          <w:b/>
          <w:bCs/>
        </w:rPr>
        <w:t xml:space="preserve"> </w:t>
      </w:r>
      <w:r>
        <w:rPr>
          <w:rFonts w:eastAsia="黑体"/>
          <w:b/>
          <w:bCs/>
        </w:rPr>
        <w:t xml:space="preserve">↑</w:t>
      </w:r>
      <w:r>
        <w:rPr>
          <w:rFonts w:eastAsia="黑体"/>
        </w:rPr>
        <w:t xml:space="preserve"> </w:t>
      </w:r>
      <w:r>
        <w:rPr>
          <w:rFonts w:eastAsia="黑体"/>
        </w:rPr>
        <w:t xml:space="preserve">→ </w:t>
      </w:r>
      <w:r>
        <w:rPr>
          <w:rFonts w:hint="eastAsia" w:eastAsia="黑体"/>
        </w:rPr>
        <w:t xml:space="preserve">采样信噪比升高但导通损耗增大，需在精度与损耗间权衡。</w:t>
      </w:r>
    </w:p>
    <w:p>
      <w:pPr>
        <w:pStyle w:val="Compact"/>
        <w:numPr>
          <w:ilvl w:val="0"/>
          <w:numId w:val="1002"/>
        </w:numPr>
      </w:pPr>
      <w:r>
        <w:rPr>
          <w:rFonts w:hint="eastAsia" w:eastAsia="黑体"/>
          <w:b/>
          <w:bCs/>
        </w:rPr>
        <w:t xml:space="preserve">斜坡补偿斜率</w:t>
      </w:r>
      <w:r>
        <w:rPr>
          <w:rFonts w:eastAsia="黑体"/>
          <w:b/>
          <w:bCs/>
        </w:rPr>
        <w:t xml:space="preserve"> </w:t>
      </w:r>
      <m:oMath>
        <m:sSub>
          <m:e>
            <m:r>
              <m:t>m</m:t>
            </m:r>
          </m:e>
          <m:sub>
            <m:r>
              <m:t>c</m:t>
            </m:r>
          </m:sub>
        </m:sSub>
      </m:oMath>
      <w:r>
        <w:rPr>
          <w:rFonts w:eastAsia="黑体"/>
          <w:b/>
          <w:bCs/>
        </w:rPr>
        <w:t xml:space="preserve"> </w:t>
      </w:r>
      <w:r>
        <w:rPr>
          <w:rFonts w:eastAsia="黑体"/>
          <w:b/>
          <w:bCs/>
        </w:rPr>
        <w:t xml:space="preserve">↑</w:t>
      </w:r>
      <w:r>
        <w:rPr>
          <w:rFonts w:eastAsia="黑体"/>
        </w:rPr>
        <w:t xml:space="preserve"> </w:t>
      </w:r>
      <w:r>
        <w:rPr>
          <w:rFonts w:eastAsia="黑体"/>
        </w:rPr>
        <w:t xml:space="preserve">→ </w:t>
      </w:r>
      <w:r>
        <w:rPr>
          <w:rFonts w:hint="eastAsia" w:eastAsia="黑体"/>
        </w:rPr>
        <w:t xml:space="preserve">抑制次谐波更强，但过补偿会削弱电流内环带宽、趋向电压模式。</w:t>
      </w:r>
    </w:p>
    <w:p>
      <w:pPr>
        <w:pStyle w:val="Compact"/>
        <w:numPr>
          <w:ilvl w:val="0"/>
          <w:numId w:val="1002"/>
        </w:numPr>
      </w:pPr>
      <m:oMath>
        <m:r>
          <m:t>L</m:t>
        </m:r>
      </m:oMath>
      <w:r>
        <w:rPr>
          <w:rFonts w:eastAsia="黑体"/>
          <w:b/>
          <w:bCs/>
        </w:rPr>
        <w:t xml:space="preserve"> </w:t>
      </w:r>
      <w:r>
        <w:rPr>
          <w:rFonts w:eastAsia="黑体"/>
          <w:b/>
          <w:bCs/>
        </w:rPr>
        <w:t xml:space="preserve">↑</w:t>
      </w:r>
      <w:r>
        <w:rPr>
          <w:rFonts w:eastAsia="黑体"/>
        </w:rPr>
        <w:t xml:space="preserve"> </w:t>
      </w:r>
      <w:r>
        <w:rPr>
          <w:rFonts w:eastAsia="黑体"/>
        </w:rPr>
        <w:t xml:space="preserve">→ </w:t>
      </w:r>
      <w:r>
        <w:rPr>
          <w:rFonts w:hint="eastAsia" w:eastAsia="黑体"/>
        </w:rPr>
        <w:t xml:space="preserve">纹波</w:t>
      </w:r>
      <w:r>
        <w:rPr>
          <w:rFonts w:eastAsia="黑体"/>
        </w:rPr>
        <w:t xml:space="preserve"> </w:t>
      </w:r>
      <m:oMath>
        <m:r>
          <m:rPr>
            <m:sty m:val="p"/>
          </m:rPr>
          <m:t>Δ</m:t>
        </m:r>
        <m:sSub>
          <m:e>
            <m:r>
              <m:t>I</m:t>
            </m:r>
          </m:e>
          <m:sub>
            <m:r>
              <m:t>L</m:t>
            </m:r>
          </m:sub>
        </m:sSub>
      </m:oMath>
      <w:r>
        <w:rPr>
          <w:rFonts w:eastAsia="黑体"/>
        </w:rPr>
        <w:t xml:space="preserve"> </w:t>
      </w:r>
      <w:r>
        <w:rPr>
          <w:rFonts w:hint="eastAsia" w:eastAsia="黑体"/>
        </w:rPr>
        <w:t xml:space="preserve">减小，内环给定更平稳，环路更易稳定。</w:t>
      </w:r>
    </w:p>
    <w:p>
      <w:pPr>
        <w:pStyle w:val="Compact"/>
        <w:numPr>
          <w:ilvl w:val="0"/>
          <w:numId w:val="1002"/>
        </w:numPr>
      </w:pPr>
      <w:r>
        <w:rPr>
          <w:rFonts w:hint="eastAsia" w:eastAsia="黑体"/>
          <w:b/>
          <w:bCs/>
        </w:rPr>
        <w:t xml:space="preserve">占空比</w:t>
      </w:r>
      <w:r>
        <w:rPr>
          <w:rFonts w:eastAsia="黑体"/>
          <w:b/>
          <w:bCs/>
        </w:rPr>
        <w:t xml:space="preserve"> D </w:t>
      </w:r>
      <w:r>
        <w:rPr>
          <w:rFonts w:hint="eastAsia" w:eastAsia="黑体"/>
          <w:b/>
          <w:bCs/>
        </w:rPr>
        <w:t xml:space="preserve">增大</w:t>
      </w:r>
      <w:r>
        <w:rPr>
          <w:rFonts w:eastAsia="黑体"/>
        </w:rPr>
        <w:t xml:space="preserve"> </w:t>
      </w:r>
      <w:r>
        <w:rPr>
          <w:rFonts w:eastAsia="黑体"/>
        </w:rPr>
        <w:t xml:space="preserve">→ </w:t>
      </w:r>
      <w:r>
        <w:rPr>
          <w:rFonts w:hint="eastAsia" w:eastAsia="黑体"/>
        </w:rPr>
        <w:t xml:space="preserve">峰值电流模式在</w:t>
      </w:r>
      <w:r>
        <w:rPr>
          <w:rFonts w:eastAsia="黑体"/>
        </w:rPr>
        <w:t xml:space="preserve"> D&gt;0.5 </w:t>
      </w:r>
      <w:r>
        <w:rPr>
          <w:rFonts w:hint="eastAsia" w:eastAsia="黑体"/>
        </w:rPr>
        <w:t xml:space="preserve">后必须补偿，否则次谐波振荡。</w:t>
      </w:r>
    </w:p>
    <w:p>
      <w:pPr>
        <w:pStyle w:val="Compact"/>
        <w:numPr>
          <w:ilvl w:val="0"/>
          <w:numId w:val="1002"/>
        </w:numPr>
      </w:pPr>
      <w:r>
        <w:rPr>
          <w:rFonts w:hint="eastAsia" w:eastAsia="黑体"/>
          <w:b/>
          <w:bCs/>
        </w:rPr>
        <w:t xml:space="preserve">电流环增益</w:t>
      </w:r>
      <w:r>
        <w:rPr>
          <w:rFonts w:eastAsia="黑体"/>
        </w:rPr>
        <w:t xml:space="preserve"> </w:t>
      </w:r>
      <w:r>
        <w:rPr>
          <w:rFonts w:eastAsia="黑体"/>
        </w:rPr>
        <w:t xml:space="preserve">→ </w:t>
      </w:r>
      <w:r>
        <w:rPr>
          <w:rFonts w:hint="eastAsia" w:eastAsia="黑体"/>
        </w:rPr>
        <w:t xml:space="preserve">提高可加快负载响应，但噪声敏感度上升。</w:t>
      </w:r>
    </w:p>
    <w:bookmarkEnd w:id="22"/>
    <w:bookmarkStart w:id="23" w:name="典型参数示例"/>
    <w:p>
      <w:pPr>
        <w:pStyle w:val="Heading2"/>
      </w:pPr>
      <w:r>
        <w:rPr>
          <w:rFonts w:hint="eastAsia" w:eastAsia="黑体"/>
        </w:rPr>
        <w:t xml:space="preserve">典型参数示例</w:t>
      </w:r>
    </w:p>
    <w:p>
      <w:pPr>
        <w:pStyle w:val="Compact"/>
        <w:numPr>
          <w:ilvl w:val="0"/>
          <w:numId w:val="1003"/>
        </w:numPr>
      </w:pPr>
      <w:r>
        <w:rPr>
          <w:rFonts w:hint="eastAsia" w:eastAsia="黑体"/>
        </w:rPr>
        <w:t xml:space="preserve">取</w:t>
      </w:r>
      <w:r>
        <w:rPr>
          <w:rFonts w:eastAsia="黑体"/>
        </w:rPr>
        <w:t xml:space="preserve"> </w:t>
      </w:r>
      <m:oMath>
        <m:sSub>
          <m:e>
            <m:r>
              <m:t>V</m:t>
            </m:r>
          </m:e>
          <m:sub>
            <m:r>
              <m:t>i</m:t>
            </m:r>
            <m:r>
              <m:t>n</m:t>
            </m:r>
          </m:sub>
        </m:sSub>
        <m:r>
          <m:rPr>
            <m:sty m:val="p"/>
          </m:rPr>
          <m:t>=</m:t>
        </m:r>
        <m:r>
          <m:t>12</m:t>
        </m:r>
        <m:r>
          <m:t> </m:t>
        </m:r>
        <m:r>
          <m:rPr>
            <m:nor/>
            <m:sty m:val="p"/>
          </m:rPr>
          <m:t>V</m:t>
        </m:r>
      </m:oMath>
      <w:r>
        <w:rPr>
          <w:rFonts w:eastAsia="黑体"/>
        </w:rPr>
        <w:t xml:space="preserve">、</w:t>
      </w:r>
      <m:oMath>
        <m:sSub>
          <m:e>
            <m:r>
              <m:t>V</m:t>
            </m:r>
          </m:e>
          <m:sub>
            <m:r>
              <m:t>o</m:t>
            </m:r>
          </m:sub>
        </m:sSub>
        <m:r>
          <m:rPr>
            <m:sty m:val="p"/>
          </m:rPr>
          <m:t>=</m:t>
        </m:r>
        <m:r>
          <m:t>3.3</m:t>
        </m:r>
        <m:r>
          <m:t> </m:t>
        </m:r>
        <m:r>
          <m:rPr>
            <m:nor/>
            <m:sty m:val="p"/>
          </m:rPr>
          <m:t>V</m:t>
        </m:r>
      </m:oMath>
      <w:r>
        <w:rPr>
          <w:rFonts w:hint="eastAsia" w:eastAsia="黑体"/>
        </w:rPr>
        <w:t xml:space="preserve">：</w:t>
      </w:r>
      <m:oMath>
        <m:r>
          <m:t>D</m:t>
        </m:r>
        <m:r>
          <m:rPr>
            <m:sty m:val="p"/>
          </m:rPr>
          <m:t>=</m:t>
        </m:r>
        <m:r>
          <m:t>3.3</m:t>
        </m:r>
        <m:r>
          <m:rPr>
            <m:sty m:val="p"/>
          </m:rPr>
          <m:t>/</m:t>
        </m:r>
        <m:r>
          <m:t>12</m:t>
        </m:r>
        <m:r>
          <m:rPr>
            <m:sty m:val="p"/>
          </m:rPr>
          <m:t>=</m:t>
        </m:r>
        <m:r>
          <m:t>0.275</m:t>
        </m:r>
      </m:oMath>
      <w:r>
        <w:rPr>
          <w:rFonts w:eastAsia="黑体"/>
        </w:rPr>
        <w:t xml:space="preserve">。</w:t>
      </w:r>
    </w:p>
    <w:p>
      <w:pPr>
        <w:pStyle w:val="Compact"/>
        <w:numPr>
          <w:ilvl w:val="0"/>
          <w:numId w:val="1003"/>
        </w:numPr>
      </w:pPr>
      <w:r>
        <w:rPr>
          <w:rFonts w:hint="eastAsia" w:eastAsia="黑体"/>
        </w:rPr>
        <w:t xml:space="preserve">取</w:t>
      </w:r>
      <w:r>
        <w:rPr>
          <w:rFonts w:eastAsia="黑体"/>
        </w:rPr>
        <w:t xml:space="preserve"> </w:t>
      </w:r>
      <m:oMath>
        <m:sSub>
          <m:e>
            <m:r>
              <m:t>I</m:t>
            </m:r>
          </m:e>
          <m:sub>
            <m:r>
              <m:t>L</m:t>
            </m:r>
            <m:r>
              <m:rPr>
                <m:sty m:val="p"/>
              </m:rPr>
              <m:t>,</m:t>
            </m:r>
            <m:r>
              <m:t>a</m:t>
            </m:r>
            <m:r>
              <m:t>v</m:t>
            </m:r>
            <m:r>
              <m:t>g</m:t>
            </m:r>
          </m:sub>
        </m:sSub>
        <m:r>
          <m:rPr>
            <m:sty m:val="p"/>
          </m:rPr>
          <m:t>=</m:t>
        </m:r>
        <m:r>
          <m:t>3</m:t>
        </m:r>
        <m:r>
          <m:t> </m:t>
        </m:r>
        <m:r>
          <m:rPr>
            <m:nor/>
            <m:sty m:val="p"/>
          </m:rPr>
          <m:t>A</m:t>
        </m:r>
      </m:oMath>
      <w:r>
        <w:rPr>
          <w:rFonts w:eastAsia="黑体"/>
        </w:rPr>
        <w:t xml:space="preserve">、</w:t>
      </w:r>
      <m:oMath>
        <m:r>
          <m:t>L</m:t>
        </m:r>
        <m:r>
          <m:rPr>
            <m:sty m:val="p"/>
          </m:rPr>
          <m:t>=</m:t>
        </m:r>
        <m:r>
          <m:t>10</m:t>
        </m:r>
        <m:r>
          <m:t> </m:t>
        </m:r>
        <m:r>
          <m:t>μ</m:t>
        </m:r>
        <m:r>
          <m:rPr>
            <m:nor/>
            <m:sty m:val="p"/>
          </m:rPr>
          <m:t>H</m:t>
        </m:r>
      </m:oMath>
      <w:r>
        <w:rPr>
          <w:rFonts w:eastAsia="黑体"/>
        </w:rPr>
        <w:t xml:space="preserve">、</w:t>
      </w:r>
      <m:oMath>
        <m:sSub>
          <m:e>
            <m:r>
              <m:t>V</m:t>
            </m:r>
          </m:e>
          <m:sub>
            <m:r>
              <m:t>o</m:t>
            </m:r>
          </m:sub>
        </m:sSub>
        <m:r>
          <m:rPr>
            <m:sty m:val="p"/>
          </m:rPr>
          <m:t>=</m:t>
        </m:r>
        <m:r>
          <m:t>3.3</m:t>
        </m:r>
        <m:r>
          <m:t> </m:t>
        </m:r>
        <m:r>
          <m:rPr>
            <m:nor/>
            <m:sty m:val="p"/>
          </m:rPr>
          <m:t>V</m:t>
        </m:r>
      </m:oMath>
      <w:r>
        <w:rPr>
          <w:rFonts w:eastAsia="黑体"/>
        </w:rPr>
        <w:t xml:space="preserve">、</w:t>
      </w:r>
      <m:oMath>
        <m:sSub>
          <m:e>
            <m:r>
              <m:t>f</m:t>
            </m:r>
          </m:e>
          <m:sub>
            <m:r>
              <m:t>s</m:t>
            </m:r>
            <m:r>
              <m:t>w</m:t>
            </m:r>
          </m:sub>
        </m:sSub>
        <m:r>
          <m:rPr>
            <m:sty m:val="p"/>
          </m:rPr>
          <m:t>=</m:t>
        </m:r>
        <m:r>
          <m:t>500</m:t>
        </m:r>
        <m:r>
          <m:t> </m:t>
        </m:r>
        <m:r>
          <m:rPr>
            <m:nor/>
            <m:sty m:val="p"/>
          </m:rPr>
          <m:t>kHz</m:t>
        </m:r>
      </m:oMath>
      <w:r>
        <w:rPr>
          <w:rFonts w:hint="eastAsia" w:eastAsia="黑体"/>
        </w:rPr>
        <w:t xml:space="preserve">：</w:t>
      </w:r>
      <m:oMath>
        <m:r>
          <m:rPr>
            <m:sty m:val="p"/>
          </m:rPr>
          <m:t>Δ</m:t>
        </m:r>
        <m:sSub>
          <m:e>
            <m:r>
              <m:t>I</m:t>
            </m:r>
          </m:e>
          <m:sub>
            <m:r>
              <m:t>L</m:t>
            </m:r>
          </m:sub>
        </m:sSub>
        <m:r>
          <m:rPr>
            <m:sty m:val="p"/>
          </m:rPr>
          <m:t>=</m:t>
        </m:r>
        <m:f>
          <m:fPr>
            <m:type m:val="bar"/>
          </m:fPr>
          <m:num>
            <m:r>
              <m:t>3.3</m:t>
            </m:r>
            <m:r>
              <m:rPr>
                <m:sty m:val="p"/>
              </m:rPr>
              <m:t>×</m:t>
            </m:r>
            <m:r>
              <m:rPr>
                <m:sty m:val="p"/>
              </m:rPr>
              <m:t>(</m:t>
            </m:r>
            <m:r>
              <m:t>1</m:t>
            </m:r>
            <m:r>
              <m:rPr>
                <m:sty m:val="p"/>
              </m:rPr>
              <m:t>−</m:t>
            </m:r>
            <m:r>
              <m:t>0.275</m:t>
            </m:r>
            <m:r>
              <m:rPr>
                <m:sty m:val="p"/>
              </m:rPr>
              <m:t>)</m:t>
            </m:r>
          </m:num>
          <m:den>
            <m:r>
              <m:t>10</m:t>
            </m:r>
            <m:r>
              <m:rPr>
                <m:sty m:val="p"/>
              </m:rPr>
              <m:t>×</m:t>
            </m:r>
            <m:sSup>
              <m:e>
                <m:r>
                  <m:t>10</m:t>
                </m:r>
              </m:e>
              <m:sup>
                <m:r>
                  <m:rPr>
                    <m:sty m:val="p"/>
                  </m:rPr>
                  <m:t>−</m:t>
                </m:r>
                <m:r>
                  <m:t>6</m:t>
                </m:r>
              </m:sup>
            </m:sSup>
            <m:r>
              <m:rPr>
                <m:sty m:val="p"/>
              </m:rPr>
              <m:t>×</m:t>
            </m:r>
            <m:r>
              <m:t>5</m:t>
            </m:r>
            <m:r>
              <m:rPr>
                <m:sty m:val="p"/>
              </m:rPr>
              <m:t>×</m:t>
            </m:r>
            <m:sSup>
              <m:e>
                <m:r>
                  <m:t>10</m:t>
                </m:r>
              </m:e>
              <m:sup>
                <m:r>
                  <m:t>5</m:t>
                </m:r>
              </m:sup>
            </m:sSup>
          </m:den>
        </m:f>
        <m:r>
          <m:rPr>
            <m:sty m:val="p"/>
          </m:rPr>
          <m:t>≈</m:t>
        </m:r>
        <m:r>
          <m:t>0.478</m:t>
        </m:r>
        <m:r>
          <m:t> </m:t>
        </m:r>
        <m:r>
          <m:rPr>
            <m:nor/>
            <m:sty m:val="p"/>
          </m:rPr>
          <m:t>A</m:t>
        </m:r>
      </m:oMath>
      <w:r>
        <w:rPr>
          <w:rFonts w:hint="eastAsia" w:eastAsia="黑体"/>
        </w:rPr>
        <w:t xml:space="preserve">，</w:t>
      </w:r>
      <m:oMath>
        <m:sSub>
          <m:e>
            <m:r>
              <m:t>I</m:t>
            </m:r>
          </m:e>
          <m:sub>
            <m:r>
              <m:t>p</m:t>
            </m:r>
            <m:r>
              <m:t>k</m:t>
            </m:r>
          </m:sub>
        </m:sSub>
        <m:r>
          <m:rPr>
            <m:sty m:val="p"/>
          </m:rPr>
          <m:t>=</m:t>
        </m:r>
        <m:r>
          <m:t>3</m:t>
        </m:r>
        <m:r>
          <m:rPr>
            <m:sty m:val="p"/>
          </m:rPr>
          <m:t>+</m:t>
        </m:r>
        <m:r>
          <m:t>0.48</m:t>
        </m:r>
        <m:r>
          <m:rPr>
            <m:sty m:val="p"/>
          </m:rPr>
          <m:t>/</m:t>
        </m:r>
        <m:r>
          <m:t>2</m:t>
        </m:r>
        <m:r>
          <m:rPr>
            <m:sty m:val="p"/>
          </m:rPr>
          <m:t>=</m:t>
        </m:r>
        <m:r>
          <m:t>3.24</m:t>
        </m:r>
        <m:r>
          <m:t> </m:t>
        </m:r>
        <m:r>
          <m:rPr>
            <m:nor/>
            <m:sty m:val="p"/>
          </m:rPr>
          <m:t>A</m:t>
        </m:r>
      </m:oMath>
      <w:r>
        <w:rPr>
          <w:rFonts w:eastAsia="黑体"/>
        </w:rPr>
        <w:t xml:space="preserve">。</w:t>
      </w:r>
    </w:p>
    <w:bookmarkEnd w:id="23"/>
    <w:bookmarkStart w:id="24" w:name="常见器件型号"/>
    <w:p>
      <w:pPr>
        <w:pStyle w:val="Heading2"/>
      </w:pPr>
      <w:r>
        <w:rPr>
          <w:rFonts w:hint="eastAsia" w:eastAsia="黑体"/>
        </w:rPr>
        <w:t xml:space="preserve">常见器件型号</w:t>
      </w:r>
    </w:p>
    <w:p>
      <w:pPr>
        <w:pStyle w:val="Compact"/>
        <w:numPr>
          <w:ilvl w:val="0"/>
          <w:numId w:val="1004"/>
        </w:numPr>
      </w:pPr>
      <w:r>
        <w:rPr>
          <w:rFonts w:hint="eastAsia" w:eastAsia="黑体"/>
        </w:rPr>
        <w:t xml:space="preserve">常用：按需选型</w:t>
      </w:r>
    </w:p>
    <w:p>
      <w:pPr>
        <w:pStyle w:val="Compact"/>
        <w:numPr>
          <w:ilvl w:val="0"/>
          <w:numId w:val="1004"/>
        </w:numPr>
      </w:pPr>
      <w:r>
        <w:rPr>
          <w:rFonts w:hint="eastAsia" w:eastAsia="黑体"/>
        </w:rPr>
        <w:t xml:space="preserve">电流模式</w:t>
      </w:r>
      <w:r>
        <w:rPr>
          <w:rFonts w:eastAsia="黑体"/>
        </w:rPr>
        <w:t xml:space="preserve"> Buck </w:t>
      </w:r>
      <w:r>
        <w:rPr>
          <w:rFonts w:hint="eastAsia" w:eastAsia="黑体"/>
        </w:rPr>
        <w:t xml:space="preserve">控制器：UC3843、LM5119、TPS5430（峰值电流模式）。</w:t>
      </w:r>
    </w:p>
    <w:bookmarkEnd w:id="24"/>
    <w:bookmarkStart w:id="25" w:name="注意事项"/>
    <w:p>
      <w:pPr>
        <w:pStyle w:val="Heading2"/>
      </w:pPr>
      <w:r>
        <w:rPr>
          <w:rFonts w:hint="eastAsia" w:eastAsia="黑体"/>
        </w:rPr>
        <w:t xml:space="preserve">注意事项</w:t>
      </w:r>
    </w:p>
    <w:p>
      <w:pPr>
        <w:pStyle w:val="Compact"/>
        <w:numPr>
          <w:ilvl w:val="0"/>
          <w:numId w:val="1005"/>
        </w:numPr>
      </w:pPr>
      <w:r>
        <w:rPr>
          <w:rFonts w:eastAsia="黑体"/>
        </w:rPr>
        <w:t xml:space="preserve">D &gt; 50% </w:t>
      </w:r>
      <w:r>
        <w:rPr>
          <w:rFonts w:hint="eastAsia" w:eastAsia="黑体"/>
        </w:rPr>
        <w:t xml:space="preserve">时必须加斜坡补偿，否则出现次谐波振荡与不稳定。</w:t>
      </w:r>
    </w:p>
    <w:p>
      <w:pPr>
        <w:pStyle w:val="Compact"/>
        <w:numPr>
          <w:ilvl w:val="0"/>
          <w:numId w:val="1005"/>
        </w:numPr>
      </w:pPr>
      <w:r>
        <w:rPr>
          <w:rFonts w:hint="eastAsia" w:eastAsia="黑体"/>
        </w:rPr>
        <w:t xml:space="preserve">电流采样走线需开尔文接法，减小寄生电阻与噪声影响。</w:t>
      </w:r>
    </w:p>
    <w:p>
      <w:pPr>
        <w:pStyle w:val="Compact"/>
        <w:numPr>
          <w:ilvl w:val="0"/>
          <w:numId w:val="1005"/>
        </w:numPr>
      </w:pPr>
      <w:r>
        <w:rPr>
          <w:rFonts w:hint="eastAsia" w:eastAsia="黑体"/>
        </w:rPr>
        <w:t xml:space="preserve">峰值电流模式对噪声敏感，采样点附近易误触发，需加前沿消隐。</w:t>
      </w:r>
    </w:p>
    <w:p>
      <w:pPr>
        <w:pStyle w:val="Compact"/>
        <w:numPr>
          <w:ilvl w:val="0"/>
          <w:numId w:val="1005"/>
        </w:numPr>
      </w:pPr>
      <w:r>
        <w:rPr>
          <w:rFonts w:hint="eastAsia" w:eastAsia="黑体"/>
        </w:rPr>
        <w:t xml:space="preserve">轻载断续模式（DCM）下内环行为变化，补偿设计需覆盖全工况。</w:t>
      </w:r>
    </w:p>
    <w:bookmarkEnd w:id="25"/>
    <w:bookmarkStart w:id="26" w:name="参考资料"/>
    <w:p>
      <w:pPr>
        <w:pStyle w:val="Heading2"/>
      </w:pPr>
      <w:r>
        <w:rPr>
          <w:rFonts w:hint="eastAsia" w:eastAsia="黑体"/>
        </w:rPr>
        <w:t xml:space="preserve">参考资料</w:t>
      </w:r>
    </w:p>
    <w:p>
      <w:pPr>
        <w:pStyle w:val="Compact"/>
        <w:numPr>
          <w:ilvl w:val="0"/>
          <w:numId w:val="1006"/>
        </w:numPr>
      </w:pPr>
      <w:r>
        <w:rPr>
          <w:rFonts w:eastAsia="黑体"/>
        </w:rPr>
        <w:t xml:space="preserve">TI UC3843 </w:t>
      </w:r>
      <w:r>
        <w:rPr>
          <w:rFonts w:hint="eastAsia" w:eastAsia="黑体"/>
        </w:rPr>
        <w:t xml:space="preserve">数据手册（峰值电流模式控制）。</w:t>
      </w:r>
    </w:p>
    <w:p>
      <w:pPr>
        <w:pStyle w:val="Compact"/>
        <w:numPr>
          <w:ilvl w:val="0"/>
          <w:numId w:val="1006"/>
        </w:numPr>
      </w:pPr>
      <w:r>
        <w:rPr>
          <w:rFonts w:hint="eastAsia" w:eastAsia="黑体"/>
        </w:rPr>
        <w:t xml:space="preserve">《开关电源设计》（Abraham</w:t>
      </w:r>
      <w:r>
        <w:rPr>
          <w:rFonts w:eastAsia="黑体"/>
        </w:rPr>
        <w:t xml:space="preserve"> I. </w:t>
      </w:r>
      <w:r>
        <w:rPr>
          <w:rFonts w:hint="eastAsia" w:eastAsia="黑体"/>
        </w:rPr>
        <w:t xml:space="preserve">Pressman）。</w:t>
      </w:r>
    </w:p>
    <w:p>
      <w:pPr>
        <w:pStyle w:val="Compact"/>
        <w:numPr>
          <w:ilvl w:val="0"/>
          <w:numId w:val="1006"/>
        </w:numPr>
      </w:pPr>
      <w:r>
        <w:rPr>
          <w:rFonts w:eastAsia="黑体"/>
        </w:rPr>
        <w:t xml:space="preserve">TI </w:t>
      </w:r>
      <w:r>
        <w:rPr>
          <w:rFonts w:hint="eastAsia" w:eastAsia="黑体"/>
        </w:rPr>
        <w:t xml:space="preserve">应用笔记</w:t>
      </w:r>
      <w:r>
        <w:rPr>
          <w:rFonts w:eastAsia="黑体"/>
        </w:rPr>
        <w:t xml:space="preserve"> </w:t>
      </w:r>
      <w:r>
        <w:rPr>
          <w:rFonts w:hint="eastAsia" w:eastAsia="黑体"/>
        </w:rPr>
        <w:t xml:space="preserve">SLVA057（Understanding</w:t>
      </w:r>
      <w:r>
        <w:rPr>
          <w:rFonts w:eastAsia="黑体"/>
        </w:rPr>
        <w:t xml:space="preserve"> Buck Power </w:t>
      </w:r>
      <w:r>
        <w:rPr>
          <w:rFonts w:hint="eastAsia" w:eastAsia="黑体"/>
        </w:rPr>
        <w:t xml:space="preserve">Stages）。</w:t>
      </w:r>
    </w:p>
    <w:bookmarkEnd w:id="26"/>
    <w:bookmarkEnd w:id="27"/>
    <w:p>
      <w:pPr>
        <w:spacing w:before="360"/>
        <w:jc w:val="center"/>
      </w:pPr>
      <w:r>
        <w:rPr>
          <w:rFonts w:ascii="Times New Roman" w:hAnsi="Times New Roman" w:eastAsia="黑体"/>
          <w:color w:val="555555"/>
          <w:sz w:val="21"/>
        </w:rPr>
        <w:t>材料收集者：杜文杰，WX手机：19519196569，QQ:3478827729</w:t>
      </w:r>
    </w:p>
    <w:sectPr w:rsidR="00FC693F" w:rsidRPr="0006063C" w:rsidSect="00034616">
      <w:headerReference r:id="rId9" w:type="default"/>
      <w:footerReference r:id="rId10" w:type="default"/>
      <w:pgSz w:h="16838" w:w="11906"/>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黑体"/>
        <w:sz w:val="18"/>
      </w:rPr>
      <w:t xml:space="preserve">第 </w:t>
    </w:r>
    <w:r>
      <w:rPr>
        <w:rFonts w:eastAsia="黑体"/>
        <w:sz w:val="18"/>
      </w:rPr>
      <w:fldChar w:fldCharType="begin"/>
      <w:instrText xml:space="preserve">PAGE</w:instrText>
      <w:fldChar w:fldCharType="end"/>
    </w:r>
    <w:r>
      <w:rPr>
        <w:rFonts w:eastAsia="黑体"/>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eastAsia="黑体"/>
        </w:rPr>
        <w:continuationSeparator/>
      </w:r>
    </w:p>
  </w:footnote>
  <w:footnote w:type="separator" w:id="-1">
    <w:p>
      <w:r>
        <w:rPr>
          <w:rFonts w:eastAsia="黑体"/>
        </w:rPr>
        <w:separator/>
      </w:r>
    </w:p>
  </w:footnote>
</w:footnotes>
</file>

<file path=word/header1.xml><?xml version="1.0" encoding="utf-8"?>
<w:hd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黑体"/>
        <w:sz w:val="18"/>
        <w:rFonts w:eastAsia="黑体"/>
        <w:rFonts w:eastAsia="黑体"/>
      </w:rPr>
      <w:t>电流模式控制Buck电路</w:t>
    </w:r>
  </w:p>
</w:hdr>
</file>

<file path=word/numbering.xml><?xml version="1.0" encoding="utf-8"?>
<w:numbering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eastAsia="黑体"/>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eastAsia="黑体"/>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eastAsia="黑体"/>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eastAsia="黑体"/>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eastAsia="黑体"/>
      </w:rPr>
    </w:lvl>
    <w:lvl w:ilvl="1">
      <w:numFmt w:val="bullet"/>
      <w:lvlText w:val="o"/>
      <w:lvlJc w:val="left"/>
      <w:pPr>
        <w:ind w:left="1440" w:hanging="360"/>
      </w:pPr>
      <w:rPr>
        <w:rFonts w:ascii="Courier New" w:hAnsi="Courier New" w:cs="Courier New" w:hint="default" w:eastAsia="黑体"/>
      </w:rPr>
    </w:lvl>
    <w:lvl w:ilvl="2">
      <w:numFmt w:val="bullet"/>
      <w:lvlText w:val=""/>
      <w:lvlJc w:val="left"/>
      <w:pPr>
        <w:ind w:left="2160" w:hanging="360"/>
      </w:pPr>
      <w:rPr>
        <w:rFonts w:ascii="Wingdings" w:hAnsi="Wingdings" w:cs="Wingdings" w:hint="default" w:eastAsia="黑体"/>
      </w:rPr>
    </w:lvl>
    <w:lvl w:ilvl="3">
      <w:numFmt w:val="bullet"/>
      <w:lvlText w:val=""/>
      <w:lvlJc w:val="left"/>
      <w:pPr>
        <w:ind w:left="2880" w:hanging="360"/>
      </w:pPr>
      <w:rPr>
        <w:rFonts w:ascii="Symbol" w:hAnsi="Symbol" w:cs="Symbol" w:hint="default" w:eastAsia="黑体"/>
      </w:rPr>
    </w:lvl>
    <w:lvl w:ilvl="4">
      <w:numFmt w:val="bullet"/>
      <w:lvlText w:val="o"/>
      <w:lvlJc w:val="left"/>
      <w:pPr>
        <w:ind w:left="3600" w:hanging="360"/>
      </w:pPr>
      <w:rPr>
        <w:rFonts w:ascii="Courier New" w:hAnsi="Courier New" w:cs="Courier New" w:hint="default" w:eastAsia="黑体"/>
      </w:rPr>
    </w:lvl>
    <w:lvl w:ilvl="5">
      <w:numFmt w:val="bullet"/>
      <w:lvlText w:val=""/>
      <w:lvlJc w:val="left"/>
      <w:pPr>
        <w:ind w:left="4320" w:hanging="360"/>
      </w:pPr>
      <w:rPr>
        <w:rFonts w:ascii="Wingdings" w:hAnsi="Wingdings" w:cs="Wingdings" w:hint="default" w:eastAsia="黑体"/>
      </w:rPr>
    </w:lvl>
    <w:lvl w:ilvl="6">
      <w:numFmt w:val="bullet"/>
      <w:lvlText w:val=""/>
      <w:lvlJc w:val="left"/>
      <w:pPr>
        <w:ind w:left="5040" w:hanging="360"/>
      </w:pPr>
      <w:rPr>
        <w:rFonts w:ascii="Symbol" w:hAnsi="Symbol" w:cs="Symbol" w:hint="default" w:eastAsia="黑体"/>
      </w:rPr>
    </w:lvl>
    <w:lvl w:ilvl="7">
      <w:numFmt w:val="bullet"/>
      <w:lvlText w:val="o"/>
      <w:lvlJc w:val="left"/>
      <w:pPr>
        <w:ind w:left="5760" w:hanging="360"/>
      </w:pPr>
      <w:rPr>
        <w:rFonts w:ascii="Courier New" w:hAnsi="Courier New" w:cs="Courier New" w:hint="default" w:eastAsia="黑体"/>
      </w:rPr>
    </w:lvl>
    <w:lvl w:ilvl="8">
      <w:numFmt w:val="bullet"/>
      <w:lvlText w:val=""/>
      <w:lvlJc w:val="left"/>
      <w:pPr>
        <w:ind w:left="6480" w:hanging="360"/>
      </w:pPr>
      <w:rPr>
        <w:rFonts w:ascii="Wingdings" w:hAnsi="Wingdings" w:cs="Wingdings" w:hint="default" w:eastAsia="黑体"/>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mc:Ignorable="w14">
  <w:docDefaults>
    <w:rPrDefault>
      <w:rPr>
        <w:rFonts w:asciiTheme="minorHAnsi" w:cstheme="minorBidi" w:hAnsiTheme="minorHAnsi" w:eastAsia="黑体"/>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00" w:lineRule="auto"/>
    </w:pPr>
    <w:rPr>
      <w:rFonts w:ascii="Times New Roman" w:eastAsia="黑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Times New Roman" w:asciiTheme="majorHAnsi" w:cstheme="majorBidi" w:eastAsia="黑体" w:hAnsi="Times New Roman"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黑体" w:hAnsi="Times New Roman" w:hAnsiTheme="majorHAnsi"/>
      <w:b/>
      <w:bCs/>
      <w:color w:val="2E4E7E"/>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asciiTheme="majorHAnsi" w:cstheme="majorBidi" w:eastAsia="黑体" w:hAnsi="Times New Roman" w:hAnsiTheme="majorHAnsi"/>
      <w:b/>
      <w:bCs/>
      <w:color w:val="2E4E7E"/>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imes New Roman" w:asciiTheme="majorHAnsi" w:cstheme="majorBidi" w:eastAsia="黑体"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60" w:before="120"/>
      <w:outlineLvl w:val="4"/>
    </w:pPr>
    <w:rPr>
      <w:rFonts w:ascii="Times New Roman" w:asciiTheme="majorHAnsi" w:cstheme="majorBidi" w:eastAsia="黑体" w:hAnsi="Times New Roman" w:hAnsiTheme="majorHAnsi"/>
      <w:b/>
      <w:color w:val="333333"/>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hAnsiTheme="majorHAnsi" w:eastAsia="黑体"/>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hAnsiTheme="majorHAnsi" w:eastAsia="黑体"/>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hAnsiTheme="majorHAnsi" w:eastAsia="黑体"/>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hAnsiTheme="majorHAnsi" w:eastAsia="黑体"/>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hAnsiTheme="majorHAnsi" w:eastAsia="黑体"/>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hAnsiTheme="majorHAnsi" w:eastAsia="黑体"/>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hAnsiTheme="majorHAnsi" w:eastAsia="黑体"/>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Times New Roman" w:asciiTheme="majorHAnsi" w:cstheme="majorBidi" w:eastAsia="黑体" w:hAnsi="Times New Roman"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hAnsiTheme="majorHAnsi" w:eastAsia="黑体"/>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hAnsiTheme="majorHAnsi" w:eastAsia="黑体"/>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hAnsiTheme="majorHAnsi" w:eastAsia="黑体"/>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rFonts w:eastAsia="黑体"/>
      <w:sz w:val="16"/>
      <w:szCs w:val="16"/>
    </w:rPr>
  </w:style>
  <w:style w:customStyle="1" w:styleId="BodyText3Char" w:type="character">
    <w:name w:val="Body Text 3 Char"/>
    <w:basedOn w:val="DefaultParagraphFont"/>
    <w:link w:val="BodyText3"/>
    <w:uiPriority w:val="99"/>
    <w:rsid w:val="00AA1D8D"/>
    <w:rPr>
      <w:rFonts w:eastAsia="黑体"/>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eastAsia="黑体"/>
      <w:sz w:val="20"/>
      <w:szCs w:val="20"/>
    </w:rPr>
  </w:style>
  <w:style w:customStyle="1" w:styleId="MacroTextChar" w:type="character">
    <w:name w:val="Macro Text Char"/>
    <w:basedOn w:val="DefaultParagraphFont"/>
    <w:link w:val="MacroText"/>
    <w:uiPriority w:val="99"/>
    <w:rsid w:val="0029639D"/>
    <w:rPr>
      <w:rFonts w:ascii="Courier" w:hAnsi="Courier" w:eastAsia="黑体"/>
      <w:sz w:val="20"/>
      <w:szCs w:val="20"/>
    </w:rPr>
  </w:style>
  <w:style w:styleId="Quote" w:type="paragraph">
    <w:name w:val="Quote"/>
    <w:basedOn w:val="Normal"/>
    <w:next w:val="Normal"/>
    <w:link w:val="QuoteChar"/>
    <w:uiPriority w:val="29"/>
    <w:qFormat/>
    <w:rsid w:val="00FC693F"/>
    <w:pPr>
      <w:pBdr>
        <w:left w:color="2E4E7E" w:space="6" w:sz="12" w:val="single"/>
      </w:pBdr>
      <w:shd w:fill="F2F7FD" w:val="clear"/>
      <w:spacing w:after="40" w:before="40"/>
      <w:ind w:left="170" w:right="170"/>
    </w:pPr>
    <w:rPr>
      <w:rFonts w:ascii="Times New Roman" w:eastAsia="黑体" w:hAnsi="Times New Roman"/>
      <w:i/>
      <w:iCs/>
      <w:color w:themeColor="text1" w:val="000000"/>
      <w:sz w:val="21"/>
    </w:rPr>
  </w:style>
  <w:style w:customStyle="1" w:styleId="QuoteChar" w:type="character">
    <w:name w:val="Quote Char"/>
    <w:basedOn w:val="DefaultParagraphFont"/>
    <w:link w:val="Quote"/>
    <w:uiPriority w:val="29"/>
    <w:rsid w:val="00FC693F"/>
    <w:rPr>
      <w:rFonts w:eastAsia="黑体"/>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hAnsiTheme="majorHAnsi" w:eastAsia="黑体"/>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hAnsiTheme="majorHAnsi" w:eastAsia="黑体"/>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hAnsiTheme="majorHAnsi" w:eastAsia="黑体"/>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hAnsiTheme="majorHAnsi" w:eastAsia="黑体"/>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hAnsiTheme="majorHAnsi" w:eastAsia="黑体"/>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hAnsiTheme="majorHAnsi" w:eastAsia="黑体"/>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eastAsia="黑体"/>
      <w:b/>
      <w:bCs/>
      <w:color w:themeColor="accent1" w:val="4F81BD"/>
      <w:sz w:val="18"/>
      <w:szCs w:val="18"/>
    </w:rPr>
  </w:style>
  <w:style w:styleId="Strong" w:type="character">
    <w:name w:val="Strong"/>
    <w:basedOn w:val="DefaultParagraphFont"/>
    <w:uiPriority w:val="22"/>
    <w:qFormat/>
    <w:rsid w:val="00FC693F"/>
    <w:rPr>
      <w:rFonts w:eastAsia="黑体"/>
      <w:b/>
      <w:bCs/>
    </w:rPr>
  </w:style>
  <w:style w:styleId="Emphasis" w:type="character">
    <w:name w:val="Emphasis"/>
    <w:basedOn w:val="DefaultParagraphFont"/>
    <w:uiPriority w:val="20"/>
    <w:qFormat/>
    <w:rsid w:val="00FC693F"/>
    <w:rPr>
      <w:rFonts w:eastAsia="黑体"/>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eastAsia="黑体"/>
      <w:b/>
      <w:bCs/>
      <w:i/>
      <w:iCs/>
      <w:color w:themeColor="accent1" w:val="4F81BD"/>
    </w:rPr>
  </w:style>
  <w:style w:customStyle="1" w:styleId="IntenseQuoteChar" w:type="character">
    <w:name w:val="Intense Quote Char"/>
    <w:basedOn w:val="DefaultParagraphFont"/>
    <w:link w:val="IntenseQuote"/>
    <w:uiPriority w:val="30"/>
    <w:rsid w:val="00FC693F"/>
    <w:rPr>
      <w:rFonts w:eastAsia="黑体"/>
      <w:b/>
      <w:bCs/>
      <w:i/>
      <w:iCs/>
      <w:color w:themeColor="accent1" w:val="4F81BD"/>
    </w:rPr>
  </w:style>
  <w:style w:styleId="SubtleEmphasis" w:type="character">
    <w:name w:val="Subtle Emphasis"/>
    <w:basedOn w:val="DefaultParagraphFont"/>
    <w:uiPriority w:val="19"/>
    <w:qFormat/>
    <w:rsid w:val="00FC693F"/>
    <w:rPr>
      <w:rFonts w:eastAsia="黑体"/>
      <w:i/>
      <w:iCs/>
      <w:color w:themeColor="text1" w:themeTint="7F" w:val="808080"/>
    </w:rPr>
  </w:style>
  <w:style w:styleId="IntenseEmphasis" w:type="character">
    <w:name w:val="Intense Emphasis"/>
    <w:basedOn w:val="DefaultParagraphFont"/>
    <w:uiPriority w:val="21"/>
    <w:qFormat/>
    <w:rsid w:val="00FC693F"/>
    <w:rPr>
      <w:rFonts w:eastAsia="黑体"/>
      <w:b/>
      <w:bCs/>
      <w:i/>
      <w:iCs/>
      <w:color w:themeColor="accent1" w:val="4F81BD"/>
    </w:rPr>
  </w:style>
  <w:style w:styleId="SubtleReference" w:type="character">
    <w:name w:val="Subtle Reference"/>
    <w:basedOn w:val="DefaultParagraphFont"/>
    <w:uiPriority w:val="31"/>
    <w:qFormat/>
    <w:rsid w:val="00FC693F"/>
    <w:rPr>
      <w:rFonts w:eastAsia="黑体"/>
      <w:smallCaps/>
      <w:color w:themeColor="accent2" w:val="C0504D"/>
      <w:u w:val="single"/>
    </w:rPr>
  </w:style>
  <w:style w:styleId="IntenseReference" w:type="character">
    <w:name w:val="Intense Reference"/>
    <w:basedOn w:val="DefaultParagraphFont"/>
    <w:uiPriority w:val="32"/>
    <w:qFormat/>
    <w:rsid w:val="00FC693F"/>
    <w:rPr>
      <w:rFonts w:eastAsia="黑体"/>
      <w:b/>
      <w:bCs/>
      <w:smallCaps/>
      <w:color w:themeColor="accent2" w:val="C0504D"/>
      <w:spacing w:val="5"/>
      <w:u w:val="single"/>
    </w:rPr>
  </w:style>
  <w:style w:styleId="BookTitle" w:type="character">
    <w:name w:val="Book Title"/>
    <w:basedOn w:val="DefaultParagraphFont"/>
    <w:uiPriority w:val="33"/>
    <w:qFormat/>
    <w:rsid w:val="00FC693F"/>
    <w:rPr>
      <w:rFonts w:eastAsia="黑体"/>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rFonts w:eastAsia="黑体"/>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rFonts w:eastAsia="黑体"/>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eastAsia="黑体"/>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rFonts w:eastAsia="黑体"/>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rFonts w:eastAsia="黑体"/>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rFonts w:eastAsia="黑体"/>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rFonts w:eastAsia="黑体"/>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rFonts w:eastAsia="黑体"/>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rFonts w:eastAsia="黑体"/>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rFonts w:eastAsia="黑体"/>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rFonts w:eastAsia="黑体"/>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rFonts w:eastAsia="黑体"/>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rFonts w:eastAsia="黑体"/>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rFonts w:eastAsia="黑体"/>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000000" w:themeFill="text1" w:val="clear"/>
      </w:tcPr>
    </w:tblStylePr>
    <w:tblStylePr w:type="lastRow">
      <w:pPr>
        <w:spacing w:after="0" w:before="0" w:line="240" w:lineRule="auto"/>
      </w:pPr>
      <w:rPr>
        <w:rFonts w:eastAsia="黑体"/>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rFonts w:eastAsia="黑体"/>
        <w:b/>
        <w:bCs/>
      </w:rPr>
    </w:tblStylePr>
    <w:tblStylePr w:type="lastCol">
      <w:rPr>
        <w:rFonts w:eastAsia="黑体"/>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4F81BD" w:themeFill="accent1" w:val="clear"/>
      </w:tcPr>
    </w:tblStylePr>
    <w:tblStylePr w:type="lastRow">
      <w:pPr>
        <w:spacing w:after="0" w:before="0" w:line="240" w:lineRule="auto"/>
      </w:pPr>
      <w:rPr>
        <w:rFonts w:eastAsia="黑体"/>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rFonts w:eastAsia="黑体"/>
        <w:b/>
        <w:bCs/>
      </w:rPr>
    </w:tblStylePr>
    <w:tblStylePr w:type="lastCol">
      <w:rPr>
        <w:rFonts w:eastAsia="黑体"/>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C0504D" w:themeFill="accent2" w:val="clear"/>
      </w:tcPr>
    </w:tblStylePr>
    <w:tblStylePr w:type="lastRow">
      <w:pPr>
        <w:spacing w:after="0" w:before="0" w:line="240" w:lineRule="auto"/>
      </w:pPr>
      <w:rPr>
        <w:rFonts w:eastAsia="黑体"/>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rFonts w:eastAsia="黑体"/>
        <w:b/>
        <w:bCs/>
      </w:rPr>
    </w:tblStylePr>
    <w:tblStylePr w:type="lastCol">
      <w:rPr>
        <w:rFonts w:eastAsia="黑体"/>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9BBB59" w:themeFill="accent3" w:val="clear"/>
      </w:tcPr>
    </w:tblStylePr>
    <w:tblStylePr w:type="lastRow">
      <w:pPr>
        <w:spacing w:after="0" w:before="0" w:line="240" w:lineRule="auto"/>
      </w:pPr>
      <w:rPr>
        <w:rFonts w:eastAsia="黑体"/>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rFonts w:eastAsia="黑体"/>
        <w:b/>
        <w:bCs/>
      </w:rPr>
    </w:tblStylePr>
    <w:tblStylePr w:type="lastCol">
      <w:rPr>
        <w:rFonts w:eastAsia="黑体"/>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8064A2" w:themeFill="accent4" w:val="clear"/>
      </w:tcPr>
    </w:tblStylePr>
    <w:tblStylePr w:type="lastRow">
      <w:pPr>
        <w:spacing w:after="0" w:before="0" w:line="240" w:lineRule="auto"/>
      </w:pPr>
      <w:rPr>
        <w:rFonts w:eastAsia="黑体"/>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rFonts w:eastAsia="黑体"/>
        <w:b/>
        <w:bCs/>
      </w:rPr>
    </w:tblStylePr>
    <w:tblStylePr w:type="lastCol">
      <w:rPr>
        <w:rFonts w:eastAsia="黑体"/>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4BACC6" w:themeFill="accent5" w:val="clear"/>
      </w:tcPr>
    </w:tblStylePr>
    <w:tblStylePr w:type="lastRow">
      <w:pPr>
        <w:spacing w:after="0" w:before="0" w:line="240" w:lineRule="auto"/>
      </w:pPr>
      <w:rPr>
        <w:rFonts w:eastAsia="黑体"/>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rFonts w:eastAsia="黑体"/>
        <w:b/>
        <w:bCs/>
      </w:rPr>
    </w:tblStylePr>
    <w:tblStylePr w:type="lastCol">
      <w:rPr>
        <w:rFonts w:eastAsia="黑体"/>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F79646" w:themeFill="accent6" w:val="clear"/>
      </w:tcPr>
    </w:tblStylePr>
    <w:tblStylePr w:type="lastRow">
      <w:pPr>
        <w:spacing w:after="0" w:before="0" w:line="240" w:lineRule="auto"/>
      </w:pPr>
      <w:rPr>
        <w:rFonts w:eastAsia="黑体"/>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rFonts w:eastAsia="黑体"/>
        <w:b/>
        <w:bCs/>
      </w:rPr>
    </w:tblStylePr>
    <w:tblStylePr w:type="lastCol">
      <w:rPr>
        <w:rFonts w:eastAsia="黑体"/>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hAnsiTheme="majorHAnsi" w:eastAsia="黑体"/>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hAnsiTheme="majorHAnsi" w:eastAsia="黑体"/>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hAnsiTheme="majorHAnsi" w:eastAsia="黑体"/>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hAnsiTheme="majorHAnsi" w:eastAsia="黑体"/>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hAnsiTheme="majorHAnsi" w:eastAsia="黑体"/>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hAnsiTheme="majorHAnsi" w:eastAsia="黑体"/>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hAnsiTheme="majorHAnsi" w:eastAsia="黑体"/>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rFonts w:eastAsia="黑体"/>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rFonts w:eastAsia="黑体"/>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rFonts w:eastAsia="黑体"/>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rFonts w:eastAsia="黑体"/>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rFonts w:eastAsia="黑体"/>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rFonts w:eastAsia="黑体"/>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rFonts w:eastAsia="黑体"/>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rFonts w:eastAsia="黑体"/>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rFonts w:eastAsia="黑体"/>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rFonts w:eastAsia="黑体"/>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rFonts w:eastAsia="黑体"/>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rFonts w:eastAsia="黑体"/>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rFonts w:eastAsia="黑体"/>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rFonts w:eastAsia="黑体"/>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000000" w:space="0" w:sz="8" w:themeColor="text1" w:val="single"/>
        </w:tcBorders>
      </w:tcPr>
    </w:tblStylePr>
    <w:tblStylePr w:type="lastRow">
      <w:rPr>
        <w:rFonts w:eastAsia="黑体"/>
        <w:b/>
        <w:bCs/>
        <w:color w:themeColor="text2" w:val="1F497D"/>
      </w:rPr>
      <w:tblPr/>
      <w:tcPr>
        <w:tcBorders>
          <w:top w:color="000000" w:space="0" w:sz="8" w:themeColor="text1" w:val="single"/>
          <w:bottom w:color="000000" w:space="0" w:sz="8" w:themeColor="text1" w:val="single"/>
        </w:tcBorders>
      </w:tcPr>
    </w:tblStylePr>
    <w:tblStylePr w:type="firstCol">
      <w:rPr>
        <w:rFonts w:eastAsia="黑体"/>
        <w:b/>
        <w:bCs/>
      </w:rPr>
    </w:tblStylePr>
    <w:tblStylePr w:type="lastCol">
      <w:rPr>
        <w:rFonts w:eastAsia="黑体"/>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4F81BD" w:space="0" w:sz="8" w:themeColor="accent1" w:val="single"/>
        </w:tcBorders>
      </w:tcPr>
    </w:tblStylePr>
    <w:tblStylePr w:type="lastRow">
      <w:rPr>
        <w:rFonts w:eastAsia="黑体"/>
        <w:b/>
        <w:bCs/>
        <w:color w:themeColor="text2" w:val="1F497D"/>
      </w:rPr>
      <w:tblPr/>
      <w:tcPr>
        <w:tcBorders>
          <w:top w:color="4F81BD" w:space="0" w:sz="8" w:themeColor="accent1" w:val="single"/>
          <w:bottom w:color="4F81BD" w:space="0" w:sz="8" w:themeColor="accent1" w:val="single"/>
        </w:tcBorders>
      </w:tcPr>
    </w:tblStylePr>
    <w:tblStylePr w:type="firstCol">
      <w:rPr>
        <w:rFonts w:eastAsia="黑体"/>
        <w:b/>
        <w:bCs/>
      </w:rPr>
    </w:tblStylePr>
    <w:tblStylePr w:type="lastCol">
      <w:rPr>
        <w:rFonts w:eastAsia="黑体"/>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C0504D" w:space="0" w:sz="8" w:themeColor="accent2" w:val="single"/>
        </w:tcBorders>
      </w:tcPr>
    </w:tblStylePr>
    <w:tblStylePr w:type="lastRow">
      <w:rPr>
        <w:rFonts w:eastAsia="黑体"/>
        <w:b/>
        <w:bCs/>
        <w:color w:themeColor="text2" w:val="1F497D"/>
      </w:rPr>
      <w:tblPr/>
      <w:tcPr>
        <w:tcBorders>
          <w:top w:color="C0504D" w:space="0" w:sz="8" w:themeColor="accent2" w:val="single"/>
          <w:bottom w:color="C0504D" w:space="0" w:sz="8" w:themeColor="accent2" w:val="single"/>
        </w:tcBorders>
      </w:tcPr>
    </w:tblStylePr>
    <w:tblStylePr w:type="firstCol">
      <w:rPr>
        <w:rFonts w:eastAsia="黑体"/>
        <w:b/>
        <w:bCs/>
      </w:rPr>
    </w:tblStylePr>
    <w:tblStylePr w:type="lastCol">
      <w:rPr>
        <w:rFonts w:eastAsia="黑体"/>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9BBB59" w:space="0" w:sz="8" w:themeColor="accent3" w:val="single"/>
        </w:tcBorders>
      </w:tcPr>
    </w:tblStylePr>
    <w:tblStylePr w:type="lastRow">
      <w:rPr>
        <w:rFonts w:eastAsia="黑体"/>
        <w:b/>
        <w:bCs/>
        <w:color w:themeColor="text2" w:val="1F497D"/>
      </w:rPr>
      <w:tblPr/>
      <w:tcPr>
        <w:tcBorders>
          <w:top w:color="9BBB59" w:space="0" w:sz="8" w:themeColor="accent3" w:val="single"/>
          <w:bottom w:color="9BBB59" w:space="0" w:sz="8" w:themeColor="accent3" w:val="single"/>
        </w:tcBorders>
      </w:tcPr>
    </w:tblStylePr>
    <w:tblStylePr w:type="firstCol">
      <w:rPr>
        <w:rFonts w:eastAsia="黑体"/>
        <w:b/>
        <w:bCs/>
      </w:rPr>
    </w:tblStylePr>
    <w:tblStylePr w:type="lastCol">
      <w:rPr>
        <w:rFonts w:eastAsia="黑体"/>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8064A2" w:space="0" w:sz="8" w:themeColor="accent4" w:val="single"/>
        </w:tcBorders>
      </w:tcPr>
    </w:tblStylePr>
    <w:tblStylePr w:type="lastRow">
      <w:rPr>
        <w:rFonts w:eastAsia="黑体"/>
        <w:b/>
        <w:bCs/>
        <w:color w:themeColor="text2" w:val="1F497D"/>
      </w:rPr>
      <w:tblPr/>
      <w:tcPr>
        <w:tcBorders>
          <w:top w:color="8064A2" w:space="0" w:sz="8" w:themeColor="accent4" w:val="single"/>
          <w:bottom w:color="8064A2" w:space="0" w:sz="8" w:themeColor="accent4" w:val="single"/>
        </w:tcBorders>
      </w:tcPr>
    </w:tblStylePr>
    <w:tblStylePr w:type="firstCol">
      <w:rPr>
        <w:rFonts w:eastAsia="黑体"/>
        <w:b/>
        <w:bCs/>
      </w:rPr>
    </w:tblStylePr>
    <w:tblStylePr w:type="lastCol">
      <w:rPr>
        <w:rFonts w:eastAsia="黑体"/>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4BACC6" w:space="0" w:sz="8" w:themeColor="accent5" w:val="single"/>
        </w:tcBorders>
      </w:tcPr>
    </w:tblStylePr>
    <w:tblStylePr w:type="lastRow">
      <w:rPr>
        <w:rFonts w:eastAsia="黑体"/>
        <w:b/>
        <w:bCs/>
        <w:color w:themeColor="text2" w:val="1F497D"/>
      </w:rPr>
      <w:tblPr/>
      <w:tcPr>
        <w:tcBorders>
          <w:top w:color="4BACC6" w:space="0" w:sz="8" w:themeColor="accent5" w:val="single"/>
          <w:bottom w:color="4BACC6" w:space="0" w:sz="8" w:themeColor="accent5" w:val="single"/>
        </w:tcBorders>
      </w:tcPr>
    </w:tblStylePr>
    <w:tblStylePr w:type="firstCol">
      <w:rPr>
        <w:rFonts w:eastAsia="黑体"/>
        <w:b/>
        <w:bCs/>
      </w:rPr>
    </w:tblStylePr>
    <w:tblStylePr w:type="lastCol">
      <w:rPr>
        <w:rFonts w:eastAsia="黑体"/>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F79646" w:space="0" w:sz="8" w:themeColor="accent6" w:val="single"/>
        </w:tcBorders>
      </w:tcPr>
    </w:tblStylePr>
    <w:tblStylePr w:type="lastRow">
      <w:rPr>
        <w:rFonts w:eastAsia="黑体"/>
        <w:b/>
        <w:bCs/>
        <w:color w:themeColor="text2" w:val="1F497D"/>
      </w:rPr>
      <w:tblPr/>
      <w:tcPr>
        <w:tcBorders>
          <w:top w:color="F79646" w:space="0" w:sz="8" w:themeColor="accent6" w:val="single"/>
          <w:bottom w:color="F79646" w:space="0" w:sz="8" w:themeColor="accent6" w:val="single"/>
        </w:tcBorders>
      </w:tcPr>
    </w:tblStylePr>
    <w:tblStylePr w:type="firstCol">
      <w:rPr>
        <w:rFonts w:eastAsia="黑体"/>
        <w:b/>
        <w:bCs/>
      </w:rPr>
    </w:tblStylePr>
    <w:tblStylePr w:type="lastCol">
      <w:rPr>
        <w:rFonts w:eastAsia="黑体"/>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rPr>
    </w:tblStylePr>
    <w:tblStylePr w:type="lastRow">
      <w:rPr>
        <w:rFonts w:eastAsia="黑体"/>
        <w:b/>
        <w:bCs/>
      </w:rPr>
      <w:tblPr/>
      <w:tcPr>
        <w:tcBorders>
          <w:top w:color="404040" w:space="0" w:sz="18" w:themeColor="text1" w:themeTint="BF" w:val="single"/>
        </w:tcBorders>
      </w:tcPr>
    </w:tblStylePr>
    <w:tblStylePr w:type="firstCol">
      <w:rPr>
        <w:rFonts w:eastAsia="黑体"/>
        <w:b/>
        <w:bCs/>
      </w:rPr>
    </w:tblStylePr>
    <w:tblStylePr w:type="lastCol">
      <w:rPr>
        <w:rFonts w:eastAsia="黑体"/>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rPr>
    </w:tblStylePr>
    <w:tblStylePr w:type="lastRow">
      <w:rPr>
        <w:rFonts w:eastAsia="黑体"/>
        <w:b/>
        <w:bCs/>
      </w:rPr>
      <w:tblPr/>
      <w:tcPr>
        <w:tcBorders>
          <w:top w:color="7BA0CD" w:space="0" w:sz="18" w:themeColor="accent1" w:themeTint="BF" w:val="single"/>
        </w:tcBorders>
      </w:tcPr>
    </w:tblStylePr>
    <w:tblStylePr w:type="firstCol">
      <w:rPr>
        <w:rFonts w:eastAsia="黑体"/>
        <w:b/>
        <w:bCs/>
      </w:rPr>
    </w:tblStylePr>
    <w:tblStylePr w:type="lastCol">
      <w:rPr>
        <w:rFonts w:eastAsia="黑体"/>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rPr>
    </w:tblStylePr>
    <w:tblStylePr w:type="lastRow">
      <w:rPr>
        <w:rFonts w:eastAsia="黑体"/>
        <w:b/>
        <w:bCs/>
      </w:rPr>
      <w:tblPr/>
      <w:tcPr>
        <w:tcBorders>
          <w:top w:color="CF7B79" w:space="0" w:sz="18" w:themeColor="accent2" w:themeTint="BF" w:val="single"/>
        </w:tcBorders>
      </w:tcPr>
    </w:tblStylePr>
    <w:tblStylePr w:type="firstCol">
      <w:rPr>
        <w:rFonts w:eastAsia="黑体"/>
        <w:b/>
        <w:bCs/>
      </w:rPr>
    </w:tblStylePr>
    <w:tblStylePr w:type="lastCol">
      <w:rPr>
        <w:rFonts w:eastAsia="黑体"/>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rPr>
    </w:tblStylePr>
    <w:tblStylePr w:type="lastRow">
      <w:rPr>
        <w:rFonts w:eastAsia="黑体"/>
        <w:b/>
        <w:bCs/>
      </w:rPr>
      <w:tblPr/>
      <w:tcPr>
        <w:tcBorders>
          <w:top w:color="B3CC82" w:space="0" w:sz="18" w:themeColor="accent3" w:themeTint="BF" w:val="single"/>
        </w:tcBorders>
      </w:tcPr>
    </w:tblStylePr>
    <w:tblStylePr w:type="firstCol">
      <w:rPr>
        <w:rFonts w:eastAsia="黑体"/>
        <w:b/>
        <w:bCs/>
      </w:rPr>
    </w:tblStylePr>
    <w:tblStylePr w:type="lastCol">
      <w:rPr>
        <w:rFonts w:eastAsia="黑体"/>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rPr>
    </w:tblStylePr>
    <w:tblStylePr w:type="lastRow">
      <w:rPr>
        <w:rFonts w:eastAsia="黑体"/>
        <w:b/>
        <w:bCs/>
      </w:rPr>
      <w:tblPr/>
      <w:tcPr>
        <w:tcBorders>
          <w:top w:color="9F8AB9" w:space="0" w:sz="18" w:themeColor="accent4" w:themeTint="BF" w:val="single"/>
        </w:tcBorders>
      </w:tcPr>
    </w:tblStylePr>
    <w:tblStylePr w:type="firstCol">
      <w:rPr>
        <w:rFonts w:eastAsia="黑体"/>
        <w:b/>
        <w:bCs/>
      </w:rPr>
    </w:tblStylePr>
    <w:tblStylePr w:type="lastCol">
      <w:rPr>
        <w:rFonts w:eastAsia="黑体"/>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rPr>
    </w:tblStylePr>
    <w:tblStylePr w:type="lastRow">
      <w:rPr>
        <w:rFonts w:eastAsia="黑体"/>
        <w:b/>
        <w:bCs/>
      </w:rPr>
      <w:tblPr/>
      <w:tcPr>
        <w:tcBorders>
          <w:top w:color="78C0D4" w:space="0" w:sz="18" w:themeColor="accent5" w:themeTint="BF" w:val="single"/>
        </w:tcBorders>
      </w:tcPr>
    </w:tblStylePr>
    <w:tblStylePr w:type="firstCol">
      <w:rPr>
        <w:rFonts w:eastAsia="黑体"/>
        <w:b/>
        <w:bCs/>
      </w:rPr>
    </w:tblStylePr>
    <w:tblStylePr w:type="lastCol">
      <w:rPr>
        <w:rFonts w:eastAsia="黑体"/>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rPr>
    </w:tblStylePr>
    <w:tblStylePr w:type="lastRow">
      <w:rPr>
        <w:rFonts w:eastAsia="黑体"/>
        <w:b/>
        <w:bCs/>
      </w:rPr>
      <w:tblPr/>
      <w:tcPr>
        <w:tcBorders>
          <w:top w:color="F9B074" w:space="0" w:sz="18" w:themeColor="accent6" w:themeTint="BF" w:val="single"/>
        </w:tcBorders>
      </w:tcPr>
    </w:tblStylePr>
    <w:tblStylePr w:type="firstCol">
      <w:rPr>
        <w:rFonts w:eastAsia="黑体"/>
        <w:b/>
        <w:bCs/>
      </w:rPr>
    </w:tblStylePr>
    <w:tblStylePr w:type="lastCol">
      <w:rPr>
        <w:rFonts w:eastAsia="黑体"/>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color w:themeColor="text1" w:val="000000"/>
      </w:rPr>
      <w:tblPr/>
      <w:tcPr>
        <w:shd w:color="auto" w:fill="E6E6E6" w:themeFill="text1"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color w:themeColor="text1" w:val="000000"/>
      </w:rPr>
      <w:tblPr/>
      <w:tcPr>
        <w:shd w:color="auto" w:fill="EDF2F8" w:themeFill="accent1"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color w:themeColor="text1" w:val="000000"/>
      </w:rPr>
      <w:tblPr/>
      <w:tcPr>
        <w:shd w:color="auto" w:fill="F8EDED" w:themeFill="accent2"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color w:themeColor="text1" w:val="000000"/>
      </w:rPr>
      <w:tblPr/>
      <w:tcPr>
        <w:shd w:color="auto" w:fill="F5F8EE" w:themeFill="accent3"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color w:themeColor="text1" w:val="000000"/>
      </w:rPr>
      <w:tblPr/>
      <w:tcPr>
        <w:shd w:color="auto" w:fill="F2EFF6" w:themeFill="accent4"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color w:themeColor="text1" w:val="000000"/>
      </w:rPr>
      <w:tblPr/>
      <w:tcPr>
        <w:shd w:color="auto" w:fill="EDF6F9" w:themeFill="accent5"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color w:themeColor="text1" w:val="000000"/>
      </w:rPr>
      <w:tblPr/>
      <w:tcPr>
        <w:shd w:color="auto" w:fill="FEF4EC" w:themeFill="accent6"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000000" w:themeFill="text1" w:themeFillShade="99" w:val="clear"/>
      </w:tcPr>
    </w:tblStylePr>
    <w:tblStylePr w:type="firstCol">
      <w:rPr>
        <w:rFonts w:eastAsia="黑体"/>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1" w:type="table">
    <w:name w:val="Colorful Shading Accent 1"/>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2C4C74" w:themeFill="accent1" w:themeFillShade="99" w:val="clear"/>
      </w:tcPr>
    </w:tblStylePr>
    <w:tblStylePr w:type="firstCol">
      <w:rPr>
        <w:rFonts w:eastAsia="黑体"/>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2" w:type="table">
    <w:name w:val="Colorful Shading Accent 2"/>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772C2A" w:themeFill="accent2" w:themeFillShade="99" w:val="clear"/>
      </w:tcPr>
    </w:tblStylePr>
    <w:tblStylePr w:type="firstCol">
      <w:rPr>
        <w:rFonts w:eastAsia="黑体"/>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3" w:type="table">
    <w:name w:val="Colorful Shading Accent 3"/>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rFonts w:eastAsia="黑体"/>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5E7530" w:themeFill="accent3" w:themeFillShade="99" w:val="clear"/>
      </w:tcPr>
    </w:tblStylePr>
    <w:tblStylePr w:type="firstCol">
      <w:rPr>
        <w:rFonts w:eastAsia="黑体"/>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rFonts w:eastAsia="黑体"/>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4C3B62" w:themeFill="accent4" w:themeFillShade="99" w:val="clear"/>
      </w:tcPr>
    </w:tblStylePr>
    <w:tblStylePr w:type="firstCol">
      <w:rPr>
        <w:rFonts w:eastAsia="黑体"/>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5" w:type="table">
    <w:name w:val="Colorful Shading Accent 5"/>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rFonts w:eastAsia="黑体"/>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276A7C" w:themeFill="accent5" w:themeFillShade="99" w:val="clear"/>
      </w:tcPr>
    </w:tblStylePr>
    <w:tblStylePr w:type="firstCol">
      <w:rPr>
        <w:rFonts w:eastAsia="黑体"/>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6" w:type="table">
    <w:name w:val="Colorful Shading Accent 6"/>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rFonts w:eastAsia="黑体"/>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B65608" w:themeFill="accent6" w:themeFillShade="99" w:val="clear"/>
      </w:tcPr>
    </w:tblStylePr>
    <w:tblStylePr w:type="firstCol">
      <w:rPr>
        <w:rFonts w:eastAsia="黑体"/>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List" w:type="table">
    <w:name w:val="Colorful List"/>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rFonts w:eastAsia="黑体"/>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rFonts w:eastAsia="黑体"/>
        <w:b/>
        <w:bCs/>
        <w:color w:themeColor="accent4" w:themeShade="CC" w:val="664E82"/>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rFonts w:eastAsia="黑体"/>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rFonts w:eastAsia="黑体"/>
        <w:b/>
        <w:bCs/>
        <w:color w:themeColor="accent3" w:themeShade="CC" w:val="7E9C40"/>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rFonts w:eastAsia="黑体"/>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rFonts w:eastAsia="黑体"/>
        <w:b/>
        <w:bCs/>
        <w:color w:themeColor="accent6" w:themeShade="CC" w:val="F2730A"/>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rFonts w:eastAsia="黑体"/>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rFonts w:eastAsia="黑体"/>
        <w:b/>
        <w:bCs/>
        <w:color w:themeColor="accent5" w:themeShade="CC" w:val="348DA5"/>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rFonts w:eastAsia="黑体"/>
        <w:b/>
        <w:bCs/>
      </w:rPr>
      <w:tblPr/>
      <w:tcPr>
        <w:shd w:color="auto" w:fill="999999" w:themeFill="text1" w:themeFillTint="66" w:val="clear"/>
      </w:tcPr>
    </w:tblStylePr>
    <w:tblStylePr w:type="lastRow">
      <w:rPr>
        <w:rFonts w:eastAsia="黑体"/>
        <w:b/>
        <w:bCs/>
        <w:color w:themeColor="text1" w:val="000000"/>
      </w:rPr>
      <w:tblPr/>
      <w:tcPr>
        <w:shd w:color="auto" w:fill="999999" w:themeFill="text1" w:themeFillTint="66" w:val="clear"/>
      </w:tcPr>
    </w:tblStylePr>
    <w:tblStylePr w:type="firstCol">
      <w:rPr>
        <w:rFonts w:eastAsia="黑体"/>
        <w:color w:themeColor="background1" w:val="FFFFFF"/>
      </w:rPr>
      <w:tblPr/>
      <w:tcPr>
        <w:shd w:color="auto" w:fill="000000" w:themeFill="text1" w:themeFillShade="BF" w:val="clear"/>
      </w:tcPr>
    </w:tblStylePr>
    <w:tblStylePr w:type="lastCol">
      <w:rPr>
        <w:rFonts w:eastAsia="黑体"/>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rFonts w:eastAsia="黑体"/>
        <w:b/>
        <w:bCs/>
      </w:rPr>
      <w:tblPr/>
      <w:tcPr>
        <w:shd w:color="auto" w:fill="B8CCE4" w:themeFill="accent1" w:themeFillTint="66" w:val="clear"/>
      </w:tcPr>
    </w:tblStylePr>
    <w:tblStylePr w:type="lastRow">
      <w:rPr>
        <w:rFonts w:eastAsia="黑体"/>
        <w:b/>
        <w:bCs/>
        <w:color w:themeColor="text1" w:val="000000"/>
      </w:rPr>
      <w:tblPr/>
      <w:tcPr>
        <w:shd w:color="auto" w:fill="B8CCE4" w:themeFill="accent1" w:themeFillTint="66" w:val="clear"/>
      </w:tcPr>
    </w:tblStylePr>
    <w:tblStylePr w:type="firstCol">
      <w:rPr>
        <w:rFonts w:eastAsia="黑体"/>
        <w:color w:themeColor="background1" w:val="FFFFFF"/>
      </w:rPr>
      <w:tblPr/>
      <w:tcPr>
        <w:shd w:color="auto" w:fill="365F91" w:themeFill="accent1" w:themeFillShade="BF" w:val="clear"/>
      </w:tcPr>
    </w:tblStylePr>
    <w:tblStylePr w:type="lastCol">
      <w:rPr>
        <w:rFonts w:eastAsia="黑体"/>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rFonts w:eastAsia="黑体"/>
        <w:b/>
        <w:bCs/>
      </w:rPr>
      <w:tblPr/>
      <w:tcPr>
        <w:shd w:color="auto" w:fill="E5B8B7" w:themeFill="accent2" w:themeFillTint="66" w:val="clear"/>
      </w:tcPr>
    </w:tblStylePr>
    <w:tblStylePr w:type="lastRow">
      <w:rPr>
        <w:rFonts w:eastAsia="黑体"/>
        <w:b/>
        <w:bCs/>
        <w:color w:themeColor="text1" w:val="000000"/>
      </w:rPr>
      <w:tblPr/>
      <w:tcPr>
        <w:shd w:color="auto" w:fill="E5B8B7" w:themeFill="accent2" w:themeFillTint="66" w:val="clear"/>
      </w:tcPr>
    </w:tblStylePr>
    <w:tblStylePr w:type="firstCol">
      <w:rPr>
        <w:rFonts w:eastAsia="黑体"/>
        <w:color w:themeColor="background1" w:val="FFFFFF"/>
      </w:rPr>
      <w:tblPr/>
      <w:tcPr>
        <w:shd w:color="auto" w:fill="943634" w:themeFill="accent2" w:themeFillShade="BF" w:val="clear"/>
      </w:tcPr>
    </w:tblStylePr>
    <w:tblStylePr w:type="lastCol">
      <w:rPr>
        <w:rFonts w:eastAsia="黑体"/>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rFonts w:eastAsia="黑体"/>
        <w:b/>
        <w:bCs/>
      </w:rPr>
      <w:tblPr/>
      <w:tcPr>
        <w:shd w:color="auto" w:fill="D6E3BC" w:themeFill="accent3" w:themeFillTint="66" w:val="clear"/>
      </w:tcPr>
    </w:tblStylePr>
    <w:tblStylePr w:type="lastRow">
      <w:rPr>
        <w:rFonts w:eastAsia="黑体"/>
        <w:b/>
        <w:bCs/>
        <w:color w:themeColor="text1" w:val="000000"/>
      </w:rPr>
      <w:tblPr/>
      <w:tcPr>
        <w:shd w:color="auto" w:fill="D6E3BC" w:themeFill="accent3" w:themeFillTint="66" w:val="clear"/>
      </w:tcPr>
    </w:tblStylePr>
    <w:tblStylePr w:type="firstCol">
      <w:rPr>
        <w:rFonts w:eastAsia="黑体"/>
        <w:color w:themeColor="background1" w:val="FFFFFF"/>
      </w:rPr>
      <w:tblPr/>
      <w:tcPr>
        <w:shd w:color="auto" w:fill="76923C" w:themeFill="accent3" w:themeFillShade="BF" w:val="clear"/>
      </w:tcPr>
    </w:tblStylePr>
    <w:tblStylePr w:type="lastCol">
      <w:rPr>
        <w:rFonts w:eastAsia="黑体"/>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rFonts w:eastAsia="黑体"/>
        <w:b/>
        <w:bCs/>
      </w:rPr>
      <w:tblPr/>
      <w:tcPr>
        <w:shd w:color="auto" w:fill="CCC0D9" w:themeFill="accent4" w:themeFillTint="66" w:val="clear"/>
      </w:tcPr>
    </w:tblStylePr>
    <w:tblStylePr w:type="lastRow">
      <w:rPr>
        <w:rFonts w:eastAsia="黑体"/>
        <w:b/>
        <w:bCs/>
        <w:color w:themeColor="text1" w:val="000000"/>
      </w:rPr>
      <w:tblPr/>
      <w:tcPr>
        <w:shd w:color="auto" w:fill="CCC0D9" w:themeFill="accent4" w:themeFillTint="66" w:val="clear"/>
      </w:tcPr>
    </w:tblStylePr>
    <w:tblStylePr w:type="firstCol">
      <w:rPr>
        <w:rFonts w:eastAsia="黑体"/>
        <w:color w:themeColor="background1" w:val="FFFFFF"/>
      </w:rPr>
      <w:tblPr/>
      <w:tcPr>
        <w:shd w:color="auto" w:fill="5F497A" w:themeFill="accent4" w:themeFillShade="BF" w:val="clear"/>
      </w:tcPr>
    </w:tblStylePr>
    <w:tblStylePr w:type="lastCol">
      <w:rPr>
        <w:rFonts w:eastAsia="黑体"/>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rFonts w:eastAsia="黑体"/>
        <w:b/>
        <w:bCs/>
      </w:rPr>
      <w:tblPr/>
      <w:tcPr>
        <w:shd w:color="auto" w:fill="B6DDE8" w:themeFill="accent5" w:themeFillTint="66" w:val="clear"/>
      </w:tcPr>
    </w:tblStylePr>
    <w:tblStylePr w:type="lastRow">
      <w:rPr>
        <w:rFonts w:eastAsia="黑体"/>
        <w:b/>
        <w:bCs/>
        <w:color w:themeColor="text1" w:val="000000"/>
      </w:rPr>
      <w:tblPr/>
      <w:tcPr>
        <w:shd w:color="auto" w:fill="B6DDE8" w:themeFill="accent5" w:themeFillTint="66" w:val="clear"/>
      </w:tcPr>
    </w:tblStylePr>
    <w:tblStylePr w:type="firstCol">
      <w:rPr>
        <w:rFonts w:eastAsia="黑体"/>
        <w:color w:themeColor="background1" w:val="FFFFFF"/>
      </w:rPr>
      <w:tblPr/>
      <w:tcPr>
        <w:shd w:color="auto" w:fill="31849B" w:themeFill="accent5" w:themeFillShade="BF" w:val="clear"/>
      </w:tcPr>
    </w:tblStylePr>
    <w:tblStylePr w:type="lastCol">
      <w:rPr>
        <w:rFonts w:eastAsia="黑体"/>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rFonts w:eastAsia="黑体"/>
        <w:b/>
        <w:bCs/>
      </w:rPr>
      <w:tblPr/>
      <w:tcPr>
        <w:shd w:color="auto" w:fill="FBD4B4" w:themeFill="accent6" w:themeFillTint="66" w:val="clear"/>
      </w:tcPr>
    </w:tblStylePr>
    <w:tblStylePr w:type="lastRow">
      <w:rPr>
        <w:rFonts w:eastAsia="黑体"/>
        <w:b/>
        <w:bCs/>
        <w:color w:themeColor="text1" w:val="000000"/>
      </w:rPr>
      <w:tblPr/>
      <w:tcPr>
        <w:shd w:color="auto" w:fill="FBD4B4" w:themeFill="accent6" w:themeFillTint="66" w:val="clear"/>
      </w:tcPr>
    </w:tblStylePr>
    <w:tblStylePr w:type="firstCol">
      <w:rPr>
        <w:rFonts w:eastAsia="黑体"/>
        <w:color w:themeColor="background1" w:val="FFFFFF"/>
      </w:rPr>
      <w:tblPr/>
      <w:tcPr>
        <w:shd w:color="auto" w:fill="E36C0A" w:themeFill="accent6" w:themeFillShade="BF" w:val="clear"/>
      </w:tcPr>
    </w:tblStylePr>
    <w:tblStylePr w:type="lastCol">
      <w:rPr>
        <w:rFonts w:eastAsia="黑体"/>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eastAsia="黑体"/>
      <w:b/>
      <w:color w:val="007020"/>
    </w:rPr>
  </w:style>
  <w:style w:type="character" w:customStyle="1" w:styleId="DataTypeTok">
    <w:name w:val="DataTypeTok"/>
    <w:basedOn w:val="VerbatimChar"/>
    <w:rPr>
      <w:rFonts w:eastAsia="黑体"/>
      <w:color w:val="902000"/>
    </w:rPr>
  </w:style>
  <w:style w:type="character" w:customStyle="1" w:styleId="DecValTok">
    <w:name w:val="DecValTok"/>
    <w:basedOn w:val="VerbatimChar"/>
    <w:rPr>
      <w:rFonts w:eastAsia="黑体"/>
      <w:color w:val="40a070"/>
    </w:rPr>
  </w:style>
  <w:style w:type="character" w:customStyle="1" w:styleId="BaseNTok">
    <w:name w:val="BaseNTok"/>
    <w:basedOn w:val="VerbatimChar"/>
    <w:rPr>
      <w:rFonts w:eastAsia="黑体"/>
      <w:color w:val="40a070"/>
    </w:rPr>
  </w:style>
  <w:style w:type="character" w:customStyle="1" w:styleId="FloatTok">
    <w:name w:val="FloatTok"/>
    <w:basedOn w:val="VerbatimChar"/>
    <w:rPr>
      <w:rFonts w:eastAsia="黑体"/>
      <w:color w:val="40a070"/>
    </w:rPr>
  </w:style>
  <w:style w:type="character" w:customStyle="1" w:styleId="ConstantTok">
    <w:name w:val="ConstantTok"/>
    <w:basedOn w:val="VerbatimChar"/>
    <w:rPr>
      <w:rFonts w:eastAsia="黑体"/>
      <w:color w:val="880000"/>
    </w:rPr>
  </w:style>
  <w:style w:type="character" w:customStyle="1" w:styleId="CharTok">
    <w:name w:val="CharTok"/>
    <w:basedOn w:val="VerbatimChar"/>
    <w:rPr>
      <w:rFonts w:eastAsia="黑体"/>
      <w:color w:val="4070a0"/>
    </w:rPr>
  </w:style>
  <w:style w:type="character" w:customStyle="1" w:styleId="SpecialCharTok">
    <w:name w:val="SpecialCharTok"/>
    <w:basedOn w:val="VerbatimChar"/>
    <w:rPr>
      <w:rFonts w:eastAsia="黑体"/>
      <w:color w:val="4070a0"/>
    </w:rPr>
  </w:style>
  <w:style w:type="character" w:customStyle="1" w:styleId="StringTok">
    <w:name w:val="StringTok"/>
    <w:basedOn w:val="VerbatimChar"/>
    <w:rPr>
      <w:rFonts w:eastAsia="黑体"/>
      <w:color w:val="4070a0"/>
    </w:rPr>
  </w:style>
  <w:style w:type="character" w:customStyle="1" w:styleId="VerbatimStringTok">
    <w:name w:val="VerbatimStringTok"/>
    <w:basedOn w:val="VerbatimChar"/>
    <w:rPr>
      <w:rFonts w:eastAsia="黑体"/>
      <w:color w:val="4070a0"/>
    </w:rPr>
  </w:style>
  <w:style w:type="character" w:customStyle="1" w:styleId="SpecialStringTok">
    <w:name w:val="SpecialStringTok"/>
    <w:basedOn w:val="VerbatimChar"/>
    <w:rPr>
      <w:rFonts w:eastAsia="黑体"/>
      <w:color w:val="bb6688"/>
    </w:rPr>
  </w:style>
  <w:style w:type="character" w:customStyle="1" w:styleId="ImportTok">
    <w:name w:val="ImportTok"/>
    <w:basedOn w:val="VerbatimChar"/>
    <w:rPr>
      <w:rFonts w:eastAsia="黑体"/>
      <w:b/>
      <w:color w:val="008000"/>
    </w:rPr>
  </w:style>
  <w:style w:type="character" w:customStyle="1" w:styleId="CommentTok">
    <w:name w:val="CommentTok"/>
    <w:basedOn w:val="VerbatimChar"/>
    <w:rPr>
      <w:rFonts w:eastAsia="黑体"/>
      <w:i/>
      <w:color w:val="60a0b0"/>
    </w:rPr>
  </w:style>
  <w:style w:type="character" w:customStyle="1" w:styleId="DocumentationTok">
    <w:name w:val="DocumentationTok"/>
    <w:basedOn w:val="VerbatimChar"/>
    <w:rPr>
      <w:rFonts w:eastAsia="黑体"/>
      <w:i/>
      <w:color w:val="ba2121"/>
    </w:rPr>
  </w:style>
  <w:style w:type="character" w:customStyle="1" w:styleId="AnnotationTok">
    <w:name w:val="AnnotationTok"/>
    <w:basedOn w:val="VerbatimChar"/>
    <w:rPr>
      <w:rFonts w:eastAsia="黑体"/>
      <w:b/>
      <w:i/>
      <w:color w:val="60a0b0"/>
    </w:rPr>
  </w:style>
  <w:style w:type="character" w:customStyle="1" w:styleId="CommentVarTok">
    <w:name w:val="CommentVarTok"/>
    <w:basedOn w:val="VerbatimChar"/>
    <w:rPr>
      <w:rFonts w:eastAsia="黑体"/>
      <w:b/>
      <w:i/>
      <w:color w:val="60a0b0"/>
    </w:rPr>
  </w:style>
  <w:style w:type="character" w:customStyle="1" w:styleId="OtherTok">
    <w:name w:val="OtherTok"/>
    <w:basedOn w:val="VerbatimChar"/>
    <w:rPr>
      <w:rFonts w:eastAsia="黑体"/>
      <w:color w:val="007020"/>
    </w:rPr>
  </w:style>
  <w:style w:type="character" w:customStyle="1" w:styleId="FunctionTok">
    <w:name w:val="FunctionTok"/>
    <w:basedOn w:val="VerbatimChar"/>
    <w:rPr>
      <w:rFonts w:eastAsia="黑体"/>
      <w:color w:val="06287e"/>
    </w:rPr>
  </w:style>
  <w:style w:type="character" w:customStyle="1" w:styleId="VariableTok">
    <w:name w:val="VariableTok"/>
    <w:basedOn w:val="VerbatimChar"/>
    <w:rPr>
      <w:rFonts w:eastAsia="黑体"/>
      <w:color w:val="19177c"/>
    </w:rPr>
  </w:style>
  <w:style w:type="character" w:customStyle="1" w:styleId="ControlFlowTok">
    <w:name w:val="ControlFlowTok"/>
    <w:basedOn w:val="VerbatimChar"/>
    <w:rPr>
      <w:rFonts w:eastAsia="黑体"/>
      <w:b/>
      <w:color w:val="007020"/>
    </w:rPr>
  </w:style>
  <w:style w:type="character" w:customStyle="1" w:styleId="OperatorTok">
    <w:name w:val="OperatorTok"/>
    <w:basedOn w:val="VerbatimChar"/>
    <w:rPr>
      <w:rFonts w:eastAsia="黑体"/>
      <w:color w:val="666666"/>
    </w:rPr>
  </w:style>
  <w:style w:type="character" w:customStyle="1" w:styleId="BuiltInTok">
    <w:name w:val="BuiltInTok"/>
    <w:basedOn w:val="VerbatimChar"/>
    <w:rPr>
      <w:rFonts w:eastAsia="黑体"/>
      <w:color w:val="008000"/>
    </w:rPr>
  </w:style>
  <w:style w:type="character" w:customStyle="1" w:styleId="ExtensionTok">
    <w:name w:val="ExtensionTok"/>
    <w:basedOn w:val="VerbatimChar"/>
    <w:rPr>
      <w:rFonts w:eastAsia="黑体"/>
    </w:rPr>
  </w:style>
  <w:style w:type="character" w:customStyle="1" w:styleId="PreprocessorTok">
    <w:name w:val="PreprocessorTok"/>
    <w:basedOn w:val="VerbatimChar"/>
    <w:rPr>
      <w:rFonts w:eastAsia="黑体"/>
      <w:color w:val="bc7a00"/>
    </w:rPr>
  </w:style>
  <w:style w:type="character" w:customStyle="1" w:styleId="AttributeTok">
    <w:name w:val="AttributeTok"/>
    <w:basedOn w:val="VerbatimChar"/>
    <w:rPr>
      <w:rFonts w:eastAsia="黑体"/>
      <w:color w:val="7d9029"/>
    </w:rPr>
  </w:style>
  <w:style w:type="character" w:customStyle="1" w:styleId="RegionMarkerTok">
    <w:name w:val="RegionMarkerTok"/>
    <w:basedOn w:val="VerbatimChar"/>
    <w:rPr>
      <w:rFonts w:eastAsia="黑体"/>
    </w:rPr>
  </w:style>
  <w:style w:type="character" w:customStyle="1" w:styleId="InformationTok">
    <w:name w:val="InformationTok"/>
    <w:basedOn w:val="VerbatimChar"/>
    <w:rPr>
      <w:rFonts w:eastAsia="黑体"/>
      <w:b/>
      <w:i/>
      <w:color w:val="60a0b0"/>
    </w:rPr>
  </w:style>
  <w:style w:type="character" w:customStyle="1" w:styleId="WarningTok">
    <w:name w:val="WarningTok"/>
    <w:basedOn w:val="VerbatimChar"/>
    <w:rPr>
      <w:rFonts w:eastAsia="黑体"/>
      <w:b/>
      <w:i/>
      <w:color w:val="60a0b0"/>
    </w:rPr>
  </w:style>
  <w:style w:type="character" w:customStyle="1" w:styleId="AlertTok">
    <w:name w:val="AlertTok"/>
    <w:basedOn w:val="VerbatimChar"/>
    <w:rPr>
      <w:rFonts w:eastAsia="黑体"/>
      <w:b/>
      <w:color w:val="ff0000"/>
    </w:rPr>
  </w:style>
  <w:style w:type="character" w:customStyle="1" w:styleId="ErrorTok">
    <w:name w:val="ErrorTok"/>
    <w:basedOn w:val="VerbatimChar"/>
    <w:rPr>
      <w:rFonts w:eastAsia="黑体"/>
      <w:b/>
      <w:color w:val="ff0000"/>
    </w:rPr>
  </w:style>
  <w:style w:type="character" w:customStyle="1" w:styleId="NormalTok">
    <w:name w:val="NormalTok"/>
    <w:basedOn w:val="VerbatimChar"/>
    <w:rPr>
      <w:rFonts w:eastAsia="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黑体"/>
        <a:font script="Hant" typeface="黑体"/>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黑体"/>
        <a:cs typeface=""/>
        <a:font script="Jpan" typeface="ＭＳ 明朝"/>
        <a:font script="Hang" typeface="맑은 고딕"/>
        <a:font script="Hans" typeface="黑体"/>
        <a:font script="Hant" typeface="黑体"/>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电流模式控制Buck电路</dc:title>
  <dc:creator>AI 智能体</dc:creator>
  <cp:keywords/>
  <dcterms:created xsi:type="dcterms:W3CDTF">2026-09-08T14:37:05Z</dcterms:created>
  <dcterms:modified xsi:type="dcterms:W3CDTF">2026-09-08T14:37:05Z</dcterms:modified>
</cp:coreProperties>
</file>

<file path=docProps/custom.xml><?xml version="1.0" encoding="utf-8"?>
<Properties xmlns="http://schemas.openxmlformats.org/officeDocument/2006/custom-properties" xmlns:vt="http://schemas.openxmlformats.org/officeDocument/2006/docPropsVTypes"/>
</file>