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四开关-buck-boost-电路"/>
    <w:p>
      <w:pPr>
        <w:pStyle w:val="Heading1"/>
      </w:pPr>
      <w:r>
        <w:rPr>
          <w:rFonts w:hint="eastAsia" w:eastAsia="黑体"/>
        </w:rPr>
        <w:t xml:space="preserve">四开关</w:t>
      </w:r>
      <w:r>
        <w:rPr>
          <w:rFonts w:eastAsia="黑体"/>
        </w:rPr>
        <w:t xml:space="preserve"> Buck-Boost </w:t>
      </w:r>
      <w:r>
        <w:rPr>
          <w:rFonts w:hint="eastAsia" w:eastAsia="黑体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输入电容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四个开关管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（MOSFET）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输出电容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构成的全桥式升降压变换电路。电路共有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输入正节点</w:t>
      </w:r>
      <w:r>
        <w:rPr>
          <w:rFonts w:hint="eastAsia" w:eastAsia="黑体"/>
        </w:rPr>
        <w:t xml:space="preserve">（输入电压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输入侧桥臂中点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输出侧桥臂中点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输出正节点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D、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的一端与输出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正端相连）；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负端、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接节点①、源极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接节点②；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接节点②、源极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接节点⑤；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接节点④、源极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接节点③；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接驱动信号、漏极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接节点③、源极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接节点⑤；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一端接节点①、另一端接节点⑤；</w:t>
      </w:r>
      <m:oMath>
        <m:sSub>
          <m:e>
            <m:r>
              <m:t>C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一端接节点④、另一端接节点⑤。</w:t>
      </w:r>
    </w:p>
    <w:p>
      <w:pPr/>
      <w:r>
        <w:rPr>
          <w:rFonts w:hint="eastAsia" w:eastAsia="黑体"/>
        </w:rPr>
        <w:t xml:space="preserve">由此构成”输入侧半桥（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）与输出侧半桥（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 w:eastAsia="黑体"/>
        </w:rPr>
        <w:t xml:space="preserve">）经电感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跨接在各自桥臂中点之间”的四开关</w:t>
      </w:r>
      <w:r>
        <w:rPr>
          <w:rFonts w:eastAsia="黑体"/>
        </w:rPr>
        <w:t xml:space="preserve"> Buck-Boost </w:t>
      </w:r>
      <w:r>
        <w:rPr>
          <w:rFonts w:hint="eastAsia" w:eastAsia="黑体"/>
        </w:rPr>
        <w:t xml:space="preserve">组态，四个开关均受控以双向传输能量，按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模式、Boost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模式或过渡模式切换使输出电压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可高于、等于或低于输入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，广泛用于电池供电中输入电压宽范围波动的单向升降压场合。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电路在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模式、Boost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模式及</w:t>
      </w:r>
      <w:r>
        <w:rPr>
          <w:rFonts w:eastAsia="黑体"/>
        </w:rPr>
        <w:t xml:space="preserve"> Buck-Boost </w:t>
      </w:r>
      <w:r>
        <w:rPr>
          <w:rFonts w:hint="eastAsia" w:eastAsia="黑体"/>
        </w:rPr>
        <w:t xml:space="preserve">过渡模式间切换：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时工作于降压，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&lt;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时工作于升压，两者接近时进入四管同时开关的混合模式以实现平滑过渡。通过控制各开关占空比分配，电感在一个周期内交替连接输入与输出，将能量从输入传向输出。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Buck </w:t>
      </w:r>
      <w:r>
        <w:rPr>
          <w:rFonts w:hint="eastAsia" w:eastAsia="黑体"/>
        </w:rPr>
        <w:t xml:space="preserve">模式（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，Q3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常通、Q4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常断）：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D</m:t>
              </m:r>
            </m:e>
            <m:sub>
              <m:r>
                <m:t>b</m:t>
              </m:r>
              <m:r>
                <m:t>u</m:t>
              </m:r>
              <m:r>
                <m:t>c</m:t>
              </m:r>
              <m:r>
                <m:t>k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eastAsia="黑体"/>
        </w:rPr>
        <w:t xml:space="preserve">Boost </w:t>
      </w:r>
      <w:r>
        <w:rPr>
          <w:rFonts w:hint="eastAsia" w:eastAsia="黑体"/>
        </w:rPr>
        <w:t xml:space="preserve">模式（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&lt;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，Q1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常通、Q2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常断）：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s</m:t>
                  </m:r>
                  <m:r>
                    <m:t>t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统一关系（过渡区，用两占空比）：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den>
          </m:f>
        </m:oMath>
      </m:oMathPara>
    </w:p>
    <w:p>
      <w:pPr>
        <w:numPr>
          <w:ilvl w:val="0"/>
          <w:numId w:val="1000"/>
        </w:numPr>
      </w:pPr>
      <w:r>
        <w:rPr>
          <w:rFonts w:hint="eastAsia" w:eastAsia="黑体"/>
        </w:rPr>
        <w:t xml:space="preserve">其中</w:t>
      </w:r>
      <w:r>
        <w:rPr>
          <w:rFonts w:eastAsia="黑体"/>
        </w:rPr>
        <w:t xml:space="preserve"> </w:t>
      </w:r>
      <m:oMath>
        <m:r>
          <m:t>D</m:t>
        </m:r>
      </m:oMath>
      <w:r>
        <w:rPr>
          <w:rFonts w:eastAsia="黑体"/>
        </w:rPr>
        <w:t xml:space="preserve">、</w:t>
      </w:r>
      <m:oMath>
        <m:sSup>
          <m:e>
            <m:r>
              <m:t>D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为输入/输出两侧有效占空比。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电感电流纹波（Buck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模式近似）：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c</m:t>
                  </m:r>
                  <m:r>
                    <m:t>k</m:t>
                  </m:r>
                </m:sub>
              </m:sSub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电感电流纹波（Boost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模式近似）：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s</m:t>
                  </m:r>
                  <m:r>
                    <m:t>t</m:t>
                  </m:r>
                </m:sub>
              </m:sSub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b</m:t>
                  </m:r>
                  <m:r>
                    <m:t>u</m:t>
                  </m:r>
                  <m:r>
                    <m:t>c</m:t>
                  </m:r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Buck </w:t>
            </w: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b</m:t>
                  </m:r>
                  <m:r>
                    <m:t>o</m:t>
                  </m:r>
                  <m:r>
                    <m:t>o</m:t>
                  </m:r>
                  <m:r>
                    <m:t>s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Boost </w:t>
            </w: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电感纹波电流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四个开关均低导通电阻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效率高；但四管架构下每个周期能量路径元件多，损耗环节多。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纹波减小，但体积增大，四开关下电感需兼顾两种工作模式。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占空比过渡策略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平滑切换可避免输入/输出纹波与噪声尖峰，硬切会带来较大扰动。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磁件与电容减小，四管开关损耗比例升高。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同步整流（四管均为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MOSFET）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效率高于含二极管的方案，但需四路驱动与死区控制。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Buck </w:t>
      </w:r>
      <w:r>
        <w:rPr>
          <w:rFonts w:hint="eastAsia" w:eastAsia="黑体"/>
        </w:rPr>
        <w:t xml:space="preserve">模式：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u</m:t>
            </m:r>
            <m:r>
              <m:t>c</m:t>
            </m:r>
            <m:r>
              <m:t>k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0.417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Boost </w:t>
      </w:r>
      <w:r>
        <w:rPr>
          <w:rFonts w:hint="eastAsia" w:eastAsia="黑体"/>
        </w:rPr>
        <w:t xml:space="preserve">模式：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 </w:t>
      </w:r>
      <w:r>
        <w:rPr>
          <w:rFonts w:eastAsia="黑体"/>
        </w:rPr>
        <w:t xml:space="preserve">→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b</m:t>
            </m:r>
            <m:r>
              <m:t>o</m:t>
            </m:r>
            <m:r>
              <m:t>o</m:t>
            </m:r>
            <m:r>
              <m:t>s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0.583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四开关</w:t>
      </w:r>
      <w:r>
        <w:rPr>
          <w:rFonts w:eastAsia="黑体"/>
        </w:rPr>
        <w:t xml:space="preserve"> Buck-Boost </w:t>
      </w:r>
      <w:r>
        <w:rPr>
          <w:rFonts w:hint="eastAsia" w:eastAsia="黑体"/>
        </w:rPr>
        <w:t xml:space="preserve">控制器：LT8390、LT8705、TPS55288。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需要四路互补驱动与复杂死区/时序控制，实现门槛高于普通</w:t>
      </w:r>
      <w:r>
        <w:rPr>
          <w:rFonts w:eastAsia="黑体"/>
        </w:rPr>
        <w:t xml:space="preserve"> Buck </w:t>
      </w:r>
      <w:r>
        <w:rPr>
          <w:rFonts w:hint="eastAsia" w:eastAsia="黑体"/>
        </w:rPr>
        <w:t xml:space="preserve">或</w:t>
      </w:r>
      <w:r>
        <w:rPr>
          <w:rFonts w:eastAsia="黑体"/>
        </w:rPr>
        <w:t xml:space="preserve"> Boost。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模式切换区（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 w:eastAsia="黑体"/>
        </w:rPr>
        <w:t xml:space="preserve">）是设计难点，需专门的过渡算法避免失控。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若无需反极性，可保证输出正电压；若接反极性需求需注意整流安排。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注意输入输出两端都存在续流，需评估各管的电压与电流应力。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ADI LT8390 / LT8705 </w:t>
      </w:r>
      <w:r>
        <w:rPr>
          <w:rFonts w:hint="eastAsia" w:eastAsia="黑体"/>
        </w:rPr>
        <w:t xml:space="preserve">数据手册（四开关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Buck-Boost）。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TPS55288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Buck–boost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四开关Buck-Boost电路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四开关Buck-Boost电路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