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隔离型-cuk-电路"/>
    <w:p>
      <w:pPr>
        <w:pStyle w:val="Heading1"/>
      </w:pPr>
      <w:r>
        <w:rPr>
          <w:rFonts w:hint="eastAsia" w:eastAsia="黑体"/>
        </w:rPr>
        <w:t xml:space="preserve">隔离型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电路由输入电感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S、隔离变压器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T、副边整流二极管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的入端；原边节点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的出端与变压器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初级同名端相连而成；原边开关节点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由变压器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初级异名端与开关管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的漏极相连而成；原边地</w:t>
      </w:r>
      <w:r>
        <w:rPr>
          <w:rFonts w:eastAsia="黑体"/>
        </w:rPr>
        <w:t xml:space="preserve"> GND_pri </w:t>
      </w:r>
      <w:r>
        <w:rPr>
          <w:rFonts w:hint="eastAsia" w:eastAsia="黑体"/>
        </w:rPr>
        <w:t xml:space="preserve">为开关管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源极；副边整流节点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由变压器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次级异名端与二极管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的阳极相连而成；中间节点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由二极管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的阴极与输出电感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的入端相连而成；输出节点（负极性）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的出端与输出电容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的上端相连并接负载；副边地</w:t>
      </w:r>
      <w:r>
        <w:rPr>
          <w:rFonts w:eastAsia="黑体"/>
        </w:rPr>
        <w:t xml:space="preserve"> GND_sec </w:t>
      </w:r>
      <w:r>
        <w:rPr>
          <w:rFonts w:hint="eastAsia" w:eastAsia="黑体"/>
        </w:rPr>
        <w:t xml:space="preserve">由变压器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次级同名端、输出电容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的下端相连而成。</w:t>
      </w:r>
    </w:p>
    <w:p>
      <w:pPr/>
      <w:r>
        <w:rPr>
          <w:rFonts w:hint="eastAsia" w:eastAsia="黑体"/>
        </w:rPr>
        <w:t xml:space="preserve">各元件管脚连接：输入电感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、另一端接原边节点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初级同名端接原边节点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A、初级异名端接原边开关节点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B，次级同名端接副边地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GND_sec、次级异名端接副边整流节点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的漏极接原边开关节点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B、源极接原边地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GND_pri、栅极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控制信号；整流二极管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的阳极接副边整流节点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C、阴极接中间节点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E；输出电感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E、另一端接输出节点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上端接输出节点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、下端接副边地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GND_sec；负载跨接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GND_sec。</w:t>
      </w:r>
    </w:p>
    <w:p>
      <w:pPr/>
      <w:r>
        <w:rPr>
          <w:rFonts w:hint="eastAsia" w:eastAsia="黑体"/>
        </w:rPr>
        <w:t xml:space="preserve">就组态而言，这是把基本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的耦合电容替换为隔离变压器形成的隔离型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变换器：原边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与变压器初级串联后再经开关管接地，副边经二极管整流、输出电感平滑后向负载供电，通过变压器实现原副边电气隔离，保留升降压与输出反相特性。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开关管导通时输入电感储能，变压器原边激磁电流建立；关断时变压器副边感应出反向电压，经二极管整流、输出电感平滑后向负载供电。变压器的变比与占空比共同决定输出电压，原副边地之间实现隔离。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N↑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输出等效电压升高，可在较低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下获得所需输出。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输出电压绝对值升高，与匝比共同决定增益。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输入纹波电流减小。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变压器漏感↑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开关管关断时电压尖峰增大，需加钳位/吸收。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0.4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12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0.48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开关管：IRF540N、STP60NF06。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整流二极管：SS34、MBR20100、UF4007。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IC：可选用带隔离反馈的控制器，如</w:t>
      </w:r>
      <w:r>
        <w:rPr>
          <w:rFonts w:eastAsia="黑体"/>
        </w:rPr>
        <w:t xml:space="preserve"> UC3843 + </w:t>
      </w:r>
      <w:r>
        <w:rPr>
          <w:rFonts w:hint="eastAsia" w:eastAsia="黑体"/>
        </w:rPr>
        <w:t xml:space="preserve">光耦，或</w:t>
      </w:r>
      <w:r>
        <w:rPr>
          <w:rFonts w:eastAsia="黑体"/>
        </w:rPr>
        <w:t xml:space="preserve"> LT3800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变压器需满足伏秒平衡，避免磁芯饱和。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输出电压极性取决于变压器同名端方向，接线时需核对。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需采用隔离反馈（光耦或变压器反馈）来稳定输出。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变压器漏感导致电压尖峰，应加</w:t>
      </w:r>
      <w:r>
        <w:rPr>
          <w:rFonts w:eastAsia="黑体"/>
        </w:rPr>
        <w:t xml:space="preserve"> RC/RCD </w:t>
      </w:r>
      <w:r>
        <w:rPr>
          <w:rFonts w:hint="eastAsia" w:eastAsia="黑体"/>
        </w:rPr>
        <w:t xml:space="preserve">钳位吸收。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Ćuk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SNVA166（隔离型变换器设计）。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隔离型Cuk电路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隔离型Cuk电路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