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图腾柱-pfc-电路"/>
    <w:p>
      <w:pPr>
        <w:pStyle w:val="Heading1"/>
      </w:pPr>
      <w:r>
        <w:rPr>
          <w:rFonts w:hint="eastAsia" w:eastAsia="黑体"/>
        </w:rPr>
        <w:t xml:space="preserve">图腾柱</w:t>
      </w:r>
      <w:r>
        <w:rPr>
          <w:rFonts w:eastAsia="黑体"/>
        </w:rPr>
        <w:t xml:space="preserve"> PFC </w:t>
      </w:r>
      <w:r>
        <w:rPr>
          <w:rFonts w:hint="eastAsia" w:eastAsia="黑体"/>
        </w:rPr>
        <w:t xml:space="preserve">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电路由升压电感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L、高频图腾柱上管</w:t>
      </w:r>
      <w:r>
        <w:rPr>
          <w:rFonts w:eastAsia="黑体"/>
        </w:rPr>
        <w:t xml:space="preserve"> S1 </w:t>
      </w:r>
      <w:r>
        <w:rPr>
          <w:rFonts w:hint="eastAsia" w:eastAsia="黑体"/>
        </w:rPr>
        <w:t xml:space="preserve">与下管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S2、两个低频二极管（或同步整流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MOSFET）D1、D2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构成的无桥功率因数校正拓扑。关键节点如下：交流输入端一相接升压电感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的入端；高频桥臂中点（开关节点）由电感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的出端、上管</w:t>
      </w:r>
      <w:r>
        <w:rPr>
          <w:rFonts w:eastAsia="黑体"/>
        </w:rPr>
        <w:t xml:space="preserve"> S1 </w:t>
      </w:r>
      <w:r>
        <w:rPr>
          <w:rFonts w:hint="eastAsia" w:eastAsia="黑体"/>
        </w:rPr>
        <w:t xml:space="preserve">的源极与下管</w:t>
      </w:r>
      <w:r>
        <w:rPr>
          <w:rFonts w:eastAsia="黑体"/>
        </w:rPr>
        <w:t xml:space="preserve"> S2 </w:t>
      </w:r>
      <w:r>
        <w:rPr>
          <w:rFonts w:hint="eastAsia" w:eastAsia="黑体"/>
        </w:rPr>
        <w:t xml:space="preserve">的漏极相连而成；直流输出节点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由上管</w:t>
      </w:r>
      <w:r>
        <w:rPr>
          <w:rFonts w:eastAsia="黑体"/>
        </w:rPr>
        <w:t xml:space="preserve"> S1 </w:t>
      </w:r>
      <w:r>
        <w:rPr>
          <w:rFonts w:hint="eastAsia" w:eastAsia="黑体"/>
        </w:rPr>
        <w:t xml:space="preserve">的漏极与输出电容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的上端相连并接负载；输出电容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的下端与下管</w:t>
      </w:r>
      <w:r>
        <w:rPr>
          <w:rFonts w:eastAsia="黑体"/>
        </w:rPr>
        <w:t xml:space="preserve"> S2 </w:t>
      </w:r>
      <w:r>
        <w:rPr>
          <w:rFonts w:hint="eastAsia" w:eastAsia="黑体"/>
        </w:rPr>
        <w:t xml:space="preserve">的源极、低频二极管</w:t>
      </w:r>
      <w:r>
        <w:rPr>
          <w:rFonts w:eastAsia="黑体"/>
        </w:rPr>
        <w:t xml:space="preserve"> D1、D2 </w:t>
      </w:r>
      <w:r>
        <w:rPr>
          <w:rFonts w:hint="eastAsia" w:eastAsia="黑体"/>
        </w:rPr>
        <w:t xml:space="preserve">的一端相连并接输出负端；低频二极管</w:t>
      </w:r>
      <w:r>
        <w:rPr>
          <w:rFonts w:eastAsia="黑体"/>
        </w:rPr>
        <w:t xml:space="preserve"> D1、D2 </w:t>
      </w:r>
      <w:r>
        <w:rPr>
          <w:rFonts w:hint="eastAsia" w:eastAsia="黑体"/>
        </w:rPr>
        <w:t xml:space="preserve">的另一端分别接交流输入两线，构成低频整流支路。</w:t>
      </w:r>
    </w:p>
    <w:p>
      <w:pPr/>
      <w:r>
        <w:rPr>
          <w:rFonts w:hint="eastAsia" w:eastAsia="黑体"/>
        </w:rPr>
        <w:t xml:space="preserve">各元件管脚连接：升压电感</w:t>
      </w:r>
      <w:r>
        <w:rPr>
          <w:rFonts w:eastAsia="黑体"/>
        </w:rPr>
        <w:t xml:space="preserve"> L </w:t>
      </w:r>
      <w:r>
        <w:rPr>
          <w:rFonts w:hint="eastAsia" w:eastAsia="黑体"/>
        </w:rPr>
        <w:t xml:space="preserve">一端接交流输入一相、另一端接高频桥臂中点；上管</w:t>
      </w:r>
      <w:r>
        <w:rPr>
          <w:rFonts w:eastAsia="黑体"/>
        </w:rPr>
        <w:t xml:space="preserve"> S1 </w:t>
      </w:r>
      <w:r>
        <w:rPr>
          <w:rFonts w:hint="eastAsia" w:eastAsia="黑体"/>
        </w:rPr>
        <w:t xml:space="preserve">的漏极接输出节点、源极接高频桥臂中点、栅极接高频驱动信号；下管</w:t>
      </w:r>
      <w:r>
        <w:rPr>
          <w:rFonts w:eastAsia="黑体"/>
        </w:rPr>
        <w:t xml:space="preserve"> S2 </w:t>
      </w:r>
      <w:r>
        <w:rPr>
          <w:rFonts w:hint="eastAsia" w:eastAsia="黑体"/>
        </w:rPr>
        <w:t xml:space="preserve">的漏极接高频桥臂中点、源极接输出负端（地）、栅极接与</w:t>
      </w:r>
      <w:r>
        <w:rPr>
          <w:rFonts w:eastAsia="黑体"/>
        </w:rPr>
        <w:t xml:space="preserve"> S1 </w:t>
      </w:r>
      <w:r>
        <w:rPr>
          <w:rFonts w:hint="eastAsia" w:eastAsia="黑体"/>
        </w:rPr>
        <w:t xml:space="preserve">互补的高频驱动；低频二极管</w:t>
      </w:r>
      <w:r>
        <w:rPr>
          <w:rFonts w:eastAsia="黑体"/>
        </w:rPr>
        <w:t xml:space="preserve"> D1、D2 </w:t>
      </w:r>
      <w:r>
        <w:rPr>
          <w:rFonts w:hint="eastAsia" w:eastAsia="黑体"/>
        </w:rPr>
        <w:t xml:space="preserve">的阳极分别接交流输入两线、阴极并接输出节点（或经电流路径回到输出负端），在正负半周交替导通形成整流与回流路径；输出电容</w:t>
      </w:r>
      <w:r>
        <w:rPr>
          <w:rFonts w:eastAsia="黑体"/>
        </w:rPr>
        <w:t xml:space="preserve"> C </w:t>
      </w:r>
      <w:r>
        <w:rPr>
          <w:rFonts w:hint="eastAsia" w:eastAsia="黑体"/>
        </w:rPr>
        <w:t xml:space="preserve">一端接输出节点、另一端接输出负端。</w:t>
      </w:r>
    </w:p>
    <w:p>
      <w:pPr/>
      <w:r>
        <w:rPr>
          <w:rFonts w:hint="eastAsia" w:eastAsia="黑体"/>
        </w:rPr>
        <w:t xml:space="preserve">就组态而言，这是省去整流桥、以高频图腾柱桥臂与低频二极管臂构成的无桥</w:t>
      </w:r>
      <w:r>
        <w:rPr>
          <w:rFonts w:eastAsia="黑体"/>
        </w:rPr>
        <w:t xml:space="preserve"> PFC </w:t>
      </w:r>
      <w:r>
        <w:rPr>
          <w:rFonts w:hint="eastAsia" w:eastAsia="黑体"/>
        </w:rPr>
        <w:t xml:space="preserve">电路，通过高频开关与工频换相使输入电流近似正弦、功率因数接近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1，并把交流升压为稳定直流。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高频图腾柱桥臂以开关频率交替导通，使电感电流按正弦包络变化，输入电流与输入电压同相；低频桥臂按电网工频在正负半周切换导通，形成整流与回流路径。整个电路使输入电流接近正弦、功率因数接近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1，同时把交流升压为稳定直流。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输出电压与占空比（CCM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等效）：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D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升压电感（CCM）：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D</m:t>
              </m:r>
            </m:num>
            <m:den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输出电压纹波（双倍工频）：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V</m:t>
              </m:r>
            </m:e>
            <m:sub>
              <m:r>
                <m:t>o</m:t>
              </m:r>
              <m:r>
                <m:t>u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2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  <m:r>
                <m:t>C</m:t>
              </m:r>
            </m:den>
          </m:f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输出电容下限：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num>
            <m:den>
              <m:r>
                <m:t>4</m:t>
              </m:r>
              <m:r>
                <m:t>π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  <m:r>
                <m:t> 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den>
          </m:f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输入电压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V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输出电压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V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D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占空比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开关频率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n</m:t>
                  </m:r>
                  <m:r>
                    <m:t>e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电网频率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L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升压电感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C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o</m:t>
                  </m:r>
                  <m:r>
                    <m:t>u</m:t>
                  </m:r>
                  <m:r>
                    <m:t>t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输出功率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W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Δ</m:t>
              </m:r>
              <m:sSub>
                <m:e>
                  <m:r>
                    <m:t>I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电感纹波电流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A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L↑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电感纹波电流减小、更易进入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CCM，但体积增大。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C↑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输出纹波减小。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D↑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输出电压升高；输出电压必须高于输入峰值。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f_s↑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电感减小但开关损耗增大。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低频桥臂采用同步整流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可进一步降低导通损耗，但增加驱动复杂度。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t>n</m:t>
            </m:r>
          </m:sub>
        </m:sSub>
        <m:r>
          <m:rPr>
            <m:sty m:val="p"/>
          </m:rPr>
          <m:t>=</m:t>
        </m:r>
        <m:r>
          <m:t>311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311</m:t>
            </m:r>
          </m:num>
          <m:den>
            <m:r>
              <m:t>400</m:t>
            </m:r>
          </m:den>
        </m:f>
        <m:r>
          <m:rPr>
            <m:sty m:val="p"/>
          </m:rPr>
          <m:t>≈</m:t>
        </m:r>
        <m:r>
          <m:t>0.2225</m:t>
        </m:r>
      </m:oMath>
      <w:r>
        <w:rPr>
          <w:rFonts w:eastAsia="黑体"/>
        </w:rP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取</w:t>
      </w:r>
      <w:r>
        <w:rPr>
          <w:rFonts w:eastAsia="黑体"/>
        </w:rP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500</m:t>
        </m:r>
        <m:r>
          <m:t> </m:t>
        </m:r>
        <m:r>
          <m:rPr>
            <m:nor/>
            <m:sty m:val="p"/>
          </m:rPr>
          <m:t>W</m:t>
        </m:r>
      </m:oMath>
      <w:r>
        <w:rPr>
          <w:rFonts w:eastAsia="黑体"/>
        </w:rPr>
        <w:t xml:space="preserve">、</w:t>
      </w:r>
      <m:oMath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400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eastAsia="黑体"/>
        </w:rPr>
        <w:t xml:space="preserve">、</w:t>
      </w:r>
      <m:oMath>
        <m:sSub>
          <m:e>
            <m:r>
              <m:t>f</m:t>
            </m:r>
          </m:e>
          <m:sub>
            <m:r>
              <m:t>l</m:t>
            </m:r>
            <m:r>
              <m:t>i</m:t>
            </m:r>
            <m:r>
              <m:t>n</m:t>
            </m:r>
            <m:r>
              <m:t>e</m:t>
            </m:r>
          </m:sub>
        </m:sSub>
        <m:r>
          <m:rPr>
            <m:sty m:val="p"/>
          </m:rPr>
          <m:t>=</m:t>
        </m:r>
        <m:r>
          <m:t>50</m:t>
        </m:r>
        <m:r>
          <m:t> </m:t>
        </m:r>
        <m:r>
          <m:rPr>
            <m:nor/>
            <m:sty m:val="p"/>
          </m:rPr>
          <m:t>Hz</m:t>
        </m:r>
      </m:oMath>
      <w:r>
        <w:rPr>
          <w:rFonts w:eastAsia="黑体"/>
        </w:rPr>
        <w:t xml:space="preserve">、</w:t>
      </w:r>
      <m:oMath>
        <m:r>
          <m:rPr>
            <m:sty m:val="p"/>
          </m:rPr>
          <m:t>Δ</m:t>
        </m:r>
        <m:sSub>
          <m:e>
            <m:r>
              <m:t>V</m:t>
            </m:r>
          </m:e>
          <m:sub>
            <m:r>
              <m:t>o</m:t>
            </m:r>
            <m:r>
              <m:t>u</m:t>
            </m:r>
            <m:r>
              <m:t>t</m:t>
            </m:r>
          </m:sub>
        </m:sSub>
        <m:r>
          <m:rPr>
            <m:sty m:val="p"/>
          </m:rPr>
          <m:t>=</m:t>
        </m:r>
        <m:r>
          <m:t>10</m:t>
        </m:r>
        <m:r>
          <m:t> </m:t>
        </m:r>
        <m:r>
          <m:rPr>
            <m:nor/>
            <m:sty m:val="p"/>
          </m:rPr>
          <m:t>V</m:t>
        </m:r>
      </m:oMath>
      <w:r>
        <w:rPr>
          <w:rFonts w:hint="eastAsia" w:eastAsia="黑体"/>
        </w:rPr>
        <w:t xml:space="preserve">：</w:t>
      </w:r>
      <m:oMath>
        <m:r>
          <m:t>C</m:t>
        </m:r>
        <m:r>
          <m:rPr>
            <m:sty m:val="p"/>
          </m:rPr>
          <m:t>≥</m:t>
        </m:r>
        <m:f>
          <m:fPr>
            <m:type m:val="bar"/>
          </m:fPr>
          <m:num>
            <m:r>
              <m:t>500</m:t>
            </m:r>
          </m:num>
          <m:den>
            <m:r>
              <m:t>4</m:t>
            </m:r>
            <m:r>
              <m:t>π</m:t>
            </m:r>
            <m:r>
              <m:rPr>
                <m:sty m:val="p"/>
              </m:rPr>
              <m:t>×</m:t>
            </m:r>
            <m:r>
              <m:t>50</m:t>
            </m:r>
            <m:r>
              <m:rPr>
                <m:sty m:val="p"/>
              </m:rPr>
              <m:t>×</m:t>
            </m:r>
            <m:r>
              <m:t>400</m:t>
            </m:r>
            <m:r>
              <m:rPr>
                <m:sty m:val="p"/>
              </m:rPr>
              <m:t>×</m:t>
            </m:r>
            <m:r>
              <m:t>10</m:t>
            </m:r>
          </m:den>
        </m:f>
        <m:r>
          <m:rPr>
            <m:sty m:val="p"/>
          </m:rPr>
          <m:t>≈</m:t>
        </m:r>
        <m:r>
          <m:t>199</m:t>
        </m:r>
        <m:r>
          <m:t> </m:t>
        </m:r>
        <m:r>
          <m:t>μ</m:t>
        </m:r>
        <m:r>
          <m:rPr>
            <m:nor/>
            <m:sty m:val="p"/>
          </m:rPr>
          <m:t>F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高频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MOSFET：IPW65R041CFD、STW70N60DM2、IMZA65R048M1H。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低频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MOSFET（同步整流）：IPA60R099P7、STW48N60M2。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控制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IC：UCC28070、TEA19162、NCP1680。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高频与低频桥臂换相瞬间需防止直通，加入死区控制。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高频</w:t>
      </w:r>
      <w:r>
        <w:rPr>
          <w:rFonts w:eastAsia="黑体"/>
        </w:rPr>
        <w:t xml:space="preserve"> MOSFET </w:t>
      </w:r>
      <w:r>
        <w:rPr>
          <w:rFonts w:hint="eastAsia" w:eastAsia="黑体"/>
        </w:rPr>
        <w:t xml:space="preserve">需承受关断时的反向恢复应力，选用低反向恢复体二极管或</w:t>
      </w:r>
      <w:r>
        <w:rPr>
          <w:rFonts w:eastAsia="黑体"/>
        </w:rPr>
        <w:t xml:space="preserve"> SiC/GaN </w:t>
      </w:r>
      <w:r>
        <w:rPr>
          <w:rFonts w:hint="eastAsia" w:eastAsia="黑体"/>
        </w:rPr>
        <w:t xml:space="preserve">器件。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输出电容需耐双倍工频纹波，选用低</w:t>
      </w:r>
      <w:r>
        <w:rPr>
          <w:rFonts w:eastAsia="黑体"/>
        </w:rPr>
        <w:t xml:space="preserve"> ESR </w:t>
      </w:r>
      <w:r>
        <w:rPr>
          <w:rFonts w:hint="eastAsia" w:eastAsia="黑体"/>
        </w:rPr>
        <w:t xml:space="preserve">电解电容。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需加强</w:t>
      </w:r>
      <w:r>
        <w:rPr>
          <w:rFonts w:eastAsia="黑体"/>
        </w:rPr>
        <w:t xml:space="preserve"> EMI </w:t>
      </w:r>
      <w:r>
        <w:rPr>
          <w:rFonts w:hint="eastAsia" w:eastAsia="黑体"/>
        </w:rPr>
        <w:t xml:space="preserve">滤波，图腾柱整流共模噪声较传统桥更复杂。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SLUA712（图腾柱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PFC）。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Power factor correction。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相关</w:t>
      </w:r>
      <w:r>
        <w:rPr>
          <w:rFonts w:eastAsia="黑体"/>
        </w:rPr>
        <w:t xml:space="preserve"> GaN PFC </w:t>
      </w:r>
      <w:r>
        <w:rPr>
          <w:rFonts w:hint="eastAsia" w:eastAsia="黑体"/>
        </w:rPr>
        <w:t xml:space="preserve">白皮书（TI/Infineon）。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图腾柱PFC电路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图腾柱PFC电路</dc:title>
  <dc:creator>AI 智能体</dc:creator>
  <cp:keywords/>
  <dcterms:created xsi:type="dcterms:W3CDTF">2026-09-08T14:37:06Z</dcterms:created>
  <dcterms:modified xsi:type="dcterms:W3CDTF">2026-09-08T14:37:06Z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