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m="http://schemas.openxmlformats.org/officeDocument/2006/math" xmlns:r="http://schemas.openxmlformats.org/officeDocument/2006/relationships" xmlns:w="http://schemas.openxmlformats.org/wordprocessingml/2006/main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7" w:name="全波整流电路"/>
    <w:p>
      <w:pPr>
        <w:pStyle w:val="Heading1"/>
      </w:pPr>
      <w:r>
        <w:rPr>
          <w:rFonts w:hint="eastAsia" w:eastAsia="黑体"/>
        </w:rPr>
        <w:t xml:space="preserve">全波整流电路</w:t>
      </w:r>
    </w:p>
    <w:bookmarkStart w:id="19" w:name="拓扑描述"/>
    <w:p>
      <w:pPr>
        <w:pStyle w:val="Heading2"/>
      </w:pPr>
      <w:r>
        <w:rPr>
          <w:rFonts w:hint="eastAsia" w:eastAsia="黑体"/>
        </w:rPr>
        <w:t xml:space="preserve">拓扑描述</w:t>
      </w:r>
    </w:p>
    <w:p>
      <w:pPr>
        <w:pStyle w:val="FirstParagraph"/>
      </w:pPr>
      <w:r>
        <w:rPr>
          <w:rFonts w:hint="eastAsia" w:eastAsia="黑体"/>
        </w:rPr>
        <w:t xml:space="preserve">由带中心抽头的变压器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T、两只整流二极管</w:t>
      </w:r>
      <w:r>
        <w:rPr>
          <w:rFonts w:eastAsia="黑体"/>
        </w:rPr>
        <w:t xml:space="preserve"> </w:t>
      </w:r>
      <m:oMath>
        <m:sSub>
          <m:e>
            <m:r>
              <m:t>D</m:t>
            </m:r>
          </m:e>
          <m:sub>
            <m:r>
              <m:t>1</m:t>
            </m:r>
          </m:sub>
        </m:sSub>
      </m:oMath>
      <w:r>
        <w:rPr>
          <w:rFonts w:eastAsia="黑体"/>
        </w:rPr>
        <w:t xml:space="preserve">、</w:t>
      </w:r>
      <m:oMath>
        <m:sSub>
          <m:e>
            <m:r>
              <m:t>D</m:t>
            </m:r>
          </m:e>
          <m:sub>
            <m:r>
              <m:t>2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与负载电阻</w:t>
      </w:r>
      <w:r>
        <w:rPr>
          <w:rFonts w:eastAsia="黑体"/>
        </w:rPr>
        <w:t xml:space="preserve"> </w:t>
      </w:r>
      <m:oMath>
        <m:sSub>
          <m:e>
            <m:r>
              <m:t>R</m:t>
            </m:r>
          </m:e>
          <m:sub>
            <m:r>
              <m:t>L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组成。电路共有</w:t>
      </w:r>
      <w:r>
        <w:rPr>
          <w:rFonts w:eastAsia="黑体"/>
        </w:rPr>
        <w:t xml:space="preserve"> 5 </w:t>
      </w:r>
      <w:r>
        <w:rPr>
          <w:rFonts w:hint="eastAsia" w:eastAsia="黑体"/>
        </w:rPr>
        <w:t xml:space="preserve">个关键节点：</w:t>
      </w:r>
      <w:r>
        <w:rPr>
          <w:rFonts w:hint="eastAsia" w:eastAsia="黑体"/>
          <w:b/>
          <w:bCs/>
        </w:rPr>
        <w:t xml:space="preserve">节点①</w:t>
      </w:r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交流输入节点</w:t>
      </w:r>
      <w:r>
        <w:rPr>
          <w:rFonts w:hint="eastAsia" w:eastAsia="黑体"/>
        </w:rPr>
        <w:t xml:space="preserve">（信号源</w:t>
      </w:r>
      <w:r>
        <w:rPr>
          <w:rFonts w:eastAsia="黑体"/>
        </w:rP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  <m:r>
              <m:t>n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接</w:t>
      </w:r>
      <w:r>
        <w:rPr>
          <w:rFonts w:eastAsia="黑体"/>
        </w:rPr>
        <w:t xml:space="preserve"> T </w:t>
      </w:r>
      <w:r>
        <w:rPr>
          <w:rFonts w:hint="eastAsia" w:eastAsia="黑体"/>
        </w:rPr>
        <w:t xml:space="preserve">初级两端）；</w:t>
      </w:r>
      <w:r>
        <w:rPr>
          <w:rFonts w:hint="eastAsia" w:eastAsia="黑体"/>
          <w:b/>
          <w:bCs/>
        </w:rPr>
        <w:t xml:space="preserve">节点②</w:t>
      </w:r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次级上端节点</w:t>
      </w:r>
      <w:r>
        <w:rPr>
          <w:rFonts w:hint="eastAsia" w:eastAsia="黑体"/>
        </w:rPr>
        <w:t xml:space="preserve">（T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次级上端与</w:t>
      </w:r>
      <w:r>
        <w:rPr>
          <w:rFonts w:eastAsia="黑体"/>
        </w:rPr>
        <w:t xml:space="preserve"> </w:t>
      </w:r>
      <m:oMath>
        <m:sSub>
          <m:e>
            <m:r>
              <m:t>D</m:t>
            </m:r>
          </m:e>
          <m:sub>
            <m:r>
              <m:t>1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阳极相连）；</w:t>
      </w:r>
      <w:r>
        <w:rPr>
          <w:rFonts w:hint="eastAsia" w:eastAsia="黑体"/>
          <w:b/>
          <w:bCs/>
        </w:rPr>
        <w:t xml:space="preserve">节点③</w:t>
      </w:r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次级下端节点</w:t>
      </w:r>
      <w:r>
        <w:rPr>
          <w:rFonts w:hint="eastAsia" w:eastAsia="黑体"/>
        </w:rPr>
        <w:t xml:space="preserve">（T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次级下端与</w:t>
      </w:r>
      <w:r>
        <w:rPr>
          <w:rFonts w:eastAsia="黑体"/>
        </w:rPr>
        <w:t xml:space="preserve"> </w:t>
      </w:r>
      <m:oMath>
        <m:sSub>
          <m:e>
            <m:r>
              <m:t>D</m:t>
            </m:r>
          </m:e>
          <m:sub>
            <m:r>
              <m:t>2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阳极相连）；</w:t>
      </w:r>
      <w:r>
        <w:rPr>
          <w:rFonts w:hint="eastAsia" w:eastAsia="黑体"/>
          <w:b/>
          <w:bCs/>
        </w:rPr>
        <w:t xml:space="preserve">节点④</w:t>
      </w:r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中心抽头节点（地）</w:t>
      </w:r>
      <w:r>
        <w:rPr>
          <w:rFonts w:hint="eastAsia" w:eastAsia="黑体"/>
        </w:rPr>
        <w:t xml:space="preserve">（T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中心抽头与</w:t>
      </w:r>
      <w:r>
        <w:rPr>
          <w:rFonts w:eastAsia="黑体"/>
        </w:rPr>
        <w:t xml:space="preserve"> </w:t>
      </w:r>
      <m:oMath>
        <m:sSub>
          <m:e>
            <m:r>
              <m:t>R</m:t>
            </m:r>
          </m:e>
          <m:sub>
            <m:r>
              <m:t>L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一端相连并作为输出参考地）；</w:t>
      </w:r>
      <w:r>
        <w:rPr>
          <w:rFonts w:hint="eastAsia" w:eastAsia="黑体"/>
          <w:b/>
          <w:bCs/>
        </w:rPr>
        <w:t xml:space="preserve">节点⑤</w:t>
      </w:r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输出节点</w:t>
      </w:r>
      <w:r>
        <w:rPr>
          <w:rFonts w:hint="eastAsia" w:eastAsia="黑体"/>
        </w:rPr>
        <w:t xml:space="preserve">（</w:t>
      </w:r>
      <m:oMath>
        <m:sSub>
          <m:e>
            <m:r>
              <m:t>D</m:t>
            </m:r>
          </m:e>
          <m:sub>
            <m:r>
              <m:t>1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阴极、</w:t>
      </w:r>
      <m:oMath>
        <m:sSub>
          <m:e>
            <m:r>
              <m:t>D</m:t>
            </m:r>
          </m:e>
          <m:sub>
            <m:r>
              <m:t>2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阴极与</w:t>
      </w:r>
      <w:r>
        <w:rPr>
          <w:rFonts w:eastAsia="黑体"/>
        </w:rPr>
        <w:t xml:space="preserve"> </w:t>
      </w:r>
      <m:oMath>
        <m:sSub>
          <m:e>
            <m:r>
              <m:t>R</m:t>
            </m:r>
          </m:e>
          <m:sub>
            <m:r>
              <m:t>L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另一端相连，作为输出电压</w:t>
      </w:r>
      <w:r>
        <w:rPr>
          <w:rFonts w:eastAsia="黑体"/>
        </w:rPr>
        <w:t xml:space="preserve"> </w:t>
      </w:r>
      <m:oMath>
        <m:sSub>
          <m:e>
            <m:r>
              <m:t>V</m:t>
            </m:r>
          </m:e>
          <m:sub>
            <m:r>
              <m:t>o</m:t>
            </m:r>
            <m:r>
              <m:t>u</m:t>
            </m:r>
            <m:r>
              <m:t>t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的正端）。</w:t>
      </w:r>
    </w:p>
    <w:p>
      <w:pPr/>
      <w:r>
        <w:rPr>
          <w:rFonts w:hint="eastAsia" w:eastAsia="黑体"/>
        </w:rPr>
        <w:t xml:space="preserve">各元件管脚连接：</w:t>
      </w:r>
      <w:r>
        <w:rPr>
          <w:rFonts w:eastAsia="黑体"/>
          <w:b/>
          <w:bCs/>
        </w:rPr>
        <w:t xml:space="preserve">T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的初级两端接交流输入节点，次级上端接次级上端节点、次级下端接次级下端节点、中心抽头接中心抽头节点（接地）；</w:t>
      </w:r>
      <m:oMath>
        <m:sSub>
          <m:e>
            <m:r>
              <m:t>D</m:t>
            </m:r>
          </m:e>
          <m:sub>
            <m:r>
              <m:t>1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阳极接次级上端节点、阴极接输出节点；</w:t>
      </w:r>
      <m:oMath>
        <m:sSub>
          <m:e>
            <m:r>
              <m:t>D</m:t>
            </m:r>
          </m:e>
          <m:sub>
            <m:r>
              <m:t>2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阳极接次级下端节点、阴极接输出节点；</w:t>
      </w:r>
      <m:oMath>
        <m:sSub>
          <m:e>
            <m:r>
              <m:t>R</m:t>
            </m:r>
          </m:e>
          <m:sub>
            <m:r>
              <m:t>L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一端接输出节点、另一端接中心抽头节点。</w:t>
      </w:r>
    </w:p>
    <w:p>
      <w:pPr/>
      <w:r>
        <w:rPr>
          <w:rFonts w:hint="eastAsia" w:eastAsia="黑体"/>
        </w:rPr>
        <w:t xml:space="preserve">由此构成”变压器副边中心抽头、两二极管分别接副边两端且阴极共接、负载接于输出与中心抽头之间”的中心抽头全波整流组态；正半周</w:t>
      </w:r>
      <w:r>
        <w:rPr>
          <w:rFonts w:eastAsia="黑体"/>
        </w:rPr>
        <w:t xml:space="preserve"> </w:t>
      </w:r>
      <m:oMath>
        <m:sSub>
          <m:e>
            <m:r>
              <m:t>D</m:t>
            </m:r>
          </m:e>
          <m:sub>
            <m:r>
              <m:t>1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导通、负半周</w:t>
      </w:r>
      <w:r>
        <w:rPr>
          <w:rFonts w:eastAsia="黑体"/>
        </w:rPr>
        <w:t xml:space="preserve"> </w:t>
      </w:r>
      <m:oMath>
        <m:sSub>
          <m:e>
            <m:r>
              <m:t>D</m:t>
            </m:r>
          </m:e>
          <m:sub>
            <m:r>
              <m:t>2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导通，两个半周均向负载送同一方向电流，输出直流平均值约为峰值电压的</w:t>
      </w:r>
      <w:r>
        <w:rPr>
          <w:rFonts w:eastAsia="黑体"/>
        </w:rPr>
        <w:t xml:space="preserve"> </w:t>
      </w:r>
      <m:oMath>
        <m:r>
          <m:t>2</m:t>
        </m:r>
        <m:r>
          <m:rPr>
            <m:sty m:val="p"/>
          </m:rPr>
          <m:t>/</m:t>
        </m:r>
        <m:r>
          <m:t>π</m:t>
        </m:r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倍。</w:t>
      </w:r>
    </w:p>
    <w:bookmarkEnd w:id="19"/>
    <w:bookmarkStart w:id="20" w:name="工作原理"/>
    <w:p>
      <w:pPr>
        <w:pStyle w:val="Heading2"/>
      </w:pPr>
      <w:r>
        <w:rPr>
          <w:rFonts w:hint="eastAsia" w:eastAsia="黑体"/>
        </w:rPr>
        <w:t xml:space="preserve">工作原理</w:t>
      </w:r>
    </w:p>
    <w:p>
      <w:pPr>
        <w:pStyle w:val="FirstParagraph"/>
      </w:pPr>
      <w:r>
        <w:rPr>
          <w:rFonts w:hint="eastAsia" w:eastAsia="黑体"/>
        </w:rPr>
        <w:t xml:space="preserve">正半周时上半个绕组感应的电压使</w:t>
      </w:r>
      <w:r>
        <w:rPr>
          <w:rFonts w:eastAsia="黑体"/>
        </w:rPr>
        <w:t xml:space="preserve"> </w:t>
      </w:r>
      <m:oMath>
        <m:sSub>
          <m:e>
            <m:r>
              <m:t>D</m:t>
            </m:r>
          </m:e>
          <m:sub>
            <m:r>
              <m:t>1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导通、</w:t>
      </w:r>
      <m:oMath>
        <m:sSub>
          <m:e>
            <m:r>
              <m:t>D</m:t>
            </m:r>
          </m:e>
          <m:sub>
            <m:r>
              <m:t>2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截止；负半周时</w:t>
      </w:r>
      <w:r>
        <w:rPr>
          <w:rFonts w:eastAsia="黑体"/>
        </w:rPr>
        <w:t xml:space="preserve"> </w:t>
      </w:r>
      <m:oMath>
        <m:sSub>
          <m:e>
            <m:r>
              <m:t>D</m:t>
            </m:r>
          </m:e>
          <m:sub>
            <m:r>
              <m:t>2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导通、</w:t>
      </w:r>
      <m:oMath>
        <m:sSub>
          <m:e>
            <m:r>
              <m:t>D</m:t>
            </m:r>
          </m:e>
          <m:sub>
            <m:r>
              <m:t>1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截止。两半绕组交替工作，使负载在正负半周都得到同一方向的脉动电流，实现全波整流。</w:t>
      </w:r>
    </w:p>
    <w:bookmarkEnd w:id="20"/>
    <w:bookmarkStart w:id="21" w:name="关键计算公式"/>
    <w:p>
      <w:pPr>
        <w:pStyle w:val="Heading2"/>
      </w:pPr>
      <w:r>
        <w:rPr>
          <w:rFonts w:hint="eastAsia" w:eastAsia="黑体"/>
        </w:rPr>
        <w:t xml:space="preserve">关键计算公式</w:t>
      </w:r>
    </w:p>
    <w:p>
      <w:pPr>
        <w:numPr>
          <w:ilvl w:val="0"/>
          <w:numId w:val="1001"/>
        </w:numPr>
      </w:pPr>
      <w:r>
        <w:rPr>
          <w:rFonts w:hint="eastAsia" w:eastAsia="黑体"/>
        </w:rPr>
        <w:t xml:space="preserve">输出平均（直流）电压：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V</m:t>
              </m:r>
            </m:e>
            <m:sub>
              <m:r>
                <m:t>d</m:t>
              </m:r>
              <m:r>
                <m:t>c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2</m:t>
              </m:r>
              <m:sSub>
                <m:e>
                  <m:r>
                    <m:t>V</m:t>
                  </m:r>
                </m:e>
                <m:sub>
                  <m:r>
                    <m:t>m</m:t>
                  </m:r>
                </m:sub>
              </m:sSub>
            </m:num>
            <m:den>
              <m:r>
                <m:t>π</m:t>
              </m:r>
            </m:den>
          </m:f>
          <m:r>
            <m:rPr>
              <m:sty m:val="p"/>
            </m:rPr>
            <m:t>≈</m:t>
          </m:r>
          <m:r>
            <m:t>0.637</m:t>
          </m:r>
          <m:r>
            <m:t> </m:t>
          </m:r>
          <m:sSub>
            <m:e>
              <m:r>
                <m:t>V</m:t>
              </m:r>
            </m:e>
            <m:sub>
              <m:r>
                <m:t>m</m:t>
              </m:r>
            </m:sub>
          </m:sSub>
        </m:oMath>
      </m:oMathPara>
    </w:p>
    <w:p>
      <w:pPr>
        <w:numPr>
          <w:ilvl w:val="0"/>
          <w:numId w:val="1001"/>
        </w:numPr>
      </w:pPr>
      <w:r>
        <w:rPr>
          <w:rFonts w:hint="eastAsia" w:eastAsia="黑体"/>
        </w:rPr>
        <w:t xml:space="preserve">输出平均电流：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I</m:t>
              </m:r>
            </m:e>
            <m:sub>
              <m:r>
                <m:t>d</m:t>
              </m:r>
              <m:r>
                <m:t>c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2</m:t>
              </m:r>
              <m:sSub>
                <m:e>
                  <m:r>
                    <m:t>V</m:t>
                  </m:r>
                </m:e>
                <m:sub>
                  <m:r>
                    <m:t>m</m:t>
                  </m:r>
                </m:sub>
              </m:sSub>
            </m:num>
            <m:den>
              <m:r>
                <m:t>π</m:t>
              </m:r>
              <m:sSub>
                <m:e>
                  <m:r>
                    <m:t>R</m:t>
                  </m:r>
                </m:e>
                <m:sub>
                  <m:r>
                    <m:t>L</m:t>
                  </m:r>
                </m:sub>
              </m:sSub>
            </m:den>
          </m:f>
        </m:oMath>
      </m:oMathPara>
    </w:p>
    <w:p>
      <w:pPr>
        <w:numPr>
          <w:ilvl w:val="0"/>
          <w:numId w:val="1001"/>
        </w:numPr>
      </w:pPr>
      <w:r>
        <w:rPr>
          <w:rFonts w:hint="eastAsia" w:eastAsia="黑体"/>
        </w:rPr>
        <w:t xml:space="preserve">输出有效值：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V</m:t>
              </m:r>
            </m:e>
            <m:sub>
              <m:r>
                <m:t>r</m:t>
              </m:r>
              <m:r>
                <m:t>m</m:t>
              </m:r>
              <m:r>
                <m:t>s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V</m:t>
                  </m:r>
                </m:e>
                <m:sub>
                  <m:r>
                    <m:t>m</m:t>
                  </m:r>
                </m:sub>
              </m:sSub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den>
          </m:f>
        </m:oMath>
      </m:oMathPara>
    </w:p>
    <w:p>
      <w:pPr>
        <w:numPr>
          <w:ilvl w:val="0"/>
          <w:numId w:val="1001"/>
        </w:numPr>
      </w:pPr>
      <w:r>
        <w:rPr>
          <w:rFonts w:hint="eastAsia" w:eastAsia="黑体"/>
        </w:rPr>
        <w:t xml:space="preserve">纹波因数：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r>
            <m:t>γ</m:t>
          </m:r>
          <m:r>
            <m:rPr>
              <m:sty m:val="p"/>
            </m:rPr>
            <m:t>≈</m:t>
          </m:r>
          <m:r>
            <m:t>0.483</m:t>
          </m:r>
        </m:oMath>
      </m:oMathPara>
    </w:p>
    <w:p>
      <w:pPr>
        <w:numPr>
          <w:ilvl w:val="0"/>
          <w:numId w:val="1001"/>
        </w:numPr>
      </w:pPr>
      <w:r>
        <w:rPr>
          <w:rFonts w:hint="eastAsia" w:eastAsia="黑体"/>
        </w:rPr>
        <w:t xml:space="preserve">二极管反向峰值电压：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r>
            <m:t>P</m:t>
          </m:r>
          <m:r>
            <m:t>I</m:t>
          </m:r>
          <m:r>
            <m:t>V</m:t>
          </m:r>
          <m:r>
            <m:rPr>
              <m:sty m:val="p"/>
            </m:rPr>
            <m:t>=</m:t>
          </m:r>
          <m:r>
            <m:t>2</m:t>
          </m:r>
          <m:sSub>
            <m:e>
              <m:r>
                <m:t>V</m:t>
              </m:r>
            </m:e>
            <m:sub>
              <m:r>
                <m:t>m</m:t>
              </m:r>
            </m:sub>
          </m:sSub>
        </m:oMath>
      </m:oMathPara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符号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含义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单位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V</m:t>
                  </m:r>
                </m:e>
                <m:sub>
                  <m:r>
                    <m:t>m</m:t>
                  </m:r>
                </m:sub>
              </m:sSub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副边半绕组峰值电压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V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V</m:t>
                  </m:r>
                </m:e>
                <m:sub>
                  <m:r>
                    <m:t>d</m:t>
                  </m:r>
                  <m:r>
                    <m:t>c</m:t>
                  </m:r>
                </m:sub>
              </m:sSub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输出直流平均电压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V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R</m:t>
                  </m:r>
                </m:e>
                <m:sub>
                  <m:r>
                    <m:t>L</m:t>
                  </m:r>
                </m:sub>
              </m:sSub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负载电阻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Ω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γ</m:t>
              </m:r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纹波因数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P</m:t>
              </m:r>
              <m:r>
                <m:t>I</m:t>
              </m:r>
              <m:r>
                <m:t>V</m:t>
              </m:r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反向峰值电压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V</w:t>
            </w:r>
          </w:p>
        </w:tc>
      </w:tr>
    </w:tbl>
    <w:bookmarkEnd w:id="21"/>
    <w:bookmarkStart w:id="22" w:name="元件调整影响"/>
    <w:p>
      <w:pPr>
        <w:pStyle w:val="Heading2"/>
      </w:pPr>
      <w:r>
        <w:rPr>
          <w:rFonts w:hint="eastAsia" w:eastAsia="黑体"/>
        </w:rPr>
        <w:t xml:space="preserve">元件调整影响</w:t>
      </w:r>
    </w:p>
    <w:p>
      <w:pPr>
        <w:pStyle w:val="Compact"/>
        <w:numPr>
          <w:ilvl w:val="0"/>
          <w:numId w:val="1002"/>
        </w:numPr>
      </w:pPr>
      <m:oMath>
        <m:sSub>
          <m:e>
            <m:r>
              <m:t>R</m:t>
            </m:r>
          </m:e>
          <m:sub>
            <m:r>
              <m:t>L</m:t>
            </m:r>
          </m:sub>
        </m:sSub>
      </m:oMath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增大</w:t>
      </w:r>
      <w:r>
        <w:rPr>
          <w:rFonts w:eastAsia="黑体"/>
        </w:rPr>
        <w:t xml:space="preserve"> </w:t>
      </w:r>
      <w:r>
        <w:rPr>
          <w:rFonts w:eastAsia="黑体"/>
        </w:rPr>
        <w:t xml:space="preserve">→ </w:t>
      </w:r>
      <w:r>
        <w:rPr>
          <w:rFonts w:hint="eastAsia" w:eastAsia="黑体"/>
        </w:rPr>
        <w:t xml:space="preserve">输出电流减小，直流平均值基本不变。</w:t>
      </w:r>
    </w:p>
    <w:p>
      <w:pPr>
        <w:pStyle w:val="Compact"/>
        <w:numPr>
          <w:ilvl w:val="0"/>
          <w:numId w:val="1002"/>
        </w:numPr>
      </w:pPr>
      <w:r>
        <w:rPr>
          <w:rFonts w:hint="eastAsia" w:eastAsia="黑体"/>
          <w:b/>
          <w:bCs/>
        </w:rPr>
        <w:t xml:space="preserve">副边电压</w:t>
      </w:r>
      <w:r>
        <w:rPr>
          <w:rFonts w:eastAsia="黑体"/>
          <w:b/>
          <w:bCs/>
        </w:rPr>
        <w:t xml:space="preserve"> </w:t>
      </w:r>
      <m:oMath>
        <m:sSub>
          <m:e>
            <m:r>
              <m:t>V</m:t>
            </m:r>
          </m:e>
          <m:sub>
            <m:r>
              <m:t>m</m:t>
            </m:r>
          </m:sub>
        </m:sSub>
      </m:oMath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增大</w:t>
      </w:r>
      <w:r>
        <w:rPr>
          <w:rFonts w:eastAsia="黑体"/>
        </w:rPr>
        <w:t xml:space="preserve"> </w:t>
      </w:r>
      <w:r>
        <w:rPr>
          <w:rFonts w:eastAsia="黑体"/>
        </w:rPr>
        <w:t xml:space="preserve">→</w:t>
      </w:r>
      <w:r>
        <w:rPr>
          <w:rFonts w:eastAsia="黑体"/>
        </w:rPr>
        <w:t xml:space="preserve"> </w:t>
      </w:r>
      <m:oMath>
        <m:sSub>
          <m:e>
            <m:r>
              <m:t>V</m:t>
            </m:r>
          </m:e>
          <m:sub>
            <m:r>
              <m:t>d</m:t>
            </m:r>
            <m:r>
              <m:t>c</m:t>
            </m:r>
          </m:sub>
        </m:sSub>
      </m:oMath>
      <w:r>
        <w:rPr>
          <w:rFonts w:eastAsia="黑体"/>
        </w:rPr>
        <w:t xml:space="preserve">、</w:t>
      </w:r>
      <m:oMath>
        <m:sSub>
          <m:e>
            <m:r>
              <m:t>I</m:t>
            </m:r>
          </m:e>
          <m:sub>
            <m:r>
              <m:t>d</m:t>
            </m:r>
            <m:r>
              <m:t>c</m:t>
            </m:r>
          </m:sub>
        </m:sSub>
      </m:oMath>
      <w:r>
        <w:rPr>
          <w:rFonts w:eastAsia="黑体"/>
        </w:rPr>
        <w:t xml:space="preserve">、PIV </w:t>
      </w:r>
      <w:r>
        <w:rPr>
          <w:rFonts w:hint="eastAsia" w:eastAsia="黑体"/>
        </w:rPr>
        <w:t xml:space="preserve">成比例增大。</w:t>
      </w:r>
    </w:p>
    <w:p>
      <w:pPr>
        <w:pStyle w:val="Compact"/>
        <w:numPr>
          <w:ilvl w:val="0"/>
          <w:numId w:val="1002"/>
        </w:numPr>
      </w:pPr>
      <w:r>
        <w:rPr>
          <w:rFonts w:eastAsia="黑体"/>
        </w:rPr>
        <w:t xml:space="preserve">PIV </w:t>
      </w:r>
      <w:r>
        <w:rPr>
          <w:rFonts w:hint="eastAsia" w:eastAsia="黑体"/>
        </w:rPr>
        <w:t xml:space="preserve">为</w:t>
      </w:r>
      <w:r>
        <w:rPr>
          <w:rFonts w:eastAsia="黑体"/>
        </w:rPr>
        <w:t xml:space="preserve"> </w:t>
      </w:r>
      <m:oMath>
        <m:r>
          <m:t>2</m:t>
        </m:r>
        <m:sSub>
          <m:e>
            <m:r>
              <m:t>V</m:t>
            </m:r>
          </m:e>
          <m:sub>
            <m:r>
              <m:t>m</m:t>
            </m:r>
          </m:sub>
        </m:sSub>
      </m:oMath>
      <w:r>
        <w:rPr>
          <w:rFonts w:hint="eastAsia" w:eastAsia="黑体"/>
        </w:rPr>
        <w:t xml:space="preserve">，是桥式（</w:t>
      </w:r>
      <m:oMath>
        <m:sSub>
          <m:e>
            <m:r>
              <m:t>V</m:t>
            </m:r>
          </m:e>
          <m:sub>
            <m:r>
              <m:t>m</m:t>
            </m:r>
          </m:sub>
        </m:sSub>
      </m:oMath>
      <w:r>
        <w:rPr>
          <w:rFonts w:hint="eastAsia" w:eastAsia="黑体"/>
        </w:rPr>
        <w:t xml:space="preserve">）的两倍，二极管耐压要求更高。</w:t>
      </w:r>
    </w:p>
    <w:p>
      <w:pPr>
        <w:pStyle w:val="Compact"/>
        <w:numPr>
          <w:ilvl w:val="0"/>
          <w:numId w:val="1002"/>
        </w:numPr>
      </w:pPr>
      <w:r>
        <w:rPr>
          <w:rFonts w:hint="eastAsia" w:eastAsia="黑体"/>
        </w:rPr>
        <w:t xml:space="preserve">变压器副边需中心抽头，两半绕组严格对称以抑制纹波。</w:t>
      </w:r>
    </w:p>
    <w:bookmarkEnd w:id="22"/>
    <w:bookmarkStart w:id="23" w:name="典型参数示例"/>
    <w:p>
      <w:pPr>
        <w:pStyle w:val="Heading2"/>
      </w:pPr>
      <w:r>
        <w:rPr>
          <w:rFonts w:hint="eastAsia" w:eastAsia="黑体"/>
        </w:rPr>
        <w:t xml:space="preserve">典型参数示例</w:t>
      </w:r>
    </w:p>
    <w:p>
      <w:pPr>
        <w:pStyle w:val="Compact"/>
        <w:numPr>
          <w:ilvl w:val="0"/>
          <w:numId w:val="1003"/>
        </w:numPr>
      </w:pPr>
      <w:r>
        <w:rPr>
          <w:rFonts w:hint="eastAsia" w:eastAsia="黑体"/>
        </w:rPr>
        <w:t xml:space="preserve">取</w:t>
      </w:r>
      <w:r>
        <w:rPr>
          <w:rFonts w:eastAsia="黑体"/>
        </w:rPr>
        <w:t xml:space="preserve"> </w:t>
      </w:r>
      <m:oMath>
        <m:sSub>
          <m:e>
            <m:r>
              <m:t>V</m:t>
            </m:r>
          </m:e>
          <m:sub>
            <m:r>
              <m:t>m</m:t>
            </m:r>
          </m:sub>
        </m:sSub>
        <m:r>
          <m:rPr>
            <m:sty m:val="p"/>
          </m:rPr>
          <m:t>=</m:t>
        </m:r>
        <m:r>
          <m:t>17</m:t>
        </m:r>
        <m:r>
          <m:t> </m:t>
        </m:r>
        <m:r>
          <m:rPr>
            <m:nor/>
            <m:sty m:val="p"/>
          </m:rPr>
          <m:t>V</m:t>
        </m:r>
      </m:oMath>
      <w:r>
        <w:rPr>
          <w:rFonts w:hint="eastAsia" w:eastAsia="黑体"/>
        </w:rPr>
        <w:t xml:space="preserve">（半绕组峰值）、</w:t>
      </w:r>
      <m:oMath>
        <m:sSub>
          <m:e>
            <m:r>
              <m:t>R</m:t>
            </m:r>
          </m:e>
          <m:sub>
            <m:r>
              <m:t>L</m:t>
            </m:r>
          </m:sub>
        </m:sSub>
        <m:r>
          <m:rPr>
            <m:sty m:val="p"/>
          </m:rPr>
          <m:t>=</m:t>
        </m:r>
        <m:r>
          <m:t>1</m:t>
        </m:r>
        <m:r>
          <m:t> </m:t>
        </m:r>
        <m:r>
          <m:rPr>
            <m:nor/>
            <m:sty m:val="p"/>
          </m:rPr>
          <m:t>kΩ</m:t>
        </m:r>
      </m:oMath>
      <w:r>
        <w:rPr>
          <w:rFonts w:hint="eastAsia" w:eastAsia="黑体"/>
        </w:rPr>
        <w:t xml:space="preserve">：</w:t>
      </w:r>
      <m:oMath>
        <m:sSub>
          <m:e>
            <m:r>
              <m:t>V</m:t>
            </m:r>
          </m:e>
          <m:sub>
            <m:r>
              <m:t>d</m:t>
            </m:r>
            <m:r>
              <m:t>c</m:t>
            </m:r>
          </m:sub>
        </m:sSub>
        <m:r>
          <m:rPr>
            <m:sty m:val="p"/>
          </m:rPr>
          <m:t>=</m:t>
        </m:r>
        <m:r>
          <m:t>2</m:t>
        </m:r>
        <m:r>
          <m:rPr>
            <m:sty m:val="p"/>
          </m:rPr>
          <m:t>×</m:t>
        </m:r>
        <m:r>
          <m:t>17</m:t>
        </m:r>
        <m:r>
          <m:rPr>
            <m:sty m:val="p"/>
          </m:rPr>
          <m:t>/</m:t>
        </m:r>
        <m:r>
          <m:t>π</m:t>
        </m:r>
        <m:r>
          <m:rPr>
            <m:sty m:val="p"/>
          </m:rPr>
          <m:t>≈</m:t>
        </m:r>
        <m:r>
          <m:t>10.82</m:t>
        </m:r>
        <m:r>
          <m:t> </m:t>
        </m:r>
        <m:r>
          <m:rPr>
            <m:nor/>
            <m:sty m:val="p"/>
          </m:rPr>
          <m:t>V</m:t>
        </m:r>
      </m:oMath>
      <w:r>
        <w:rPr>
          <w:rFonts w:hint="eastAsia" w:eastAsia="黑体"/>
        </w:rPr>
        <w:t xml:space="preserve">，</w:t>
      </w:r>
      <m:oMath>
        <m:sSub>
          <m:e>
            <m:r>
              <m:t>I</m:t>
            </m:r>
          </m:e>
          <m:sub>
            <m:r>
              <m:t>d</m:t>
            </m:r>
            <m:r>
              <m:t>c</m:t>
            </m:r>
          </m:sub>
        </m:sSub>
        <m:r>
          <m:rPr>
            <m:sty m:val="p"/>
          </m:rPr>
          <m:t>≈</m:t>
        </m:r>
        <m:r>
          <m:t>10.82</m:t>
        </m:r>
        <m:r>
          <m:t> </m:t>
        </m:r>
        <m:r>
          <m:rPr>
            <m:nor/>
            <m:sty m:val="p"/>
          </m:rPr>
          <m:t>mA</m:t>
        </m:r>
      </m:oMath>
      <w:r>
        <w:rPr>
          <w:rFonts w:eastAsia="黑体"/>
        </w:rPr>
        <w:t xml:space="preserve">。</w:t>
      </w:r>
    </w:p>
    <w:p>
      <w:pPr>
        <w:pStyle w:val="Compact"/>
        <w:numPr>
          <w:ilvl w:val="0"/>
          <w:numId w:val="1003"/>
        </w:numPr>
      </w:pPr>
      <w:r>
        <w:rPr>
          <w:rFonts w:hint="eastAsia" w:eastAsia="黑体"/>
        </w:rPr>
        <w:t xml:space="preserve">取</w:t>
      </w:r>
      <w:r>
        <w:rPr>
          <w:rFonts w:eastAsia="黑体"/>
        </w:rPr>
        <w:t xml:space="preserve"> </w:t>
      </w:r>
      <m:oMath>
        <m:sSub>
          <m:e>
            <m:r>
              <m:t>V</m:t>
            </m:r>
          </m:e>
          <m:sub>
            <m:r>
              <m:t>m</m:t>
            </m:r>
          </m:sub>
        </m:sSub>
        <m:r>
          <m:rPr>
            <m:sty m:val="p"/>
          </m:rPr>
          <m:t>=</m:t>
        </m:r>
        <m:r>
          <m:t>17</m:t>
        </m:r>
        <m:r>
          <m:t> </m:t>
        </m:r>
        <m:r>
          <m:rPr>
            <m:nor/>
            <m:sty m:val="p"/>
          </m:rPr>
          <m:t>V</m:t>
        </m:r>
      </m:oMath>
      <w:r>
        <w:rPr>
          <w:rFonts w:hint="eastAsia" w:eastAsia="黑体"/>
        </w:rPr>
        <w:t xml:space="preserve">：二极管</w:t>
      </w:r>
      <w:r>
        <w:rPr>
          <w:rFonts w:eastAsia="黑体"/>
        </w:rPr>
        <w:t xml:space="preserve"> PIV = 34 </w:t>
      </w:r>
      <w:r>
        <w:rPr>
          <w:rFonts w:hint="eastAsia" w:eastAsia="黑体"/>
        </w:rPr>
        <w:t xml:space="preserve">V，选反向耐压</w:t>
      </w:r>
      <w:r>
        <w:rPr>
          <w:rFonts w:eastAsia="黑体"/>
        </w:rPr>
        <w:t xml:space="preserve"> ≥ 100 V </w:t>
      </w:r>
      <w:r>
        <w:rPr>
          <w:rFonts w:hint="eastAsia" w:eastAsia="黑体"/>
        </w:rPr>
        <w:t xml:space="preserve">的二极管。</w:t>
      </w:r>
    </w:p>
    <w:bookmarkEnd w:id="23"/>
    <w:bookmarkStart w:id="24" w:name="常见器件型号"/>
    <w:p>
      <w:pPr>
        <w:pStyle w:val="Heading2"/>
      </w:pPr>
      <w:r>
        <w:rPr>
          <w:rFonts w:hint="eastAsia" w:eastAsia="黑体"/>
        </w:rPr>
        <w:t xml:space="preserve">常见器件型号</w:t>
      </w:r>
    </w:p>
    <w:p>
      <w:pPr>
        <w:pStyle w:val="Compact"/>
        <w:numPr>
          <w:ilvl w:val="0"/>
          <w:numId w:val="1004"/>
        </w:numPr>
      </w:pPr>
      <w:r>
        <w:rPr>
          <w:rFonts w:hint="eastAsia" w:eastAsia="黑体"/>
        </w:rPr>
        <w:t xml:space="preserve">二极管：1N4007、1N5408、MUR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系列、共阴极双二极管</w:t>
      </w:r>
      <w:r>
        <w:rPr>
          <w:rFonts w:eastAsia="黑体"/>
        </w:rPr>
        <w:t xml:space="preserve"> MBR </w:t>
      </w:r>
      <w:r>
        <w:rPr>
          <w:rFonts w:hint="eastAsia" w:eastAsia="黑体"/>
        </w:rPr>
        <w:t xml:space="preserve">系列。</w:t>
      </w:r>
    </w:p>
    <w:p>
      <w:pPr>
        <w:pStyle w:val="Compact"/>
        <w:numPr>
          <w:ilvl w:val="0"/>
          <w:numId w:val="1004"/>
        </w:numPr>
      </w:pPr>
      <w:r>
        <w:rPr>
          <w:rFonts w:hint="eastAsia" w:eastAsia="黑体"/>
        </w:rPr>
        <w:t xml:space="preserve">变压器：带中心抽头的工频变压器（定制或标准品）。</w:t>
      </w:r>
    </w:p>
    <w:p>
      <w:pPr>
        <w:pStyle w:val="Compact"/>
        <w:numPr>
          <w:ilvl w:val="0"/>
          <w:numId w:val="1004"/>
        </w:numPr>
      </w:pPr>
      <w:r>
        <w:rPr>
          <w:rFonts w:hint="eastAsia" w:eastAsia="黑体"/>
        </w:rPr>
        <w:t xml:space="preserve">常用：按需选型。</w:t>
      </w:r>
    </w:p>
    <w:bookmarkEnd w:id="24"/>
    <w:bookmarkStart w:id="25" w:name="注意事项"/>
    <w:p>
      <w:pPr>
        <w:pStyle w:val="Heading2"/>
      </w:pPr>
      <w:r>
        <w:rPr>
          <w:rFonts w:hint="eastAsia" w:eastAsia="黑体"/>
        </w:rPr>
        <w:t xml:space="preserve">注意事项</w:t>
      </w:r>
    </w:p>
    <w:p>
      <w:pPr>
        <w:pStyle w:val="Compact"/>
        <w:numPr>
          <w:ilvl w:val="0"/>
          <w:numId w:val="1005"/>
        </w:numPr>
      </w:pPr>
      <w:r>
        <w:rPr>
          <w:rFonts w:hint="eastAsia" w:eastAsia="黑体"/>
        </w:rPr>
        <w:t xml:space="preserve">二极管反向耐压须</w:t>
      </w:r>
      <w:r>
        <w:rPr>
          <w:rFonts w:eastAsia="黑体"/>
        </w:rPr>
        <w:t xml:space="preserve"> ≥</w:t>
      </w:r>
      <w:r>
        <w:rPr>
          <w:rFonts w:eastAsia="黑体"/>
        </w:rPr>
        <w:t xml:space="preserve"> </w:t>
      </w:r>
      <m:oMath>
        <m:r>
          <m:t>2</m:t>
        </m:r>
        <m:sSub>
          <m:e>
            <m:r>
              <m:t>V</m:t>
            </m:r>
          </m:e>
          <m:sub>
            <m:r>
              <m:t>m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并留裕量。</w:t>
      </w:r>
    </w:p>
    <w:p>
      <w:pPr>
        <w:pStyle w:val="Compact"/>
        <w:numPr>
          <w:ilvl w:val="0"/>
          <w:numId w:val="1005"/>
        </w:numPr>
      </w:pPr>
      <w:r>
        <w:rPr>
          <w:rFonts w:hint="eastAsia" w:eastAsia="黑体"/>
        </w:rPr>
        <w:t xml:space="preserve">变压器副边中心抽头两绕组需对称，否则输出含不平衡纹波。</w:t>
      </w:r>
    </w:p>
    <w:p>
      <w:pPr>
        <w:pStyle w:val="Compact"/>
        <w:numPr>
          <w:ilvl w:val="0"/>
          <w:numId w:val="1005"/>
        </w:numPr>
      </w:pPr>
      <w:r>
        <w:rPr>
          <w:rFonts w:hint="eastAsia" w:eastAsia="黑体"/>
        </w:rPr>
        <w:t xml:space="preserve">每个二极管只承受半个周期电流，利用率低于独立全波。</w:t>
      </w:r>
    </w:p>
    <w:p>
      <w:pPr>
        <w:pStyle w:val="Compact"/>
        <w:numPr>
          <w:ilvl w:val="0"/>
          <w:numId w:val="1005"/>
        </w:numPr>
      </w:pPr>
      <w:r>
        <w:rPr>
          <w:rFonts w:hint="eastAsia" w:eastAsia="黑体"/>
        </w:rPr>
        <w:t xml:space="preserve">相比桥式，少两个二极管、压降更小，但变压器更复杂。</w:t>
      </w:r>
    </w:p>
    <w:bookmarkEnd w:id="25"/>
    <w:bookmarkStart w:id="26" w:name="参考资料"/>
    <w:p>
      <w:pPr>
        <w:pStyle w:val="Heading2"/>
      </w:pPr>
      <w:r>
        <w:rPr>
          <w:rFonts w:hint="eastAsia" w:eastAsia="黑体"/>
        </w:rPr>
        <w:t xml:space="preserve">参考资料</w:t>
      </w:r>
    </w:p>
    <w:p>
      <w:pPr>
        <w:pStyle w:val="Compact"/>
        <w:numPr>
          <w:ilvl w:val="0"/>
          <w:numId w:val="1006"/>
        </w:numPr>
      </w:pPr>
      <w:r>
        <w:rPr>
          <w:rFonts w:eastAsia="黑体"/>
        </w:rPr>
        <w:t xml:space="preserve">Wikipedia: Rectifier / Full-wave rectifier。</w:t>
      </w:r>
    </w:p>
    <w:p>
      <w:pPr>
        <w:pStyle w:val="Compact"/>
        <w:numPr>
          <w:ilvl w:val="0"/>
          <w:numId w:val="1006"/>
        </w:numPr>
      </w:pPr>
      <w:r>
        <w:rPr>
          <w:rFonts w:hint="eastAsia" w:eastAsia="黑体"/>
        </w:rPr>
        <w:t xml:space="preserve">《模拟电子技术基础》（童诗白、华成英）。</w:t>
      </w:r>
    </w:p>
    <w:bookmarkEnd w:id="26"/>
    <w:bookmarkEnd w:id="27"/>
    <w:p>
      <w:pPr>
        <w:spacing w:before="360"/>
        <w:jc w:val="center"/>
      </w:pPr>
      <w:r>
        <w:rPr>
          <w:rFonts w:ascii="Times New Roman" w:hAnsi="Times New Roman" w:eastAsia="黑体"/>
          <w:color w:val="555555"/>
          <w:sz w:val="21"/>
        </w:rPr>
        <w:t>材料收集者：杜文杰，WX手机：19519196569，QQ:3478827729</w:t>
      </w:r>
    </w:p>
    <w:sectPr w:rsidR="00FC693F" w:rsidRPr="0006063C" w:rsidSect="00034616">
      <w:headerReference r:id="rId9" w:type="default"/>
      <w:footerReference r:id="rId10" w:type="default"/>
      <w:pgSz w:h="16838" w:w="11906"/>
      <w:pgMar w:bottom="1134" w:footer="720" w:gutter="0" w:header="720" w:left="1361" w:right="1361" w:top="1247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c="http://schemas.openxmlformats.org/markup-compatibility/2006" xmlns:w="http://schemas.openxmlformats.org/wordprocessingml/2006/main" xmlns:m="http://schemas.openxmlformats.org/officeDocument/2006/math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eastAsia="黑体"/>
        <w:sz w:val="18"/>
      </w:rPr>
      <w:t xml:space="preserve">第 </w:t>
    </w:r>
    <w:r>
      <w:rPr>
        <w:rFonts w:eastAsia="黑体"/>
        <w:sz w:val="18"/>
      </w:rPr>
      <w:fldChar w:fldCharType="begin"/>
      <w:instrText xml:space="preserve">PAGE</w:instrText>
      <w:fldChar w:fldCharType="end"/>
    </w:r>
    <w:r>
      <w:rPr>
        <w:rFonts w:eastAsia="黑体"/>
        <w:sz w:val="18"/>
      </w:rPr>
      <w:t xml:space="preserve"> 页</w:t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rPr>
          <w:rFonts w:eastAsia="黑体"/>
        </w:rPr>
        <w:continuationSeparator/>
      </w:r>
    </w:p>
  </w:footnote>
  <w:footnote w:type="separator" w:id="-1">
    <w:p>
      <w:r>
        <w:rPr>
          <w:rFonts w:eastAsia="黑体"/>
        </w:rPr>
        <w:separator/>
      </w:r>
    </w:p>
  </w:footnote>
</w:footnotes>
</file>

<file path=word/header1.xml><?xml version="1.0" encoding="utf-8"?>
<w:hdr xmlns:mc="http://schemas.openxmlformats.org/markup-compatibility/2006" xmlns:w="http://schemas.openxmlformats.org/wordprocessingml/2006/main" xmlns:m="http://schemas.openxmlformats.org/officeDocument/2006/math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center"/>
    </w:pPr>
    <w:r>
      <w:rPr>
        <w:rFonts w:ascii="Times New Roman" w:hAnsi="Times New Roman" w:eastAsia="黑体"/>
        <w:sz w:val="18"/>
        <w:rFonts w:eastAsia="黑体"/>
        <w:rFonts w:eastAsia="黑体"/>
      </w:rPr>
      <w:t>全波整流电路</w:t>
    </w:r>
  </w:p>
</w:hdr>
</file>

<file path=word/numbering.xml><?xml version="1.0" encoding="utf-8"?>
<w:numbering xmlns:mc="http://schemas.openxmlformats.org/markup-compatibility/2006" xmlns:w="http://schemas.openxmlformats.org/wordprocessingml/2006/main" xmlns:m="http://schemas.openxmlformats.org/officeDocument/2006/math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 w:eastAsia="黑体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 w:eastAsia="黑体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 w:eastAsia="黑体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 w:eastAsia="黑体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 w:eastAsia="黑体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 w:eastAsia="黑体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 w:eastAsia="黑体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 w:eastAsia="黑体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 w:eastAsia="黑体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 w:eastAsia="黑体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 w:eastAsia="黑体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 w:eastAsia="黑体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 w:eastAsia="黑体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w="http://schemas.openxmlformats.org/wordprocessingml/2006/main" xmlns:r="http://schemas.openxmlformats.org/officeDocument/2006/relationships" xmlns:w14="http://schemas.microsoft.com/office/word/2010/wordml" mc:Ignorable="w14">
  <w:docDefaults>
    <w:rPrDefault>
      <w:rPr>
        <w:rFonts w:asciiTheme="minorHAnsi" w:cstheme="minorBidi" w:hAnsiTheme="minorHAnsi" w:eastAsia="黑体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pPr>
      <w:spacing w:after="80" w:line="300" w:lineRule="auto"/>
    </w:pPr>
    <w:rPr>
      <w:rFonts w:ascii="Times New Roman" w:eastAsia="黑体" w:hAnsi="Times New Roman"/>
      <w:sz w:val="22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160" w:before="280"/>
      <w:outlineLvl w:val="0"/>
    </w:pPr>
    <w:rPr>
      <w:rFonts w:ascii="Times New Roman" w:asciiTheme="majorHAnsi" w:cstheme="majorBidi" w:eastAsia="黑体" w:hAnsi="Times New Roman" w:hAnsiTheme="majorHAnsi"/>
      <w:b/>
      <w:bCs/>
      <w:color w:val="1F3864"/>
      <w:sz w:val="32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120" w:before="240"/>
      <w:outlineLvl w:val="1"/>
    </w:pPr>
    <w:rPr>
      <w:rFonts w:ascii="Times New Roman" w:asciiTheme="majorHAnsi" w:cstheme="majorBidi" w:eastAsia="黑体" w:hAnsi="Times New Roman" w:hAnsiTheme="majorHAnsi"/>
      <w:b/>
      <w:bCs/>
      <w:color w:val="2E4E7E"/>
      <w:sz w:val="28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120" w:before="200"/>
      <w:outlineLvl w:val="2"/>
    </w:pPr>
    <w:rPr>
      <w:rFonts w:ascii="Times New Roman" w:asciiTheme="majorHAnsi" w:cstheme="majorBidi" w:eastAsia="黑体" w:hAnsi="Times New Roman" w:hAnsiTheme="majorHAnsi"/>
      <w:b/>
      <w:bCs/>
      <w:color w:val="2E4E7E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80" w:before="160"/>
      <w:outlineLvl w:val="3"/>
    </w:pPr>
    <w:rPr>
      <w:rFonts w:ascii="Times New Roman" w:asciiTheme="majorHAnsi" w:cstheme="majorBidi" w:eastAsia="黑体" w:hAnsi="Times New Roman" w:hAnsiTheme="majorHAnsi"/>
      <w:b/>
      <w:bCs/>
      <w:i/>
      <w:iCs/>
      <w:color w:val="333333"/>
      <w:sz w:val="22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60" w:before="120"/>
      <w:outlineLvl w:val="4"/>
    </w:pPr>
    <w:rPr>
      <w:rFonts w:ascii="Times New Roman" w:asciiTheme="majorHAnsi" w:cstheme="majorBidi" w:eastAsia="黑体" w:hAnsi="Times New Roman" w:hAnsiTheme="majorHAnsi"/>
      <w:b/>
      <w:color w:val="333333"/>
      <w:sz w:val="22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hAnsiTheme="majorHAnsi" w:eastAsia="黑体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hAnsiTheme="majorHAnsi" w:eastAsia="黑体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hAnsiTheme="majorHAnsi" w:eastAsia="黑体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hAnsiTheme="majorHAnsi" w:eastAsia="黑体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hAnsiTheme="majorHAnsi" w:eastAsia="黑体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hAnsiTheme="majorHAnsi" w:eastAsia="黑体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hAnsiTheme="majorHAnsi" w:eastAsia="黑体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keepNext/>
      <w:pBdr>
        <w:bottom w:color="4F81BD" w:space="4" w:sz="8" w:themeColor="accent1" w:val="single"/>
      </w:pBdr>
      <w:spacing w:after="160" w:before="280" w:line="240" w:lineRule="auto"/>
      <w:contextualSpacing/>
    </w:pPr>
    <w:rPr>
      <w:rFonts w:ascii="Times New Roman" w:asciiTheme="majorHAnsi" w:cstheme="majorBidi" w:eastAsia="黑体" w:hAnsi="Times New Roman" w:hAnsiTheme="majorHAnsi"/>
      <w:b/>
      <w:color w:val="1F3864"/>
      <w:spacing w:val="5"/>
      <w:kern w:val="28"/>
      <w:sz w:val="44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hAnsiTheme="majorHAnsi" w:eastAsia="黑体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hAnsiTheme="majorHAnsi" w:eastAsia="黑体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hAnsiTheme="majorHAnsi" w:eastAsia="黑体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rFonts w:eastAsia="黑体"/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rFonts w:eastAsia="黑体"/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 w:eastAsia="黑体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 w:eastAsia="黑体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pPr>
      <w:pBdr>
        <w:left w:color="2E4E7E" w:space="6" w:sz="12" w:val="single"/>
      </w:pBdr>
      <w:shd w:fill="F2F7FD" w:val="clear"/>
      <w:spacing w:after="40" w:before="40"/>
      <w:ind w:left="170" w:right="170"/>
    </w:pPr>
    <w:rPr>
      <w:rFonts w:ascii="Times New Roman" w:eastAsia="黑体" w:hAnsi="Times New Roman"/>
      <w:i/>
      <w:iCs/>
      <w:color w:themeColor="text1" w:val="000000"/>
      <w:sz w:val="21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rFonts w:eastAsia="黑体"/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hAnsiTheme="majorHAnsi" w:eastAsia="黑体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hAnsiTheme="majorHAnsi" w:eastAsia="黑体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hAnsiTheme="majorHAnsi" w:eastAsia="黑体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hAnsiTheme="majorHAnsi" w:eastAsia="黑体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hAnsiTheme="majorHAnsi" w:eastAsia="黑体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hAnsiTheme="majorHAnsi" w:eastAsia="黑体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rFonts w:eastAsia="黑体"/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rFonts w:eastAsia="黑体"/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rFonts w:eastAsia="黑体"/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rFonts w:eastAsia="黑体"/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rFonts w:eastAsia="黑体"/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rFonts w:eastAsia="黑体"/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rFonts w:eastAsia="黑体"/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rFonts w:eastAsia="黑体"/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rFonts w:eastAsia="黑体"/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rFonts w:eastAsia="黑体"/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rFonts w:eastAsia="黑体"/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rFonts w:eastAsia="黑体"/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rFonts w:eastAsia="黑体"/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rFonts w:eastAsia="黑体"/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rFonts w:eastAsia="黑体"/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rFonts w:eastAsia="黑体"/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rFonts w:eastAsia="黑体"/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rFonts w:eastAsia="黑体"/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rFonts w:eastAsia="黑体"/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rFonts w:eastAsia="黑体"/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rFonts w:eastAsia="黑体"/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rFonts w:eastAsia="黑体"/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rFonts w:eastAsia="黑体"/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rFonts w:eastAsia="黑体"/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rFonts w:eastAsia="黑体"/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rFonts w:eastAsia="黑体"/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rFonts w:eastAsia="黑体"/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rFonts w:eastAsia="黑体"/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rFonts w:eastAsia="黑体"/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rFonts w:eastAsia="黑体"/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rFonts w:eastAsia="黑体"/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rFonts w:eastAsia="黑体"/>
      <w:b/>
      <w:color w:val="007020"/>
    </w:rPr>
  </w:style>
  <w:style w:type="character" w:customStyle="1" w:styleId="DataTypeTok">
    <w:name w:val="DataTypeTok"/>
    <w:basedOn w:val="VerbatimChar"/>
    <w:rPr>
      <w:rFonts w:eastAsia="黑体"/>
      <w:color w:val="902000"/>
    </w:rPr>
  </w:style>
  <w:style w:type="character" w:customStyle="1" w:styleId="DecValTok">
    <w:name w:val="DecValTok"/>
    <w:basedOn w:val="VerbatimChar"/>
    <w:rPr>
      <w:rFonts w:eastAsia="黑体"/>
      <w:color w:val="40a070"/>
    </w:rPr>
  </w:style>
  <w:style w:type="character" w:customStyle="1" w:styleId="BaseNTok">
    <w:name w:val="BaseNTok"/>
    <w:basedOn w:val="VerbatimChar"/>
    <w:rPr>
      <w:rFonts w:eastAsia="黑体"/>
      <w:color w:val="40a070"/>
    </w:rPr>
  </w:style>
  <w:style w:type="character" w:customStyle="1" w:styleId="FloatTok">
    <w:name w:val="FloatTok"/>
    <w:basedOn w:val="VerbatimChar"/>
    <w:rPr>
      <w:rFonts w:eastAsia="黑体"/>
      <w:color w:val="40a070"/>
    </w:rPr>
  </w:style>
  <w:style w:type="character" w:customStyle="1" w:styleId="ConstantTok">
    <w:name w:val="ConstantTok"/>
    <w:basedOn w:val="VerbatimChar"/>
    <w:rPr>
      <w:rFonts w:eastAsia="黑体"/>
      <w:color w:val="880000"/>
    </w:rPr>
  </w:style>
  <w:style w:type="character" w:customStyle="1" w:styleId="CharTok">
    <w:name w:val="CharTok"/>
    <w:basedOn w:val="VerbatimChar"/>
    <w:rPr>
      <w:rFonts w:eastAsia="黑体"/>
      <w:color w:val="4070a0"/>
    </w:rPr>
  </w:style>
  <w:style w:type="character" w:customStyle="1" w:styleId="SpecialCharTok">
    <w:name w:val="SpecialCharTok"/>
    <w:basedOn w:val="VerbatimChar"/>
    <w:rPr>
      <w:rFonts w:eastAsia="黑体"/>
      <w:color w:val="4070a0"/>
    </w:rPr>
  </w:style>
  <w:style w:type="character" w:customStyle="1" w:styleId="StringTok">
    <w:name w:val="StringTok"/>
    <w:basedOn w:val="VerbatimChar"/>
    <w:rPr>
      <w:rFonts w:eastAsia="黑体"/>
      <w:color w:val="4070a0"/>
    </w:rPr>
  </w:style>
  <w:style w:type="character" w:customStyle="1" w:styleId="VerbatimStringTok">
    <w:name w:val="VerbatimStringTok"/>
    <w:basedOn w:val="VerbatimChar"/>
    <w:rPr>
      <w:rFonts w:eastAsia="黑体"/>
      <w:color w:val="4070a0"/>
    </w:rPr>
  </w:style>
  <w:style w:type="character" w:customStyle="1" w:styleId="SpecialStringTok">
    <w:name w:val="SpecialStringTok"/>
    <w:basedOn w:val="VerbatimChar"/>
    <w:rPr>
      <w:rFonts w:eastAsia="黑体"/>
      <w:color w:val="bb6688"/>
    </w:rPr>
  </w:style>
  <w:style w:type="character" w:customStyle="1" w:styleId="ImportTok">
    <w:name w:val="ImportTok"/>
    <w:basedOn w:val="VerbatimChar"/>
    <w:rPr>
      <w:rFonts w:eastAsia="黑体"/>
      <w:b/>
      <w:color w:val="008000"/>
    </w:rPr>
  </w:style>
  <w:style w:type="character" w:customStyle="1" w:styleId="CommentTok">
    <w:name w:val="CommentTok"/>
    <w:basedOn w:val="VerbatimChar"/>
    <w:rPr>
      <w:rFonts w:eastAsia="黑体"/>
      <w:i/>
      <w:color w:val="60a0b0"/>
    </w:rPr>
  </w:style>
  <w:style w:type="character" w:customStyle="1" w:styleId="DocumentationTok">
    <w:name w:val="DocumentationTok"/>
    <w:basedOn w:val="VerbatimChar"/>
    <w:rPr>
      <w:rFonts w:eastAsia="黑体"/>
      <w:i/>
      <w:color w:val="ba2121"/>
    </w:rPr>
  </w:style>
  <w:style w:type="character" w:customStyle="1" w:styleId="AnnotationTok">
    <w:name w:val="AnnotationTok"/>
    <w:basedOn w:val="VerbatimChar"/>
    <w:rPr>
      <w:rFonts w:eastAsia="黑体"/>
      <w:b/>
      <w:i/>
      <w:color w:val="60a0b0"/>
    </w:rPr>
  </w:style>
  <w:style w:type="character" w:customStyle="1" w:styleId="CommentVarTok">
    <w:name w:val="CommentVarTok"/>
    <w:basedOn w:val="VerbatimChar"/>
    <w:rPr>
      <w:rFonts w:eastAsia="黑体"/>
      <w:b/>
      <w:i/>
      <w:color w:val="60a0b0"/>
    </w:rPr>
  </w:style>
  <w:style w:type="character" w:customStyle="1" w:styleId="OtherTok">
    <w:name w:val="OtherTok"/>
    <w:basedOn w:val="VerbatimChar"/>
    <w:rPr>
      <w:rFonts w:eastAsia="黑体"/>
      <w:color w:val="007020"/>
    </w:rPr>
  </w:style>
  <w:style w:type="character" w:customStyle="1" w:styleId="FunctionTok">
    <w:name w:val="FunctionTok"/>
    <w:basedOn w:val="VerbatimChar"/>
    <w:rPr>
      <w:rFonts w:eastAsia="黑体"/>
      <w:color w:val="06287e"/>
    </w:rPr>
  </w:style>
  <w:style w:type="character" w:customStyle="1" w:styleId="VariableTok">
    <w:name w:val="VariableTok"/>
    <w:basedOn w:val="VerbatimChar"/>
    <w:rPr>
      <w:rFonts w:eastAsia="黑体"/>
      <w:color w:val="19177c"/>
    </w:rPr>
  </w:style>
  <w:style w:type="character" w:customStyle="1" w:styleId="ControlFlowTok">
    <w:name w:val="ControlFlowTok"/>
    <w:basedOn w:val="VerbatimChar"/>
    <w:rPr>
      <w:rFonts w:eastAsia="黑体"/>
      <w:b/>
      <w:color w:val="007020"/>
    </w:rPr>
  </w:style>
  <w:style w:type="character" w:customStyle="1" w:styleId="OperatorTok">
    <w:name w:val="OperatorTok"/>
    <w:basedOn w:val="VerbatimChar"/>
    <w:rPr>
      <w:rFonts w:eastAsia="黑体"/>
      <w:color w:val="666666"/>
    </w:rPr>
  </w:style>
  <w:style w:type="character" w:customStyle="1" w:styleId="BuiltInTok">
    <w:name w:val="BuiltInTok"/>
    <w:basedOn w:val="VerbatimChar"/>
    <w:rPr>
      <w:rFonts w:eastAsia="黑体"/>
      <w:color w:val="008000"/>
    </w:rPr>
  </w:style>
  <w:style w:type="character" w:customStyle="1" w:styleId="ExtensionTok">
    <w:name w:val="ExtensionTok"/>
    <w:basedOn w:val="VerbatimChar"/>
    <w:rPr>
      <w:rFonts w:eastAsia="黑体"/>
    </w:rPr>
  </w:style>
  <w:style w:type="character" w:customStyle="1" w:styleId="PreprocessorTok">
    <w:name w:val="PreprocessorTok"/>
    <w:basedOn w:val="VerbatimChar"/>
    <w:rPr>
      <w:rFonts w:eastAsia="黑体"/>
      <w:color w:val="bc7a00"/>
    </w:rPr>
  </w:style>
  <w:style w:type="character" w:customStyle="1" w:styleId="AttributeTok">
    <w:name w:val="AttributeTok"/>
    <w:basedOn w:val="VerbatimChar"/>
    <w:rPr>
      <w:rFonts w:eastAsia="黑体"/>
      <w:color w:val="7d9029"/>
    </w:rPr>
  </w:style>
  <w:style w:type="character" w:customStyle="1" w:styleId="RegionMarkerTok">
    <w:name w:val="RegionMarkerTok"/>
    <w:basedOn w:val="VerbatimChar"/>
    <w:rPr>
      <w:rFonts w:eastAsia="黑体"/>
    </w:rPr>
  </w:style>
  <w:style w:type="character" w:customStyle="1" w:styleId="InformationTok">
    <w:name w:val="InformationTok"/>
    <w:basedOn w:val="VerbatimChar"/>
    <w:rPr>
      <w:rFonts w:eastAsia="黑体"/>
      <w:b/>
      <w:i/>
      <w:color w:val="60a0b0"/>
    </w:rPr>
  </w:style>
  <w:style w:type="character" w:customStyle="1" w:styleId="WarningTok">
    <w:name w:val="WarningTok"/>
    <w:basedOn w:val="VerbatimChar"/>
    <w:rPr>
      <w:rFonts w:eastAsia="黑体"/>
      <w:b/>
      <w:i/>
      <w:color w:val="60a0b0"/>
    </w:rPr>
  </w:style>
  <w:style w:type="character" w:customStyle="1" w:styleId="AlertTok">
    <w:name w:val="AlertTok"/>
    <w:basedOn w:val="VerbatimChar"/>
    <w:rPr>
      <w:rFonts w:eastAsia="黑体"/>
      <w:b/>
      <w:color w:val="ff0000"/>
    </w:rPr>
  </w:style>
  <w:style w:type="character" w:customStyle="1" w:styleId="ErrorTok">
    <w:name w:val="ErrorTok"/>
    <w:basedOn w:val="VerbatimChar"/>
    <w:rPr>
      <w:rFonts w:eastAsia="黑体"/>
      <w:b/>
      <w:color w:val="ff0000"/>
    </w:rPr>
  </w:style>
  <w:style w:type="character" w:customStyle="1" w:styleId="NormalTok">
    <w:name w:val="NormalTok"/>
    <w:basedOn w:val="VerbatimChar"/>
    <w:rPr>
      <w:rFonts w:eastAsia="黑体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8" Type="http://schemas.openxmlformats.org/officeDocument/2006/relationships/numbering" Target="numbering.xml"/><Relationship Id="rId17" Type="http://schemas.openxmlformats.org/officeDocument/2006/relationships/styles" Target="styles.xml"/><Relationship Id="rId16" Type="http://schemas.openxmlformats.org/officeDocument/2006/relationships/settings" Target="settings.xml"/><Relationship Id="rId15" Type="http://schemas.openxmlformats.org/officeDocument/2006/relationships/webSettings" Target="webSettings.xml"/><Relationship Id="rId14" Type="http://schemas.openxmlformats.org/officeDocument/2006/relationships/fontTable" Target="fontTable.xml"/><Relationship Id="rId13" Type="http://schemas.openxmlformats.org/officeDocument/2006/relationships/theme" Target="theme/theme1.xml"/><Relationship Id="rId12" Type="http://schemas.openxmlformats.org/officeDocument/2006/relationships/footnotes" Target="footnotes.xml"/><Relationship Id="rId11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黑体"/>
        <a:cs typeface=""/>
        <a:font script="Jpan" typeface="ＭＳ ゴシック"/>
        <a:font script="Hang" typeface="맑은 고딕"/>
        <a:font script="Hans" typeface="黑体"/>
        <a:font script="Hant" typeface="黑体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黑体"/>
        <a:cs typeface=""/>
        <a:font script="Jpan" typeface="ＭＳ 明朝"/>
        <a:font script="Hang" typeface="맑은 고딕"/>
        <a:font script="Hans" typeface="黑体"/>
        <a:font script="Hant" typeface="黑体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全波整流电路</dc:title>
  <dc:creator>AI 智能体</dc:creator>
  <cp:keywords/>
  <dcterms:created xsi:type="dcterms:W3CDTF">2026-09-08T14:37:08Z</dcterms:created>
  <dcterms:modified xsi:type="dcterms:W3CDTF">2026-09-08T14:37:08Z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