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桥式整流电路"/>
    <w:p>
      <w:pPr>
        <w:pStyle w:val="Heading1"/>
      </w:pPr>
      <w:r>
        <w:rPr>
          <w:rFonts w:hint="eastAsia" w:eastAsia="黑体"/>
        </w:rPr>
        <w:t xml:space="preserve">桥式整流电路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由四只整流二极管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与负载电阻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组成桥式网络。电路共有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交流输入正端节点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交流输入负端节点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一端相连，作为输出电压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阳极接交流输入正端节点、阴极接正输出节点；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阳极接交流输入负端节点、阴极接正输出节点；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阳极接地节点、阴极接交流输入负端节点；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阳极接地节点、阴极接交流输入正端节点；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一端接正输出节点、另一端接地节点。</w:t>
      </w:r>
    </w:p>
    <w:p>
      <w:pPr/>
      <w:r>
        <w:rPr>
          <w:rFonts w:hint="eastAsia" w:eastAsia="黑体"/>
        </w:rPr>
        <w:t xml:space="preserve">由此构成”交流输入接桥的两个对角点、直流输出从另两个对角点引出”的桥式全波整流组态；正半周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导通，负半周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导通，两个半周负载电流方向一致，输出直流平均值约为峰值电压的</w:t>
      </w:r>
      <w:r>
        <w:rPr>
          <w:rFonts w:eastAsia="黑体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π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正半周时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截止；负半周时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截止。无论哪个半周，负载上电流方向都一致，实现了全波整流。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输出平均（直流）电压：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0.637</m:t>
          </m:r>
          <m:r>
            <m:t> 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输出平均电流：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输出有效值：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纹波因数：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r</m:t>
                              </m:r>
                              <m:r>
                                <m:t>m</m:t>
                              </m:r>
                              <m:r>
                                <m:t>s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d</m:t>
                              </m:r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≈</m:t>
          </m:r>
          <m:r>
            <m:t>0.483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二极管反向峰值电压：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输出直流平均电压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纹波因数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I</m:t>
              </m:r>
              <m:r>
                <m:t>V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反向峰值电压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输出电流减小，纹波因数基本不变。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输入幅值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、PIV </w:t>
      </w:r>
      <w:r>
        <w:rPr>
          <w:rFonts w:hint="eastAsia" w:eastAsia="黑体"/>
        </w:rPr>
        <w:t xml:space="preserve">成比例增大。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桥式</w:t>
      </w:r>
      <w:r>
        <w:rPr>
          <w:rFonts w:eastAsia="黑体"/>
        </w:rPr>
        <w:t xml:space="preserve"> PIV </w:t>
      </w:r>
      <w:r>
        <w:rPr>
          <w:rFonts w:hint="eastAsia" w:eastAsia="黑体"/>
        </w:rPr>
        <w:t xml:space="preserve">为单个峰值的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（较全波中心抽头低一半），利于高压整流。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加滤波电容后纹波下降，但二极管峰值电流与冲击增大。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17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10.82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≈</m:t>
        </m:r>
        <m:r>
          <m:t>10.82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325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（230</w:t>
      </w:r>
      <w:r>
        <w:rPr>
          <w:rFonts w:eastAsia="黑体"/>
        </w:rPr>
        <w:t xml:space="preserve"> V </w:t>
      </w:r>
      <w:r>
        <w:rPr>
          <w:rFonts w:hint="eastAsia" w:eastAsia="黑体"/>
        </w:rPr>
        <w:t xml:space="preserve">峰值）：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≈</m:t>
        </m:r>
        <m:r>
          <m:t>207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，二极管</w:t>
      </w:r>
      <w:r>
        <w:rPr>
          <w:rFonts w:eastAsia="黑体"/>
        </w:rPr>
        <w:t xml:space="preserve"> PIV = 325 </w:t>
      </w:r>
      <w:r>
        <w:rPr>
          <w:rFonts w:hint="eastAsia" w:eastAsia="黑体"/>
        </w:rPr>
        <w:t xml:space="preserve">V（选</w:t>
      </w:r>
      <w:r>
        <w:rPr>
          <w:rFonts w:eastAsia="黑体"/>
        </w:rPr>
        <w:t xml:space="preserve"> ≥ 600 V </w:t>
      </w:r>
      <w:r>
        <w:rPr>
          <w:rFonts w:hint="eastAsia" w:eastAsia="黑体"/>
        </w:rPr>
        <w:t xml:space="preserve">器件）。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单管二极管：1N4007、1N5408、UF4007。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集成整流桥：KBPC2510、GBU808、MB6S、DB107。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二极管反向耐压须</w:t>
      </w:r>
      <w:r>
        <w:rPr>
          <w:rFonts w:eastAsia="黑体"/>
        </w:rPr>
        <w:t xml:space="preserve"> 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并留裕量；浪涌时更高。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四只二极管需参数一致，或用集成整流桥（内置四管配对）。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桥式比全波中心抽头少用一次绕组，但多两个二极管、压降大一倍。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电容滤波时需考虑二极管冲击电流额定值。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Diode bridge /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桥式整流电路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桥式整流电路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