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锂电池充电电路"/>
    <w:p>
      <w:pPr>
        <w:pStyle w:val="Heading1"/>
      </w:pPr>
      <w:r>
        <w:rPr>
          <w:rFonts w:hint="eastAsia" w:eastAsia="黑体"/>
        </w:rPr>
        <w:t xml:space="preserve">锂电池充电电路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本电路由充电管理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IC1）、输入电源（编号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VIN）、功率调节管（编号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Q1，线性型时可为外置达林顿或</w:t>
      </w:r>
      <w:r>
        <w:rPr>
          <w:rFonts w:eastAsia="黑体"/>
        </w:rPr>
        <w:t xml:space="preserve"> IC </w:t>
      </w:r>
      <w:r>
        <w:rPr>
          <w:rFonts w:hint="eastAsia" w:eastAsia="黑体"/>
        </w:rPr>
        <w:t xml:space="preserve">内置，开关型时为功率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与电感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L1）、电流设定电阻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g</m:t>
            </m:r>
          </m:sub>
        </m:sSub>
      </m:oMath>
      <w:r>
        <w:rPr>
          <w:rFonts w:hint="eastAsia" w:eastAsia="黑体"/>
        </w:rPr>
        <w:t xml:space="preserve">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Rprog）、检流电阻以及锂离子电池（编号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BAT）组成。关键节点有：输入电源节点</w:t>
      </w:r>
      <w:r>
        <w:rPr>
          <w:rFonts w:eastAsia="黑体"/>
        </w:rPr>
        <w:t xml:space="preserve"> VIN </w:t>
      </w:r>
      <w:r>
        <w:rPr>
          <w:rFonts w:hint="eastAsia" w:eastAsia="黑体"/>
        </w:rPr>
        <w:t xml:space="preserve">与公共地节点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GND、功率管调节后的充电输出节点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CHG（接电池正端）、电池正端节点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B+、电流设定节点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PROG（经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接地）以及电流采样节点</w:t>
      </w:r>
      <w:r>
        <w:rPr>
          <w:rFonts w:eastAsia="黑体"/>
        </w:rPr>
        <w:t xml:space="preserve"> S。</w:t>
      </w:r>
    </w:p>
    <w:p>
      <w:pPr/>
      <w:r>
        <w:rPr>
          <w:rFonts w:hint="eastAsia" w:eastAsia="黑体"/>
        </w:rPr>
        <w:t xml:space="preserve">各元件管脚连接：线性型时功率管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串联于</w:t>
      </w:r>
      <w:r>
        <w:rPr>
          <w:rFonts w:eastAsia="黑体"/>
        </w:rPr>
        <w:t xml:space="preserve"> VIN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CHG </w:t>
      </w:r>
      <w:r>
        <w:rPr>
          <w:rFonts w:hint="eastAsia" w:eastAsia="黑体"/>
        </w:rPr>
        <w:t xml:space="preserve">之间——集电极/漏极接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VIN、发射极/源极接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CHG、基极/栅极由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的驱动脚控制；开关型时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与电感</w:t>
      </w:r>
      <w:r>
        <w:rPr>
          <w:rFonts w:eastAsia="黑体"/>
        </w:rPr>
        <w:t xml:space="preserve"> L1 </w:t>
      </w:r>
      <w:r>
        <w:rPr>
          <w:rFonts w:hint="eastAsia" w:eastAsia="黑体"/>
        </w:rPr>
        <w:t xml:space="preserve">构成</w:t>
      </w:r>
      <w:r>
        <w:rPr>
          <w:rFonts w:eastAsia="黑体"/>
        </w:rPr>
        <w:t xml:space="preserve"> Buck </w:t>
      </w:r>
      <w:r>
        <w:rPr>
          <w:rFonts w:hint="eastAsia" w:eastAsia="黑体"/>
        </w:rPr>
        <w:t xml:space="preserve">变换器：Q1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VIN、源极接开关节点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SW，L1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SW、另一端接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CHG，同步管/续流二极管接</w:t>
      </w:r>
      <w:r>
        <w:rPr>
          <w:rFonts w:eastAsia="黑体"/>
        </w:rPr>
        <w:t xml:space="preserve"> SW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之间。充电管理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IC（IC1）的电源端接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VIN，电池电压采样脚接节点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B+（用于涓流/恒压与终止判定），电流设定脚</w:t>
      </w:r>
      <w:r>
        <w:rPr>
          <w:rFonts w:eastAsia="黑体"/>
        </w:rPr>
        <w:t xml:space="preserve"> PROG </w:t>
      </w: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以设定恒流值，电流检测脚接检流电阻两端。电池</w:t>
      </w:r>
      <w:r>
        <w:rPr>
          <w:rFonts w:eastAsia="黑体"/>
        </w:rPr>
        <w:t xml:space="preserve"> BAT </w:t>
      </w:r>
      <w:r>
        <w:rPr>
          <w:rFonts w:hint="eastAsia" w:eastAsia="黑体"/>
        </w:rPr>
        <w:t xml:space="preserve">正极接节点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B+、负极接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组态上这是一个”充电管理</w:t>
      </w:r>
      <w:r>
        <w:rPr>
          <w:rFonts w:eastAsia="黑体"/>
        </w:rPr>
        <w:t xml:space="preserve"> IC + </w:t>
      </w:r>
      <w:r>
        <w:rPr>
          <w:rFonts w:hint="eastAsia" w:eastAsia="黑体"/>
        </w:rPr>
        <w:t xml:space="preserve">串联功率调节级”的锂电池充电组态，按涓流预充、恒流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CC、恒压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CV、终止四个阶段自动充电，用于单节或多节锂离子/锂聚合物电池充电。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电池电压很低时先以小电流涓流预充；升至阈值后进入恒流阶段以设定电流快充；达到终止电压（如</w:t>
      </w:r>
      <w:r>
        <w:rPr>
          <w:rFonts w:eastAsia="黑体"/>
        </w:rPr>
        <w:t xml:space="preserve"> 4.2 </w:t>
      </w:r>
      <w:r>
        <w:rPr>
          <w:rFonts w:hint="eastAsia" w:eastAsia="黑体"/>
        </w:rPr>
        <w:t xml:space="preserve">V）后转为恒压，充电电流逐渐下降；电流降至截止阈值时充电结束。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充电电流设定（IC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检测电压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g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  <m:r>
                <m:t>h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g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g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恒压阶段电流（随电池电压升高而下降）：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  <m:r>
                <m:t>h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o</m:t>
                  </m:r>
                  <m:r>
                    <m:t>u</m:t>
                  </m:r>
                  <m:r>
                    <m:t>r</m:t>
                  </m:r>
                  <m:r>
                    <m:t>c</m:t>
                  </m:r>
                  <m:r>
                    <m:t>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充电时间粗略估算：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  <m:r>
                <m:t>h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Q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g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充电电流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电流设定基准电压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电流设定电阻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充电器输出电压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电池端电压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待充电荷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C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充电电流减小，充电变慢。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充电电流增大，充电变快但发热增大。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终止电压设越高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充电越满但过充风险与寿命损耗增加。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涓流阈值与终止电流设定越低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充电结束判定越精细。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V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g</m:t>
            </m:r>
          </m:sub>
        </m:sSub>
        <m:r>
          <m:rPr>
            <m:sty m:val="p"/>
          </m:rPr>
          <m:t>=</m:t>
        </m:r>
        <m:r>
          <m:t>1.0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g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c</m:t>
            </m:r>
            <m:r>
              <m:t>h</m:t>
            </m:r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1.0</m:t>
            </m:r>
          </m:num>
          <m:den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A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（对应</w:t>
      </w:r>
      <w:r>
        <w:rPr>
          <w:rFonts w:eastAsia="黑体"/>
        </w:rPr>
        <w:t xml:space="preserve"> 10 mV </w:t>
      </w:r>
      <w:r>
        <w:rPr>
          <w:rFonts w:hint="eastAsia" w:eastAsia="黑体"/>
        </w:rPr>
        <w:t xml:space="preserve">基准的</w:t>
      </w:r>
      <w:r>
        <w:rPr>
          <w:rFonts w:eastAsia="黑体"/>
        </w:rPr>
        <w:t xml:space="preserve"> IC </w:t>
      </w:r>
      <w:r>
        <w:rPr>
          <w:rFonts w:hint="eastAsia" w:eastAsia="黑体"/>
        </w:rPr>
        <w:t xml:space="preserve">即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10 </w:t>
      </w:r>
      <w:r>
        <w:rPr>
          <w:rFonts w:hint="eastAsia" w:eastAsia="黑体"/>
        </w:rPr>
        <w:t xml:space="preserve">kΩ）。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电池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r>
          <m:t>3.7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、充电器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h</m:t>
            </m:r>
            <m:r>
              <m:t>g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、源电阻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o</m:t>
            </m:r>
            <m:r>
              <m:t>u</m:t>
            </m:r>
            <m:r>
              <m:t>r</m:t>
            </m:r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：瞬时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t>h</m:t>
            </m:r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−</m:t>
            </m:r>
            <m:r>
              <m:t>3.7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0.65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（受</w:t>
      </w:r>
      <w:r>
        <w:rPr>
          <w:rFonts w:eastAsia="黑体"/>
        </w:rPr>
        <w:t xml:space="preserve"> CC </w:t>
      </w:r>
      <w:r>
        <w:rPr>
          <w:rFonts w:hint="eastAsia" w:eastAsia="黑体"/>
        </w:rPr>
        <w:t xml:space="preserve">限制时封顶于设定值）。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线性充电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IC：TP4056、MCP73831、BQ24074。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开关型充电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IC：BQ25601、LTC4002。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检流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设定电阻：1%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精密电阻。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充电终止电压（4.2</w:t>
      </w:r>
      <w:r>
        <w:rPr>
          <w:rFonts w:eastAsia="黑体"/>
        </w:rPr>
        <w:t xml:space="preserve"> V / 4.35 V </w:t>
      </w:r>
      <w:r>
        <w:rPr>
          <w:rFonts w:hint="eastAsia" w:eastAsia="黑体"/>
        </w:rPr>
        <w:t xml:space="preserve">等）必须与电芯规格严格匹配。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线性充电器在大压差大电流下发热严重，需核算功率与散热。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充电时禁止给过放（低于安全阈值）的电池直接大电流充电，先涓流恢复。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充电电流不能超过电芯允许充电倍率（通常</w:t>
      </w:r>
      <w:r>
        <w:rPr>
          <w:rFonts w:eastAsia="黑体"/>
        </w:rPr>
        <w:t xml:space="preserve"> ≤ </w:t>
      </w:r>
      <w:r>
        <w:rPr>
          <w:rFonts w:hint="eastAsia" w:eastAsia="黑体"/>
        </w:rPr>
        <w:t xml:space="preserve">1C）。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Lithium-ion battery。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产品页</w:t>
      </w:r>
      <w:r>
        <w:rPr>
          <w:rFonts w:eastAsia="黑体"/>
        </w:rPr>
        <w:t xml:space="preserve"> BQ24074。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《锂离子电池充电管理》（中文参考）。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锂电池充电电路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锂电池充电电路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