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镍氢电池充电电路"/>
    <w:p>
      <w:pPr>
        <w:pStyle w:val="Heading1"/>
      </w:pPr>
      <w:r>
        <w:rPr>
          <w:rFonts w:hint="eastAsia" w:eastAsia="黑体"/>
        </w:rPr>
        <w:t xml:space="preserve">镍氢电池充电电路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本电路由充电管理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IC（或分立运放）编号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IC1、功率管（编号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Q1）、检流电阻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Rs）以及镍氢电池（编号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BAT）组成。关键节点有：充电输入电源节点</w:t>
      </w:r>
      <w:r>
        <w:rPr>
          <w:rFonts w:eastAsia="黑体"/>
        </w:rPr>
        <w:t xml:space="preserve"> VIN </w:t>
      </w:r>
      <w:r>
        <w:rPr>
          <w:rFonts w:hint="eastAsia" w:eastAsia="黑体"/>
        </w:rPr>
        <w:t xml:space="preserve">与公共地节点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GND、功率管输出的充电节点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CHG（接电池正端）、电池正端节点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B+、检流电阻所在的电流回路节点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S，以及由负增量检测所需的电池电压采样节点</w:t>
      </w:r>
      <w:r>
        <w:rPr>
          <w:rFonts w:eastAsia="黑体"/>
        </w:rPr>
        <w:t xml:space="preserve"> VBE。</w:t>
      </w:r>
    </w:p>
    <w:p>
      <w:pPr/>
      <w:r>
        <w:rPr>
          <w:rFonts w:hint="eastAsia" w:eastAsia="黑体"/>
        </w:rPr>
        <w:t xml:space="preserve">各元件管脚连接：功率管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串联在主充电通路中——集电极/漏极接输入电源节点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VIN、发射极/源极接充电节点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CHG、基极/栅极接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的驱动输出；充电节点</w:t>
      </w:r>
      <w:r>
        <w:rPr>
          <w:rFonts w:eastAsia="黑体"/>
        </w:rPr>
        <w:t xml:space="preserve"> CHG </w:t>
      </w:r>
      <w:r>
        <w:rPr>
          <w:rFonts w:hint="eastAsia" w:eastAsia="黑体"/>
        </w:rPr>
        <w:t xml:space="preserve">接电池正端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B+。检流电阻</w:t>
      </w:r>
      <w:r>
        <w:rPr>
          <w:rFonts w:eastAsia="黑体"/>
        </w:rPr>
        <w:t xml:space="preserve"> Rs </w:t>
      </w:r>
      <w:r>
        <w:rPr>
          <w:rFonts w:hint="eastAsia" w:eastAsia="黑体"/>
        </w:rPr>
        <w:t xml:space="preserve">串联在电池回路的低端（电池负极与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之间），其两端跨接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的电流检测脚，用以闭环恒定充电电流。充电管理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IC（IC1）的电源端接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VIN，电池电压采样脚接节点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B+（用于监测</w:t>
      </w:r>
      <w:r>
        <w:rPr>
          <w:rFonts w:eastAsia="黑体"/>
        </w:rPr>
        <w:t xml:space="preserve"> -ΔV </w:t>
      </w:r>
      <w:r>
        <w:rPr>
          <w:rFonts w:hint="eastAsia" w:eastAsia="黑体"/>
        </w:rPr>
        <w:t xml:space="preserve">负增量），温度检测脚接热敏电阻（用于</w:t>
      </w:r>
      <w:r>
        <w:rPr>
          <w:rFonts w:eastAsia="黑体"/>
        </w:rPr>
        <w:t xml:space="preserve"> ΔT/Δt </w:t>
      </w:r>
      <w:r>
        <w:rPr>
          <w:rFonts w:hint="eastAsia" w:eastAsia="黑体"/>
        </w:rPr>
        <w:t xml:space="preserve">温升判定），地端接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GND；电池</w:t>
      </w:r>
      <w:r>
        <w:rPr>
          <w:rFonts w:eastAsia="黑体"/>
        </w:rPr>
        <w:t xml:space="preserve"> BAT </w:t>
      </w:r>
      <w:r>
        <w:rPr>
          <w:rFonts w:hint="eastAsia" w:eastAsia="黑体"/>
        </w:rPr>
        <w:t xml:space="preserve">正极接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B+、负极经</w:t>
      </w:r>
      <w:r>
        <w:rPr>
          <w:rFonts w:eastAsia="黑体"/>
        </w:rPr>
        <w:t xml:space="preserve"> Rs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组态上这是一个”恒流功率管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-ΔV/温升检测充电控制器”的镍氢电池充电组态，以恒流充电并靠检测电池电压负增量与温升判断充满、及时终止，防止过充。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以设定恒流对镍氢电池充电，接近充满时电池电压达到峰值后反而略有下降（-ΔV），同时温升加快；充电器检测到</w:t>
      </w:r>
      <w:r>
        <w:rPr>
          <w:rFonts w:eastAsia="黑体"/>
        </w:rPr>
        <w:t xml:space="preserve"> -ΔV </w:t>
      </w:r>
      <w:r>
        <w:rPr>
          <w:rFonts w:hint="eastAsia" w:eastAsia="黑体"/>
        </w:rPr>
        <w:t xml:space="preserve">或温升速率超标即终止充电，防止过充。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充电电流（以充电倍率表示，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为容量）：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  <m:r>
                <m:t>h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充满判定：电压负增量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n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Δ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充电时间（恒流近似）：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h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g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充电电流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电池容量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Ah（或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mAh）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充电倍率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s⁻¹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负增量判定阈值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充电时间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充电电流倍率越高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充电越快，但发热与过充风险增大。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</w:rPr>
        <w:t xml:space="preserve">-ΔV </w:t>
      </w:r>
      <w:r>
        <w:rPr>
          <w:rFonts w:hint="eastAsia" w:eastAsia="黑体"/>
        </w:rPr>
        <w:t xml:space="preserve">阈值设得越小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判定越灵敏，容易过早终止（误判）。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温度梯度（ΔT/Δt）阈值越小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越早依靠温升终止充电。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电流设定电阻增大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充电电流减小，充电时间变长。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容量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t>2000</m:t>
        </m:r>
        <m:r>
          <m:t> </m:t>
        </m:r>
        <m:r>
          <m:rPr>
            <m:nor/>
            <m:sty m:val="p"/>
          </m:rPr>
          <m:t>mAh</m:t>
        </m:r>
      </m:oMath>
      <w:r>
        <w:rPr>
          <w:rFonts w:hint="eastAsia" w:eastAsia="黑体"/>
        </w:rPr>
        <w:t xml:space="preserve">、以</w:t>
      </w:r>
      <w:r>
        <w:rPr>
          <w:rFonts w:eastAsia="黑体"/>
        </w:rPr>
        <w:t xml:space="preserve"> 0.5C </w:t>
      </w:r>
      <w:r>
        <w:rPr>
          <w:rFonts w:hint="eastAsia" w:eastAsia="黑体"/>
        </w:rPr>
        <w:t xml:space="preserve">充电：</w:t>
      </w:r>
      <m:oMath>
        <m:sSub>
          <m:e>
            <m:r>
              <m:t>I</m:t>
            </m:r>
          </m:e>
          <m:sub>
            <m:r>
              <m:t>c</m:t>
            </m:r>
            <m:r>
              <m:t>h</m:t>
            </m:r>
            <m:r>
              <m:t>g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2000</m:t>
        </m:r>
        <m:r>
          <m:rPr>
            <m:sty m:val="p"/>
          </m:rPr>
          <m:t>=</m:t>
        </m:r>
        <m:r>
          <m:t>1000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恒流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h</m:t>
            </m:r>
            <m:r>
              <m:t>g</m:t>
            </m:r>
          </m:sub>
        </m:sSub>
        <m:r>
          <m:rPr>
            <m:sty m:val="p"/>
          </m:rPr>
          <m:t>=</m:t>
        </m:r>
        <m:r>
          <m:t>1000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</w:t>
      </w:r>
      <w:r>
        <w:rPr>
          <w:rFonts w:eastAsia="黑体"/>
        </w:rPr>
        <w:t xml:space="preserve"> 2000 mAh </w:t>
      </w:r>
      <w:r>
        <w:rPr>
          <w:rFonts w:hint="eastAsia" w:eastAsia="黑体"/>
        </w:rPr>
        <w:t xml:space="preserve">电池充电：</w:t>
      </w:r>
      <m:oMath>
        <m:sSub>
          <m:e>
            <m:r>
              <m:t>t</m:t>
            </m:r>
          </m:e>
          <m:sub>
            <m:r>
              <m:t>c</m:t>
            </m:r>
            <m:r>
              <m:t>h</m:t>
            </m:r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 </m:t>
            </m:r>
            <m:r>
              <m:rPr>
                <m:nor/>
                <m:sty m:val="p"/>
              </m:rPr>
              <m:t>Ah</m:t>
            </m:r>
          </m:num>
          <m:den>
            <m:r>
              <m:t>1</m:t>
            </m:r>
            <m:r>
              <m:t> </m:t>
            </m:r>
            <m:r>
              <m:rPr>
                <m:nor/>
                <m:sty m:val="p"/>
              </m:rPr>
              <m:t>A</m:t>
            </m:r>
          </m:den>
        </m:f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h</m:t>
        </m:r>
      </m:oMath>
      <w:r>
        <w:rPr>
          <w:rFonts w:hint="eastAsia" w:eastAsia="黑体"/>
        </w:rPr>
        <w:t xml:space="preserve">（未计效率）。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-ΔV </w:t>
      </w:r>
      <w:r>
        <w:rPr>
          <w:rFonts w:hint="eastAsia" w:eastAsia="黑体"/>
        </w:rPr>
        <w:t xml:space="preserve">判定：峰值后电压回落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≥</m:t>
        </m:r>
        <m:r>
          <m:t>5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即终止。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充电管理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IC：MAX712、MAX713、BQ2002。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功率管：IRLML2502、AO3400。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检流电阻：合金采样电阻。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快速充电必须结合</w:t>
      </w:r>
      <w:r>
        <w:rPr>
          <w:rFonts w:eastAsia="黑体"/>
        </w:rPr>
        <w:t xml:space="preserve"> -ΔV </w:t>
      </w:r>
      <w:r>
        <w:rPr>
          <w:rFonts w:hint="eastAsia" w:eastAsia="黑体"/>
        </w:rPr>
        <w:t xml:space="preserve">与温升检测联合判定，单靠定时不可靠。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镍氢电池充满后继续充电会严重发热并损伤电池，务必可靠终止。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快充（&gt;1C）需温度保护，避免热失控。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电池极性接反或缺电池时应有相应保护。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Nickel–metal hydride battery。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Maxim(ADI) MAX712/MAX713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产品页</w:t>
      </w:r>
      <w:r>
        <w:rPr>
          <w:rFonts w:eastAsia="黑体"/>
        </w:rPr>
        <w:t xml:space="preserve"> BQ2002。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镍氢电池充电电路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镍氢电池充电电路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