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压跟随器电路"/>
    <w:p>
      <w:pPr>
        <w:pStyle w:val="Heading1"/>
      </w:pPr>
      <w:r>
        <w:rPr>
          <w:rFonts w:hint="eastAsia" w:eastAsia="黑体"/>
        </w:rPr>
        <w:t xml:space="preserve">电压跟随器电路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一个运算放大器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单独构成，无需外接电阻。电路共有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正端直接接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反相输入端节点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的反相输入端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的输出端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直接短接）；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OUT，同时作为电路输出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接输入节点、IN−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接输出节点（即与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短接）、OUT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接地）。</w:t>
      </w:r>
    </w:p>
    <w:p>
      <w:pPr/>
      <w:r>
        <w:rPr>
          <w:rFonts w:hint="eastAsia" w:eastAsia="黑体"/>
        </w:rPr>
        <w:t xml:space="preserve">由此构成单位增益缓冲组态：输出直接反馈到反相输入端，输出电压等于输入电压、增益为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1，提供高输入阻抗、低输出阻抗，用于阻抗变换与驱动。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利用负反馈与虚短原理，反相输入端电压跟随同相输入端，输出近似等于输入；因运放输入偏置电流极小、输出驱动强，实现输入输出隔离和阻抗变换，增益恒为</w:t>
      </w:r>
      <w:r>
        <w:rPr>
          <w:rFonts w:eastAsia="黑体"/>
        </w:rPr>
        <w:t xml:space="preserve"> 1。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电压增益：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输入阻抗（近似）：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Z</m:t>
              </m:r>
            </m:e>
            <m:sub>
              <m:r>
                <m:t>c</m:t>
              </m:r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输出阻抗（开环输出电阻除以环路增益）：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电压增益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开环增益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运放开环增益越高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输出阻抗越低、跟随精度越高。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运放输入偏置电流越小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对信号源加载越小。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运放带宽越大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高频跟随能力越强（避免高频相移与振铃）。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输出级驱动能力越大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可驱动的负载越重。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理想跟随：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若运放开环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黑体"/>
        </w:rPr>
        <w:t xml:space="preserve">、开环输出电阻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Z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≈</m:t>
        </m:r>
        <m:r>
          <m:t>1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通用运放：LM358、TL072。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精密运放：OPA277、AD8628。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高速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驱动运放：BUF634、OPA227。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用于高阻信号源时选低输入偏置、低输入电容的运放。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容性负载过重可能引起振铃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振荡，必要时加隔离电阻或补偿。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输入输出摆幅受运放轨到轨能力限制，需核对供电与信号范围。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高速信号注意运放增益带宽积，确保闭环带宽足够。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Buffer amplifier。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</w:t>
      </w:r>
      <w:r>
        <w:rPr>
          <w:rFonts w:eastAsia="黑体"/>
        </w:rPr>
        <w:t xml:space="preserve"> OPA277。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电压跟随器电路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电压跟随器电路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