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参数均衡电路"/>
    <w:p>
      <w:pPr>
        <w:pStyle w:val="Heading1"/>
      </w:pPr>
      <w:r>
        <w:rPr>
          <w:rFonts w:hint="eastAsia" w:eastAsia="黑体"/>
        </w:rPr>
        <w:t xml:space="preserve">参数均衡电路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参数均衡电路（以状态变量型</w:t>
      </w:r>
      <w:r>
        <w:rPr>
          <w:rFonts w:eastAsia="黑体"/>
        </w:rPr>
        <w:t xml:space="preserve"> SVF </w:t>
      </w:r>
      <w:r>
        <w:rPr>
          <w:rFonts w:hint="eastAsia" w:eastAsia="黑体"/>
        </w:rPr>
        <w:t xml:space="preserve">为例）由运放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（或等效的多个运放级）、定值电阻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、积分电容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，以及三只电位器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（中心频率）、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hint="eastAsia" w:eastAsia="黑体"/>
        </w:rPr>
        <w:t xml:space="preserve">（品质因数）、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（增益）构成。节点定义如下：输入节点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接信号源与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的一端；中间求和节点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滑动端、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反馈支路与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输出反馈；带通积分节点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的输出端；低通积分节点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的输出端；反相输出节点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为末级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回馈到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汇集各电阻分压支路的冷端与各运放电源地。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IN−；运放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反馈回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IN−；运放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N</m:t>
            </m:r>
          </m:e>
          <m:sub>
            <m:r>
              <m:t>l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；各运放的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分别接正负电源。电位器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用于设定积分器时间常数（中心频率），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之间调节阻尼，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决定输入到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的增益比例。</w:t>
      </w:r>
    </w:p>
    <w:p>
      <w:pPr/>
      <w:r>
        <w:rPr>
          <w:rFonts w:hint="eastAsia" w:eastAsia="黑体"/>
        </w:rPr>
        <w:t xml:space="preserve">该电路为三运放状态变量（SVF）拓扑，通过两级积分与求和反馈实现中心频率、增益与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三者独立可调的有源带通/带阻均衡。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运放配合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网络形成一个中心频率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可调的带通/带阻网络，通过反馈比例决定对该频带的提升或衰减。调节“增益”电位器改变反馈量，从而改变谐振峰值幅值；调节“Q”电位器改变带宽，使同一中心频率下影响频率范围可宽可窄。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中心频率（状态变量型，典型）：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说明：此式适用于状态变量型（SVF）积分器结构；其他拓扑（如模拟电感/gyrator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型）中心频率表达式不同，需按实际电路确定。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BW 为 -3 dB 带宽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增益（提升/衰减幅度，状态变量型）：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传递函数（通用二阶带通形式）：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中心角频率（</w:t>
            </w:r>
            <m:oMath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-3 dB </w:t>
            </w: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定时电阻、电容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Q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带宽变窄，只影响更窄的一段频带，谐振峰更尖锐。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增益电位器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提升量增大（正增益），反相则变为衰减。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定时元件成组改变可移动中心频率，需保持各端点匹配以保证对称响应。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运放：NE5532、TL072、OPA2134、SSM2164（VCA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控制）。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数字参数均衡常用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DSP：ADAU1701、ADAU1452。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值时电路易振荡，需留相位裕量与合适阻尼。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定时元件精度决定中心频率精度，需选用精度一致的电阻电容。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音频场合注意噪声与失真，选用低噪声运放。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《音频信号处理与精调》参数均衡器。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Analog Devices: ADAU1452 </w:t>
      </w:r>
      <w:r>
        <w:rPr>
          <w:rFonts w:hint="eastAsia" w:eastAsia="黑体"/>
        </w:rPr>
        <w:t xml:space="preserve">数据手册与应用笔记。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Equalization (audio)。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参数均衡电路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参数均衡电路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